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14049">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jc w:val="center"/>
        <w:textAlignment w:val="auto"/>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0193138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2025年新春营销物料采购项目</w:t>
      </w:r>
    </w:p>
    <w:p w14:paraId="730FA8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color w:val="auto"/>
          <w:kern w:val="0"/>
          <w:sz w:val="18"/>
          <w:highlight w:val="none"/>
        </w:rPr>
      </w:pPr>
    </w:p>
    <w:p w14:paraId="3F6F1F0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color w:val="auto"/>
          <w:kern w:val="0"/>
          <w:sz w:val="20"/>
          <w:highlight w:val="none"/>
        </w:rPr>
      </w:pPr>
    </w:p>
    <w:p w14:paraId="28ECA15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295FAD9">
      <w:pPr>
        <w:spacing w:line="360" w:lineRule="auto"/>
        <w:ind w:firstLine="0" w:firstLineChars="0"/>
        <w:jc w:val="left"/>
        <w:rPr>
          <w:rFonts w:ascii="Times New Roman" w:hAnsi="Times New Roman" w:cs="Times New Roman"/>
          <w:snapToGrid w:val="0"/>
          <w:color w:val="auto"/>
          <w:kern w:val="0"/>
          <w:sz w:val="20"/>
          <w:highlight w:val="none"/>
        </w:rPr>
      </w:pPr>
    </w:p>
    <w:p w14:paraId="1CF4E440">
      <w:pPr>
        <w:spacing w:line="360" w:lineRule="auto"/>
        <w:ind w:firstLine="0" w:firstLineChars="0"/>
        <w:jc w:val="left"/>
        <w:rPr>
          <w:rFonts w:ascii="Times New Roman" w:hAnsi="Times New Roman" w:cs="Times New Roman"/>
          <w:snapToGrid w:val="0"/>
          <w:color w:val="auto"/>
          <w:kern w:val="0"/>
          <w:sz w:val="20"/>
          <w:highlight w:val="none"/>
        </w:rPr>
      </w:pPr>
    </w:p>
    <w:p w14:paraId="08BC2E01">
      <w:pPr>
        <w:spacing w:line="360" w:lineRule="auto"/>
        <w:ind w:firstLine="0" w:firstLineChars="0"/>
        <w:jc w:val="left"/>
        <w:rPr>
          <w:rFonts w:ascii="Times New Roman" w:hAnsi="Times New Roman" w:cs="Times New Roman"/>
          <w:snapToGrid w:val="0"/>
          <w:color w:val="auto"/>
          <w:kern w:val="0"/>
          <w:sz w:val="20"/>
          <w:highlight w:val="none"/>
        </w:rPr>
      </w:pPr>
    </w:p>
    <w:p w14:paraId="0D762218">
      <w:pPr>
        <w:spacing w:line="360" w:lineRule="auto"/>
        <w:ind w:firstLine="0" w:firstLineChars="0"/>
        <w:jc w:val="left"/>
        <w:rPr>
          <w:rFonts w:ascii="Times New Roman" w:hAnsi="Times New Roman" w:cs="Times New Roman"/>
          <w:snapToGrid w:val="0"/>
          <w:color w:val="auto"/>
          <w:kern w:val="0"/>
          <w:sz w:val="20"/>
          <w:highlight w:val="none"/>
        </w:rPr>
      </w:pPr>
    </w:p>
    <w:p w14:paraId="75D713F0">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14362C18">
      <w:pPr>
        <w:spacing w:line="360" w:lineRule="auto"/>
        <w:ind w:firstLine="0" w:firstLineChars="0"/>
        <w:jc w:val="center"/>
        <w:rPr>
          <w:rFonts w:ascii="Times New Roman" w:hAnsi="Times New Roman" w:cs="Times New Roman"/>
          <w:b/>
          <w:snapToGrid w:val="0"/>
          <w:color w:val="auto"/>
          <w:kern w:val="0"/>
          <w:szCs w:val="28"/>
          <w:highlight w:val="none"/>
        </w:rPr>
      </w:pPr>
    </w:p>
    <w:p w14:paraId="00DBDAF6">
      <w:pPr>
        <w:spacing w:line="360" w:lineRule="auto"/>
        <w:ind w:firstLine="0" w:firstLineChars="0"/>
        <w:jc w:val="center"/>
        <w:rPr>
          <w:rFonts w:ascii="Times New Roman" w:hAnsi="Times New Roman" w:cs="Times New Roman"/>
          <w:b/>
          <w:snapToGrid w:val="0"/>
          <w:color w:val="auto"/>
          <w:kern w:val="0"/>
          <w:szCs w:val="28"/>
          <w:highlight w:val="none"/>
        </w:rPr>
      </w:pPr>
    </w:p>
    <w:p w14:paraId="32EC5083">
      <w:pPr>
        <w:spacing w:line="360" w:lineRule="auto"/>
        <w:ind w:firstLine="0" w:firstLineChars="0"/>
        <w:jc w:val="center"/>
        <w:rPr>
          <w:rFonts w:ascii="Times New Roman" w:hAnsi="Times New Roman" w:cs="Times New Roman"/>
          <w:b/>
          <w:snapToGrid w:val="0"/>
          <w:color w:val="auto"/>
          <w:kern w:val="0"/>
          <w:szCs w:val="28"/>
          <w:highlight w:val="none"/>
        </w:rPr>
      </w:pPr>
    </w:p>
    <w:p w14:paraId="02515027">
      <w:pPr>
        <w:ind w:firstLine="0" w:firstLineChars="0"/>
        <w:rPr>
          <w:color w:val="auto"/>
          <w:highlight w:val="none"/>
        </w:rPr>
      </w:pPr>
    </w:p>
    <w:p w14:paraId="5D0C9251">
      <w:pPr>
        <w:pStyle w:val="9"/>
        <w:rPr>
          <w:color w:val="auto"/>
          <w:highlight w:val="none"/>
        </w:rPr>
      </w:pPr>
    </w:p>
    <w:p w14:paraId="6FAA4BBE">
      <w:pPr>
        <w:rPr>
          <w:color w:val="auto"/>
          <w:highlight w:val="none"/>
        </w:rPr>
      </w:pPr>
    </w:p>
    <w:p w14:paraId="0732CE58">
      <w:pPr>
        <w:rPr>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B0E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D005CA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25CA9558">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3815E0A">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20C8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653D51">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5E0164E3">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11</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46A782DB">
            <w:pPr>
              <w:rPr>
                <w:color w:val="auto"/>
                <w:highlight w:val="none"/>
              </w:rPr>
            </w:pPr>
          </w:p>
        </w:tc>
      </w:tr>
    </w:tbl>
    <w:p w14:paraId="3B2D10A8">
      <w:pPr>
        <w:rPr>
          <w:color w:val="auto"/>
          <w:highlight w:val="none"/>
        </w:rPr>
      </w:pPr>
    </w:p>
    <w:p w14:paraId="04A9CB55">
      <w:pPr>
        <w:rPr>
          <w:color w:val="auto"/>
          <w:highlight w:val="none"/>
        </w:rPr>
        <w:sectPr>
          <w:pgSz w:w="11906" w:h="16838"/>
          <w:pgMar w:top="1440" w:right="1800" w:bottom="1440" w:left="1800" w:header="851" w:footer="992" w:gutter="0"/>
          <w:pgNumType w:start="1"/>
          <w:cols w:space="720" w:num="1"/>
          <w:docGrid w:type="lines" w:linePitch="312" w:charSpace="0"/>
        </w:sectPr>
      </w:pPr>
    </w:p>
    <w:p w14:paraId="6EAA639E">
      <w:pPr>
        <w:snapToGrid w:val="0"/>
        <w:spacing w:line="360" w:lineRule="auto"/>
        <w:ind w:firstLine="0" w:firstLineChars="0"/>
        <w:jc w:val="center"/>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0440C93E">
      <w:pPr>
        <w:pStyle w:val="13"/>
        <w:tabs>
          <w:tab w:val="right" w:leader="dot" w:pos="8306"/>
        </w:tabs>
      </w:pPr>
      <w:r>
        <w:rPr>
          <w:rFonts w:ascii="宋体" w:hAnsi="宋体"/>
          <w:snapToGrid w:val="0"/>
          <w:color w:val="auto"/>
          <w:kern w:val="0"/>
          <w:szCs w:val="24"/>
          <w:highlight w:val="none"/>
        </w:rPr>
        <w:fldChar w:fldCharType="begin"/>
      </w:r>
      <w:r>
        <w:rPr>
          <w:rFonts w:hint="eastAsia" w:ascii="宋体" w:hAnsi="宋体"/>
          <w:snapToGrid w:val="0"/>
          <w:color w:val="auto"/>
          <w:kern w:val="0"/>
          <w:szCs w:val="24"/>
          <w:highlight w:val="none"/>
        </w:rPr>
        <w:instrText xml:space="preserve">TOC \o "1-1" \h \z \u</w:instrText>
      </w:r>
      <w:r>
        <w:rPr>
          <w:rFonts w:ascii="宋体" w:hAnsi="宋体"/>
          <w:snapToGrid w:val="0"/>
          <w:color w:val="auto"/>
          <w:kern w:val="0"/>
          <w:szCs w:val="24"/>
          <w:highlight w:val="none"/>
        </w:rPr>
        <w:instrText xml:space="preserve"> </w:instrText>
      </w:r>
      <w:r>
        <w:rPr>
          <w:rFonts w:ascii="宋体" w:hAnsi="宋体"/>
          <w:snapToGrid w:val="0"/>
          <w:color w:val="auto"/>
          <w:kern w:val="0"/>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_Toc5719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_Toc5719 \h </w:instrText>
      </w:r>
      <w:r>
        <w:fldChar w:fldCharType="separate"/>
      </w:r>
      <w:r>
        <w:t>1</w:t>
      </w:r>
      <w:r>
        <w:fldChar w:fldCharType="end"/>
      </w:r>
      <w:r>
        <w:rPr>
          <w:rFonts w:ascii="宋体" w:hAnsi="宋体"/>
          <w:snapToGrid w:val="0"/>
          <w:color w:val="auto"/>
          <w:kern w:val="0"/>
          <w:szCs w:val="24"/>
          <w:highlight w:val="none"/>
        </w:rPr>
        <w:fldChar w:fldCharType="end"/>
      </w:r>
    </w:p>
    <w:p w14:paraId="568568ED">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_Toc8313 </w:instrText>
      </w:r>
      <w:r>
        <w:rPr>
          <w:rFonts w:ascii="宋体" w:hAnsi="宋体"/>
          <w:snapToGrid w:val="0"/>
          <w:kern w:val="0"/>
          <w:szCs w:val="24"/>
          <w:highlight w:val="none"/>
        </w:rPr>
        <w:fldChar w:fldCharType="separate"/>
      </w:r>
      <w:r>
        <w:rPr>
          <w:rFonts w:hint="eastAsia"/>
          <w:highlight w:val="none"/>
        </w:rPr>
        <w:t>第二章 参选人须知</w:t>
      </w:r>
      <w:r>
        <w:tab/>
      </w:r>
      <w:r>
        <w:fldChar w:fldCharType="begin"/>
      </w:r>
      <w:r>
        <w:instrText xml:space="preserve"> PAGEREF _Toc8313 \h </w:instrText>
      </w:r>
      <w:r>
        <w:fldChar w:fldCharType="separate"/>
      </w:r>
      <w:r>
        <w:t>4</w:t>
      </w:r>
      <w:r>
        <w:fldChar w:fldCharType="end"/>
      </w:r>
      <w:r>
        <w:rPr>
          <w:rFonts w:ascii="宋体" w:hAnsi="宋体"/>
          <w:snapToGrid w:val="0"/>
          <w:color w:val="auto"/>
          <w:kern w:val="0"/>
          <w:szCs w:val="24"/>
          <w:highlight w:val="none"/>
        </w:rPr>
        <w:fldChar w:fldCharType="end"/>
      </w:r>
    </w:p>
    <w:p w14:paraId="5D936B71">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_Toc10784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_Toc10784 \h </w:instrText>
      </w:r>
      <w:r>
        <w:fldChar w:fldCharType="separate"/>
      </w:r>
      <w:r>
        <w:t>14</w:t>
      </w:r>
      <w:r>
        <w:fldChar w:fldCharType="end"/>
      </w:r>
      <w:r>
        <w:rPr>
          <w:rFonts w:ascii="宋体" w:hAnsi="宋体"/>
          <w:snapToGrid w:val="0"/>
          <w:color w:val="auto"/>
          <w:kern w:val="0"/>
          <w:szCs w:val="24"/>
          <w:highlight w:val="none"/>
        </w:rPr>
        <w:fldChar w:fldCharType="end"/>
      </w:r>
    </w:p>
    <w:p w14:paraId="00D358DB">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_Toc9009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_Toc9009 \h </w:instrText>
      </w:r>
      <w:r>
        <w:fldChar w:fldCharType="separate"/>
      </w:r>
      <w:r>
        <w:t>19</w:t>
      </w:r>
      <w:r>
        <w:fldChar w:fldCharType="end"/>
      </w:r>
      <w:r>
        <w:rPr>
          <w:rFonts w:ascii="宋体" w:hAnsi="宋体"/>
          <w:snapToGrid w:val="0"/>
          <w:color w:val="auto"/>
          <w:kern w:val="0"/>
          <w:szCs w:val="24"/>
          <w:highlight w:val="none"/>
        </w:rPr>
        <w:fldChar w:fldCharType="end"/>
      </w:r>
    </w:p>
    <w:p w14:paraId="1FC75814">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_Toc22650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_Toc22650 \h </w:instrText>
      </w:r>
      <w:r>
        <w:fldChar w:fldCharType="separate"/>
      </w:r>
      <w:r>
        <w:t>26</w:t>
      </w:r>
      <w:r>
        <w:fldChar w:fldCharType="end"/>
      </w:r>
      <w:r>
        <w:rPr>
          <w:rFonts w:ascii="宋体" w:hAnsi="宋体"/>
          <w:snapToGrid w:val="0"/>
          <w:color w:val="auto"/>
          <w:kern w:val="0"/>
          <w:szCs w:val="24"/>
          <w:highlight w:val="none"/>
        </w:rPr>
        <w:fldChar w:fldCharType="end"/>
      </w:r>
    </w:p>
    <w:p w14:paraId="42BCB752">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_Toc8505 </w:instrText>
      </w:r>
      <w:r>
        <w:rPr>
          <w:rFonts w:ascii="宋体" w:hAnsi="宋体"/>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_Toc8505 \h </w:instrText>
      </w:r>
      <w:r>
        <w:fldChar w:fldCharType="separate"/>
      </w:r>
      <w:r>
        <w:t>30</w:t>
      </w:r>
      <w:r>
        <w:fldChar w:fldCharType="end"/>
      </w:r>
      <w:r>
        <w:rPr>
          <w:rFonts w:ascii="宋体" w:hAnsi="宋体"/>
          <w:snapToGrid w:val="0"/>
          <w:color w:val="auto"/>
          <w:kern w:val="0"/>
          <w:szCs w:val="24"/>
          <w:highlight w:val="none"/>
        </w:rPr>
        <w:fldChar w:fldCharType="end"/>
      </w:r>
    </w:p>
    <w:p w14:paraId="65538EC1">
      <w:pPr>
        <w:widowControl/>
        <w:jc w:val="left"/>
        <w:rPr>
          <w:rFonts w:ascii="宋体" w:hAnsi="宋体"/>
          <w:snapToGrid w:val="0"/>
          <w:color w:val="auto"/>
          <w:kern w:val="0"/>
          <w:szCs w:val="24"/>
          <w:highlight w:val="none"/>
        </w:rPr>
      </w:pPr>
      <w:r>
        <w:rPr>
          <w:rFonts w:ascii="宋体" w:hAnsi="宋体"/>
          <w:snapToGrid w:val="0"/>
          <w:color w:val="auto"/>
          <w:kern w:val="0"/>
          <w:szCs w:val="24"/>
          <w:highlight w:val="none"/>
        </w:rPr>
        <w:fldChar w:fldCharType="end"/>
      </w:r>
    </w:p>
    <w:p w14:paraId="371C9BBF">
      <w:pPr>
        <w:widowControl/>
        <w:jc w:val="left"/>
        <w:rPr>
          <w:rFonts w:ascii="宋体" w:hAnsi="宋体"/>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2403A0B6">
      <w:pPr>
        <w:pStyle w:val="2"/>
        <w:rPr>
          <w:color w:val="auto"/>
          <w:highlight w:val="none"/>
        </w:rPr>
      </w:pPr>
      <w:bookmarkStart w:id="0" w:name="_Toc440628903"/>
      <w:bookmarkStart w:id="1" w:name="_Toc469574661"/>
      <w:bookmarkStart w:id="2" w:name="_Toc678"/>
      <w:bookmarkStart w:id="3" w:name="_Toc6745"/>
      <w:bookmarkStart w:id="4" w:name="_Toc5719"/>
      <w:r>
        <w:rPr>
          <w:rFonts w:hint="eastAsia"/>
          <w:color w:val="auto"/>
          <w:highlight w:val="none"/>
        </w:rPr>
        <w:t>第一章</w:t>
      </w:r>
      <w:bookmarkEnd w:id="0"/>
      <w:r>
        <w:rPr>
          <w:rFonts w:hint="eastAsia"/>
          <w:color w:val="auto"/>
          <w:highlight w:val="none"/>
        </w:rPr>
        <w:t xml:space="preserve"> 比选公告</w:t>
      </w:r>
      <w:bookmarkEnd w:id="1"/>
      <w:bookmarkEnd w:id="2"/>
      <w:bookmarkEnd w:id="3"/>
      <w:bookmarkEnd w:id="4"/>
    </w:p>
    <w:p w14:paraId="792C733E">
      <w:pPr>
        <w:rPr>
          <w:color w:val="auto"/>
          <w:highlight w:val="none"/>
        </w:rPr>
      </w:pPr>
      <w:bookmarkStart w:id="5" w:name="_Toc89675127"/>
      <w:bookmarkStart w:id="6" w:name="_Toc55379218"/>
      <w:r>
        <w:rPr>
          <w:rFonts w:hint="eastAsia"/>
          <w:color w:val="auto"/>
          <w:highlight w:val="none"/>
        </w:rPr>
        <w:t>202</w:t>
      </w:r>
      <w:r>
        <w:rPr>
          <w:color w:val="auto"/>
          <w:highlight w:val="none"/>
        </w:rPr>
        <w:t>5</w:t>
      </w:r>
      <w:r>
        <w:rPr>
          <w:rFonts w:hint="eastAsia"/>
          <w:color w:val="auto"/>
          <w:highlight w:val="none"/>
        </w:rPr>
        <w:t>年新春即将来到，本行拟制作2025年新春</w:t>
      </w:r>
      <w:r>
        <w:rPr>
          <w:color w:val="auto"/>
          <w:highlight w:val="none"/>
        </w:rPr>
        <w:t>营销物料助力支行旺季营销，</w:t>
      </w:r>
      <w:r>
        <w:rPr>
          <w:rFonts w:hint="eastAsia"/>
          <w:color w:val="auto"/>
          <w:highlight w:val="none"/>
        </w:rPr>
        <w:t>回馈新老客户，进一步烘托节庆气氛，提升客户满意度，塑造本行良好的品牌形象。现对</w:t>
      </w:r>
      <w:r>
        <w:rPr>
          <w:rFonts w:hint="eastAsia" w:ascii="宋体" w:cs="Cambria"/>
          <w:snapToGrid w:val="0"/>
          <w:color w:val="auto"/>
          <w:kern w:val="0"/>
          <w:szCs w:val="24"/>
          <w:highlight w:val="none"/>
        </w:rPr>
        <w:t>重庆三峡银行2025年新春营销物料采购项目</w:t>
      </w:r>
      <w:r>
        <w:rPr>
          <w:rFonts w:hint="eastAsia"/>
          <w:color w:val="auto"/>
          <w:highlight w:val="none"/>
        </w:rPr>
        <w:t>进行公开比选，</w:t>
      </w:r>
      <w:r>
        <w:rPr>
          <w:color w:val="auto"/>
          <w:highlight w:val="none"/>
        </w:rPr>
        <w:t>特邀请有</w:t>
      </w:r>
      <w:bookmarkStart w:id="7" w:name="_Hlk59455120"/>
      <w:r>
        <w:rPr>
          <w:color w:val="auto"/>
          <w:highlight w:val="none"/>
        </w:rPr>
        <w:t>意向</w:t>
      </w:r>
      <w:bookmarkEnd w:id="7"/>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4CB820DF">
      <w:pPr>
        <w:pStyle w:val="3"/>
        <w:rPr>
          <w:color w:val="auto"/>
          <w:highlight w:val="none"/>
        </w:rPr>
      </w:pPr>
      <w:r>
        <w:rPr>
          <w:rFonts w:hint="eastAsia"/>
          <w:color w:val="auto"/>
          <w:highlight w:val="none"/>
        </w:rPr>
        <w:t>1. 比选项目内容</w:t>
      </w:r>
      <w:bookmarkEnd w:id="5"/>
      <w:bookmarkEnd w:id="6"/>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2D9E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60FD3042">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序号</w:t>
            </w:r>
          </w:p>
        </w:tc>
        <w:tc>
          <w:tcPr>
            <w:tcW w:w="2826" w:type="dxa"/>
            <w:vAlign w:val="center"/>
          </w:tcPr>
          <w:p w14:paraId="68D33532">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项目名称</w:t>
            </w:r>
          </w:p>
        </w:tc>
        <w:tc>
          <w:tcPr>
            <w:tcW w:w="1646" w:type="dxa"/>
            <w:vAlign w:val="center"/>
          </w:tcPr>
          <w:p w14:paraId="4516B31B">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最高限价</w:t>
            </w:r>
          </w:p>
        </w:tc>
        <w:tc>
          <w:tcPr>
            <w:tcW w:w="1798" w:type="dxa"/>
            <w:vAlign w:val="center"/>
          </w:tcPr>
          <w:p w14:paraId="010EC018">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中选人数量</w:t>
            </w:r>
          </w:p>
        </w:tc>
        <w:tc>
          <w:tcPr>
            <w:tcW w:w="1798" w:type="dxa"/>
            <w:vAlign w:val="center"/>
          </w:tcPr>
          <w:p w14:paraId="46491ACB">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备注</w:t>
            </w:r>
          </w:p>
        </w:tc>
      </w:tr>
      <w:tr w14:paraId="3C9F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8F454F3">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w:t>
            </w:r>
          </w:p>
        </w:tc>
        <w:tc>
          <w:tcPr>
            <w:tcW w:w="2826" w:type="dxa"/>
            <w:tcBorders>
              <w:left w:val="single" w:color="auto" w:sz="4" w:space="0"/>
            </w:tcBorders>
            <w:vAlign w:val="center"/>
          </w:tcPr>
          <w:p w14:paraId="6A059826">
            <w:pPr>
              <w:ind w:left="0" w:leftChars="0" w:firstLine="0" w:firstLineChars="0"/>
              <w:rPr>
                <w:rFonts w:hint="eastAsia"/>
                <w:color w:val="auto"/>
                <w:highlight w:val="none"/>
              </w:rPr>
            </w:pPr>
            <w:bookmarkStart w:id="96" w:name="_GoBack"/>
            <w:bookmarkEnd w:id="96"/>
            <w:r>
              <w:rPr>
                <w:rFonts w:hint="eastAsia"/>
                <w:color w:val="auto"/>
                <w:highlight w:val="none"/>
              </w:rPr>
              <w:t>重庆三峡银行2025年新春营销物料采购项目</w:t>
            </w:r>
          </w:p>
        </w:tc>
        <w:tc>
          <w:tcPr>
            <w:tcW w:w="1646" w:type="dxa"/>
            <w:tcBorders>
              <w:left w:val="single" w:color="auto" w:sz="4" w:space="0"/>
            </w:tcBorders>
            <w:vAlign w:val="center"/>
          </w:tcPr>
          <w:p w14:paraId="53152215">
            <w:pPr>
              <w:rPr>
                <w:rFonts w:hint="eastAsia"/>
                <w:color w:val="auto"/>
                <w:highlight w:val="none"/>
              </w:rPr>
            </w:pPr>
            <w:r>
              <w:rPr>
                <w:rFonts w:hint="eastAsia"/>
                <w:color w:val="auto"/>
                <w:highlight w:val="none"/>
              </w:rPr>
              <w:t>38万</w:t>
            </w:r>
          </w:p>
        </w:tc>
        <w:tc>
          <w:tcPr>
            <w:tcW w:w="1798" w:type="dxa"/>
            <w:tcBorders>
              <w:left w:val="single" w:color="auto" w:sz="4" w:space="0"/>
            </w:tcBorders>
            <w:vAlign w:val="center"/>
          </w:tcPr>
          <w:p w14:paraId="562B0571">
            <w:pPr>
              <w:rPr>
                <w:rFonts w:hint="eastAsia"/>
                <w:color w:val="auto"/>
                <w:highlight w:val="none"/>
              </w:rPr>
            </w:pPr>
            <w:r>
              <w:rPr>
                <w:rFonts w:hint="eastAsia"/>
                <w:color w:val="auto"/>
                <w:highlight w:val="none"/>
              </w:rPr>
              <w:t>1</w:t>
            </w:r>
          </w:p>
        </w:tc>
        <w:tc>
          <w:tcPr>
            <w:tcW w:w="1798" w:type="dxa"/>
            <w:tcBorders>
              <w:left w:val="single" w:color="auto" w:sz="4" w:space="0"/>
            </w:tcBorders>
            <w:vAlign w:val="center"/>
          </w:tcPr>
          <w:p w14:paraId="790EEFFF">
            <w:pPr>
              <w:spacing w:line="360" w:lineRule="auto"/>
              <w:ind w:firstLine="0" w:firstLineChars="0"/>
              <w:jc w:val="center"/>
              <w:rPr>
                <w:rFonts w:ascii="宋体" w:hAnsi="宋体" w:cs="Cambria"/>
                <w:snapToGrid w:val="0"/>
                <w:color w:val="auto"/>
                <w:kern w:val="0"/>
                <w:sz w:val="21"/>
                <w:szCs w:val="21"/>
                <w:highlight w:val="none"/>
              </w:rPr>
            </w:pPr>
          </w:p>
        </w:tc>
      </w:tr>
    </w:tbl>
    <w:p w14:paraId="3796917A">
      <w:pPr>
        <w:pStyle w:val="3"/>
        <w:rPr>
          <w:color w:val="auto"/>
          <w:highlight w:val="none"/>
        </w:rPr>
      </w:pPr>
      <w:bookmarkStart w:id="8" w:name="_Toc469574664"/>
      <w:bookmarkStart w:id="9" w:name="_Toc297817088"/>
      <w:bookmarkStart w:id="10" w:name="_Toc55379219"/>
      <w:bookmarkStart w:id="11" w:name="_Toc288224935"/>
      <w:bookmarkStart w:id="12" w:name="_Toc89675128"/>
      <w:r>
        <w:rPr>
          <w:rFonts w:hint="eastAsia"/>
          <w:color w:val="auto"/>
          <w:highlight w:val="none"/>
        </w:rPr>
        <w:t>2. 参选人资格要求</w:t>
      </w:r>
      <w:bookmarkEnd w:id="8"/>
      <w:bookmarkEnd w:id="9"/>
      <w:bookmarkEnd w:id="10"/>
      <w:bookmarkEnd w:id="11"/>
      <w:bookmarkEnd w:id="12"/>
    </w:p>
    <w:p w14:paraId="748DE67C">
      <w:pPr>
        <w:outlineLvl w:val="2"/>
        <w:rPr>
          <w:color w:val="auto"/>
          <w:highlight w:val="none"/>
        </w:rPr>
      </w:pPr>
      <w:bookmarkStart w:id="13" w:name="_Hlk55488870"/>
      <w:r>
        <w:rPr>
          <w:rFonts w:hint="eastAsia"/>
          <w:color w:val="auto"/>
          <w:highlight w:val="none"/>
        </w:rPr>
        <w:t>2.1 具有独立承担民事责任的能力</w:t>
      </w:r>
    </w:p>
    <w:p w14:paraId="1F300D79">
      <w:pPr>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【提供参选人有效营业执照（副本）或事业单位法人证书（副本）或个体工商户营业执照或有效的自然人身份证明；参选人法定代表人身份证明和法定代表人授权代表委托书。】</w:t>
      </w:r>
    </w:p>
    <w:p w14:paraId="599422AD">
      <w:pPr>
        <w:rPr>
          <w:color w:val="auto"/>
          <w:highlight w:val="none"/>
        </w:rPr>
      </w:pPr>
      <w:r>
        <w:rPr>
          <w:rFonts w:hint="eastAsia"/>
          <w:color w:val="auto"/>
          <w:highlight w:val="none"/>
        </w:rPr>
        <w:t>2.2 具有良好的商业信誉和健全的财务会计制度【提供书面声明】；</w:t>
      </w:r>
    </w:p>
    <w:p w14:paraId="5435ADBB">
      <w:pPr>
        <w:rPr>
          <w:color w:val="auto"/>
          <w:highlight w:val="none"/>
        </w:rPr>
      </w:pPr>
      <w:r>
        <w:rPr>
          <w:rFonts w:hint="eastAsia"/>
          <w:color w:val="auto"/>
          <w:highlight w:val="none"/>
        </w:rPr>
        <w:t>2.3 具有履行合同所必需的设备和专业技术能力【提供书面声明】；</w:t>
      </w:r>
    </w:p>
    <w:p w14:paraId="03D4E50F">
      <w:pPr>
        <w:rPr>
          <w:color w:val="auto"/>
          <w:highlight w:val="none"/>
        </w:rPr>
      </w:pPr>
      <w:r>
        <w:rPr>
          <w:rFonts w:hint="eastAsia"/>
          <w:color w:val="auto"/>
          <w:highlight w:val="none"/>
        </w:rPr>
        <w:t>2.4 有依法缴纳税收和社会保障金的良好记录【提供书面声明】；</w:t>
      </w:r>
    </w:p>
    <w:p w14:paraId="557882D7">
      <w:pPr>
        <w:outlineLvl w:val="2"/>
        <w:rPr>
          <w:color w:val="auto"/>
          <w:highlight w:val="none"/>
        </w:rPr>
      </w:pPr>
      <w:r>
        <w:rPr>
          <w:rFonts w:hint="eastAsia"/>
          <w:color w:val="auto"/>
          <w:highlight w:val="none"/>
        </w:rPr>
        <w:t>2.5 三年内在经营活动中没有重大违法记录【提供书面声明】；</w:t>
      </w:r>
    </w:p>
    <w:p w14:paraId="6481B513">
      <w:pPr>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36291C71">
      <w:pPr>
        <w:outlineLvl w:val="2"/>
        <w:rPr>
          <w:color w:val="auto"/>
          <w:highlight w:val="none"/>
        </w:rPr>
      </w:pPr>
      <w:r>
        <w:rPr>
          <w:rFonts w:hint="eastAsia"/>
          <w:color w:val="auto"/>
          <w:highlight w:val="none"/>
        </w:rPr>
        <w:t>2.7 本项目不允许任何形式的转包【提供书面声明】。</w:t>
      </w:r>
    </w:p>
    <w:p w14:paraId="79649A46">
      <w:pPr>
        <w:rPr>
          <w:color w:val="auto"/>
          <w:highlight w:val="none"/>
        </w:rPr>
      </w:pPr>
      <w:r>
        <w:rPr>
          <w:rFonts w:hint="eastAsia"/>
          <w:color w:val="auto"/>
          <w:highlight w:val="none"/>
        </w:rPr>
        <w:t>2.8 本次</w:t>
      </w:r>
      <w:r>
        <w:rPr>
          <w:color w:val="auto"/>
          <w:highlight w:val="none"/>
        </w:rPr>
        <w:t>比选</w:t>
      </w:r>
      <w:r>
        <w:rPr>
          <w:rFonts w:hint="eastAsia"/>
          <w:color w:val="auto"/>
          <w:highlight w:val="none"/>
        </w:rPr>
        <w:t>不接受联合体参选。</w:t>
      </w:r>
    </w:p>
    <w:p w14:paraId="2F1479CE">
      <w:pPr>
        <w:rPr>
          <w:rFonts w:hint="eastAsia"/>
          <w:color w:val="auto"/>
          <w:highlight w:val="none"/>
        </w:rPr>
      </w:pPr>
      <w:r>
        <w:rPr>
          <w:rFonts w:hint="eastAsia"/>
          <w:color w:val="auto"/>
          <w:highlight w:val="none"/>
        </w:rPr>
        <w:t xml:space="preserve">2.9 </w:t>
      </w:r>
      <w:r>
        <w:rPr>
          <w:rFonts w:hint="eastAsia" w:eastAsia="宋体"/>
          <w:color w:val="auto"/>
          <w:highlight w:val="none"/>
        </w:rPr>
        <w:t>20</w:t>
      </w:r>
      <w:r>
        <w:rPr>
          <w:rFonts w:hint="eastAsia" w:eastAsia="宋体"/>
          <w:color w:val="auto"/>
          <w:highlight w:val="none"/>
          <w:lang w:val="en-US" w:eastAsia="zh-CN"/>
        </w:rPr>
        <w:t>21</w:t>
      </w:r>
      <w:r>
        <w:rPr>
          <w:rFonts w:hint="eastAsia" w:eastAsia="宋体"/>
          <w:color w:val="auto"/>
          <w:highlight w:val="none"/>
        </w:rPr>
        <w:t>年</w:t>
      </w:r>
      <w:r>
        <w:rPr>
          <w:rFonts w:hint="eastAsia" w:eastAsia="宋体"/>
          <w:color w:val="auto"/>
          <w:highlight w:val="none"/>
          <w:lang w:val="en-US" w:eastAsia="zh-CN"/>
        </w:rPr>
        <w:t>10</w:t>
      </w:r>
      <w:r>
        <w:rPr>
          <w:rFonts w:hint="eastAsia" w:eastAsia="宋体"/>
          <w:color w:val="auto"/>
          <w:highlight w:val="none"/>
        </w:rPr>
        <w:t>月1日</w:t>
      </w:r>
      <w:r>
        <w:rPr>
          <w:rFonts w:hint="default" w:eastAsia="宋体"/>
          <w:color w:val="auto"/>
          <w:highlight w:val="none"/>
          <w:lang w:val="en-US" w:eastAsia="zh-CN"/>
        </w:rPr>
        <w:t>至参选截止之日止</w:t>
      </w:r>
      <w:r>
        <w:rPr>
          <w:rFonts w:hint="eastAsia"/>
          <w:color w:val="auto"/>
          <w:highlight w:val="none"/>
          <w:lang w:eastAsia="zh-CN"/>
        </w:rPr>
        <w:t>（</w:t>
      </w:r>
      <w:r>
        <w:rPr>
          <w:rFonts w:hint="eastAsia"/>
          <w:color w:val="auto"/>
          <w:highlight w:val="none"/>
          <w:lang w:val="en-US" w:eastAsia="zh-CN"/>
        </w:rPr>
        <w:t>以合同签订时间为准</w:t>
      </w:r>
      <w:r>
        <w:rPr>
          <w:rFonts w:hint="eastAsia"/>
          <w:color w:val="auto"/>
          <w:highlight w:val="none"/>
          <w:lang w:eastAsia="zh-CN"/>
        </w:rPr>
        <w:t>）</w:t>
      </w:r>
      <w:r>
        <w:rPr>
          <w:rFonts w:hint="eastAsia"/>
          <w:color w:val="auto"/>
          <w:highlight w:val="none"/>
          <w:lang w:val="en-US" w:eastAsia="zh-CN"/>
        </w:rPr>
        <w:t>参选人</w:t>
      </w:r>
      <w:r>
        <w:rPr>
          <w:rFonts w:hint="eastAsia"/>
          <w:color w:val="auto"/>
          <w:highlight w:val="none"/>
        </w:rPr>
        <w:t>具有相关实施案例，不少于</w:t>
      </w:r>
      <w:r>
        <w:rPr>
          <w:rFonts w:hint="eastAsia"/>
          <w:color w:val="auto"/>
          <w:highlight w:val="none"/>
          <w:lang w:val="en-US" w:eastAsia="zh-CN"/>
        </w:rPr>
        <w:t>3</w:t>
      </w:r>
      <w:r>
        <w:rPr>
          <w:rFonts w:hint="eastAsia"/>
          <w:color w:val="auto"/>
          <w:highlight w:val="none"/>
        </w:rPr>
        <w:t>家，低于</w:t>
      </w:r>
      <w:r>
        <w:rPr>
          <w:rFonts w:hint="eastAsia"/>
          <w:color w:val="auto"/>
          <w:highlight w:val="none"/>
          <w:lang w:val="en-US" w:eastAsia="zh-CN"/>
        </w:rPr>
        <w:t>3</w:t>
      </w:r>
      <w:r>
        <w:rPr>
          <w:rFonts w:hint="eastAsia"/>
          <w:color w:val="auto"/>
          <w:highlight w:val="none"/>
        </w:rPr>
        <w:t>个案例（不含</w:t>
      </w:r>
      <w:r>
        <w:rPr>
          <w:rFonts w:hint="eastAsia"/>
          <w:color w:val="auto"/>
          <w:highlight w:val="none"/>
          <w:lang w:val="en-US" w:eastAsia="zh-CN"/>
        </w:rPr>
        <w:t>3</w:t>
      </w:r>
      <w:r>
        <w:rPr>
          <w:rFonts w:hint="eastAsia"/>
          <w:color w:val="auto"/>
          <w:highlight w:val="none"/>
        </w:rPr>
        <w:t>个）取消参选资质【案例须同时提供合同关键页复印件、</w:t>
      </w:r>
      <w:r>
        <w:rPr>
          <w:rFonts w:hint="eastAsia"/>
          <w:color w:val="auto"/>
          <w:highlight w:val="none"/>
          <w:lang w:val="en-US" w:eastAsia="zh-CN"/>
        </w:rPr>
        <w:t>项目简介、</w:t>
      </w:r>
      <w:r>
        <w:rPr>
          <w:rFonts w:hint="eastAsia"/>
          <w:color w:val="auto"/>
          <w:highlight w:val="none"/>
        </w:rPr>
        <w:t>合同对应的发票之一和网上税务系统查询该发票截图。（发票开具日期须晚于合同签订日期、发票购买方须与合同买方一致、发票销售方须与合同卖方（参选人）一致）】；</w:t>
      </w:r>
    </w:p>
    <w:p w14:paraId="5BA2984D">
      <w:pPr>
        <w:pStyle w:val="4"/>
        <w:rPr>
          <w:rFonts w:hint="eastAsia"/>
          <w:b w:val="0"/>
          <w:bCs w:val="0"/>
          <w:color w:val="auto"/>
          <w:szCs w:val="20"/>
          <w:highlight w:val="none"/>
          <w:lang w:val="en-US" w:eastAsia="zh-CN"/>
        </w:rPr>
      </w:pPr>
      <w:r>
        <w:rPr>
          <w:rFonts w:hint="eastAsia"/>
          <w:b w:val="0"/>
          <w:bCs w:val="0"/>
          <w:color w:val="auto"/>
          <w:szCs w:val="20"/>
          <w:highlight w:val="none"/>
          <w:lang w:val="en-US" w:eastAsia="zh-CN"/>
        </w:rPr>
        <w:t>2.10 参选人应提供2023年企业所得税申报表【提供企业所得税申报表】</w:t>
      </w:r>
    </w:p>
    <w:p w14:paraId="3D7913E0">
      <w:pPr>
        <w:rPr>
          <w:color w:val="auto"/>
          <w:highlight w:val="none"/>
        </w:rPr>
      </w:pPr>
      <w:r>
        <w:rPr>
          <w:rFonts w:hint="eastAsia"/>
          <w:color w:val="auto"/>
          <w:highlight w:val="none"/>
          <w:lang w:val="en-US" w:eastAsia="zh-CN"/>
        </w:rPr>
        <w:t>2.11</w:t>
      </w:r>
      <w:r>
        <w:rPr>
          <w:rFonts w:hint="eastAsia" w:ascii="宋体" w:hAnsi="宋体" w:cs="宋体"/>
          <w:snapToGrid w:val="0"/>
          <w:color w:val="auto"/>
          <w:kern w:val="0"/>
          <w:sz w:val="24"/>
          <w:szCs w:val="24"/>
          <w:highlight w:val="none"/>
          <w:lang w:eastAsia="zh-CN"/>
        </w:rPr>
        <w:t>参选人</w:t>
      </w:r>
      <w:r>
        <w:rPr>
          <w:rFonts w:hint="eastAsia" w:ascii="宋体" w:hAnsi="宋体" w:eastAsia="宋体" w:cs="宋体"/>
          <w:snapToGrid w:val="0"/>
          <w:color w:val="auto"/>
          <w:kern w:val="0"/>
          <w:sz w:val="24"/>
          <w:szCs w:val="24"/>
          <w:highlight w:val="none"/>
        </w:rPr>
        <w:t>及</w:t>
      </w:r>
      <w:r>
        <w:rPr>
          <w:rFonts w:hint="eastAsia" w:ascii="宋体" w:hAnsi="宋体" w:cs="宋体"/>
          <w:snapToGrid w:val="0"/>
          <w:color w:val="auto"/>
          <w:kern w:val="0"/>
          <w:sz w:val="24"/>
          <w:szCs w:val="24"/>
          <w:highlight w:val="none"/>
          <w:lang w:eastAsia="zh-CN"/>
        </w:rPr>
        <w:t>参选人</w:t>
      </w:r>
      <w:r>
        <w:rPr>
          <w:rFonts w:hint="eastAsia" w:ascii="宋体" w:hAnsi="宋体" w:eastAsia="宋体" w:cs="宋体"/>
          <w:snapToGrid w:val="0"/>
          <w:color w:val="auto"/>
          <w:kern w:val="0"/>
          <w:sz w:val="24"/>
          <w:szCs w:val="24"/>
          <w:highlight w:val="none"/>
        </w:rPr>
        <w:t>法定代表人</w:t>
      </w:r>
      <w:r>
        <w:rPr>
          <w:rFonts w:hint="eastAsia" w:ascii="宋体" w:hAnsi="宋体" w:cs="宋体"/>
          <w:snapToGrid w:val="0"/>
          <w:color w:val="auto"/>
          <w:kern w:val="0"/>
          <w:sz w:val="24"/>
          <w:szCs w:val="24"/>
          <w:highlight w:val="none"/>
          <w:lang w:val="en-US" w:eastAsia="zh-CN"/>
        </w:rPr>
        <w:t>应具备良好</w:t>
      </w:r>
      <w:r>
        <w:rPr>
          <w:rFonts w:hint="eastAsia" w:ascii="宋体" w:hAnsi="宋体" w:eastAsia="宋体" w:cs="宋体"/>
          <w:snapToGrid w:val="0"/>
          <w:color w:val="auto"/>
          <w:kern w:val="0"/>
          <w:sz w:val="24"/>
          <w:szCs w:val="24"/>
          <w:highlight w:val="none"/>
        </w:rPr>
        <w:t>征信</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提供</w:t>
      </w:r>
      <w:r>
        <w:rPr>
          <w:rFonts w:hint="eastAsia" w:ascii="宋体" w:hAnsi="宋体" w:cs="宋体"/>
          <w:snapToGrid w:val="0"/>
          <w:color w:val="auto"/>
          <w:kern w:val="0"/>
          <w:sz w:val="24"/>
          <w:szCs w:val="24"/>
          <w:highlight w:val="none"/>
          <w:lang w:eastAsia="zh-CN"/>
        </w:rPr>
        <w:t>参选人</w:t>
      </w:r>
      <w:r>
        <w:rPr>
          <w:rFonts w:hint="eastAsia" w:ascii="宋体" w:hAnsi="宋体" w:eastAsia="宋体" w:cs="宋体"/>
          <w:snapToGrid w:val="0"/>
          <w:color w:val="auto"/>
          <w:kern w:val="0"/>
          <w:sz w:val="24"/>
          <w:szCs w:val="24"/>
          <w:highlight w:val="none"/>
        </w:rPr>
        <w:t>及</w:t>
      </w:r>
      <w:r>
        <w:rPr>
          <w:rFonts w:hint="eastAsia" w:ascii="宋体" w:hAnsi="宋体" w:cs="宋体"/>
          <w:snapToGrid w:val="0"/>
          <w:color w:val="auto"/>
          <w:kern w:val="0"/>
          <w:sz w:val="24"/>
          <w:szCs w:val="24"/>
          <w:highlight w:val="none"/>
          <w:lang w:eastAsia="zh-CN"/>
        </w:rPr>
        <w:t>参选人</w:t>
      </w:r>
      <w:r>
        <w:rPr>
          <w:rFonts w:hint="eastAsia" w:ascii="宋体" w:hAnsi="宋体" w:eastAsia="宋体" w:cs="宋体"/>
          <w:snapToGrid w:val="0"/>
          <w:color w:val="auto"/>
          <w:kern w:val="0"/>
          <w:sz w:val="24"/>
          <w:szCs w:val="24"/>
          <w:highlight w:val="none"/>
        </w:rPr>
        <w:t>法定代表人征信记录</w:t>
      </w:r>
      <w:r>
        <w:rPr>
          <w:rFonts w:hint="eastAsia" w:ascii="宋体" w:hAnsi="宋体" w:cs="宋体"/>
          <w:snapToGrid w:val="0"/>
          <w:color w:val="auto"/>
          <w:kern w:val="0"/>
          <w:sz w:val="24"/>
          <w:szCs w:val="24"/>
          <w:highlight w:val="none"/>
          <w:lang w:eastAsia="zh-CN"/>
        </w:rPr>
        <w:t>】</w:t>
      </w:r>
    </w:p>
    <w:p w14:paraId="5B9AE2E2">
      <w:pPr>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0CA3F1EA">
      <w:pPr>
        <w:pStyle w:val="3"/>
        <w:rPr>
          <w:rFonts w:hint="eastAsia" w:ascii="Cambria Math" w:hAnsi="Cambria Math" w:eastAsia="宋体" w:cs="Cambria Math"/>
          <w:b w:val="0"/>
          <w:bCs w:val="0"/>
          <w:snapToGrid/>
          <w:color w:val="auto"/>
          <w:kern w:val="2"/>
          <w:sz w:val="24"/>
          <w:szCs w:val="20"/>
          <w:highlight w:val="none"/>
          <w:lang w:val="en-US" w:eastAsia="zh-CN" w:bidi="ar-SA"/>
        </w:rPr>
      </w:pPr>
      <w:r>
        <w:rPr>
          <w:rFonts w:hint="eastAsia" w:ascii="Cambria Math" w:hAnsi="Cambria Math" w:eastAsia="宋体" w:cs="Cambria Math"/>
          <w:b w:val="0"/>
          <w:bCs w:val="0"/>
          <w:snapToGrid/>
          <w:color w:val="auto"/>
          <w:kern w:val="2"/>
          <w:sz w:val="24"/>
          <w:szCs w:val="20"/>
          <w:highlight w:val="none"/>
          <w:lang w:val="en-US" w:eastAsia="zh-CN" w:bidi="ar-SA"/>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bookmarkEnd w:id="13"/>
      <w:bookmarkStart w:id="14" w:name="_Toc55379220"/>
      <w:bookmarkStart w:id="15" w:name="_Toc469574667"/>
      <w:bookmarkStart w:id="16" w:name="_Toc297817090"/>
      <w:bookmarkStart w:id="17" w:name="_Toc89675130"/>
    </w:p>
    <w:p w14:paraId="70671EDE">
      <w:pPr>
        <w:pStyle w:val="3"/>
        <w:rPr>
          <w:rFonts w:hint="eastAsia" w:ascii="Cambria Math" w:hAnsi="Cambria Math" w:eastAsia="宋体" w:cs="Cambria Math"/>
          <w:b w:val="0"/>
          <w:bCs w:val="0"/>
          <w:snapToGrid/>
          <w:color w:val="auto"/>
          <w:kern w:val="2"/>
          <w:sz w:val="24"/>
          <w:szCs w:val="20"/>
          <w:highlight w:val="none"/>
          <w:lang w:val="en-US" w:eastAsia="zh-CN" w:bidi="ar-SA"/>
        </w:rPr>
      </w:pPr>
      <w:r>
        <w:rPr>
          <w:rFonts w:hint="eastAsia" w:ascii="Cambria Math" w:hAnsi="Cambria Math" w:eastAsia="宋体" w:cs="Cambria Math"/>
          <w:b w:val="0"/>
          <w:bCs w:val="0"/>
          <w:snapToGrid/>
          <w:color w:val="auto"/>
          <w:kern w:val="2"/>
          <w:sz w:val="24"/>
          <w:szCs w:val="20"/>
          <w:highlight w:val="none"/>
          <w:lang w:val="en-US" w:eastAsia="zh-CN" w:bidi="ar-SA"/>
        </w:rPr>
        <w:t>3. 比选文件的获取</w:t>
      </w:r>
      <w:bookmarkEnd w:id="14"/>
    </w:p>
    <w:p w14:paraId="5FB9070A">
      <w:pPr>
        <w:bidi w:val="0"/>
        <w:ind w:firstLine="480" w:firstLineChars="20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321EA470">
      <w:pPr>
        <w:rPr>
          <w:rFonts w:ascii="Times New Roman" w:hAnsi="Times New Roman"/>
          <w:color w:val="auto"/>
          <w:highlight w:val="none"/>
        </w:rPr>
      </w:pPr>
      <w:r>
        <w:rPr>
          <w:rFonts w:hint="eastAsia" w:ascii="Times New Roman" w:hAnsi="Times New Roman"/>
          <w:color w:val="auto"/>
          <w:highlight w:val="none"/>
          <w:lang w:val="en-US" w:eastAsia="zh-CN"/>
        </w:rPr>
        <w:t xml:space="preserve">3.2 </w:t>
      </w:r>
      <w:r>
        <w:rPr>
          <w:rFonts w:hint="eastAsia" w:ascii="Times New Roman" w:hAnsi="Times New Roman"/>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5</w:t>
      </w:r>
      <w:r>
        <w:rPr>
          <w:rFonts w:hint="eastAsia"/>
          <w:color w:val="auto"/>
          <w:highlight w:val="none"/>
        </w:rPr>
        <w:t>日到</w:t>
      </w:r>
      <w:r>
        <w:rPr>
          <w:rFonts w:hint="eastAsia"/>
          <w:color w:val="auto"/>
          <w:highlight w:val="none"/>
          <w:u w:val="single"/>
          <w:lang w:val="en-US" w:eastAsia="zh-CN"/>
        </w:rPr>
        <w:t>参选截止</w:t>
      </w:r>
      <w:r>
        <w:rPr>
          <w:rFonts w:hint="default" w:ascii="Times New Roman" w:hAnsi="Times New Roman" w:cs="Times New Roman"/>
          <w:color w:val="auto"/>
          <w:highlight w:val="none"/>
        </w:rPr>
        <w:t>时间</w:t>
      </w:r>
      <w:r>
        <w:rPr>
          <w:rFonts w:ascii="Times New Roman" w:hAnsi="Times New Roman"/>
          <w:color w:val="auto"/>
          <w:highlight w:val="none"/>
        </w:rPr>
        <w:t>，</w:t>
      </w:r>
      <w:r>
        <w:rPr>
          <w:rFonts w:hint="eastAsia" w:ascii="Times New Roman" w:hAnsi="Times New Roman"/>
          <w:color w:val="auto"/>
          <w:highlight w:val="none"/>
          <w:lang w:val="en-US" w:eastAsia="zh-CN"/>
        </w:rPr>
        <w:t>在重庆市公共资源交易网（www.cqggzy.com）下载比选文件</w:t>
      </w:r>
      <w:r>
        <w:rPr>
          <w:rFonts w:hint="eastAsia" w:ascii="Times New Roman" w:hAnsi="Times New Roman"/>
          <w:color w:val="auto"/>
          <w:highlight w:val="none"/>
        </w:rPr>
        <w:t>。</w:t>
      </w:r>
    </w:p>
    <w:p w14:paraId="3284CFE2">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8</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508F6F7">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5F43C62">
      <w:pPr>
        <w:pStyle w:val="3"/>
        <w:rPr>
          <w:color w:val="auto"/>
          <w:highlight w:val="none"/>
        </w:rPr>
      </w:pPr>
      <w:bookmarkStart w:id="18" w:name="_Toc55379221"/>
      <w:r>
        <w:rPr>
          <w:rFonts w:hint="eastAsia"/>
          <w:color w:val="auto"/>
          <w:highlight w:val="none"/>
        </w:rPr>
        <w:t>4. 参选保证金的递交</w:t>
      </w:r>
      <w:bookmarkEnd w:id="15"/>
      <w:bookmarkEnd w:id="16"/>
      <w:bookmarkEnd w:id="17"/>
      <w:bookmarkEnd w:id="18"/>
    </w:p>
    <w:p w14:paraId="370B3A4B">
      <w:pPr>
        <w:rPr>
          <w:color w:val="auto"/>
          <w:highlight w:val="none"/>
        </w:rPr>
      </w:pPr>
      <w:bookmarkStart w:id="19" w:name="_Toc89675131"/>
      <w:bookmarkStart w:id="20" w:name="_Toc469574668"/>
      <w:bookmarkStart w:id="21" w:name="_Toc297817091"/>
      <w:bookmarkStart w:id="22" w:name="_Toc55379222"/>
      <w:r>
        <w:rPr>
          <w:rFonts w:hint="eastAsia"/>
          <w:color w:val="auto"/>
          <w:highlight w:val="none"/>
        </w:rPr>
        <w:t>4.1 参选保证金的金额：</w:t>
      </w:r>
      <w:r>
        <w:rPr>
          <w:rFonts w:hint="eastAsia"/>
          <w:b/>
          <w:bCs/>
          <w:color w:val="auto"/>
          <w:highlight w:val="none"/>
          <w:u w:val="single"/>
          <w:lang w:val="en-US" w:eastAsia="zh-CN"/>
        </w:rPr>
        <w:t>7600.00</w:t>
      </w:r>
      <w:r>
        <w:rPr>
          <w:rFonts w:hint="eastAsia"/>
          <w:b/>
          <w:bCs/>
          <w:color w:val="auto"/>
          <w:highlight w:val="none"/>
          <w:u w:val="single"/>
        </w:rPr>
        <w:t xml:space="preserve"> </w:t>
      </w:r>
      <w:r>
        <w:rPr>
          <w:rFonts w:hint="eastAsia"/>
          <w:b/>
          <w:bCs/>
          <w:color w:val="auto"/>
          <w:highlight w:val="none"/>
        </w:rPr>
        <w:t>元整（大写：</w:t>
      </w:r>
      <w:r>
        <w:rPr>
          <w:rFonts w:hint="eastAsia"/>
          <w:b/>
          <w:bCs/>
          <w:color w:val="auto"/>
          <w:highlight w:val="none"/>
          <w:u w:val="single"/>
          <w:lang w:val="en-US" w:eastAsia="zh-CN"/>
        </w:rPr>
        <w:t>柒仟陆佰元整</w:t>
      </w:r>
      <w:r>
        <w:rPr>
          <w:rFonts w:hint="eastAsia"/>
          <w:b/>
          <w:bCs/>
          <w:color w:val="auto"/>
          <w:highlight w:val="none"/>
        </w:rPr>
        <w:t>）</w:t>
      </w:r>
      <w:r>
        <w:rPr>
          <w:rFonts w:hint="eastAsia"/>
          <w:color w:val="auto"/>
          <w:highlight w:val="none"/>
        </w:rPr>
        <w:t>。</w:t>
      </w:r>
    </w:p>
    <w:p w14:paraId="531F10FF">
      <w:pPr>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626105A">
      <w:pPr>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新春营销物料采购项目</w:t>
      </w:r>
      <w:r>
        <w:rPr>
          <w:rFonts w:hint="eastAsia"/>
          <w:b/>
          <w:bCs/>
          <w:color w:val="auto"/>
          <w:highlight w:val="none"/>
        </w:rPr>
        <w:t>。</w:t>
      </w:r>
    </w:p>
    <w:p w14:paraId="0DDC9420">
      <w:pPr>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i w:val="0"/>
          <w:iCs w:val="0"/>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6A31500D">
      <w:pPr>
        <w:outlineLvl w:val="2"/>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7C603054">
      <w:pPr>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D6BE2DA">
      <w:pPr>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14:paraId="41EA4E82">
      <w:pPr>
        <w:pStyle w:val="3"/>
        <w:rPr>
          <w:color w:val="auto"/>
          <w:highlight w:val="none"/>
        </w:rPr>
      </w:pPr>
      <w:r>
        <w:rPr>
          <w:rFonts w:hint="eastAsia"/>
          <w:color w:val="auto"/>
          <w:highlight w:val="none"/>
        </w:rPr>
        <w:t>5. 参选文件的递交</w:t>
      </w:r>
    </w:p>
    <w:p w14:paraId="29F8E5A8">
      <w:pPr>
        <w:rPr>
          <w:rFonts w:hint="eastAsia" w:ascii="Times New Roman" w:hAnsi="Times New Roman"/>
          <w:color w:val="auto"/>
          <w:highlight w:val="none"/>
          <w:lang w:val="en-US" w:eastAsia="zh-CN"/>
        </w:rPr>
      </w:pPr>
      <w:bookmarkStart w:id="23" w:name="_Toc55379223"/>
      <w:bookmarkStart w:id="24" w:name="_Toc469574669"/>
      <w:bookmarkStart w:id="25" w:name="_Toc89675132"/>
      <w:r>
        <w:rPr>
          <w:rFonts w:hint="eastAsia" w:ascii="Times New Roman" w:hAnsi="Times New Roman"/>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ascii="Times New Roman" w:hAnsi="Times New Roman"/>
          <w:color w:val="auto"/>
          <w:highlight w:val="none"/>
        </w:rPr>
        <w:t>(北京时间)</w:t>
      </w:r>
      <w:r>
        <w:rPr>
          <w:rFonts w:hint="eastAsia" w:ascii="Times New Roman" w:hAnsi="Times New Roman"/>
          <w:color w:val="auto"/>
          <w:highlight w:val="none"/>
          <w:u w:val="single"/>
          <w:lang w:val="en-US" w:eastAsia="zh-CN"/>
        </w:rPr>
        <w:t>至</w:t>
      </w:r>
      <w:r>
        <w:rPr>
          <w:rFonts w:hint="eastAsia" w:ascii="Times New Roman" w:hAnsi="Times New Roman"/>
          <w:color w:val="auto"/>
          <w:highlight w:val="none"/>
          <w:lang w:val="en-US" w:eastAsia="zh-CN"/>
        </w:rPr>
        <w:t xml:space="preserve">参选截止时间。 </w:t>
      </w:r>
    </w:p>
    <w:p w14:paraId="14282B66">
      <w:pPr>
        <w:rPr>
          <w:rFonts w:ascii="Times New Roman" w:hAnsi="Times New Roman"/>
          <w:color w:val="auto"/>
          <w:highlight w:val="none"/>
        </w:rPr>
      </w:pPr>
      <w:r>
        <w:rPr>
          <w:rFonts w:hint="eastAsia" w:ascii="Times New Roman" w:hAnsi="Times New Roman"/>
          <w:color w:val="auto"/>
          <w:highlight w:val="none"/>
        </w:rPr>
        <w:t>5.2 递交地点为重庆市公共资源交易中心开标区（具体请登陆重庆市公共资源交易网（www.cqggzy.com）查询或递交文件当日见交易中心大厅电子显示屏）。</w:t>
      </w:r>
    </w:p>
    <w:p w14:paraId="5B72BD6F">
      <w:pPr>
        <w:pStyle w:val="3"/>
        <w:rPr>
          <w:color w:val="auto"/>
          <w:highlight w:val="none"/>
        </w:rPr>
      </w:pPr>
      <w:r>
        <w:rPr>
          <w:rFonts w:hint="eastAsia"/>
          <w:color w:val="auto"/>
          <w:highlight w:val="none"/>
        </w:rPr>
        <w:t>6. 发布公告的媒介</w:t>
      </w:r>
      <w:bookmarkEnd w:id="23"/>
      <w:bookmarkEnd w:id="24"/>
      <w:bookmarkEnd w:id="25"/>
    </w:p>
    <w:p w14:paraId="2AE79F29">
      <w:pPr>
        <w:rPr>
          <w:color w:val="auto"/>
          <w:highlight w:val="none"/>
        </w:rPr>
      </w:pPr>
      <w:bookmarkStart w:id="26" w:name="_Toc469574670"/>
      <w:bookmarkStart w:id="27" w:name="_Toc55379224"/>
      <w:bookmarkStart w:id="28" w:name="_Toc89675133"/>
      <w:bookmarkStart w:id="29" w:name="_Toc250565211"/>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4271365F">
      <w:pPr>
        <w:pStyle w:val="3"/>
        <w:numPr>
          <w:ilvl w:val="0"/>
          <w:numId w:val="1"/>
        </w:numPr>
        <w:rPr>
          <w:rFonts w:hint="eastAsia"/>
          <w:color w:val="auto"/>
          <w:highlight w:val="none"/>
        </w:rPr>
      </w:pPr>
      <w:r>
        <w:rPr>
          <w:rFonts w:hint="eastAsia"/>
          <w:color w:val="auto"/>
          <w:highlight w:val="none"/>
        </w:rPr>
        <w:t>联系方式</w:t>
      </w:r>
      <w:bookmarkEnd w:id="26"/>
      <w:bookmarkEnd w:id="27"/>
      <w:bookmarkEnd w:id="28"/>
      <w:bookmarkEnd w:id="29"/>
    </w:p>
    <w:tbl>
      <w:tblPr>
        <w:tblStyle w:val="16"/>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ascii="宋体" w:hAnsi="宋体" w:cs="宋体"/>
                <w:color w:val="auto"/>
                <w:sz w:val="21"/>
                <w:szCs w:val="21"/>
                <w:highlight w:val="none"/>
              </w:rPr>
              <w:t>杨浛隣</w:t>
            </w:r>
          </w:p>
        </w:tc>
        <w:tc>
          <w:tcPr>
            <w:tcW w:w="5333" w:type="dxa"/>
            <w:tcBorders>
              <w:top w:val="nil"/>
              <w:left w:val="nil"/>
              <w:bottom w:val="nil"/>
              <w:right w:val="single" w:color="auto" w:sz="4" w:space="0"/>
            </w:tcBorders>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联系方式：023-88890693</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w:t>
            </w:r>
            <w:r>
              <w:rPr>
                <w:rFonts w:hint="eastAsia"/>
                <w:color w:val="auto"/>
                <w:highlight w:val="none"/>
                <w:lang w:val="en-US" w:eastAsia="zh-CN"/>
              </w:rPr>
              <w:t xml:space="preserve"> 张老</w:t>
            </w:r>
            <w:r>
              <w:rPr>
                <w:rFonts w:hint="eastAsia"/>
                <w:color w:val="auto"/>
                <w:highlight w:val="none"/>
              </w:rPr>
              <w:t>师</w:t>
            </w:r>
          </w:p>
        </w:tc>
        <w:tc>
          <w:tcPr>
            <w:tcW w:w="5333" w:type="dxa"/>
            <w:tcBorders>
              <w:top w:val="nil"/>
              <w:left w:val="nil"/>
              <w:bottom w:val="nil"/>
              <w:right w:val="single" w:color="auto" w:sz="4" w:space="0"/>
            </w:tcBorders>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5C514FDF">
      <w:pPr>
        <w:numPr>
          <w:ilvl w:val="-1"/>
          <w:numId w:val="0"/>
        </w:numPr>
        <w:ind w:firstLine="0" w:firstLineChars="0"/>
        <w:rPr>
          <w:color w:val="auto"/>
          <w:highlight w:val="none"/>
        </w:rPr>
      </w:pPr>
    </w:p>
    <w:p w14:paraId="61634D86">
      <w:pPr>
        <w:rPr>
          <w:color w:val="auto"/>
          <w:highlight w:val="none"/>
        </w:rPr>
      </w:pPr>
    </w:p>
    <w:p w14:paraId="35B1892F">
      <w:pPr>
        <w:rPr>
          <w:color w:val="auto"/>
          <w:highlight w:val="none"/>
        </w:rPr>
      </w:pPr>
    </w:p>
    <w:p w14:paraId="15A2D281">
      <w:pPr>
        <w:spacing w:line="240" w:lineRule="auto"/>
        <w:ind w:firstLine="0" w:firstLineChars="0"/>
        <w:jc w:val="right"/>
        <w:outlineLvl w:val="2"/>
        <w:rPr>
          <w:color w:val="auto"/>
          <w:highlight w:val="none"/>
        </w:rPr>
      </w:pPr>
      <w:r>
        <w:rPr>
          <w:rFonts w:hint="eastAsia"/>
          <w:color w:val="auto"/>
          <w:highlight w:val="none"/>
        </w:rPr>
        <w:t>重庆三峡银行股份有限公司</w:t>
      </w:r>
    </w:p>
    <w:p w14:paraId="00D3556B">
      <w:pPr>
        <w:jc w:val="right"/>
        <w:rPr>
          <w:rFonts w:hint="eastAsia"/>
          <w:color w:val="auto"/>
          <w:highlight w:val="none"/>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0" w:name="_Toc8313"/>
      <w:r>
        <w:rPr>
          <w:rFonts w:hint="eastAsia"/>
          <w:color w:val="auto"/>
          <w:highlight w:val="none"/>
          <w:lang w:val="en-US" w:eastAsia="zh-CN"/>
        </w:rPr>
        <w:t>2024年11月5日</w:t>
      </w:r>
    </w:p>
    <w:p w14:paraId="0EC497CA">
      <w:pPr>
        <w:jc w:val="right"/>
        <w:rPr>
          <w:rFonts w:hint="eastAsia"/>
          <w:color w:val="auto"/>
          <w:highlight w:val="none"/>
          <w:lang w:val="en-US" w:eastAsia="zh-CN"/>
        </w:rPr>
      </w:pPr>
    </w:p>
    <w:p w14:paraId="01B17449">
      <w:pPr>
        <w:pStyle w:val="2"/>
        <w:rPr>
          <w:color w:val="auto"/>
          <w:highlight w:val="none"/>
        </w:rPr>
      </w:pPr>
      <w:bookmarkStart w:id="31" w:name="_Toc303066033"/>
      <w:bookmarkStart w:id="32" w:name="_Toc27630"/>
      <w:bookmarkStart w:id="33" w:name="_Toc89675159"/>
      <w:r>
        <w:rPr>
          <w:rFonts w:hint="eastAsia"/>
          <w:color w:val="auto"/>
          <w:highlight w:val="none"/>
        </w:rPr>
        <w:t>第二章 参选人须知</w:t>
      </w:r>
      <w:bookmarkEnd w:id="30"/>
      <w:bookmarkEnd w:id="31"/>
      <w:bookmarkEnd w:id="32"/>
      <w:bookmarkEnd w:id="33"/>
    </w:p>
    <w:p w14:paraId="4A5152B4">
      <w:pPr>
        <w:pStyle w:val="3"/>
        <w:rPr>
          <w:color w:val="auto"/>
          <w:highlight w:val="none"/>
        </w:rPr>
      </w:pPr>
      <w:bookmarkStart w:id="34" w:name="_Toc89675160"/>
      <w:r>
        <w:rPr>
          <w:rFonts w:hint="eastAsia"/>
          <w:color w:val="auto"/>
          <w:highlight w:val="none"/>
        </w:rPr>
        <w:t>1. 项目信息</w:t>
      </w:r>
    </w:p>
    <w:p w14:paraId="027E6A96">
      <w:pPr>
        <w:pStyle w:val="4"/>
        <w:rPr>
          <w:color w:val="auto"/>
          <w:highlight w:val="none"/>
        </w:rPr>
      </w:pPr>
      <w:r>
        <w:rPr>
          <w:rFonts w:hint="eastAsia"/>
          <w:color w:val="auto"/>
          <w:highlight w:val="none"/>
        </w:rPr>
        <w:t>1.1 比选人</w:t>
      </w:r>
    </w:p>
    <w:p w14:paraId="3D2D65FE">
      <w:pPr>
        <w:rPr>
          <w:color w:val="auto"/>
          <w:highlight w:val="none"/>
        </w:rPr>
      </w:pPr>
      <w:r>
        <w:rPr>
          <w:color w:val="auto"/>
          <w:highlight w:val="none"/>
        </w:rPr>
        <w:t>重庆三峡银行股份有限公司</w:t>
      </w:r>
      <w:r>
        <w:rPr>
          <w:rFonts w:hint="eastAsia"/>
          <w:color w:val="auto"/>
          <w:highlight w:val="none"/>
        </w:rPr>
        <w:t>。</w:t>
      </w:r>
    </w:p>
    <w:p w14:paraId="2F250F35">
      <w:pPr>
        <w:pStyle w:val="4"/>
        <w:rPr>
          <w:color w:val="auto"/>
          <w:highlight w:val="none"/>
        </w:rPr>
      </w:pPr>
      <w:r>
        <w:rPr>
          <w:rFonts w:hint="eastAsia"/>
          <w:color w:val="auto"/>
          <w:highlight w:val="none"/>
        </w:rPr>
        <w:t>1.2 最高限价</w:t>
      </w:r>
    </w:p>
    <w:p w14:paraId="0BC4008F">
      <w:pPr>
        <w:rPr>
          <w:color w:val="auto"/>
          <w:highlight w:val="none"/>
        </w:rPr>
      </w:pPr>
      <w:r>
        <w:rPr>
          <w:rFonts w:hint="eastAsia"/>
          <w:color w:val="auto"/>
          <w:highlight w:val="none"/>
        </w:rPr>
        <w:t>本项目最高限价为：</w:t>
      </w:r>
      <w:r>
        <w:rPr>
          <w:color w:val="auto"/>
          <w:highlight w:val="none"/>
          <w:u w:val="single"/>
        </w:rPr>
        <w:t>38万元</w:t>
      </w:r>
      <w:r>
        <w:rPr>
          <w:rFonts w:hint="eastAsia"/>
          <w:color w:val="auto"/>
          <w:highlight w:val="none"/>
        </w:rPr>
        <w:t>（人民币大写：</w:t>
      </w:r>
      <w:r>
        <w:rPr>
          <w:color w:val="auto"/>
          <w:highlight w:val="none"/>
        </w:rPr>
        <w:t>叁拾捌万元</w:t>
      </w:r>
      <w:r>
        <w:rPr>
          <w:rFonts w:hint="eastAsia"/>
          <w:color w:val="auto"/>
          <w:highlight w:val="none"/>
        </w:rPr>
        <w:t>）。</w:t>
      </w:r>
    </w:p>
    <w:p w14:paraId="1B1EBC52">
      <w:pPr>
        <w:pStyle w:val="4"/>
        <w:rPr>
          <w:color w:val="auto"/>
          <w:highlight w:val="none"/>
        </w:rPr>
      </w:pPr>
      <w:r>
        <w:rPr>
          <w:rFonts w:hint="eastAsia"/>
          <w:color w:val="auto"/>
          <w:highlight w:val="none"/>
        </w:rPr>
        <w:t>1.3 项目概况</w:t>
      </w:r>
    </w:p>
    <w:bookmarkEnd w:id="34"/>
    <w:p w14:paraId="56399CDD">
      <w:pPr>
        <w:rPr>
          <w:color w:val="auto"/>
          <w:highlight w:val="none"/>
          <w:lang w:val="en-US" w:eastAsia="zh-CN"/>
        </w:rPr>
      </w:pPr>
      <w:bookmarkStart w:id="35" w:name="_Toc89675161"/>
      <w:r>
        <w:rPr>
          <w:rFonts w:hint="eastAsia"/>
          <w:color w:val="auto"/>
          <w:highlight w:val="none"/>
        </w:rPr>
        <w:t>202</w:t>
      </w:r>
      <w:r>
        <w:rPr>
          <w:color w:val="auto"/>
          <w:highlight w:val="none"/>
        </w:rPr>
        <w:t>5</w:t>
      </w:r>
      <w:r>
        <w:rPr>
          <w:rFonts w:hint="eastAsia"/>
          <w:color w:val="auto"/>
          <w:highlight w:val="none"/>
        </w:rPr>
        <w:t>年新春即将来到，本行拟制作2025年新春</w:t>
      </w:r>
      <w:r>
        <w:rPr>
          <w:color w:val="auto"/>
          <w:highlight w:val="none"/>
        </w:rPr>
        <w:t>营销物料(包含新春礼包、新春帆布袋、存单封套)助力支行旺季营销，</w:t>
      </w:r>
      <w:r>
        <w:rPr>
          <w:rFonts w:hint="eastAsia"/>
          <w:color w:val="auto"/>
          <w:highlight w:val="none"/>
        </w:rPr>
        <w:t>回馈新老客户，进一步烘托节庆气氛，提升客户满意度，塑造本行良好的品牌形象。</w:t>
      </w:r>
    </w:p>
    <w:p w14:paraId="7C738A62">
      <w:pPr>
        <w:pStyle w:val="4"/>
        <w:rPr>
          <w:color w:val="auto"/>
          <w:highlight w:val="none"/>
        </w:rPr>
      </w:pPr>
      <w:r>
        <w:rPr>
          <w:rFonts w:hint="eastAsia"/>
          <w:color w:val="auto"/>
          <w:highlight w:val="none"/>
        </w:rPr>
        <w:t>1.4 项目目标</w:t>
      </w:r>
    </w:p>
    <w:p w14:paraId="51CF8480">
      <w:pPr>
        <w:rPr>
          <w:color w:val="auto"/>
          <w:highlight w:val="none"/>
        </w:rPr>
      </w:pPr>
      <w:r>
        <w:rPr>
          <w:rFonts w:hint="eastAsia"/>
          <w:color w:val="auto"/>
          <w:highlight w:val="none"/>
        </w:rPr>
        <w:t>制作</w:t>
      </w:r>
      <w:r>
        <w:rPr>
          <w:color w:val="auto"/>
          <w:highlight w:val="none"/>
        </w:rPr>
        <w:t>一批物美价廉的</w:t>
      </w:r>
      <w:r>
        <w:rPr>
          <w:rFonts w:hint="eastAsia"/>
          <w:color w:val="auto"/>
          <w:highlight w:val="none"/>
        </w:rPr>
        <w:t>新春</w:t>
      </w:r>
      <w:r>
        <w:rPr>
          <w:color w:val="auto"/>
          <w:highlight w:val="none"/>
        </w:rPr>
        <w:t>营销物料(包含新春礼包、新春帆布袋、存单封套)助力支行开展旺季营销。</w:t>
      </w:r>
    </w:p>
    <w:p w14:paraId="4CDCC131">
      <w:pPr>
        <w:pStyle w:val="3"/>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bookmarkEnd w:id="35"/>
    </w:p>
    <w:p w14:paraId="61110DCE">
      <w:pPr>
        <w:outlineLvl w:val="2"/>
        <w:rPr>
          <w:color w:val="auto"/>
          <w:highlight w:val="none"/>
        </w:rPr>
      </w:pPr>
      <w:r>
        <w:rPr>
          <w:rFonts w:hint="eastAsia"/>
          <w:color w:val="auto"/>
          <w:highlight w:val="none"/>
        </w:rPr>
        <w:t>2.1 合格参选人条件</w:t>
      </w:r>
    </w:p>
    <w:p w14:paraId="4B24ED1C">
      <w:pPr>
        <w:rPr>
          <w:color w:val="auto"/>
          <w:highlight w:val="none"/>
        </w:rPr>
      </w:pPr>
      <w:r>
        <w:rPr>
          <w:rFonts w:hint="eastAsia"/>
          <w:color w:val="auto"/>
          <w:highlight w:val="none"/>
        </w:rPr>
        <w:t>合格参选人应完全符合比选文件第一章中规定的参选人资格条件，并对比选文件作出实质性响应。</w:t>
      </w:r>
    </w:p>
    <w:p w14:paraId="3250FE0C">
      <w:pPr>
        <w:outlineLvl w:val="2"/>
        <w:rPr>
          <w:color w:val="auto"/>
          <w:highlight w:val="none"/>
        </w:rPr>
      </w:pPr>
      <w:r>
        <w:rPr>
          <w:rFonts w:hint="eastAsia"/>
          <w:color w:val="auto"/>
          <w:highlight w:val="none"/>
        </w:rPr>
        <w:t>2.2 参选人的风险</w:t>
      </w:r>
    </w:p>
    <w:p w14:paraId="4F792C1F">
      <w:pPr>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5F5CCC13">
      <w:pPr>
        <w:pStyle w:val="3"/>
        <w:rPr>
          <w:color w:val="auto"/>
          <w:highlight w:val="none"/>
        </w:rPr>
      </w:pPr>
      <w:bookmarkStart w:id="36" w:name="_Toc89675162"/>
      <w:r>
        <w:rPr>
          <w:rFonts w:hint="eastAsia"/>
          <w:color w:val="auto"/>
          <w:highlight w:val="none"/>
        </w:rPr>
        <w:t>3. 比选文件</w:t>
      </w:r>
      <w:bookmarkEnd w:id="36"/>
    </w:p>
    <w:p w14:paraId="3C83120F">
      <w:pPr>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2A8A93B3">
      <w:pPr>
        <w:rPr>
          <w:color w:val="auto"/>
          <w:highlight w:val="none"/>
        </w:rPr>
      </w:pPr>
      <w:r>
        <w:rPr>
          <w:rFonts w:hint="eastAsia"/>
          <w:color w:val="auto"/>
          <w:highlight w:val="none"/>
        </w:rPr>
        <w:t>本行对比选文件所作的一切有效的书面通知、修改及补充，都是比选文件不可分割的部分。</w:t>
      </w:r>
    </w:p>
    <w:p w14:paraId="5102F939">
      <w:pPr>
        <w:pStyle w:val="3"/>
        <w:rPr>
          <w:color w:val="auto"/>
          <w:highlight w:val="none"/>
        </w:rPr>
      </w:pPr>
      <w:bookmarkStart w:id="37" w:name="_Toc89675163"/>
      <w:r>
        <w:rPr>
          <w:rFonts w:hint="eastAsia"/>
          <w:color w:val="auto"/>
          <w:highlight w:val="none"/>
        </w:rPr>
        <w:t xml:space="preserve">4. </w:t>
      </w:r>
      <w:r>
        <w:rPr>
          <w:color w:val="auto"/>
          <w:highlight w:val="none"/>
        </w:rPr>
        <w:t>参选</w:t>
      </w:r>
      <w:bookmarkEnd w:id="37"/>
    </w:p>
    <w:p w14:paraId="7BE43766">
      <w:pPr>
        <w:rPr>
          <w:color w:val="auto"/>
          <w:highlight w:val="none"/>
        </w:rPr>
      </w:pPr>
      <w:r>
        <w:rPr>
          <w:rFonts w:hint="eastAsia"/>
          <w:color w:val="auto"/>
          <w:highlight w:val="none"/>
        </w:rPr>
        <w:t>参选人应当按照比选文件的要求编制参选文件，并对比选文件提出的要求和条件作出实质性响应。</w:t>
      </w:r>
    </w:p>
    <w:p w14:paraId="52ED91DB">
      <w:pPr>
        <w:pStyle w:val="4"/>
        <w:rPr>
          <w:color w:val="auto"/>
          <w:highlight w:val="none"/>
        </w:rPr>
      </w:pPr>
      <w:r>
        <w:rPr>
          <w:rFonts w:hint="eastAsia"/>
          <w:color w:val="auto"/>
          <w:highlight w:val="none"/>
        </w:rPr>
        <w:t>4.1 参选文件组成</w:t>
      </w:r>
    </w:p>
    <w:p w14:paraId="70C533A0">
      <w:pPr>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70FDB8E5">
      <w:pPr>
        <w:pStyle w:val="4"/>
        <w:rPr>
          <w:color w:val="auto"/>
          <w:highlight w:val="none"/>
        </w:rPr>
      </w:pPr>
      <w:r>
        <w:rPr>
          <w:rFonts w:hint="eastAsia"/>
          <w:color w:val="auto"/>
          <w:highlight w:val="none"/>
        </w:rPr>
        <w:t>4.2 联合参选</w:t>
      </w:r>
    </w:p>
    <w:p w14:paraId="4957C384">
      <w:pPr>
        <w:rPr>
          <w:color w:val="auto"/>
          <w:highlight w:val="none"/>
        </w:rPr>
      </w:pPr>
      <w:r>
        <w:rPr>
          <w:rFonts w:hint="eastAsia"/>
          <w:color w:val="auto"/>
          <w:highlight w:val="none"/>
        </w:rPr>
        <w:t>本比选项目不接受联合参选</w:t>
      </w:r>
    </w:p>
    <w:p w14:paraId="2B260E54">
      <w:pPr>
        <w:pStyle w:val="4"/>
        <w:rPr>
          <w:color w:val="auto"/>
          <w:highlight w:val="none"/>
        </w:rPr>
      </w:pPr>
      <w:r>
        <w:rPr>
          <w:rFonts w:hint="eastAsia"/>
          <w:color w:val="auto"/>
          <w:highlight w:val="none"/>
        </w:rPr>
        <w:t>4.3 参选有效期</w:t>
      </w:r>
    </w:p>
    <w:p w14:paraId="13185FCE">
      <w:pPr>
        <w:rPr>
          <w:color w:val="auto"/>
          <w:highlight w:val="none"/>
        </w:rPr>
      </w:pPr>
      <w:r>
        <w:rPr>
          <w:rFonts w:hint="eastAsia"/>
          <w:color w:val="auto"/>
          <w:highlight w:val="none"/>
        </w:rPr>
        <w:t>参选有效期为参选截止日期后90天内。</w:t>
      </w:r>
    </w:p>
    <w:p w14:paraId="7355F030">
      <w:pPr>
        <w:pStyle w:val="4"/>
        <w:rPr>
          <w:color w:val="auto"/>
          <w:highlight w:val="none"/>
        </w:rPr>
      </w:pPr>
      <w:r>
        <w:rPr>
          <w:rFonts w:hint="eastAsia"/>
          <w:color w:val="auto"/>
          <w:highlight w:val="none"/>
        </w:rPr>
        <w:t>4.4 参选保证金</w:t>
      </w:r>
    </w:p>
    <w:p w14:paraId="6EFC8FD2">
      <w:pPr>
        <w:rPr>
          <w:color w:val="auto"/>
          <w:highlight w:val="none"/>
        </w:rPr>
      </w:pPr>
      <w:r>
        <w:rPr>
          <w:rFonts w:hint="eastAsia"/>
          <w:color w:val="auto"/>
          <w:highlight w:val="none"/>
        </w:rPr>
        <w:t>4.4.1 参选人应在参选截止时间前，按比选文件第一章规定向比选人缴纳参选保证金。</w:t>
      </w:r>
    </w:p>
    <w:p w14:paraId="3E8E8096">
      <w:pPr>
        <w:rPr>
          <w:color w:val="auto"/>
          <w:highlight w:val="none"/>
        </w:rPr>
      </w:pPr>
      <w:r>
        <w:rPr>
          <w:rFonts w:hint="eastAsia"/>
          <w:color w:val="auto"/>
          <w:highlight w:val="none"/>
        </w:rPr>
        <w:t>4.4.2 参选保证金为参选的有效约束条件。</w:t>
      </w:r>
    </w:p>
    <w:p w14:paraId="78CAF538">
      <w:pPr>
        <w:rPr>
          <w:color w:val="auto"/>
          <w:highlight w:val="none"/>
        </w:rPr>
      </w:pPr>
      <w:r>
        <w:rPr>
          <w:rFonts w:hint="eastAsia"/>
          <w:color w:val="auto"/>
          <w:highlight w:val="none"/>
        </w:rPr>
        <w:t>4.4.3 参选保证金有效期与参选文件有效期一致。</w:t>
      </w:r>
    </w:p>
    <w:p w14:paraId="71D470AF">
      <w:pPr>
        <w:rPr>
          <w:color w:val="auto"/>
          <w:highlight w:val="none"/>
        </w:rPr>
      </w:pPr>
      <w:r>
        <w:rPr>
          <w:rFonts w:hint="eastAsia"/>
          <w:color w:val="auto"/>
          <w:highlight w:val="none"/>
        </w:rPr>
        <w:t>4.4.4 参选保证金币种应与参选报价币种相同。</w:t>
      </w:r>
    </w:p>
    <w:p w14:paraId="06DD43B7">
      <w:pPr>
        <w:rPr>
          <w:color w:val="auto"/>
          <w:highlight w:val="none"/>
        </w:rPr>
      </w:pPr>
      <w:r>
        <w:rPr>
          <w:rFonts w:hint="eastAsia"/>
          <w:color w:val="auto"/>
          <w:highlight w:val="none"/>
        </w:rPr>
        <w:t>4.4.5 参选保证金的退还：</w:t>
      </w:r>
    </w:p>
    <w:p w14:paraId="0D199B77">
      <w:pPr>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75A09FE">
      <w:pPr>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453B7076">
      <w:pPr>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7059A8F2">
      <w:pPr>
        <w:outlineLvl w:val="3"/>
        <w:rPr>
          <w:color w:val="auto"/>
          <w:highlight w:val="none"/>
        </w:rPr>
      </w:pPr>
      <w:r>
        <w:rPr>
          <w:rFonts w:hint="eastAsia"/>
          <w:color w:val="auto"/>
          <w:highlight w:val="none"/>
        </w:rPr>
        <w:t>4.4.6 参选人有下列情形之一的，参选保证金将不予退还：</w:t>
      </w:r>
    </w:p>
    <w:p w14:paraId="13C53589">
      <w:pPr>
        <w:rPr>
          <w:color w:val="auto"/>
          <w:highlight w:val="none"/>
        </w:rPr>
      </w:pPr>
      <w:r>
        <w:rPr>
          <w:rFonts w:hint="eastAsia"/>
          <w:color w:val="auto"/>
          <w:highlight w:val="none"/>
        </w:rPr>
        <w:t>4.4.6.1 参选人在参选有效期内撤销参选文件的；</w:t>
      </w:r>
    </w:p>
    <w:p w14:paraId="2CC48EDD">
      <w:pPr>
        <w:rPr>
          <w:color w:val="auto"/>
          <w:highlight w:val="none"/>
        </w:rPr>
      </w:pPr>
      <w:r>
        <w:rPr>
          <w:rFonts w:hint="eastAsia"/>
          <w:color w:val="auto"/>
          <w:highlight w:val="none"/>
        </w:rPr>
        <w:t>4.4.6.2 参选人在参选过程中弄虚作假，提供虚假材料的；</w:t>
      </w:r>
    </w:p>
    <w:p w14:paraId="6E5D1894">
      <w:pPr>
        <w:rPr>
          <w:color w:val="auto"/>
          <w:highlight w:val="none"/>
        </w:rPr>
      </w:pPr>
      <w:r>
        <w:rPr>
          <w:rFonts w:hint="eastAsia"/>
          <w:color w:val="auto"/>
          <w:highlight w:val="none"/>
        </w:rPr>
        <w:t>4.4.6.3 中选人无正当理由不与比选人签订合同的；</w:t>
      </w:r>
    </w:p>
    <w:p w14:paraId="43304B66">
      <w:pPr>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7FE79692">
      <w:pPr>
        <w:rPr>
          <w:color w:val="auto"/>
          <w:highlight w:val="none"/>
        </w:rPr>
      </w:pPr>
      <w:r>
        <w:rPr>
          <w:rFonts w:hint="eastAsia"/>
          <w:color w:val="auto"/>
          <w:highlight w:val="none"/>
        </w:rPr>
        <w:t>4.4.6.5 中选人拒绝履行合同义务的；</w:t>
      </w:r>
    </w:p>
    <w:p w14:paraId="1B7191CE">
      <w:pPr>
        <w:rPr>
          <w:color w:val="auto"/>
          <w:highlight w:val="none"/>
        </w:rPr>
      </w:pPr>
      <w:r>
        <w:rPr>
          <w:rFonts w:hint="eastAsia"/>
          <w:color w:val="auto"/>
          <w:highlight w:val="none"/>
        </w:rPr>
        <w:t>4.4.6.6 其他严重扰乱比选程序的；</w:t>
      </w:r>
    </w:p>
    <w:p w14:paraId="13621378">
      <w:pPr>
        <w:pStyle w:val="4"/>
        <w:rPr>
          <w:color w:val="auto"/>
          <w:highlight w:val="none"/>
        </w:rPr>
      </w:pPr>
      <w:r>
        <w:rPr>
          <w:rFonts w:hint="eastAsia"/>
          <w:color w:val="auto"/>
          <w:highlight w:val="none"/>
        </w:rPr>
        <w:t>4.5 参选文件的份数和签署</w:t>
      </w:r>
    </w:p>
    <w:p w14:paraId="4E909A30">
      <w:pPr>
        <w:bidi w:val="0"/>
        <w:rPr>
          <w:rFonts w:hint="eastAsia"/>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25E5134">
      <w:pPr>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61C6805F">
      <w:pPr>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1690665F">
      <w:pPr>
        <w:outlineLvl w:val="3"/>
        <w:rPr>
          <w:color w:val="auto"/>
          <w:highlight w:val="none"/>
        </w:rPr>
      </w:pPr>
      <w:r>
        <w:rPr>
          <w:rFonts w:hint="eastAsia"/>
          <w:color w:val="auto"/>
          <w:highlight w:val="none"/>
        </w:rPr>
        <w:t>4.5.4 电报、电话、邮寄、传真形式的参选文件概不接受。</w:t>
      </w:r>
    </w:p>
    <w:p w14:paraId="6B449630">
      <w:pPr>
        <w:pStyle w:val="4"/>
        <w:rPr>
          <w:color w:val="auto"/>
          <w:highlight w:val="none"/>
        </w:rPr>
      </w:pPr>
      <w:r>
        <w:rPr>
          <w:rFonts w:hint="eastAsia"/>
          <w:color w:val="auto"/>
          <w:highlight w:val="none"/>
        </w:rPr>
        <w:t>4.6 参选文件的密封与标记</w:t>
      </w:r>
    </w:p>
    <w:p w14:paraId="7FE1885E">
      <w:pPr>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771F652">
      <w:pPr>
        <w:rPr>
          <w:color w:val="auto"/>
          <w:highlight w:val="none"/>
        </w:rPr>
      </w:pPr>
      <w:r>
        <w:rPr>
          <w:rFonts w:hint="eastAsia"/>
          <w:color w:val="auto"/>
          <w:highlight w:val="none"/>
        </w:rPr>
        <w:t>如果未按上述规定进行密封和标记，则其参选将作为无效参选处理。</w:t>
      </w:r>
    </w:p>
    <w:p w14:paraId="74D641FA">
      <w:pPr>
        <w:pStyle w:val="4"/>
        <w:rPr>
          <w:color w:val="auto"/>
          <w:highlight w:val="none"/>
        </w:rPr>
      </w:pPr>
      <w:r>
        <w:rPr>
          <w:rFonts w:hint="eastAsia"/>
          <w:color w:val="auto"/>
          <w:highlight w:val="none"/>
        </w:rPr>
        <w:t>4.7 参选报价</w:t>
      </w:r>
    </w:p>
    <w:p w14:paraId="0EC6EFF6">
      <w:pPr>
        <w:outlineLvl w:val="3"/>
        <w:rPr>
          <w:color w:val="auto"/>
          <w:highlight w:val="none"/>
        </w:rPr>
      </w:pPr>
      <w:r>
        <w:rPr>
          <w:rFonts w:hint="eastAsia"/>
          <w:color w:val="auto"/>
          <w:highlight w:val="none"/>
        </w:rPr>
        <w:t>4.7.1 参选人应严格按照“参选文件格式”填写报价。</w:t>
      </w:r>
    </w:p>
    <w:p w14:paraId="7CBF5E5A">
      <w:pPr>
        <w:rPr>
          <w:color w:val="auto"/>
          <w:highlight w:val="none"/>
        </w:rPr>
      </w:pPr>
      <w:r>
        <w:rPr>
          <w:rFonts w:hint="eastAsia"/>
          <w:color w:val="auto"/>
          <w:highlight w:val="none"/>
        </w:rPr>
        <w:t>4.7.2 参选人的报价为一次性报价，即在参选有效期内参选价格固定不变。</w:t>
      </w:r>
    </w:p>
    <w:p w14:paraId="3E778F71">
      <w:pPr>
        <w:rPr>
          <w:color w:val="auto"/>
          <w:highlight w:val="none"/>
        </w:rPr>
      </w:pPr>
      <w:r>
        <w:rPr>
          <w:rFonts w:hint="eastAsia"/>
          <w:color w:val="auto"/>
          <w:highlight w:val="none"/>
        </w:rPr>
        <w:t>4.7.3 本项目只接受一个参选报价，有选择的或有条件的参选将不予接受。</w:t>
      </w:r>
    </w:p>
    <w:p w14:paraId="7829D094">
      <w:pPr>
        <w:pStyle w:val="4"/>
        <w:rPr>
          <w:color w:val="auto"/>
          <w:highlight w:val="none"/>
        </w:rPr>
      </w:pPr>
      <w:r>
        <w:rPr>
          <w:rFonts w:hint="eastAsia"/>
          <w:color w:val="auto"/>
          <w:highlight w:val="none"/>
        </w:rPr>
        <w:t>4.8 修正错误</w:t>
      </w:r>
    </w:p>
    <w:p w14:paraId="4F9C04DE">
      <w:pPr>
        <w:rPr>
          <w:color w:val="auto"/>
          <w:highlight w:val="none"/>
        </w:rPr>
      </w:pPr>
      <w:r>
        <w:rPr>
          <w:rFonts w:hint="eastAsia"/>
          <w:color w:val="auto"/>
          <w:highlight w:val="none"/>
        </w:rPr>
        <w:t>若参选文件出现计算或表达上的错误，修正错误的原则如下：</w:t>
      </w:r>
    </w:p>
    <w:p w14:paraId="124F7914">
      <w:pPr>
        <w:rPr>
          <w:color w:val="auto"/>
          <w:highlight w:val="none"/>
        </w:rPr>
      </w:pPr>
      <w:r>
        <w:rPr>
          <w:rFonts w:hint="eastAsia"/>
          <w:color w:val="auto"/>
          <w:highlight w:val="none"/>
        </w:rPr>
        <w:t>4.8.1 参选文件的大写金额和小写金额不一致的，以大写金额为准；</w:t>
      </w:r>
    </w:p>
    <w:p w14:paraId="540BB7D1">
      <w:pPr>
        <w:rPr>
          <w:color w:val="auto"/>
          <w:highlight w:val="none"/>
        </w:rPr>
      </w:pPr>
      <w:r>
        <w:rPr>
          <w:rFonts w:hint="eastAsia"/>
          <w:color w:val="auto"/>
          <w:highlight w:val="none"/>
        </w:rPr>
        <w:t>4.8.2 总价金额与按单价汇总金额不一致的，以单价金额计算结果为准；</w:t>
      </w:r>
    </w:p>
    <w:p w14:paraId="11AB60A6">
      <w:pPr>
        <w:rPr>
          <w:color w:val="auto"/>
          <w:highlight w:val="none"/>
        </w:rPr>
      </w:pPr>
      <w:r>
        <w:rPr>
          <w:rFonts w:hint="eastAsia"/>
          <w:color w:val="auto"/>
          <w:highlight w:val="none"/>
        </w:rPr>
        <w:t>4.8.3 单价金额小数点有明显错位的，应以总价为准，并修正单价；</w:t>
      </w:r>
    </w:p>
    <w:p w14:paraId="3E7E9151">
      <w:pPr>
        <w:rPr>
          <w:rFonts w:hint="eastAsia"/>
          <w:color w:val="auto"/>
          <w:highlight w:val="none"/>
        </w:rPr>
      </w:pPr>
      <w:r>
        <w:rPr>
          <w:rFonts w:hint="eastAsia"/>
          <w:color w:val="auto"/>
          <w:highlight w:val="none"/>
        </w:rPr>
        <w:t>4.8.4 对不同文字文本参选文件的解释发生异议的，以中文文本为准。</w:t>
      </w:r>
    </w:p>
    <w:p w14:paraId="6F5E6EF2">
      <w:pPr>
        <w:ind w:firstLine="480"/>
        <w:outlineLvl w:val="3"/>
        <w:rPr>
          <w:rFonts w:hint="eastAsia"/>
          <w:color w:val="auto"/>
          <w:highlight w:val="none"/>
        </w:rPr>
      </w:pPr>
      <w:r>
        <w:rPr>
          <w:rFonts w:hint="eastAsia"/>
          <w:color w:val="auto"/>
          <w:highlight w:val="none"/>
          <w:lang w:val="en-US" w:eastAsia="zh-CN"/>
        </w:rPr>
        <w:t>4.8.5 含税金额与不含税金额不一致的，以含税金额为准。</w:t>
      </w:r>
    </w:p>
    <w:p w14:paraId="1AFA33EE">
      <w:pPr>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AA9281D">
      <w:pPr>
        <w:pStyle w:val="3"/>
        <w:rPr>
          <w:color w:val="auto"/>
          <w:highlight w:val="none"/>
        </w:rPr>
      </w:pPr>
      <w:bookmarkStart w:id="38" w:name="_Toc89675166"/>
      <w:r>
        <w:rPr>
          <w:rFonts w:hint="eastAsia"/>
          <w:color w:val="auto"/>
          <w:highlight w:val="none"/>
        </w:rPr>
        <w:t>5. 比选程序</w:t>
      </w:r>
    </w:p>
    <w:p w14:paraId="5D8ED4A9">
      <w:pPr>
        <w:rPr>
          <w:color w:val="auto"/>
          <w:highlight w:val="none"/>
        </w:rPr>
      </w:pPr>
      <w:r>
        <w:rPr>
          <w:rFonts w:hint="eastAsia"/>
          <w:color w:val="auto"/>
          <w:highlight w:val="none"/>
        </w:rPr>
        <w:t>主持人按下列程序进行比选：</w:t>
      </w:r>
    </w:p>
    <w:p w14:paraId="7BF117E7">
      <w:pPr>
        <w:rPr>
          <w:color w:val="auto"/>
          <w:highlight w:val="none"/>
        </w:rPr>
      </w:pPr>
      <w:r>
        <w:rPr>
          <w:rFonts w:hint="eastAsia"/>
          <w:color w:val="auto"/>
          <w:highlight w:val="none"/>
        </w:rPr>
        <w:t>5.1 宣布比选纪律；</w:t>
      </w:r>
    </w:p>
    <w:p w14:paraId="7123791A">
      <w:pPr>
        <w:rPr>
          <w:color w:val="auto"/>
          <w:highlight w:val="none"/>
        </w:rPr>
      </w:pPr>
      <w:r>
        <w:rPr>
          <w:rFonts w:hint="eastAsia"/>
          <w:color w:val="auto"/>
          <w:highlight w:val="none"/>
        </w:rPr>
        <w:t>5.2 宣布比选人、唱标人、记录人、监督人等有关人员姓名；</w:t>
      </w:r>
    </w:p>
    <w:p w14:paraId="37485519">
      <w:pPr>
        <w:rPr>
          <w:color w:val="auto"/>
          <w:highlight w:val="none"/>
        </w:rPr>
      </w:pPr>
      <w:r>
        <w:rPr>
          <w:rFonts w:hint="eastAsia"/>
          <w:color w:val="auto"/>
          <w:highlight w:val="none"/>
        </w:rPr>
        <w:t>5.3 公布在</w:t>
      </w:r>
      <w:r>
        <w:rPr>
          <w:rFonts w:hint="eastAsia"/>
          <w:color w:val="auto"/>
          <w:highlight w:val="none"/>
          <w:lang w:val="en-US" w:eastAsia="zh-CN"/>
        </w:rPr>
        <w:t>参选</w:t>
      </w:r>
      <w:r>
        <w:rPr>
          <w:rFonts w:hint="eastAsia"/>
          <w:color w:val="auto"/>
          <w:highlight w:val="none"/>
        </w:rPr>
        <w:t>截止时间前递交参选文件的参选人名称，并点名确认参选人是否派人到场；</w:t>
      </w:r>
    </w:p>
    <w:p w14:paraId="1C76C4ED">
      <w:pPr>
        <w:rPr>
          <w:color w:val="auto"/>
          <w:highlight w:val="none"/>
        </w:rPr>
      </w:pPr>
      <w:r>
        <w:rPr>
          <w:rFonts w:hint="eastAsia"/>
          <w:color w:val="auto"/>
          <w:highlight w:val="none"/>
        </w:rPr>
        <w:t>5.4 展示参选保证金，参选保证金缴款不全或有误的，则记录在案交由评审委员会评审；</w:t>
      </w:r>
    </w:p>
    <w:p w14:paraId="7B4E1BEC">
      <w:pPr>
        <w:rPr>
          <w:color w:val="auto"/>
          <w:highlight w:val="none"/>
        </w:rPr>
      </w:pPr>
      <w:r>
        <w:rPr>
          <w:rFonts w:hint="eastAsia"/>
          <w:color w:val="auto"/>
          <w:highlight w:val="none"/>
        </w:rPr>
        <w:t>5.5 封装情况检查：参选人或者其推选的代表检查各参选文件的封装情况并确认；</w:t>
      </w:r>
    </w:p>
    <w:p w14:paraId="4C6C9D1C">
      <w:pPr>
        <w:rPr>
          <w:color w:val="auto"/>
          <w:highlight w:val="none"/>
        </w:rPr>
      </w:pPr>
      <w:r>
        <w:rPr>
          <w:rFonts w:hint="eastAsia"/>
          <w:color w:val="auto"/>
          <w:highlight w:val="none"/>
        </w:rPr>
        <w:t>5.6 设有最高限价的，公布最高限价；</w:t>
      </w:r>
    </w:p>
    <w:p w14:paraId="32232A25">
      <w:pPr>
        <w:rPr>
          <w:color w:val="auto"/>
          <w:highlight w:val="none"/>
        </w:rPr>
      </w:pPr>
      <w:r>
        <w:rPr>
          <w:rFonts w:hint="eastAsia"/>
          <w:color w:val="auto"/>
          <w:highlight w:val="none"/>
        </w:rPr>
        <w:t>5.7 开启参选文件；</w:t>
      </w:r>
    </w:p>
    <w:p w14:paraId="53802B11">
      <w:pPr>
        <w:rPr>
          <w:color w:val="auto"/>
          <w:highlight w:val="none"/>
        </w:rPr>
      </w:pPr>
      <w:r>
        <w:rPr>
          <w:rFonts w:hint="eastAsia"/>
          <w:color w:val="auto"/>
          <w:highlight w:val="none"/>
        </w:rPr>
        <w:t>5.8 比选人代表、参选人代表、监督人、记录人等有关人员在比选记录上签字确认；</w:t>
      </w:r>
    </w:p>
    <w:p w14:paraId="21C0E552">
      <w:pPr>
        <w:outlineLvl w:val="2"/>
        <w:rPr>
          <w:color w:val="auto"/>
          <w:highlight w:val="none"/>
        </w:rPr>
      </w:pPr>
      <w:r>
        <w:rPr>
          <w:rFonts w:hint="eastAsia"/>
          <w:color w:val="auto"/>
          <w:highlight w:val="none"/>
        </w:rPr>
        <w:t>5.9 比选结束。</w:t>
      </w:r>
    </w:p>
    <w:p w14:paraId="448EA98D">
      <w:pPr>
        <w:pStyle w:val="3"/>
        <w:rPr>
          <w:color w:val="auto"/>
          <w:highlight w:val="none"/>
        </w:rPr>
      </w:pPr>
      <w:r>
        <w:rPr>
          <w:rFonts w:hint="eastAsia"/>
          <w:color w:val="auto"/>
          <w:highlight w:val="none"/>
        </w:rPr>
        <w:t>6. 评审</w:t>
      </w:r>
    </w:p>
    <w:p w14:paraId="3370C2F9">
      <w:pPr>
        <w:rPr>
          <w:color w:val="auto"/>
          <w:highlight w:val="none"/>
        </w:rPr>
      </w:pPr>
      <w:r>
        <w:rPr>
          <w:rFonts w:hint="eastAsia"/>
          <w:color w:val="auto"/>
          <w:highlight w:val="none"/>
        </w:rPr>
        <w:t>见第四章内容。</w:t>
      </w:r>
    </w:p>
    <w:p w14:paraId="00395BC5">
      <w:pPr>
        <w:pStyle w:val="3"/>
        <w:rPr>
          <w:color w:val="auto"/>
          <w:highlight w:val="none"/>
        </w:rPr>
      </w:pPr>
      <w:r>
        <w:rPr>
          <w:rFonts w:hint="eastAsia"/>
          <w:color w:val="auto"/>
          <w:highlight w:val="none"/>
        </w:rPr>
        <w:t>7. 定</w:t>
      </w:r>
      <w:r>
        <w:rPr>
          <w:color w:val="auto"/>
          <w:highlight w:val="none"/>
        </w:rPr>
        <w:t>选</w:t>
      </w:r>
      <w:bookmarkEnd w:id="38"/>
    </w:p>
    <w:p w14:paraId="596D3129">
      <w:pPr>
        <w:outlineLvl w:val="2"/>
        <w:rPr>
          <w:color w:val="auto"/>
          <w:highlight w:val="none"/>
        </w:rPr>
      </w:pPr>
      <w:r>
        <w:rPr>
          <w:rFonts w:hint="eastAsia"/>
          <w:color w:val="auto"/>
          <w:highlight w:val="none"/>
        </w:rPr>
        <w:t>7.1 定选原则</w:t>
      </w:r>
    </w:p>
    <w:p w14:paraId="72E79A9E">
      <w:pPr>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328E9D13">
      <w:pPr>
        <w:outlineLvl w:val="2"/>
        <w:rPr>
          <w:color w:val="auto"/>
          <w:highlight w:val="none"/>
        </w:rPr>
      </w:pPr>
      <w:r>
        <w:rPr>
          <w:rFonts w:hint="eastAsia"/>
          <w:color w:val="auto"/>
          <w:highlight w:val="none"/>
        </w:rPr>
        <w:t>7.2 不承诺最低价格中选。</w:t>
      </w:r>
    </w:p>
    <w:p w14:paraId="145B274D">
      <w:pPr>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B072C09">
      <w:pPr>
        <w:pStyle w:val="3"/>
        <w:rPr>
          <w:color w:val="auto"/>
          <w:highlight w:val="none"/>
        </w:rPr>
      </w:pPr>
      <w:bookmarkStart w:id="39" w:name="_Toc89675168"/>
      <w:bookmarkStart w:id="40" w:name="_Toc12245"/>
      <w:r>
        <w:rPr>
          <w:rFonts w:hint="eastAsia"/>
          <w:color w:val="auto"/>
          <w:highlight w:val="none"/>
        </w:rPr>
        <w:t>8. 签订合同</w:t>
      </w:r>
      <w:bookmarkEnd w:id="39"/>
      <w:bookmarkEnd w:id="40"/>
    </w:p>
    <w:p w14:paraId="7580A2BC">
      <w:pPr>
        <w:rPr>
          <w:color w:val="auto"/>
          <w:highlight w:val="none"/>
        </w:rPr>
      </w:pPr>
      <w:r>
        <w:rPr>
          <w:rFonts w:hint="eastAsia"/>
          <w:color w:val="auto"/>
          <w:highlight w:val="none"/>
        </w:rPr>
        <w:t xml:space="preserve">8.1 比选人指定的使用单位将在自中选通知发出之日起 </w:t>
      </w:r>
      <w:r>
        <w:rPr>
          <w:rFonts w:hint="eastAsia"/>
          <w:color w:val="auto"/>
          <w:highlight w:val="none"/>
          <w:lang w:val="en-US" w:eastAsia="zh-CN"/>
        </w:rPr>
        <w:t>5</w:t>
      </w:r>
      <w:r>
        <w:rPr>
          <w:rFonts w:hint="eastAsia"/>
          <w:color w:val="auto"/>
          <w:highlight w:val="none"/>
        </w:rPr>
        <w:t>日内，依据比选文件和中选人参选文件的约定，按照比选人内部流程与中选人签订书面合同。所签订的合同不得对比选文件和中选人参选文件作实质性修改。</w:t>
      </w:r>
    </w:p>
    <w:p w14:paraId="796ACAD9">
      <w:pPr>
        <w:rPr>
          <w:color w:val="auto"/>
          <w:highlight w:val="none"/>
        </w:rPr>
      </w:pPr>
      <w:r>
        <w:rPr>
          <w:rFonts w:hint="eastAsia"/>
          <w:color w:val="auto"/>
          <w:highlight w:val="none"/>
        </w:rPr>
        <w:t>8.2 比选文件、中选人的参选文件及澄清文件等，均为签订合同的依据。</w:t>
      </w:r>
    </w:p>
    <w:p w14:paraId="212CA428">
      <w:pPr>
        <w:rPr>
          <w:color w:val="auto"/>
          <w:highlight w:val="none"/>
        </w:rPr>
      </w:pPr>
      <w:r>
        <w:rPr>
          <w:rFonts w:hint="eastAsia"/>
          <w:color w:val="auto"/>
          <w:highlight w:val="none"/>
        </w:rPr>
        <w:t>8.3 合同生效条款由供需双方约定，法律、行政法规规定应当办理批准、登记等手续后生效的合同，依照其规定。</w:t>
      </w:r>
    </w:p>
    <w:p w14:paraId="42709624">
      <w:pPr>
        <w:rPr>
          <w:color w:val="auto"/>
          <w:highlight w:val="none"/>
        </w:rPr>
      </w:pPr>
      <w:r>
        <w:rPr>
          <w:rFonts w:hint="eastAsia"/>
          <w:color w:val="auto"/>
          <w:highlight w:val="none"/>
        </w:rPr>
        <w:t>8.4 签订合同</w:t>
      </w:r>
      <w:r>
        <w:rPr>
          <w:rFonts w:hint="eastAsia"/>
          <w:color w:val="auto"/>
          <w:highlight w:val="none"/>
          <w:lang w:val="en-US" w:eastAsia="zh-CN"/>
        </w:rPr>
        <w:t>前</w:t>
      </w:r>
      <w:r>
        <w:rPr>
          <w:rFonts w:hint="eastAsia"/>
          <w:color w:val="auto"/>
          <w:highlight w:val="none"/>
        </w:rPr>
        <w:t>后，若中选人无法按要求履约，比选人可以废除中选人资格，并可选择按照中选候选人顺位与下一候选人签订合同。</w:t>
      </w:r>
    </w:p>
    <w:p w14:paraId="3B082535">
      <w:pPr>
        <w:outlineLvl w:val="2"/>
        <w:rPr>
          <w:color w:val="auto"/>
          <w:highlight w:val="none"/>
        </w:rPr>
      </w:pPr>
      <w:r>
        <w:rPr>
          <w:rFonts w:hint="eastAsia"/>
          <w:color w:val="auto"/>
          <w:highlight w:val="none"/>
        </w:rPr>
        <w:t>8.5 该项目不允许任何形式的转包。</w:t>
      </w:r>
    </w:p>
    <w:p w14:paraId="613C2E9B">
      <w:pPr>
        <w:pStyle w:val="3"/>
        <w:rPr>
          <w:color w:val="auto"/>
          <w:highlight w:val="none"/>
        </w:rPr>
      </w:pPr>
      <w:r>
        <w:rPr>
          <w:rFonts w:hint="eastAsia"/>
          <w:color w:val="auto"/>
          <w:highlight w:val="none"/>
        </w:rPr>
        <w:t>9. 纪律与要求</w:t>
      </w:r>
    </w:p>
    <w:p w14:paraId="14B2A25D">
      <w:pPr>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6C44A757">
      <w:pPr>
        <w:outlineLvl w:val="2"/>
        <w:rPr>
          <w:color w:val="auto"/>
          <w:highlight w:val="none"/>
        </w:rPr>
      </w:pPr>
      <w:r>
        <w:rPr>
          <w:rFonts w:hint="eastAsia"/>
          <w:color w:val="auto"/>
          <w:highlight w:val="none"/>
        </w:rPr>
        <w:t>9.1 有下列情形之一的，属于参选人相互串通参选：</w:t>
      </w:r>
    </w:p>
    <w:p w14:paraId="26534AA7">
      <w:pPr>
        <w:rPr>
          <w:color w:val="auto"/>
          <w:highlight w:val="none"/>
        </w:rPr>
      </w:pPr>
      <w:r>
        <w:rPr>
          <w:rFonts w:hint="eastAsia"/>
          <w:color w:val="auto"/>
          <w:highlight w:val="none"/>
        </w:rPr>
        <w:t>9.1.1 参选人之间协商参选报价等参选文件的实质性内容；</w:t>
      </w:r>
    </w:p>
    <w:p w14:paraId="1A0FCE7D">
      <w:pPr>
        <w:rPr>
          <w:color w:val="auto"/>
          <w:highlight w:val="none"/>
        </w:rPr>
      </w:pPr>
      <w:r>
        <w:rPr>
          <w:rFonts w:hint="eastAsia"/>
          <w:color w:val="auto"/>
          <w:highlight w:val="none"/>
        </w:rPr>
        <w:t>9.1.2 参选人之间约定中选人；</w:t>
      </w:r>
    </w:p>
    <w:p w14:paraId="41CA3EEC">
      <w:pPr>
        <w:rPr>
          <w:color w:val="auto"/>
          <w:highlight w:val="none"/>
        </w:rPr>
      </w:pPr>
      <w:r>
        <w:rPr>
          <w:rFonts w:hint="eastAsia"/>
          <w:color w:val="auto"/>
          <w:highlight w:val="none"/>
        </w:rPr>
        <w:t>9.1.3 参选人之间约定部分参选人放弃参选或者中选；</w:t>
      </w:r>
    </w:p>
    <w:p w14:paraId="4F2F82C7">
      <w:pPr>
        <w:rPr>
          <w:color w:val="auto"/>
          <w:highlight w:val="none"/>
        </w:rPr>
      </w:pPr>
      <w:r>
        <w:rPr>
          <w:rFonts w:hint="eastAsia"/>
          <w:color w:val="auto"/>
          <w:highlight w:val="none"/>
        </w:rPr>
        <w:t>9.1.4 属于同一集团、协会、商会等组织成员的参选人按照该组织要求协同参选；</w:t>
      </w:r>
    </w:p>
    <w:p w14:paraId="33EADA65">
      <w:pPr>
        <w:rPr>
          <w:color w:val="auto"/>
          <w:highlight w:val="none"/>
        </w:rPr>
      </w:pPr>
      <w:r>
        <w:rPr>
          <w:rFonts w:hint="eastAsia"/>
          <w:color w:val="auto"/>
          <w:highlight w:val="none"/>
        </w:rPr>
        <w:t>9.1.5 参选人之间为谋取中选或者排斥特定参选人而采取的其他联合行动。</w:t>
      </w:r>
    </w:p>
    <w:p w14:paraId="21237C18">
      <w:pPr>
        <w:outlineLvl w:val="2"/>
        <w:rPr>
          <w:color w:val="auto"/>
          <w:highlight w:val="none"/>
        </w:rPr>
      </w:pPr>
      <w:r>
        <w:rPr>
          <w:rFonts w:hint="eastAsia"/>
          <w:color w:val="auto"/>
          <w:highlight w:val="none"/>
        </w:rPr>
        <w:t>9.2 有下列情形之一的，视为参选人相互串通参选：</w:t>
      </w:r>
    </w:p>
    <w:p w14:paraId="5D8D659D">
      <w:pPr>
        <w:rPr>
          <w:color w:val="auto"/>
          <w:highlight w:val="none"/>
        </w:rPr>
      </w:pPr>
      <w:r>
        <w:rPr>
          <w:rFonts w:hint="eastAsia"/>
          <w:color w:val="auto"/>
          <w:highlight w:val="none"/>
        </w:rPr>
        <w:t>9.2.1 不同参选人的参选文件由同一单位或者个人编制；</w:t>
      </w:r>
    </w:p>
    <w:p w14:paraId="73FB9AFD">
      <w:pPr>
        <w:rPr>
          <w:color w:val="auto"/>
          <w:highlight w:val="none"/>
        </w:rPr>
      </w:pPr>
      <w:r>
        <w:rPr>
          <w:rFonts w:hint="eastAsia"/>
          <w:color w:val="auto"/>
          <w:highlight w:val="none"/>
        </w:rPr>
        <w:t>9.2.2 不同参选人委托同一单位或者个人办理参选事宜；</w:t>
      </w:r>
    </w:p>
    <w:p w14:paraId="13A42C59">
      <w:pPr>
        <w:rPr>
          <w:color w:val="auto"/>
          <w:highlight w:val="none"/>
        </w:rPr>
      </w:pPr>
      <w:r>
        <w:rPr>
          <w:rFonts w:hint="eastAsia"/>
          <w:color w:val="auto"/>
          <w:highlight w:val="none"/>
        </w:rPr>
        <w:t>9.2.3 不同参选人的参选文件载明的项目管理成员为同一人；</w:t>
      </w:r>
    </w:p>
    <w:p w14:paraId="2BA21567">
      <w:pPr>
        <w:rPr>
          <w:color w:val="auto"/>
          <w:highlight w:val="none"/>
        </w:rPr>
      </w:pPr>
      <w:r>
        <w:rPr>
          <w:rFonts w:hint="eastAsia"/>
          <w:color w:val="auto"/>
          <w:highlight w:val="none"/>
        </w:rPr>
        <w:t>9.2.4 不同参选人的参选文件相互混装；</w:t>
      </w:r>
    </w:p>
    <w:p w14:paraId="4225236D">
      <w:pPr>
        <w:rPr>
          <w:color w:val="auto"/>
          <w:highlight w:val="none"/>
        </w:rPr>
      </w:pPr>
      <w:r>
        <w:rPr>
          <w:rFonts w:hint="eastAsia"/>
          <w:color w:val="auto"/>
          <w:highlight w:val="none"/>
        </w:rPr>
        <w:t>9.2.5 不同参选人的参选保证金从同一单位或者个人的账户转出。</w:t>
      </w:r>
    </w:p>
    <w:p w14:paraId="749710AF">
      <w:pPr>
        <w:rPr>
          <w:color w:val="auto"/>
          <w:highlight w:val="none"/>
        </w:rPr>
      </w:pPr>
      <w:r>
        <w:rPr>
          <w:rFonts w:hint="eastAsia"/>
          <w:color w:val="auto"/>
          <w:highlight w:val="none"/>
        </w:rPr>
        <w:t>9.3 使用通过受让或者租借等方式获取的资格、资质证书参选的，属于以他人名义参选。</w:t>
      </w:r>
    </w:p>
    <w:p w14:paraId="2FF69490">
      <w:pPr>
        <w:outlineLvl w:val="2"/>
        <w:rPr>
          <w:color w:val="auto"/>
          <w:highlight w:val="none"/>
        </w:rPr>
      </w:pPr>
      <w:r>
        <w:rPr>
          <w:rFonts w:hint="eastAsia"/>
          <w:color w:val="auto"/>
          <w:highlight w:val="none"/>
        </w:rPr>
        <w:t>9.4 参选人有下列情形之一的，属于弄虚作假的行为：</w:t>
      </w:r>
    </w:p>
    <w:p w14:paraId="73B5B013">
      <w:pPr>
        <w:rPr>
          <w:color w:val="auto"/>
          <w:highlight w:val="none"/>
        </w:rPr>
      </w:pPr>
      <w:r>
        <w:rPr>
          <w:rFonts w:hint="eastAsia"/>
          <w:color w:val="auto"/>
          <w:highlight w:val="none"/>
        </w:rPr>
        <w:t>9.4.1 使用伪造、变造的许可证件；</w:t>
      </w:r>
    </w:p>
    <w:p w14:paraId="28C1CC38">
      <w:pPr>
        <w:rPr>
          <w:color w:val="auto"/>
          <w:highlight w:val="none"/>
        </w:rPr>
      </w:pPr>
      <w:r>
        <w:rPr>
          <w:rFonts w:hint="eastAsia"/>
          <w:color w:val="auto"/>
          <w:highlight w:val="none"/>
        </w:rPr>
        <w:t>9.4.2 提供虚假的财务状况或者虚假业绩；</w:t>
      </w:r>
    </w:p>
    <w:p w14:paraId="7A1181FD">
      <w:pPr>
        <w:rPr>
          <w:color w:val="auto"/>
          <w:highlight w:val="none"/>
        </w:rPr>
      </w:pPr>
      <w:r>
        <w:rPr>
          <w:rFonts w:hint="eastAsia"/>
          <w:color w:val="auto"/>
          <w:highlight w:val="none"/>
        </w:rPr>
        <w:t>9.4.3 提供虚假的项目负责人或者主要技术人员简历、劳动关系证明；</w:t>
      </w:r>
    </w:p>
    <w:p w14:paraId="4F758788">
      <w:pPr>
        <w:rPr>
          <w:color w:val="auto"/>
          <w:highlight w:val="none"/>
        </w:rPr>
      </w:pPr>
      <w:r>
        <w:rPr>
          <w:rFonts w:hint="eastAsia"/>
          <w:color w:val="auto"/>
          <w:highlight w:val="none"/>
        </w:rPr>
        <w:t>9.4.4 提供虚假的信用状况；</w:t>
      </w:r>
    </w:p>
    <w:p w14:paraId="55F3094F">
      <w:pPr>
        <w:rPr>
          <w:color w:val="auto"/>
          <w:highlight w:val="none"/>
        </w:rPr>
      </w:pPr>
      <w:r>
        <w:rPr>
          <w:rFonts w:hint="eastAsia"/>
          <w:color w:val="auto"/>
          <w:highlight w:val="none"/>
        </w:rPr>
        <w:t>9.4.5 其它弄虚作假的行为。</w:t>
      </w:r>
    </w:p>
    <w:p w14:paraId="16EF381C">
      <w:pPr>
        <w:rPr>
          <w:color w:val="auto"/>
          <w:highlight w:val="none"/>
        </w:rPr>
      </w:pPr>
      <w:r>
        <w:rPr>
          <w:rFonts w:hint="eastAsia"/>
          <w:color w:val="auto"/>
          <w:highlight w:val="none"/>
        </w:rPr>
        <w:t>针对以上情况，比选人有权没收参选人的参选保证金，并保留进一步追究由此带来损失的权利。</w:t>
      </w:r>
    </w:p>
    <w:p w14:paraId="57D7BC82">
      <w:pPr>
        <w:pStyle w:val="3"/>
        <w:rPr>
          <w:color w:val="auto"/>
          <w:highlight w:val="none"/>
        </w:rPr>
      </w:pPr>
      <w:bookmarkStart w:id="41" w:name="_Toc89675169"/>
      <w:r>
        <w:rPr>
          <w:rFonts w:hint="eastAsia"/>
          <w:color w:val="auto"/>
          <w:highlight w:val="none"/>
        </w:rPr>
        <w:t>10. 提问、质疑、投诉</w:t>
      </w:r>
    </w:p>
    <w:p w14:paraId="2B2F8D4B">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截止时间3日前发布，发布时间至</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截止时间不足3日的，须相应延后</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w:t>
      </w:r>
    </w:p>
    <w:p w14:paraId="39A6EB38">
      <w:pPr>
        <w:bidi w:val="0"/>
        <w:rPr>
          <w:rFonts w:hint="eastAsia"/>
          <w:color w:val="auto"/>
          <w:highlight w:val="none"/>
        </w:rPr>
      </w:pPr>
      <w:r>
        <w:rPr>
          <w:rFonts w:hint="eastAsia" w:ascii="Times New Roman" w:hAnsi="Times New Roman"/>
          <w:color w:val="auto"/>
          <w:highlight w:val="none"/>
        </w:rPr>
        <w:t>10.2 参选人对比选文件和答疑补遗有质疑的，应当在</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2C795166">
      <w:pPr>
        <w:bidi w:val="0"/>
        <w:rPr>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4DC96637">
      <w:pPr>
        <w:rPr>
          <w:color w:val="auto"/>
          <w:highlight w:val="none"/>
        </w:rPr>
      </w:pPr>
      <w:r>
        <w:rPr>
          <w:rFonts w:hint="eastAsia"/>
          <w:color w:val="auto"/>
          <w:highlight w:val="none"/>
        </w:rPr>
        <w:t>10.4 参选人对比选人的答复不满意或者有质疑，可向本行纪检监察部投诉。</w:t>
      </w:r>
    </w:p>
    <w:p w14:paraId="242F2D11">
      <w:pPr>
        <w:rPr>
          <w:color w:val="auto"/>
          <w:highlight w:val="none"/>
        </w:rPr>
      </w:pPr>
      <w:r>
        <w:rPr>
          <w:rFonts w:hint="eastAsia"/>
          <w:color w:val="auto"/>
          <w:highlight w:val="none"/>
        </w:rPr>
        <w:t>采购质疑邮箱：</w:t>
      </w:r>
      <w:r>
        <w:rPr>
          <w:color w:val="auto"/>
          <w:highlight w:val="none"/>
        </w:rPr>
        <w:t>sx.jcb@ccqtgb.com</w:t>
      </w:r>
    </w:p>
    <w:p w14:paraId="18A74456">
      <w:pPr>
        <w:rPr>
          <w:color w:val="auto"/>
          <w:highlight w:val="none"/>
        </w:rPr>
      </w:pPr>
      <w:r>
        <w:rPr>
          <w:rFonts w:hint="eastAsia"/>
          <w:color w:val="auto"/>
          <w:highlight w:val="none"/>
        </w:rPr>
        <w:t>采购投诉邮箱：</w:t>
      </w:r>
      <w:bookmarkStart w:id="42" w:name="_Hlk74215856"/>
      <w:r>
        <w:rPr>
          <w:rFonts w:hint="eastAsia" w:ascii="宋体"/>
          <w:snapToGrid w:val="0"/>
          <w:color w:val="auto"/>
          <w:kern w:val="0"/>
          <w:szCs w:val="24"/>
          <w:highlight w:val="none"/>
        </w:rPr>
        <w:t>sxyhjjz@</w:t>
      </w:r>
      <w:r>
        <w:rPr>
          <w:rFonts w:ascii="宋体"/>
          <w:snapToGrid w:val="0"/>
          <w:color w:val="auto"/>
          <w:kern w:val="0"/>
          <w:szCs w:val="24"/>
          <w:highlight w:val="none"/>
        </w:rPr>
        <w:t>ccqtgb</w:t>
      </w:r>
      <w:r>
        <w:rPr>
          <w:rFonts w:hint="eastAsia" w:ascii="宋体"/>
          <w:snapToGrid w:val="0"/>
          <w:color w:val="auto"/>
          <w:kern w:val="0"/>
          <w:szCs w:val="24"/>
          <w:highlight w:val="none"/>
        </w:rPr>
        <w:t>.com</w:t>
      </w:r>
      <w:bookmarkEnd w:id="42"/>
    </w:p>
    <w:p w14:paraId="2DE14195">
      <w:pPr>
        <w:pStyle w:val="3"/>
        <w:rPr>
          <w:color w:val="auto"/>
          <w:highlight w:val="none"/>
        </w:rPr>
      </w:pPr>
      <w:bookmarkStart w:id="43" w:name="_Toc89675157"/>
      <w:bookmarkStart w:id="44" w:name="_Toc11439"/>
      <w:bookmarkStart w:id="45" w:name="_Toc15059431"/>
      <w:bookmarkStart w:id="46" w:name="_Toc275199618"/>
      <w:bookmarkStart w:id="47" w:name="_Toc440628924"/>
      <w:r>
        <w:rPr>
          <w:rFonts w:hint="eastAsia"/>
          <w:color w:val="auto"/>
          <w:highlight w:val="none"/>
        </w:rPr>
        <w:t>11. 无效参选条款</w:t>
      </w:r>
      <w:bookmarkEnd w:id="43"/>
      <w:bookmarkEnd w:id="44"/>
      <w:bookmarkEnd w:id="45"/>
      <w:bookmarkEnd w:id="46"/>
      <w:bookmarkEnd w:id="47"/>
    </w:p>
    <w:p w14:paraId="2C4F8B51">
      <w:pPr>
        <w:rPr>
          <w:color w:val="auto"/>
          <w:highlight w:val="none"/>
        </w:rPr>
      </w:pPr>
      <w:r>
        <w:rPr>
          <w:rFonts w:hint="eastAsia"/>
          <w:color w:val="auto"/>
          <w:highlight w:val="none"/>
        </w:rPr>
        <w:t>参选人或其参选文件出现下列情况之一者，应为无效参选：</w:t>
      </w:r>
    </w:p>
    <w:p w14:paraId="4E54DAF9">
      <w:pPr>
        <w:outlineLvl w:val="2"/>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04769ACB">
      <w:pPr>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5F3BE4BC">
      <w:pPr>
        <w:rPr>
          <w:color w:val="auto"/>
          <w:highlight w:val="none"/>
        </w:rPr>
      </w:pPr>
      <w:r>
        <w:rPr>
          <w:rFonts w:hint="eastAsia"/>
          <w:color w:val="auto"/>
          <w:highlight w:val="none"/>
        </w:rPr>
        <w:t>11.3 参选人超出其营业执照或事业单位法人证书上经营范围（业务范围）参选的。</w:t>
      </w:r>
    </w:p>
    <w:p w14:paraId="0660DDE3">
      <w:pPr>
        <w:rPr>
          <w:color w:val="auto"/>
          <w:highlight w:val="none"/>
        </w:rPr>
      </w:pPr>
      <w:r>
        <w:rPr>
          <w:rFonts w:hint="eastAsia"/>
          <w:color w:val="auto"/>
          <w:highlight w:val="none"/>
        </w:rPr>
        <w:t>11.4 单位负责人为同一人或者存在直接控股、管理关系的不同参选人，不得参加同一合同项下的采购活动。</w:t>
      </w:r>
    </w:p>
    <w:p w14:paraId="1BB94B8E">
      <w:pPr>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2DA7EA0F">
      <w:pPr>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57F4A1D4">
      <w:pPr>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5E196458">
      <w:pPr>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16F7313C">
      <w:pPr>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71DA8DBD">
      <w:pPr>
        <w:rPr>
          <w:color w:val="auto"/>
          <w:highlight w:val="none"/>
        </w:rPr>
      </w:pPr>
      <w:r>
        <w:rPr>
          <w:rFonts w:hint="eastAsia"/>
          <w:color w:val="auto"/>
          <w:highlight w:val="none"/>
        </w:rPr>
        <w:t>11.10 出现影响比选公正的违法、违规行为的。</w:t>
      </w:r>
    </w:p>
    <w:p w14:paraId="7949696E">
      <w:pPr>
        <w:rPr>
          <w:color w:val="auto"/>
          <w:highlight w:val="none"/>
        </w:rPr>
      </w:pPr>
      <w:r>
        <w:rPr>
          <w:rFonts w:hint="eastAsia"/>
          <w:color w:val="auto"/>
          <w:highlight w:val="none"/>
        </w:rPr>
        <w:t>11.11 与比选人、评审专家、其他参选人恶意串通。</w:t>
      </w:r>
    </w:p>
    <w:p w14:paraId="15AF0FDE">
      <w:pPr>
        <w:rPr>
          <w:color w:val="auto"/>
          <w:highlight w:val="none"/>
        </w:rPr>
      </w:pPr>
      <w:r>
        <w:rPr>
          <w:rFonts w:hint="eastAsia"/>
          <w:color w:val="auto"/>
          <w:highlight w:val="none"/>
        </w:rPr>
        <w:t>11.12 参选法人发生合并、分立、破产等重大变化后，不再具备比选要求的资格条件的。</w:t>
      </w:r>
    </w:p>
    <w:p w14:paraId="5861AEA8">
      <w:pPr>
        <w:rPr>
          <w:color w:val="auto"/>
          <w:highlight w:val="none"/>
        </w:rPr>
      </w:pPr>
      <w:r>
        <w:rPr>
          <w:rFonts w:hint="eastAsia"/>
          <w:color w:val="auto"/>
          <w:highlight w:val="none"/>
        </w:rPr>
        <w:t>11.13 提供虚假材料谋取中选资格的。</w:t>
      </w:r>
    </w:p>
    <w:p w14:paraId="49ECA3EB">
      <w:pPr>
        <w:rPr>
          <w:color w:val="auto"/>
          <w:highlight w:val="none"/>
        </w:rPr>
      </w:pPr>
      <w:r>
        <w:rPr>
          <w:rFonts w:hint="eastAsia"/>
          <w:color w:val="auto"/>
          <w:highlight w:val="none"/>
        </w:rPr>
        <w:t>11.14 参选文件含有比选人不能接受的附件条件的。</w:t>
      </w:r>
    </w:p>
    <w:p w14:paraId="65674D36">
      <w:pPr>
        <w:pStyle w:val="3"/>
        <w:rPr>
          <w:color w:val="auto"/>
          <w:highlight w:val="none"/>
        </w:rPr>
      </w:pPr>
      <w:r>
        <w:rPr>
          <w:rFonts w:hint="eastAsia"/>
          <w:color w:val="auto"/>
          <w:highlight w:val="none"/>
        </w:rPr>
        <w:t>12. 比选失败情形</w:t>
      </w:r>
    </w:p>
    <w:p w14:paraId="7F099379">
      <w:pPr>
        <w:snapToGrid w:val="0"/>
        <w:rPr>
          <w:color w:val="auto"/>
          <w:highlight w:val="none"/>
        </w:rPr>
      </w:pPr>
      <w:r>
        <w:rPr>
          <w:rFonts w:hint="eastAsia"/>
          <w:color w:val="auto"/>
          <w:highlight w:val="none"/>
        </w:rPr>
        <w:t>出现以下情形本次比选失败：</w:t>
      </w:r>
    </w:p>
    <w:p w14:paraId="5801C026">
      <w:pPr>
        <w:snapToGrid w:val="0"/>
        <w:rPr>
          <w:color w:val="auto"/>
          <w:highlight w:val="none"/>
        </w:rPr>
      </w:pPr>
      <w:r>
        <w:rPr>
          <w:rFonts w:hint="eastAsia"/>
          <w:color w:val="auto"/>
          <w:highlight w:val="none"/>
        </w:rPr>
        <w:t xml:space="preserve">12.1 </w:t>
      </w:r>
      <w:r>
        <w:rPr>
          <w:rFonts w:hint="eastAsia"/>
          <w:color w:val="auto"/>
          <w:highlight w:val="none"/>
          <w:lang w:val="en-US" w:eastAsia="zh-CN"/>
        </w:rPr>
        <w:t>参选</w:t>
      </w:r>
      <w:r>
        <w:rPr>
          <w:rFonts w:hint="eastAsia"/>
          <w:color w:val="auto"/>
          <w:highlight w:val="none"/>
        </w:rPr>
        <w:t>截止时间止，参选人少于2个的。</w:t>
      </w:r>
    </w:p>
    <w:p w14:paraId="23218C4C">
      <w:pPr>
        <w:rPr>
          <w:color w:val="auto"/>
          <w:highlight w:val="none"/>
        </w:rPr>
      </w:pPr>
      <w:r>
        <w:rPr>
          <w:rFonts w:hint="eastAsia"/>
          <w:color w:val="auto"/>
          <w:highlight w:val="none"/>
        </w:rPr>
        <w:t>12.2 经评审委员会评审后否决所有参选的。</w:t>
      </w:r>
    </w:p>
    <w:p w14:paraId="3DBDE250">
      <w:pPr>
        <w:pStyle w:val="3"/>
        <w:rPr>
          <w:color w:val="auto"/>
          <w:highlight w:val="none"/>
        </w:rPr>
      </w:pPr>
      <w:r>
        <w:rPr>
          <w:rFonts w:hint="eastAsia"/>
          <w:color w:val="auto"/>
          <w:highlight w:val="none"/>
        </w:rPr>
        <w:t>13. 终止</w:t>
      </w:r>
      <w:r>
        <w:rPr>
          <w:color w:val="auto"/>
          <w:highlight w:val="none"/>
        </w:rPr>
        <w:t>比选</w:t>
      </w:r>
      <w:bookmarkEnd w:id="41"/>
    </w:p>
    <w:p w14:paraId="60619389">
      <w:pPr>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170D6C77">
      <w:pPr>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4CF0CF53">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5BB35353">
      <w:pPr>
        <w:rPr>
          <w:color w:val="auto"/>
          <w:highlight w:val="none"/>
        </w:rPr>
      </w:pPr>
      <w:r>
        <w:rPr>
          <w:rFonts w:hint="eastAsia"/>
          <w:color w:val="auto"/>
          <w:highlight w:val="none"/>
        </w:rPr>
        <w:t>参选人参与本比选项目时，一切与参选有关的费用均由参选人自理。</w:t>
      </w:r>
    </w:p>
    <w:p w14:paraId="177ECD68">
      <w:pPr>
        <w:rPr>
          <w:color w:val="auto"/>
          <w:highlight w:val="none"/>
        </w:rPr>
      </w:pPr>
      <w:r>
        <w:rPr>
          <w:rFonts w:hint="eastAsia"/>
          <w:color w:val="auto"/>
          <w:highlight w:val="none"/>
        </w:rPr>
        <w:t>本项目平台服务费为</w:t>
      </w:r>
      <w:r>
        <w:rPr>
          <w:rFonts w:hint="eastAsia"/>
          <w:color w:val="auto"/>
          <w:highlight w:val="none"/>
          <w:u w:val="single"/>
        </w:rPr>
        <w:t xml:space="preserve"> </w:t>
      </w:r>
      <w:r>
        <w:rPr>
          <w:rFonts w:hint="eastAsia"/>
          <w:color w:val="auto"/>
          <w:highlight w:val="none"/>
          <w:u w:val="single"/>
          <w:lang w:val="en-US" w:eastAsia="zh-CN"/>
        </w:rPr>
        <w:t>8000.00</w:t>
      </w:r>
      <w:r>
        <w:rPr>
          <w:rFonts w:hint="eastAsia"/>
          <w:color w:val="auto"/>
          <w:highlight w:val="none"/>
          <w:u w:val="single"/>
        </w:rPr>
        <w:t xml:space="preserve"> </w:t>
      </w:r>
      <w:r>
        <w:rPr>
          <w:rFonts w:hint="eastAsia"/>
          <w:color w:val="auto"/>
          <w:highlight w:val="none"/>
        </w:rPr>
        <w:t>元，由中选人向重庆联合产权交易所集团股份有限公司支付。中选人应在领取中选通知书时一次性缴纳，请各参选人综合考虑进行报价。</w:t>
      </w:r>
    </w:p>
    <w:p w14:paraId="0B7E6F85">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6CC921CA">
      <w:pPr>
        <w:pStyle w:val="2"/>
        <w:rPr>
          <w:color w:val="auto"/>
          <w:highlight w:val="none"/>
        </w:rPr>
      </w:pPr>
      <w:bookmarkStart w:id="48" w:name="_Toc10784"/>
      <w:bookmarkStart w:id="49" w:name="_Toc11825"/>
      <w:r>
        <w:rPr>
          <w:rFonts w:hint="eastAsia"/>
          <w:color w:val="auto"/>
          <w:highlight w:val="none"/>
        </w:rPr>
        <w:t>第三章 项目要求</w:t>
      </w:r>
      <w:bookmarkEnd w:id="48"/>
      <w:bookmarkEnd w:id="49"/>
    </w:p>
    <w:p w14:paraId="3A2EBAF1">
      <w:pPr>
        <w:rPr>
          <w:rFonts w:hint="default" w:eastAsia="宋体"/>
          <w:color w:val="auto"/>
          <w:highlight w:val="none"/>
          <w:lang w:val="en-US" w:eastAsia="zh-CN"/>
        </w:rPr>
      </w:pPr>
      <w:r>
        <w:rPr>
          <w:rFonts w:hint="eastAsia"/>
          <w:color w:val="auto"/>
          <w:highlight w:val="none"/>
        </w:rPr>
        <w:t>202</w:t>
      </w:r>
      <w:r>
        <w:rPr>
          <w:color w:val="auto"/>
          <w:highlight w:val="none"/>
        </w:rPr>
        <w:t>5</w:t>
      </w:r>
      <w:r>
        <w:rPr>
          <w:rFonts w:hint="eastAsia"/>
          <w:color w:val="auto"/>
          <w:highlight w:val="none"/>
        </w:rPr>
        <w:t>年新春即将来到，本行拟制作2025年新春</w:t>
      </w:r>
      <w:r>
        <w:rPr>
          <w:color w:val="auto"/>
          <w:highlight w:val="none"/>
        </w:rPr>
        <w:t>营销物料助力支行旺季营销，</w:t>
      </w:r>
      <w:r>
        <w:rPr>
          <w:rFonts w:hint="eastAsia"/>
          <w:color w:val="auto"/>
          <w:highlight w:val="none"/>
        </w:rPr>
        <w:t>回馈新老客户，进一步烘托节庆气氛，提升客户满意度，塑造本行良好的品牌形象。现对</w:t>
      </w:r>
      <w:r>
        <w:rPr>
          <w:rFonts w:hint="eastAsia" w:ascii="宋体" w:cs="Cambria"/>
          <w:snapToGrid w:val="0"/>
          <w:color w:val="auto"/>
          <w:kern w:val="0"/>
          <w:szCs w:val="24"/>
          <w:highlight w:val="none"/>
        </w:rPr>
        <w:t>重庆三峡银行2025年新春营销物料采购项目</w:t>
      </w:r>
      <w:r>
        <w:rPr>
          <w:rFonts w:hint="eastAsia"/>
          <w:color w:val="auto"/>
          <w:highlight w:val="none"/>
        </w:rPr>
        <w:t>进行公开比选，</w:t>
      </w:r>
      <w:r>
        <w:rPr>
          <w:color w:val="auto"/>
          <w:highlight w:val="none"/>
        </w:rPr>
        <w:t>特邀请有意向的潜在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r>
        <w:rPr>
          <w:rFonts w:hint="eastAsia"/>
          <w:color w:val="auto"/>
          <w:highlight w:val="none"/>
          <w:lang w:val="en-US" w:eastAsia="zh-CN"/>
        </w:rPr>
        <w:t>为确保供应商能保质保量完成项目，需要满足如下要求：</w:t>
      </w:r>
    </w:p>
    <w:p w14:paraId="68EC80F4">
      <w:pPr>
        <w:pStyle w:val="4"/>
        <w:rPr>
          <w:rFonts w:hint="default" w:eastAsia="宋体"/>
          <w:color w:val="auto"/>
          <w:highlight w:val="none"/>
          <w:lang w:val="en-US" w:eastAsia="zh-CN"/>
        </w:rPr>
      </w:pPr>
      <w:r>
        <w:rPr>
          <w:rFonts w:hint="eastAsia"/>
          <w:color w:val="auto"/>
          <w:highlight w:val="none"/>
          <w:lang w:val="en-US" w:eastAsia="zh-CN"/>
        </w:rPr>
        <w:t>一、总体项目要求</w:t>
      </w:r>
    </w:p>
    <w:p w14:paraId="7192B3D9">
      <w:pPr>
        <w:pStyle w:val="4"/>
        <w:numPr>
          <w:ilvl w:val="-1"/>
          <w:numId w:val="0"/>
        </w:numPr>
        <w:ind w:firstLine="482" w:firstLineChars="200"/>
        <w:rPr>
          <w:rFonts w:hint="default" w:eastAsia="宋体"/>
          <w:color w:val="auto"/>
          <w:highlight w:val="none"/>
          <w:lang w:val="en-US" w:eastAsia="zh-CN"/>
        </w:rPr>
      </w:pPr>
      <w:r>
        <w:rPr>
          <w:rFonts w:hint="eastAsia"/>
          <w:color w:val="auto"/>
          <w:highlight w:val="none"/>
          <w:lang w:val="en-US" w:eastAsia="zh-CN"/>
        </w:rPr>
        <w:t>（一）采购具体内容</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758"/>
        <w:gridCol w:w="1985"/>
        <w:gridCol w:w="1392"/>
        <w:gridCol w:w="1067"/>
      </w:tblGrid>
      <w:tr w14:paraId="05B1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1" w:type="pct"/>
            <w:shd w:val="clear" w:color="auto" w:fill="auto"/>
            <w:vAlign w:val="center"/>
          </w:tcPr>
          <w:p w14:paraId="778DC4A9">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采购内容</w:t>
            </w:r>
          </w:p>
        </w:tc>
        <w:tc>
          <w:tcPr>
            <w:tcW w:w="1619" w:type="pct"/>
            <w:shd w:val="clear" w:color="auto" w:fill="auto"/>
            <w:vAlign w:val="center"/>
          </w:tcPr>
          <w:p w14:paraId="2B7399A6">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组成要素</w:t>
            </w:r>
          </w:p>
        </w:tc>
        <w:tc>
          <w:tcPr>
            <w:tcW w:w="1165" w:type="pct"/>
            <w:shd w:val="clear" w:color="auto" w:fill="auto"/>
            <w:vAlign w:val="center"/>
          </w:tcPr>
          <w:p w14:paraId="74A46F0E">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预计采购数量</w:t>
            </w:r>
          </w:p>
        </w:tc>
        <w:tc>
          <w:tcPr>
            <w:tcW w:w="817" w:type="pct"/>
            <w:vAlign w:val="center"/>
          </w:tcPr>
          <w:p w14:paraId="78CB533E">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项目采购</w:t>
            </w:r>
          </w:p>
          <w:p w14:paraId="65CEB89A">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最高限价</w:t>
            </w:r>
          </w:p>
        </w:tc>
        <w:tc>
          <w:tcPr>
            <w:tcW w:w="626" w:type="pct"/>
            <w:shd w:val="clear" w:color="auto" w:fill="auto"/>
            <w:vAlign w:val="center"/>
          </w:tcPr>
          <w:p w14:paraId="56098A3E">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val="en-US" w:eastAsia="zh-CN"/>
              </w:rPr>
              <w:t>中</w:t>
            </w:r>
            <w:r>
              <w:rPr>
                <w:rFonts w:hint="eastAsia" w:ascii="宋体" w:hAnsi="宋体" w:eastAsia="宋体" w:cs="宋体"/>
                <w:b/>
                <w:bCs/>
                <w:snapToGrid w:val="0"/>
                <w:color w:val="auto"/>
                <w:kern w:val="0"/>
                <w:sz w:val="24"/>
                <w:szCs w:val="24"/>
                <w:highlight w:val="none"/>
                <w:lang w:eastAsia="zh-CN"/>
              </w:rPr>
              <w:t>选人</w:t>
            </w:r>
            <w:r>
              <w:rPr>
                <w:rFonts w:hint="eastAsia" w:ascii="宋体" w:hAnsi="宋体" w:eastAsia="宋体" w:cs="宋体"/>
                <w:b/>
                <w:bCs/>
                <w:snapToGrid w:val="0"/>
                <w:color w:val="auto"/>
                <w:kern w:val="0"/>
                <w:sz w:val="24"/>
                <w:szCs w:val="24"/>
                <w:highlight w:val="none"/>
              </w:rPr>
              <w:t>数量</w:t>
            </w:r>
          </w:p>
        </w:tc>
      </w:tr>
      <w:tr w14:paraId="08CE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71" w:type="pct"/>
            <w:vMerge w:val="restart"/>
            <w:shd w:val="clear" w:color="auto" w:fill="auto"/>
            <w:vAlign w:val="center"/>
          </w:tcPr>
          <w:p w14:paraId="47BB1C4F">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年新春营销物料</w:t>
            </w:r>
          </w:p>
        </w:tc>
        <w:tc>
          <w:tcPr>
            <w:tcW w:w="1619" w:type="pct"/>
            <w:tcBorders>
              <w:left w:val="single" w:color="auto" w:sz="4" w:space="0"/>
            </w:tcBorders>
            <w:shd w:val="clear" w:color="auto" w:fill="auto"/>
            <w:vAlign w:val="center"/>
          </w:tcPr>
          <w:p w14:paraId="01707A31">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新春礼包</w:t>
            </w:r>
          </w:p>
          <w:p w14:paraId="77B563F0">
            <w:pPr>
              <w:keepNext w:val="0"/>
              <w:keepLines w:val="0"/>
              <w:pageBreakBefore w:val="0"/>
              <w:widowControl w:val="0"/>
              <w:kinsoku/>
              <w:wordWrap/>
              <w:overflowPunct/>
              <w:topLinePunct w:val="0"/>
              <w:autoSpaceDE w:val="0"/>
              <w:autoSpaceDN w:val="0"/>
              <w:snapToGrid/>
              <w:spacing w:line="240" w:lineRule="auto"/>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每套</w:t>
            </w:r>
            <w:r>
              <w:rPr>
                <w:rFonts w:hint="eastAsia" w:ascii="宋体" w:hAnsi="宋体" w:eastAsia="宋体" w:cs="宋体"/>
                <w:snapToGrid w:val="0"/>
                <w:color w:val="auto"/>
                <w:kern w:val="0"/>
                <w:sz w:val="24"/>
                <w:szCs w:val="24"/>
                <w:highlight w:val="none"/>
              </w:rPr>
              <w:t>含：福字贴1</w:t>
            </w:r>
            <w:r>
              <w:rPr>
                <w:rFonts w:hint="eastAsia" w:ascii="宋体" w:hAnsi="宋体" w:cs="宋体"/>
                <w:snapToGrid w:val="0"/>
                <w:color w:val="auto"/>
                <w:kern w:val="0"/>
                <w:sz w:val="24"/>
                <w:szCs w:val="24"/>
                <w:highlight w:val="none"/>
                <w:lang w:val="en-US" w:eastAsia="zh-CN"/>
              </w:rPr>
              <w:t>张</w:t>
            </w:r>
            <w:r>
              <w:rPr>
                <w:rFonts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对联1幅</w:t>
            </w:r>
            <w:r>
              <w:rPr>
                <w:rFonts w:ascii="宋体" w:hAnsi="宋体" w:eastAsia="宋体" w:cs="宋体"/>
                <w:snapToGrid w:val="0"/>
                <w:color w:val="auto"/>
                <w:kern w:val="0"/>
                <w:sz w:val="24"/>
                <w:szCs w:val="24"/>
                <w:highlight w:val="none"/>
              </w:rPr>
              <w:t>、普通</w:t>
            </w:r>
            <w:r>
              <w:rPr>
                <w:rFonts w:hint="eastAsia" w:ascii="宋体" w:hAnsi="宋体" w:eastAsia="宋体" w:cs="宋体"/>
                <w:snapToGrid w:val="0"/>
                <w:color w:val="auto"/>
                <w:kern w:val="0"/>
                <w:sz w:val="24"/>
                <w:szCs w:val="24"/>
                <w:highlight w:val="none"/>
              </w:rPr>
              <w:t>红包</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个</w:t>
            </w:r>
            <w:r>
              <w:rPr>
                <w:rFonts w:ascii="宋体" w:hAnsi="宋体" w:eastAsia="宋体" w:cs="宋体"/>
                <w:snapToGrid w:val="0"/>
                <w:color w:val="auto"/>
                <w:kern w:val="0"/>
                <w:sz w:val="24"/>
                <w:szCs w:val="24"/>
                <w:highlight w:val="none"/>
              </w:rPr>
              <w:t>、万元红包2个、</w:t>
            </w:r>
            <w:r>
              <w:rPr>
                <w:rFonts w:hint="eastAsia" w:ascii="宋体" w:hAnsi="宋体" w:cs="宋体"/>
                <w:snapToGrid w:val="0"/>
                <w:color w:val="auto"/>
                <w:kern w:val="0"/>
                <w:sz w:val="24"/>
                <w:szCs w:val="24"/>
                <w:highlight w:val="none"/>
                <w:lang w:val="en-US" w:eastAsia="zh-CN"/>
              </w:rPr>
              <w:t>点胶1张</w:t>
            </w:r>
            <w:r>
              <w:rPr>
                <w:rFonts w:ascii="宋体" w:hAnsi="宋体" w:cs="宋体"/>
                <w:snapToGrid w:val="0"/>
                <w:color w:val="auto"/>
                <w:kern w:val="0"/>
                <w:sz w:val="24"/>
                <w:szCs w:val="24"/>
                <w:highlight w:val="none"/>
                <w:lang w:val="en-US" w:eastAsia="zh-CN"/>
              </w:rPr>
              <w:t>、普通</w:t>
            </w:r>
            <w:r>
              <w:rPr>
                <w:rFonts w:hint="eastAsia" w:ascii="宋体" w:hAnsi="宋体" w:cs="宋体"/>
                <w:snapToGrid w:val="0"/>
                <w:color w:val="auto"/>
                <w:kern w:val="0"/>
                <w:sz w:val="24"/>
                <w:szCs w:val="24"/>
                <w:highlight w:val="none"/>
                <w:lang w:val="en-US" w:eastAsia="zh-CN"/>
              </w:rPr>
              <w:t>腰条1张</w:t>
            </w:r>
            <w:r>
              <w:rPr>
                <w:rFonts w:ascii="宋体" w:hAnsi="宋体" w:cs="宋体"/>
                <w:snapToGrid w:val="0"/>
                <w:color w:val="auto"/>
                <w:kern w:val="0"/>
                <w:sz w:val="24"/>
                <w:szCs w:val="24"/>
                <w:highlight w:val="none"/>
                <w:lang w:val="en-US" w:eastAsia="zh-CN"/>
              </w:rPr>
              <w:t>、礼盒包装</w:t>
            </w:r>
            <w:r>
              <w:rPr>
                <w:rFonts w:hint="eastAsia" w:ascii="宋体" w:hAnsi="宋体" w:eastAsia="宋体" w:cs="宋体"/>
                <w:snapToGrid w:val="0"/>
                <w:color w:val="auto"/>
                <w:kern w:val="0"/>
                <w:sz w:val="24"/>
                <w:szCs w:val="24"/>
                <w:highlight w:val="none"/>
              </w:rPr>
              <w:t>）</w:t>
            </w:r>
          </w:p>
        </w:tc>
        <w:tc>
          <w:tcPr>
            <w:tcW w:w="1165" w:type="pct"/>
            <w:tcBorders>
              <w:left w:val="single" w:color="auto" w:sz="4" w:space="0"/>
            </w:tcBorders>
            <w:shd w:val="clear" w:color="auto" w:fill="auto"/>
            <w:vAlign w:val="center"/>
          </w:tcPr>
          <w:p w14:paraId="4F268A10">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cs="宋体"/>
                <w:color w:val="auto"/>
                <w:sz w:val="24"/>
                <w:szCs w:val="24"/>
                <w:highlight w:val="none"/>
                <w:vertAlign w:val="baseline"/>
                <w:lang w:val="en-US" w:eastAsia="zh-CN" w:bidi="ar-SA"/>
              </w:rPr>
              <w:t>30</w:t>
            </w:r>
            <w:r>
              <w:rPr>
                <w:rFonts w:ascii="宋体" w:hAnsi="宋体" w:eastAsia="宋体" w:cs="宋体"/>
                <w:color w:val="auto"/>
                <w:sz w:val="24"/>
                <w:szCs w:val="24"/>
                <w:highlight w:val="none"/>
                <w:vertAlign w:val="baseline"/>
                <w:lang w:bidi="ar-SA"/>
              </w:rPr>
              <w:t>,</w:t>
            </w:r>
            <w:r>
              <w:rPr>
                <w:rFonts w:hint="eastAsia" w:ascii="宋体" w:hAnsi="宋体" w:cs="宋体"/>
                <w:color w:val="auto"/>
                <w:sz w:val="24"/>
                <w:szCs w:val="24"/>
                <w:highlight w:val="none"/>
                <w:vertAlign w:val="baseline"/>
                <w:lang w:val="en-US" w:eastAsia="zh-CN" w:bidi="ar-SA"/>
              </w:rPr>
              <w:t>2</w:t>
            </w:r>
            <w:r>
              <w:rPr>
                <w:rFonts w:ascii="宋体" w:hAnsi="宋体" w:eastAsia="宋体" w:cs="宋体"/>
                <w:color w:val="auto"/>
                <w:sz w:val="24"/>
                <w:szCs w:val="24"/>
                <w:highlight w:val="none"/>
                <w:vertAlign w:val="baseline"/>
                <w:lang w:bidi="ar-SA"/>
              </w:rPr>
              <w:t>00</w:t>
            </w:r>
            <w:r>
              <w:rPr>
                <w:rFonts w:hint="eastAsia" w:ascii="宋体" w:hAnsi="宋体" w:eastAsia="宋体" w:cs="宋体"/>
                <w:snapToGrid w:val="0"/>
                <w:color w:val="auto"/>
                <w:kern w:val="0"/>
                <w:sz w:val="24"/>
                <w:szCs w:val="24"/>
                <w:highlight w:val="none"/>
              </w:rPr>
              <w:t>套</w:t>
            </w:r>
          </w:p>
        </w:tc>
        <w:tc>
          <w:tcPr>
            <w:tcW w:w="817" w:type="pct"/>
            <w:vMerge w:val="restart"/>
            <w:tcBorders>
              <w:left w:val="single" w:color="auto" w:sz="4" w:space="0"/>
            </w:tcBorders>
            <w:vAlign w:val="center"/>
          </w:tcPr>
          <w:p w14:paraId="11D55B50">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ascii="宋体" w:hAnsi="宋体" w:eastAsia="宋体" w:cs="宋体"/>
                <w:snapToGrid w:val="0"/>
                <w:color w:val="auto"/>
                <w:kern w:val="0"/>
                <w:sz w:val="24"/>
                <w:szCs w:val="24"/>
                <w:highlight w:val="none"/>
              </w:rPr>
              <w:t>38</w:t>
            </w:r>
            <w:r>
              <w:rPr>
                <w:rFonts w:hint="eastAsia" w:ascii="宋体" w:hAnsi="宋体" w:eastAsia="宋体" w:cs="宋体"/>
                <w:snapToGrid w:val="0"/>
                <w:color w:val="auto"/>
                <w:kern w:val="0"/>
                <w:sz w:val="24"/>
                <w:szCs w:val="24"/>
                <w:highlight w:val="none"/>
              </w:rPr>
              <w:t>万元</w:t>
            </w:r>
          </w:p>
        </w:tc>
        <w:tc>
          <w:tcPr>
            <w:tcW w:w="626" w:type="pct"/>
            <w:vMerge w:val="restart"/>
            <w:tcBorders>
              <w:left w:val="single" w:color="auto" w:sz="4" w:space="0"/>
            </w:tcBorders>
            <w:shd w:val="clear" w:color="auto" w:fill="auto"/>
            <w:vAlign w:val="center"/>
          </w:tcPr>
          <w:p w14:paraId="651B5D39">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r>
      <w:tr w14:paraId="06A4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14:paraId="0908F9C5">
            <w:pPr>
              <w:rPr>
                <w:color w:val="auto"/>
                <w:highlight w:val="none"/>
              </w:rPr>
            </w:pPr>
          </w:p>
        </w:tc>
        <w:tc>
          <w:tcPr>
            <w:tcW w:w="1619" w:type="pct"/>
            <w:tcBorders>
              <w:left w:val="single" w:color="auto" w:sz="4" w:space="0"/>
            </w:tcBorders>
            <w:shd w:val="clear" w:color="auto" w:fill="auto"/>
            <w:vAlign w:val="center"/>
          </w:tcPr>
          <w:p w14:paraId="7B1790A3">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bidi="ar-SA"/>
              </w:rPr>
              <w:t>帆布袋</w:t>
            </w:r>
          </w:p>
        </w:tc>
        <w:tc>
          <w:tcPr>
            <w:tcW w:w="1165" w:type="pct"/>
            <w:tcBorders>
              <w:left w:val="single" w:color="auto" w:sz="4" w:space="0"/>
            </w:tcBorders>
            <w:shd w:val="clear" w:color="auto" w:fill="auto"/>
            <w:vAlign w:val="center"/>
          </w:tcPr>
          <w:p w14:paraId="07F7861F">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cs="宋体"/>
                <w:color w:val="auto"/>
                <w:sz w:val="24"/>
                <w:szCs w:val="24"/>
                <w:highlight w:val="none"/>
                <w:vertAlign w:val="baseline"/>
                <w:lang w:val="en-US" w:eastAsia="zh-CN" w:bidi="ar-SA"/>
              </w:rPr>
              <w:t>9</w:t>
            </w:r>
            <w:r>
              <w:rPr>
                <w:rFonts w:ascii="宋体" w:hAnsi="宋体" w:eastAsia="宋体" w:cs="宋体"/>
                <w:color w:val="auto"/>
                <w:sz w:val="24"/>
                <w:szCs w:val="24"/>
                <w:highlight w:val="none"/>
                <w:vertAlign w:val="baseline"/>
                <w:lang w:bidi="ar-SA"/>
              </w:rPr>
              <w:t>,</w:t>
            </w:r>
            <w:r>
              <w:rPr>
                <w:rFonts w:hint="eastAsia" w:ascii="宋体" w:hAnsi="宋体" w:cs="宋体"/>
                <w:color w:val="auto"/>
                <w:sz w:val="24"/>
                <w:szCs w:val="24"/>
                <w:highlight w:val="none"/>
                <w:vertAlign w:val="baseline"/>
                <w:lang w:val="en-US" w:eastAsia="zh-CN" w:bidi="ar-SA"/>
              </w:rPr>
              <w:t>5</w:t>
            </w:r>
            <w:r>
              <w:rPr>
                <w:rFonts w:ascii="宋体" w:hAnsi="宋体" w:eastAsia="宋体" w:cs="宋体"/>
                <w:color w:val="auto"/>
                <w:sz w:val="24"/>
                <w:szCs w:val="24"/>
                <w:highlight w:val="none"/>
                <w:vertAlign w:val="baseline"/>
                <w:lang w:bidi="ar-SA"/>
              </w:rPr>
              <w:t>00</w:t>
            </w:r>
            <w:r>
              <w:rPr>
                <w:rFonts w:hint="eastAsia" w:ascii="宋体" w:hAnsi="宋体" w:eastAsia="宋体" w:cs="宋体"/>
                <w:bCs/>
                <w:color w:val="auto"/>
                <w:sz w:val="24"/>
                <w:szCs w:val="24"/>
                <w:highlight w:val="none"/>
                <w:vertAlign w:val="baseline"/>
                <w:lang w:eastAsia="zh-CN" w:bidi="ar-SA"/>
              </w:rPr>
              <w:t>个</w:t>
            </w:r>
          </w:p>
        </w:tc>
        <w:tc>
          <w:tcPr>
            <w:tcW w:w="817" w:type="pct"/>
            <w:vMerge w:val="continue"/>
            <w:tcBorders>
              <w:left w:val="single" w:color="auto" w:sz="4" w:space="0"/>
            </w:tcBorders>
            <w:vAlign w:val="center"/>
          </w:tcPr>
          <w:p w14:paraId="347E7D74">
            <w:pPr>
              <w:rPr>
                <w:color w:val="auto"/>
                <w:highlight w:val="none"/>
              </w:rPr>
            </w:pPr>
          </w:p>
        </w:tc>
        <w:tc>
          <w:tcPr>
            <w:tcW w:w="626" w:type="pct"/>
            <w:vMerge w:val="continue"/>
            <w:tcBorders>
              <w:left w:val="single" w:color="auto" w:sz="4" w:space="0"/>
            </w:tcBorders>
            <w:shd w:val="clear" w:color="auto" w:fill="auto"/>
            <w:vAlign w:val="center"/>
          </w:tcPr>
          <w:p w14:paraId="604A5E35">
            <w:pPr>
              <w:rPr>
                <w:color w:val="auto"/>
                <w:highlight w:val="none"/>
              </w:rPr>
            </w:pPr>
          </w:p>
        </w:tc>
      </w:tr>
      <w:tr w14:paraId="6E6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1" w:type="pct"/>
            <w:vMerge w:val="continue"/>
            <w:shd w:val="clear" w:color="auto" w:fill="auto"/>
            <w:vAlign w:val="center"/>
          </w:tcPr>
          <w:p w14:paraId="2B48CD10">
            <w:pPr>
              <w:rPr>
                <w:color w:val="auto"/>
                <w:highlight w:val="none"/>
              </w:rPr>
            </w:pPr>
          </w:p>
        </w:tc>
        <w:tc>
          <w:tcPr>
            <w:tcW w:w="1619" w:type="pct"/>
            <w:tcBorders>
              <w:left w:val="single" w:color="auto" w:sz="4" w:space="0"/>
            </w:tcBorders>
            <w:shd w:val="clear" w:color="auto" w:fill="auto"/>
            <w:vAlign w:val="center"/>
          </w:tcPr>
          <w:p w14:paraId="4F66458C">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存单封套</w:t>
            </w:r>
          </w:p>
        </w:tc>
        <w:tc>
          <w:tcPr>
            <w:tcW w:w="1165" w:type="pct"/>
            <w:tcBorders>
              <w:left w:val="single" w:color="auto" w:sz="4" w:space="0"/>
            </w:tcBorders>
            <w:shd w:val="clear" w:color="auto" w:fill="auto"/>
            <w:vAlign w:val="center"/>
          </w:tcPr>
          <w:p w14:paraId="060BE92F">
            <w:pPr>
              <w:keepNext w:val="0"/>
              <w:keepLines w:val="0"/>
              <w:pageBreakBefore w:val="0"/>
              <w:widowControl w:val="0"/>
              <w:kinsoku/>
              <w:wordWrap/>
              <w:overflowPunct/>
              <w:topLinePunct w:val="0"/>
              <w:autoSpaceDE w:val="0"/>
              <w:autoSpaceDN w:val="0"/>
              <w:adjustRightInd w:val="0"/>
              <w:snapToGrid/>
              <w:spacing w:line="240" w:lineRule="auto"/>
              <w:ind w:firstLine="0" w:firstLineChars="0"/>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vertAlign w:val="baseline"/>
                <w:lang w:bidi="ar-SA"/>
              </w:rPr>
              <w:t>26</w:t>
            </w:r>
            <w:r>
              <w:rPr>
                <w:rFonts w:hint="eastAsia" w:ascii="宋体" w:hAnsi="宋体" w:eastAsia="宋体" w:cs="宋体"/>
                <w:color w:val="auto"/>
                <w:sz w:val="24"/>
                <w:szCs w:val="24"/>
                <w:highlight w:val="none"/>
                <w:vertAlign w:val="baseline"/>
                <w:lang w:bidi="ar-SA"/>
              </w:rPr>
              <w:t>,</w:t>
            </w:r>
            <w:r>
              <w:rPr>
                <w:rFonts w:ascii="宋体" w:hAnsi="宋体" w:eastAsia="宋体" w:cs="宋体"/>
                <w:color w:val="auto"/>
                <w:sz w:val="24"/>
                <w:szCs w:val="24"/>
                <w:highlight w:val="none"/>
                <w:vertAlign w:val="baseline"/>
                <w:lang w:bidi="ar-SA"/>
              </w:rPr>
              <w:t>0</w:t>
            </w:r>
            <w:r>
              <w:rPr>
                <w:rFonts w:hint="eastAsia" w:ascii="宋体" w:hAnsi="宋体" w:eastAsia="宋体" w:cs="宋体"/>
                <w:color w:val="auto"/>
                <w:sz w:val="24"/>
                <w:szCs w:val="24"/>
                <w:highlight w:val="none"/>
                <w:vertAlign w:val="baseline"/>
                <w:lang w:bidi="ar-SA"/>
              </w:rPr>
              <w:t>00</w:t>
            </w:r>
            <w:r>
              <w:rPr>
                <w:rFonts w:hint="eastAsia" w:ascii="宋体" w:hAnsi="宋体" w:eastAsia="宋体" w:cs="宋体"/>
                <w:bCs/>
                <w:color w:val="auto"/>
                <w:sz w:val="24"/>
                <w:szCs w:val="24"/>
                <w:highlight w:val="none"/>
                <w:vertAlign w:val="baseline"/>
                <w:lang w:eastAsia="zh-CN" w:bidi="ar-SA"/>
              </w:rPr>
              <w:t>个</w:t>
            </w:r>
          </w:p>
        </w:tc>
        <w:tc>
          <w:tcPr>
            <w:tcW w:w="817" w:type="pct"/>
            <w:vMerge w:val="continue"/>
            <w:tcBorders>
              <w:left w:val="single" w:color="auto" w:sz="4" w:space="0"/>
            </w:tcBorders>
            <w:vAlign w:val="center"/>
          </w:tcPr>
          <w:p w14:paraId="09CF4299">
            <w:pPr>
              <w:rPr>
                <w:color w:val="auto"/>
                <w:highlight w:val="none"/>
              </w:rPr>
            </w:pPr>
          </w:p>
        </w:tc>
        <w:tc>
          <w:tcPr>
            <w:tcW w:w="626" w:type="pct"/>
            <w:vMerge w:val="continue"/>
            <w:tcBorders>
              <w:left w:val="single" w:color="auto" w:sz="4" w:space="0"/>
            </w:tcBorders>
            <w:shd w:val="clear" w:color="auto" w:fill="auto"/>
            <w:vAlign w:val="center"/>
          </w:tcPr>
          <w:p w14:paraId="38049C57">
            <w:pPr>
              <w:rPr>
                <w:color w:val="auto"/>
                <w:highlight w:val="none"/>
              </w:rPr>
            </w:pPr>
          </w:p>
        </w:tc>
      </w:tr>
    </w:tbl>
    <w:p w14:paraId="17766E45">
      <w:pPr>
        <w:ind w:left="0" w:leftChars="0" w:firstLine="480" w:firstLineChars="200"/>
        <w:rPr>
          <w:rFonts w:hint="eastAsia"/>
          <w:color w:val="auto"/>
          <w:highlight w:val="none"/>
          <w:lang w:val="en-US" w:eastAsia="zh-CN"/>
        </w:rPr>
      </w:pPr>
      <w:r>
        <w:rPr>
          <w:rFonts w:hint="eastAsia"/>
          <w:color w:val="auto"/>
          <w:highlight w:val="none"/>
          <w:lang w:val="en-US" w:eastAsia="zh-CN"/>
        </w:rPr>
        <w:t>（二）项目设计方案</w:t>
      </w:r>
    </w:p>
    <w:p w14:paraId="5F0DA73E">
      <w:pPr>
        <w:rPr>
          <w:rFonts w:hint="eastAsia"/>
          <w:color w:val="auto"/>
          <w:highlight w:val="none"/>
        </w:rPr>
      </w:pPr>
      <w:r>
        <w:rPr>
          <w:rFonts w:hint="eastAsia"/>
          <w:color w:val="auto"/>
          <w:highlight w:val="none"/>
        </w:rPr>
        <w:t>详见</w:t>
      </w:r>
      <w:r>
        <w:rPr>
          <w:rFonts w:hint="eastAsia"/>
          <w:color w:val="auto"/>
          <w:highlight w:val="none"/>
          <w:lang w:val="en-US" w:eastAsia="zh-CN"/>
        </w:rPr>
        <w:t>附件：</w:t>
      </w:r>
      <w:r>
        <w:rPr>
          <w:rFonts w:hint="eastAsia"/>
          <w:color w:val="auto"/>
          <w:highlight w:val="none"/>
        </w:rPr>
        <w:t>《重庆三峡银行2025年新春营销物料设计方案》。</w:t>
      </w:r>
    </w:p>
    <w:p w14:paraId="55691FAE">
      <w:pP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）中选后，比选人可根据实际情况，在最高限价范围内，按照中选人参选文件中单价报价酌情调整采购数量，具体事宜由双方在合同中详细约定。</w:t>
      </w:r>
    </w:p>
    <w:p w14:paraId="04144DB2">
      <w:pPr>
        <w:pStyle w:val="3"/>
        <w:bidi w:val="0"/>
        <w:ind w:firstLine="482" w:firstLineChars="200"/>
        <w:rPr>
          <w:color w:val="auto"/>
          <w:highlight w:val="none"/>
          <w:lang w:val="en-US" w:eastAsia="zh-CN"/>
        </w:rPr>
      </w:pPr>
      <w:r>
        <w:rPr>
          <w:rFonts w:hint="eastAsia"/>
          <w:color w:val="auto"/>
          <w:highlight w:val="none"/>
          <w:lang w:val="en-US" w:eastAsia="zh-CN"/>
        </w:rPr>
        <w:t>二、</w:t>
      </w:r>
      <w:r>
        <w:rPr>
          <w:color w:val="auto"/>
          <w:highlight w:val="none"/>
          <w:lang w:val="en-US" w:eastAsia="zh-CN"/>
        </w:rPr>
        <w:t>材料、工艺要求</w:t>
      </w:r>
    </w:p>
    <w:p w14:paraId="1A7DE952">
      <w:pPr>
        <w:rPr>
          <w:color w:val="auto"/>
          <w:highlight w:val="none"/>
          <w:lang w:val="en-US" w:eastAsia="zh-CN"/>
        </w:rPr>
      </w:pPr>
      <w:r>
        <w:rPr>
          <w:color w:val="auto"/>
          <w:highlight w:val="none"/>
          <w:lang w:val="en-US" w:eastAsia="zh-CN"/>
        </w:rPr>
        <w:t>（1）对联：</w:t>
      </w:r>
      <w:r>
        <w:rPr>
          <w:rFonts w:hint="eastAsia"/>
          <w:color w:val="auto"/>
          <w:highlight w:val="none"/>
          <w:lang w:val="en-US" w:eastAsia="zh-CN"/>
        </w:rPr>
        <w:t>157克双铜，四色印刷+文字烫金，</w:t>
      </w:r>
      <w:r>
        <w:rPr>
          <w:color w:val="auto"/>
          <w:highlight w:val="none"/>
          <w:lang w:val="en-US" w:eastAsia="zh-CN"/>
        </w:rPr>
        <w:t>做工精美</w:t>
      </w:r>
      <w:r>
        <w:rPr>
          <w:rFonts w:hint="eastAsia"/>
          <w:color w:val="auto"/>
          <w:highlight w:val="none"/>
          <w:lang w:val="en-US" w:eastAsia="zh-CN"/>
        </w:rPr>
        <w:t>，</w:t>
      </w:r>
      <w:r>
        <w:rPr>
          <w:color w:val="auto"/>
          <w:highlight w:val="none"/>
          <w:lang w:val="en-US" w:eastAsia="zh-CN"/>
        </w:rPr>
        <w:t>不得有折痕。</w:t>
      </w:r>
    </w:p>
    <w:p w14:paraId="6D7E0B15">
      <w:pPr>
        <w:rPr>
          <w:color w:val="auto"/>
          <w:highlight w:val="none"/>
          <w:lang w:val="en-US" w:eastAsia="zh-CN"/>
        </w:rPr>
      </w:pPr>
      <w:r>
        <w:rPr>
          <w:color w:val="auto"/>
          <w:highlight w:val="none"/>
          <w:lang w:val="en-US" w:eastAsia="zh-CN"/>
        </w:rPr>
        <w:t>（2）福字贴：</w:t>
      </w:r>
      <w:r>
        <w:rPr>
          <w:rFonts w:hint="eastAsia"/>
          <w:color w:val="auto"/>
          <w:highlight w:val="none"/>
          <w:lang w:val="en-US" w:eastAsia="zh-CN"/>
        </w:rPr>
        <w:t>157克双铜，四色印刷+文字烫金，</w:t>
      </w:r>
      <w:r>
        <w:rPr>
          <w:color w:val="auto"/>
          <w:highlight w:val="none"/>
          <w:lang w:val="en-US" w:eastAsia="zh-CN"/>
        </w:rPr>
        <w:t>做工精美</w:t>
      </w:r>
      <w:r>
        <w:rPr>
          <w:rFonts w:hint="eastAsia"/>
          <w:color w:val="auto"/>
          <w:highlight w:val="none"/>
          <w:lang w:val="en-US" w:eastAsia="zh-CN"/>
        </w:rPr>
        <w:t>，</w:t>
      </w:r>
      <w:r>
        <w:rPr>
          <w:color w:val="auto"/>
          <w:highlight w:val="none"/>
          <w:lang w:val="en-US" w:eastAsia="zh-CN"/>
        </w:rPr>
        <w:t>不得有折痕。</w:t>
      </w:r>
    </w:p>
    <w:p w14:paraId="1F50A874">
      <w:pPr>
        <w:rPr>
          <w:color w:val="auto"/>
          <w:highlight w:val="none"/>
          <w:lang w:val="en-US" w:eastAsia="zh-CN"/>
        </w:rPr>
      </w:pPr>
      <w:r>
        <w:rPr>
          <w:color w:val="auto"/>
          <w:highlight w:val="none"/>
          <w:lang w:val="en-US" w:eastAsia="zh-CN"/>
        </w:rPr>
        <w:t>（</w:t>
      </w:r>
      <w:r>
        <w:rPr>
          <w:rFonts w:hint="eastAsia"/>
          <w:color w:val="auto"/>
          <w:highlight w:val="none"/>
          <w:lang w:val="en-US" w:eastAsia="zh-CN"/>
        </w:rPr>
        <w:t>3</w:t>
      </w:r>
      <w:r>
        <w:rPr>
          <w:color w:val="auto"/>
          <w:highlight w:val="none"/>
          <w:lang w:val="en-US" w:eastAsia="zh-CN"/>
        </w:rPr>
        <w:t>）</w:t>
      </w:r>
      <w:r>
        <w:rPr>
          <w:rFonts w:hint="eastAsia"/>
          <w:color w:val="auto"/>
          <w:highlight w:val="none"/>
          <w:lang w:val="en-US" w:eastAsia="zh-CN"/>
        </w:rPr>
        <w:t>普通</w:t>
      </w:r>
      <w:r>
        <w:rPr>
          <w:color w:val="auto"/>
          <w:highlight w:val="none"/>
          <w:lang w:val="en-US" w:eastAsia="zh-CN"/>
        </w:rPr>
        <w:t>红包</w:t>
      </w:r>
      <w:r>
        <w:rPr>
          <w:rFonts w:hint="eastAsia"/>
          <w:color w:val="auto"/>
          <w:highlight w:val="none"/>
          <w:lang w:val="en-US" w:eastAsia="zh-CN"/>
        </w:rPr>
        <w:t>：</w:t>
      </w:r>
      <w:r>
        <w:rPr>
          <w:rFonts w:hint="eastAsia"/>
          <w:color w:val="auto"/>
          <w:highlight w:val="none"/>
        </w:rPr>
        <w:t>160克中国红色卡，烫镭射金+哑金+凹凸+成型</w:t>
      </w:r>
      <w:r>
        <w:rPr>
          <w:rFonts w:hint="eastAsia"/>
          <w:color w:val="auto"/>
          <w:highlight w:val="none"/>
          <w:lang w:eastAsia="zh-CN"/>
        </w:rPr>
        <w:t>。</w:t>
      </w:r>
      <w:r>
        <w:rPr>
          <w:color w:val="auto"/>
          <w:highlight w:val="none"/>
          <w:lang w:val="en-US" w:eastAsia="zh-CN"/>
        </w:rPr>
        <w:t>红包</w:t>
      </w:r>
      <w:r>
        <w:rPr>
          <w:rFonts w:hint="eastAsia"/>
          <w:color w:val="auto"/>
          <w:highlight w:val="none"/>
          <w:lang w:val="en-US" w:eastAsia="zh-CN"/>
        </w:rPr>
        <w:t>8</w:t>
      </w:r>
      <w:r>
        <w:rPr>
          <w:color w:val="auto"/>
          <w:highlight w:val="none"/>
          <w:lang w:val="en-US" w:eastAsia="zh-CN"/>
        </w:rPr>
        <w:t>个为1套，用腰条封好，做工精细，不得出现破开、折痕的情况。</w:t>
      </w:r>
    </w:p>
    <w:p w14:paraId="5CDB684C">
      <w:pPr>
        <w:rPr>
          <w:rFonts w:hint="default"/>
          <w:color w:val="auto"/>
          <w:highlight w:val="none"/>
          <w:lang w:val="en-US" w:eastAsia="zh-CN"/>
        </w:rPr>
      </w:pPr>
      <w:r>
        <w:rPr>
          <w:color w:val="auto"/>
          <w:highlight w:val="none"/>
          <w:lang w:val="en-US" w:eastAsia="zh-CN"/>
        </w:rPr>
        <w:t>（</w:t>
      </w:r>
      <w:r>
        <w:rPr>
          <w:rFonts w:hint="eastAsia"/>
          <w:color w:val="auto"/>
          <w:highlight w:val="none"/>
          <w:lang w:val="en-US" w:eastAsia="zh-CN"/>
        </w:rPr>
        <w:t>4</w:t>
      </w:r>
      <w:r>
        <w:rPr>
          <w:color w:val="auto"/>
          <w:highlight w:val="none"/>
          <w:lang w:val="en-US" w:eastAsia="zh-CN"/>
        </w:rPr>
        <w:t>）</w:t>
      </w:r>
      <w:r>
        <w:rPr>
          <w:rFonts w:hint="eastAsia"/>
          <w:color w:val="auto"/>
          <w:highlight w:val="none"/>
          <w:lang w:val="en-US" w:eastAsia="zh-CN"/>
        </w:rPr>
        <w:t>万元</w:t>
      </w:r>
      <w:r>
        <w:rPr>
          <w:color w:val="auto"/>
          <w:highlight w:val="none"/>
          <w:lang w:val="en-US" w:eastAsia="zh-CN"/>
        </w:rPr>
        <w:t>红包</w:t>
      </w:r>
      <w:r>
        <w:rPr>
          <w:rFonts w:hint="eastAsia"/>
          <w:color w:val="auto"/>
          <w:highlight w:val="none"/>
          <w:lang w:val="en-US" w:eastAsia="zh-CN"/>
        </w:rPr>
        <w:t>：</w:t>
      </w:r>
      <w:r>
        <w:rPr>
          <w:rFonts w:hint="eastAsia"/>
          <w:color w:val="auto"/>
          <w:highlight w:val="none"/>
        </w:rPr>
        <w:t>160克中国红色卡，烫镭射金+哑金+凹凸+成型</w:t>
      </w:r>
      <w:r>
        <w:rPr>
          <w:rFonts w:hint="eastAsia"/>
          <w:color w:val="auto"/>
          <w:highlight w:val="none"/>
          <w:lang w:eastAsia="zh-CN"/>
        </w:rPr>
        <w:t>，</w:t>
      </w:r>
      <w:r>
        <w:rPr>
          <w:rFonts w:hint="eastAsia"/>
          <w:color w:val="auto"/>
          <w:highlight w:val="none"/>
          <w:lang w:val="en-US" w:eastAsia="zh-CN"/>
        </w:rPr>
        <w:t>立体样式</w:t>
      </w:r>
      <w:r>
        <w:rPr>
          <w:rFonts w:hint="eastAsia"/>
          <w:color w:val="auto"/>
          <w:highlight w:val="none"/>
          <w:lang w:eastAsia="zh-CN"/>
        </w:rPr>
        <w:t>。</w:t>
      </w:r>
      <w:r>
        <w:rPr>
          <w:color w:val="auto"/>
          <w:highlight w:val="none"/>
          <w:lang w:val="en-US" w:eastAsia="zh-CN"/>
        </w:rPr>
        <w:t>做工精细，不得出现破开、折痕的情况。</w:t>
      </w:r>
    </w:p>
    <w:p w14:paraId="23817E6E">
      <w:pPr>
        <w:pStyle w:val="4"/>
        <w:ind w:firstLine="482"/>
        <w:rPr>
          <w:rFonts w:hint="default"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（5）礼盒包装：外盒内卡均用300克白卡及单面覆哑膜，内盒折叠平整。</w:t>
      </w:r>
    </w:p>
    <w:p w14:paraId="054C00F4">
      <w:pPr>
        <w:rPr>
          <w:color w:val="auto"/>
          <w:highlight w:val="none"/>
          <w:lang w:val="en-US" w:eastAsia="zh-CN"/>
        </w:rPr>
      </w:pPr>
      <w:r>
        <w:rPr>
          <w:color w:val="auto"/>
          <w:highlight w:val="none"/>
          <w:lang w:val="en-US" w:eastAsia="zh-CN"/>
        </w:rPr>
        <w:t>（</w:t>
      </w:r>
      <w:r>
        <w:rPr>
          <w:rFonts w:hint="eastAsia"/>
          <w:color w:val="auto"/>
          <w:highlight w:val="none"/>
          <w:lang w:val="en-US" w:eastAsia="zh-CN"/>
        </w:rPr>
        <w:t>6</w:t>
      </w:r>
      <w:r>
        <w:rPr>
          <w:color w:val="auto"/>
          <w:highlight w:val="none"/>
          <w:lang w:val="en-US" w:eastAsia="zh-CN"/>
        </w:rPr>
        <w:t>）帆布袋：12棉麻，工艺为热转印，做工精美。</w:t>
      </w:r>
    </w:p>
    <w:p w14:paraId="1D397013">
      <w:pPr>
        <w:rPr>
          <w:color w:val="auto"/>
          <w:highlight w:val="none"/>
          <w:lang w:val="en-US" w:eastAsia="zh-CN"/>
        </w:rPr>
      </w:pPr>
      <w:r>
        <w:rPr>
          <w:color w:val="auto"/>
          <w:highlight w:val="none"/>
          <w:lang w:val="en-US" w:eastAsia="zh-CN"/>
        </w:rPr>
        <w:t>（</w:t>
      </w:r>
      <w:r>
        <w:rPr>
          <w:rFonts w:hint="eastAsia"/>
          <w:color w:val="auto"/>
          <w:highlight w:val="none"/>
          <w:lang w:val="en-US" w:eastAsia="zh-CN"/>
        </w:rPr>
        <w:t>7</w:t>
      </w:r>
      <w:r>
        <w:rPr>
          <w:color w:val="auto"/>
          <w:highlight w:val="none"/>
          <w:lang w:val="en-US" w:eastAsia="zh-CN"/>
        </w:rPr>
        <w:t>）</w:t>
      </w:r>
      <w:r>
        <w:rPr>
          <w:rFonts w:hint="eastAsia"/>
          <w:color w:val="auto"/>
          <w:highlight w:val="none"/>
          <w:lang w:val="en-US" w:eastAsia="zh-CN"/>
        </w:rPr>
        <w:t>存单封套</w:t>
      </w:r>
      <w:r>
        <w:rPr>
          <w:color w:val="auto"/>
          <w:highlight w:val="none"/>
          <w:lang w:val="en-US" w:eastAsia="zh-CN"/>
        </w:rPr>
        <w:t>：</w:t>
      </w:r>
      <w:r>
        <w:rPr>
          <w:rFonts w:hint="eastAsia"/>
          <w:color w:val="auto"/>
          <w:highlight w:val="none"/>
          <w:lang w:val="en-US" w:eastAsia="zh-CN"/>
        </w:rPr>
        <w:t>外盒300克白卡哑膜，内卡280克中国红色卡。</w:t>
      </w:r>
    </w:p>
    <w:p w14:paraId="03F0450F">
      <w:pPr>
        <w:rPr>
          <w:color w:val="auto"/>
          <w:highlight w:val="none"/>
          <w:lang w:val="en-US" w:eastAsia="zh-CN"/>
        </w:rPr>
      </w:pPr>
      <w:r>
        <w:rPr>
          <w:color w:val="auto"/>
          <w:highlight w:val="none"/>
          <w:lang w:val="en-US" w:eastAsia="zh-CN"/>
        </w:rPr>
        <w:t>（</w:t>
      </w:r>
      <w:r>
        <w:rPr>
          <w:rFonts w:hint="eastAsia"/>
          <w:color w:val="auto"/>
          <w:highlight w:val="none"/>
          <w:lang w:val="en-US" w:eastAsia="zh-CN"/>
        </w:rPr>
        <w:t>8</w:t>
      </w:r>
      <w:r>
        <w:rPr>
          <w:color w:val="auto"/>
          <w:highlight w:val="none"/>
          <w:lang w:val="en-US" w:eastAsia="zh-CN"/>
        </w:rPr>
        <w:t>）点胶：点胶</w:t>
      </w:r>
      <w:r>
        <w:rPr>
          <w:rFonts w:hint="eastAsia"/>
          <w:color w:val="auto"/>
          <w:highlight w:val="none"/>
          <w:lang w:val="en-US" w:eastAsia="zh-CN"/>
        </w:rPr>
        <w:t>15</w:t>
      </w:r>
      <w:r>
        <w:rPr>
          <w:color w:val="auto"/>
          <w:highlight w:val="none"/>
          <w:lang w:val="en-US" w:eastAsia="zh-CN"/>
        </w:rPr>
        <w:t>个为1张，不得出现劣质胶。</w:t>
      </w:r>
    </w:p>
    <w:p w14:paraId="70F4C293">
      <w:pPr>
        <w:pStyle w:val="4"/>
        <w:ind w:firstLine="482"/>
        <w:rPr>
          <w:rFonts w:hint="default"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（9）腰条：普通红包腰条。</w:t>
      </w:r>
    </w:p>
    <w:p w14:paraId="585CCCB5">
      <w:pPr>
        <w:rPr>
          <w:color w:val="auto"/>
          <w:highlight w:val="none"/>
          <w:lang w:val="en-US" w:eastAsia="zh-CN"/>
        </w:rPr>
      </w:pPr>
      <w:r>
        <w:rPr>
          <w:color w:val="auto"/>
          <w:highlight w:val="none"/>
          <w:lang w:val="en-US" w:eastAsia="zh-CN"/>
        </w:rPr>
        <w:t>（</w:t>
      </w:r>
      <w:r>
        <w:rPr>
          <w:rFonts w:hint="eastAsia"/>
          <w:color w:val="auto"/>
          <w:highlight w:val="none"/>
          <w:lang w:val="en-US" w:eastAsia="zh-CN"/>
        </w:rPr>
        <w:t>10</w:t>
      </w:r>
      <w:r>
        <w:rPr>
          <w:color w:val="auto"/>
          <w:highlight w:val="none"/>
          <w:lang w:val="en-US" w:eastAsia="zh-CN"/>
        </w:rPr>
        <w:t>）其余未尽事宜详见附件《</w:t>
      </w:r>
      <w:r>
        <w:rPr>
          <w:rFonts w:hint="eastAsia"/>
          <w:color w:val="auto"/>
          <w:highlight w:val="none"/>
        </w:rPr>
        <w:t>重庆三峡银行2025年新春营销物料设计方案</w:t>
      </w:r>
      <w:r>
        <w:rPr>
          <w:color w:val="auto"/>
          <w:highlight w:val="none"/>
          <w:lang w:val="en-US" w:eastAsia="zh-CN"/>
        </w:rPr>
        <w:t>》。</w:t>
      </w:r>
    </w:p>
    <w:p w14:paraId="27C9C835">
      <w:pPr>
        <w:pStyle w:val="4"/>
        <w:bidi w:val="0"/>
        <w:rPr>
          <w:color w:val="auto"/>
          <w:highlight w:val="none"/>
          <w:lang w:val="en-US" w:eastAsia="zh-CN"/>
        </w:rPr>
      </w:pPr>
      <w:r>
        <w:rPr>
          <w:rFonts w:hint="eastAsia"/>
          <w:color w:val="auto"/>
          <w:highlight w:val="none"/>
          <w:lang w:val="en-US" w:eastAsia="zh-CN"/>
        </w:rPr>
        <w:t>三、</w:t>
      </w:r>
      <w:r>
        <w:rPr>
          <w:color w:val="auto"/>
          <w:highlight w:val="none"/>
          <w:lang w:val="en-US" w:eastAsia="zh-CN"/>
        </w:rPr>
        <w:t>尺寸要求：</w:t>
      </w:r>
    </w:p>
    <w:p w14:paraId="56C577BF">
      <w:pPr>
        <w:rPr>
          <w:color w:val="auto"/>
          <w:highlight w:val="none"/>
          <w:lang w:val="en-US" w:eastAsia="zh-CN"/>
        </w:rPr>
      </w:pPr>
      <w:r>
        <w:rPr>
          <w:color w:val="auto"/>
          <w:highlight w:val="none"/>
          <w:lang w:val="en-US" w:eastAsia="zh-CN"/>
        </w:rPr>
        <w:t>（1）对联上（下）联尺寸：210mm*1180mm</w:t>
      </w:r>
    </w:p>
    <w:p w14:paraId="5E912875">
      <w:pPr>
        <w:rPr>
          <w:color w:val="auto"/>
          <w:highlight w:val="none"/>
          <w:lang w:val="en-US" w:eastAsia="zh-CN"/>
        </w:rPr>
      </w:pPr>
      <w:r>
        <w:rPr>
          <w:color w:val="auto"/>
          <w:highlight w:val="none"/>
          <w:lang w:val="en-US" w:eastAsia="zh-CN"/>
        </w:rPr>
        <w:t>（2）横批尺寸：</w:t>
      </w:r>
      <w:r>
        <w:rPr>
          <w:rFonts w:hint="eastAsia"/>
          <w:color w:val="auto"/>
          <w:highlight w:val="none"/>
          <w:lang w:val="en-US" w:eastAsia="zh-CN"/>
        </w:rPr>
        <w:t>21</w:t>
      </w:r>
      <w:r>
        <w:rPr>
          <w:color w:val="auto"/>
          <w:highlight w:val="none"/>
          <w:lang w:val="en-US" w:eastAsia="zh-CN"/>
        </w:rPr>
        <w:t>0mm*</w:t>
      </w:r>
      <w:r>
        <w:rPr>
          <w:rFonts w:hint="eastAsia"/>
          <w:color w:val="auto"/>
          <w:highlight w:val="none"/>
          <w:lang w:val="en-US" w:eastAsia="zh-CN"/>
        </w:rPr>
        <w:t>52</w:t>
      </w:r>
      <w:r>
        <w:rPr>
          <w:color w:val="auto"/>
          <w:highlight w:val="none"/>
          <w:lang w:val="en-US" w:eastAsia="zh-CN"/>
        </w:rPr>
        <w:t>0mm</w:t>
      </w:r>
    </w:p>
    <w:p w14:paraId="5E8EC5EA">
      <w:pPr>
        <w:rPr>
          <w:color w:val="auto"/>
          <w:highlight w:val="none"/>
          <w:lang w:val="en-US" w:eastAsia="zh-CN"/>
        </w:rPr>
      </w:pPr>
      <w:r>
        <w:rPr>
          <w:color w:val="auto"/>
          <w:highlight w:val="none"/>
          <w:lang w:val="en-US" w:eastAsia="zh-CN"/>
        </w:rPr>
        <w:t>（3）福字贴尺寸：350mm*350mm</w:t>
      </w:r>
    </w:p>
    <w:p w14:paraId="4E95AD55">
      <w:pPr>
        <w:pStyle w:val="4"/>
        <w:rPr>
          <w:rFonts w:hint="eastAsia"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（4）普通红包尺寸：95*180mm</w:t>
      </w:r>
    </w:p>
    <w:p w14:paraId="4B700BFD">
      <w:pPr>
        <w:rPr>
          <w:rFonts w:hint="eastAsia"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（5）万元红包尺寸：100*185mm</w:t>
      </w:r>
    </w:p>
    <w:p w14:paraId="2815657E">
      <w:pPr>
        <w:rPr>
          <w:rFonts w:hint="eastAsia"/>
          <w:color w:val="auto"/>
          <w:highlight w:val="none"/>
          <w:lang w:val="en-US" w:eastAsia="zh-CN"/>
        </w:rPr>
      </w:pPr>
      <w:r>
        <w:rPr>
          <w:rFonts w:hint="eastAsia"/>
          <w:color w:val="auto"/>
          <w:highlight w:val="none"/>
          <w:lang w:val="en-US" w:eastAsia="zh-CN"/>
        </w:rPr>
        <w:t>（6）包装尺寸：152*374*75mm</w:t>
      </w:r>
    </w:p>
    <w:p w14:paraId="059F4E28">
      <w:pPr>
        <w:pStyle w:val="4"/>
        <w:rPr>
          <w:rFonts w:hint="eastAsia"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（7）存单封套尺寸：120*215mm</w:t>
      </w:r>
    </w:p>
    <w:p w14:paraId="49A548A9">
      <w:pPr>
        <w:pStyle w:val="4"/>
        <w:rPr>
          <w:rFonts w:hint="default"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（8）帆布袋尺寸：大小340mm*400mm*80mm，带长230mm，带宽35mm。</w:t>
      </w:r>
    </w:p>
    <w:p w14:paraId="4214A84C">
      <w:pPr>
        <w:pStyle w:val="4"/>
        <w:rPr>
          <w:rFonts w:hint="eastAsia" w:ascii="Cambria Math" w:hAnsi="Cambria Math" w:eastAsia="宋体" w:cs="Cambria Math"/>
          <w:b w:val="0"/>
          <w:bCs w:val="0"/>
          <w:color w:val="auto"/>
          <w:kern w:val="2"/>
          <w:sz w:val="24"/>
          <w:szCs w:val="20"/>
          <w:highlight w:val="none"/>
          <w:lang w:val="en-US" w:eastAsia="zh-CN" w:bidi="ar-SA"/>
        </w:rPr>
      </w:pPr>
      <w:r>
        <w:rPr>
          <w:rFonts w:hint="eastAsia" w:ascii="Cambria Math" w:hAnsi="Cambria Math" w:eastAsia="宋体" w:cs="Cambria Math"/>
          <w:b w:val="0"/>
          <w:bCs w:val="0"/>
          <w:color w:val="auto"/>
          <w:kern w:val="2"/>
          <w:sz w:val="24"/>
          <w:szCs w:val="20"/>
          <w:highlight w:val="none"/>
          <w:lang w:val="en-US" w:eastAsia="zh-CN" w:bidi="ar-SA"/>
        </w:rPr>
        <w:t>（9）点胶尺寸：直径3mm。</w:t>
      </w:r>
    </w:p>
    <w:p w14:paraId="60150E8B">
      <w:pPr>
        <w:rPr>
          <w:color w:val="auto"/>
          <w:highlight w:val="none"/>
          <w:lang w:val="en-US" w:eastAsia="zh-CN"/>
        </w:rPr>
      </w:pPr>
      <w:r>
        <w:rPr>
          <w:rFonts w:hint="eastAsia"/>
          <w:color w:val="auto"/>
          <w:highlight w:val="none"/>
          <w:lang w:val="en-US" w:eastAsia="zh-CN"/>
        </w:rPr>
        <w:t>中选</w:t>
      </w:r>
      <w:r>
        <w:rPr>
          <w:color w:val="auto"/>
          <w:highlight w:val="none"/>
          <w:lang w:val="en-US" w:eastAsia="zh-CN"/>
        </w:rPr>
        <w:t>后，</w:t>
      </w:r>
      <w:r>
        <w:rPr>
          <w:rFonts w:hint="eastAsia"/>
          <w:color w:val="auto"/>
          <w:highlight w:val="none"/>
          <w:lang w:val="en-US" w:eastAsia="zh-CN"/>
        </w:rPr>
        <w:t>参选人</w:t>
      </w:r>
      <w:r>
        <w:rPr>
          <w:color w:val="auto"/>
          <w:highlight w:val="none"/>
          <w:lang w:val="en-US" w:eastAsia="zh-CN"/>
        </w:rPr>
        <w:t>严格遵照重庆三峡银行提供的设计文件要求（见附件《</w:t>
      </w:r>
      <w:r>
        <w:rPr>
          <w:rFonts w:hint="eastAsia"/>
          <w:color w:val="auto"/>
          <w:highlight w:val="none"/>
        </w:rPr>
        <w:t>重庆三峡银行2025年新春营销物料设计方案</w:t>
      </w:r>
      <w:r>
        <w:rPr>
          <w:color w:val="auto"/>
          <w:highlight w:val="none"/>
          <w:lang w:val="en-US" w:eastAsia="zh-CN"/>
        </w:rPr>
        <w:t>》</w:t>
      </w:r>
      <w:r>
        <w:rPr>
          <w:rFonts w:hint="eastAsia"/>
          <w:color w:val="auto"/>
          <w:highlight w:val="none"/>
          <w:lang w:val="en-US" w:eastAsia="zh-CN"/>
        </w:rPr>
        <w:t>：</w:t>
      </w:r>
      <w:r>
        <w:rPr>
          <w:color w:val="auto"/>
          <w:highlight w:val="none"/>
          <w:lang w:val="en-US" w:eastAsia="zh-CN"/>
        </w:rPr>
        <w:t>包含图案规格、文字规格、尺寸及材质等）进行制作。</w:t>
      </w:r>
    </w:p>
    <w:p w14:paraId="1C8ABAF0">
      <w:pPr>
        <w:rPr>
          <w:color w:val="auto"/>
          <w:highlight w:val="none"/>
          <w:lang w:val="en-US" w:eastAsia="zh-CN"/>
        </w:rPr>
      </w:pPr>
      <w:r>
        <w:rPr>
          <w:rFonts w:hint="eastAsia"/>
          <w:color w:val="auto"/>
          <w:highlight w:val="none"/>
          <w:lang w:val="en-US" w:eastAsia="zh-CN"/>
        </w:rPr>
        <w:t>参选人</w:t>
      </w:r>
      <w:r>
        <w:rPr>
          <w:color w:val="auto"/>
          <w:highlight w:val="none"/>
          <w:lang w:val="en-US" w:eastAsia="zh-CN"/>
        </w:rPr>
        <w:t>能够提供制作、印刷、装订、</w:t>
      </w:r>
      <w:r>
        <w:rPr>
          <w:rFonts w:hint="eastAsia"/>
          <w:color w:val="auto"/>
          <w:highlight w:val="none"/>
          <w:lang w:val="en-US" w:eastAsia="zh-CN"/>
        </w:rPr>
        <w:t>分装</w:t>
      </w:r>
      <w:r>
        <w:rPr>
          <w:color w:val="auto"/>
          <w:highlight w:val="none"/>
          <w:lang w:val="en-US" w:eastAsia="zh-CN"/>
        </w:rPr>
        <w:t>及仓储运输整套服务。供货时，所有制作的对联、福字贴、红包、点胶、</w:t>
      </w:r>
      <w:r>
        <w:rPr>
          <w:rFonts w:hint="eastAsia"/>
          <w:color w:val="auto"/>
          <w:highlight w:val="none"/>
          <w:lang w:val="en-US" w:eastAsia="zh-CN"/>
        </w:rPr>
        <w:t>腰条、</w:t>
      </w:r>
      <w:r>
        <w:rPr>
          <w:color w:val="auto"/>
          <w:highlight w:val="none"/>
          <w:lang w:val="en-US" w:eastAsia="zh-CN"/>
        </w:rPr>
        <w:t>帆布袋、</w:t>
      </w:r>
      <w:r>
        <w:rPr>
          <w:rFonts w:hint="eastAsia"/>
          <w:color w:val="auto"/>
          <w:highlight w:val="none"/>
          <w:lang w:val="en-US" w:eastAsia="zh-CN"/>
        </w:rPr>
        <w:t>存单封套</w:t>
      </w:r>
      <w:r>
        <w:rPr>
          <w:color w:val="auto"/>
          <w:highlight w:val="none"/>
          <w:lang w:val="en-US" w:eastAsia="zh-CN"/>
        </w:rPr>
        <w:t>均应按照</w:t>
      </w:r>
      <w:r>
        <w:rPr>
          <w:rFonts w:hint="eastAsia"/>
          <w:color w:val="auto"/>
          <w:highlight w:val="none"/>
          <w:lang w:val="en-US" w:eastAsia="zh-CN"/>
        </w:rPr>
        <w:t>比选文件</w:t>
      </w:r>
      <w:r>
        <w:rPr>
          <w:color w:val="auto"/>
          <w:highlight w:val="none"/>
          <w:lang w:val="en-US" w:eastAsia="zh-CN"/>
        </w:rPr>
        <w:t>及行方相关要求进行封装。</w:t>
      </w:r>
    </w:p>
    <w:p w14:paraId="448FF811">
      <w:pPr>
        <w:rPr>
          <w:color w:val="auto"/>
          <w:highlight w:val="none"/>
          <w:lang w:val="en-US" w:eastAsia="zh-CN"/>
        </w:rPr>
      </w:pPr>
      <w:r>
        <w:rPr>
          <w:rFonts w:hint="eastAsia"/>
          <w:color w:val="auto"/>
          <w:highlight w:val="none"/>
          <w:lang w:val="en-US" w:eastAsia="zh-CN"/>
        </w:rPr>
        <w:t>参选人</w:t>
      </w:r>
      <w:r>
        <w:rPr>
          <w:color w:val="auto"/>
          <w:highlight w:val="none"/>
          <w:lang w:val="en-US" w:eastAsia="zh-CN"/>
        </w:rPr>
        <w:t>提供的印刷品及相关服务，均应符合国家标准和行业标准。</w:t>
      </w:r>
      <w:r>
        <w:rPr>
          <w:rFonts w:hint="eastAsia"/>
          <w:color w:val="auto"/>
          <w:highlight w:val="none"/>
          <w:lang w:val="en-US" w:eastAsia="zh-CN"/>
        </w:rPr>
        <w:t>参选人</w:t>
      </w:r>
      <w:r>
        <w:rPr>
          <w:color w:val="auto"/>
          <w:highlight w:val="none"/>
          <w:lang w:val="en-US" w:eastAsia="zh-CN"/>
        </w:rPr>
        <w:t>在</w:t>
      </w:r>
      <w:r>
        <w:rPr>
          <w:rFonts w:hint="eastAsia"/>
          <w:color w:val="auto"/>
          <w:highlight w:val="none"/>
          <w:lang w:val="en-US" w:eastAsia="zh-CN"/>
        </w:rPr>
        <w:t>参选文件</w:t>
      </w:r>
      <w:r>
        <w:rPr>
          <w:color w:val="auto"/>
          <w:highlight w:val="none"/>
          <w:lang w:val="en-US" w:eastAsia="zh-CN"/>
        </w:rPr>
        <w:t>中响应的技术指标，均应使用中国国家标准、各行业标准或国际标准化组织标准，</w:t>
      </w:r>
      <w:r>
        <w:rPr>
          <w:rFonts w:hint="eastAsia"/>
          <w:color w:val="auto"/>
          <w:highlight w:val="none"/>
          <w:lang w:val="en-US" w:eastAsia="zh-CN"/>
        </w:rPr>
        <w:t>比选文件</w:t>
      </w:r>
      <w:r>
        <w:rPr>
          <w:color w:val="auto"/>
          <w:highlight w:val="none"/>
          <w:lang w:val="en-US" w:eastAsia="zh-CN"/>
        </w:rPr>
        <w:t>中另作规定的除外。</w:t>
      </w:r>
    </w:p>
    <w:p w14:paraId="433AB968">
      <w:pPr>
        <w:pStyle w:val="3"/>
        <w:bidi w:val="0"/>
        <w:ind w:firstLine="482" w:firstLineChars="200"/>
        <w:rPr>
          <w:rFonts w:hint="eastAsia"/>
          <w:color w:val="auto"/>
          <w:highlight w:val="none"/>
          <w:lang w:val="en-US" w:eastAsia="zh-CN"/>
        </w:rPr>
      </w:pPr>
      <w:r>
        <w:rPr>
          <w:rFonts w:hint="eastAsia"/>
          <w:color w:val="auto"/>
          <w:highlight w:val="none"/>
          <w:lang w:val="en-US" w:eastAsia="zh-CN"/>
        </w:rPr>
        <w:t>四、样品要求</w:t>
      </w:r>
    </w:p>
    <w:p w14:paraId="303394CD">
      <w:pPr>
        <w:widowControl/>
        <w:rPr>
          <w:rFonts w:ascii="Cambria Math" w:hAnsi="Cambria Math" w:eastAsia="宋体" w:cs="Cambria Math"/>
          <w:b w:val="0"/>
          <w:color w:val="auto"/>
          <w:sz w:val="24"/>
          <w:szCs w:val="20"/>
          <w:highlight w:val="none"/>
        </w:rPr>
      </w:pPr>
      <w:r>
        <w:rPr>
          <w:rFonts w:hint="eastAsia" w:cs="Cambria Math"/>
          <w:b w:val="0"/>
          <w:color w:val="auto"/>
          <w:sz w:val="24"/>
          <w:szCs w:val="20"/>
          <w:highlight w:val="none"/>
          <w:lang w:val="en-US" w:eastAsia="zh-CN"/>
        </w:rPr>
        <w:t>1、参选</w:t>
      </w:r>
      <w:r>
        <w:rPr>
          <w:rFonts w:ascii="Cambria Math" w:hAnsi="Cambria Math" w:eastAsia="宋体" w:cs="Cambria Math"/>
          <w:b w:val="0"/>
          <w:color w:val="auto"/>
          <w:sz w:val="24"/>
          <w:szCs w:val="20"/>
          <w:highlight w:val="none"/>
        </w:rPr>
        <w:t>人须按</w:t>
      </w:r>
      <w:r>
        <w:rPr>
          <w:rFonts w:hint="eastAsia" w:cs="Cambria Math"/>
          <w:b w:val="0"/>
          <w:color w:val="auto"/>
          <w:sz w:val="24"/>
          <w:szCs w:val="20"/>
          <w:highlight w:val="none"/>
          <w:lang w:val="en-US" w:eastAsia="zh-CN"/>
        </w:rPr>
        <w:t>比选</w:t>
      </w:r>
      <w:r>
        <w:rPr>
          <w:rFonts w:ascii="Cambria Math" w:hAnsi="Cambria Math" w:eastAsia="宋体" w:cs="Cambria Math"/>
          <w:b w:val="0"/>
          <w:color w:val="auto"/>
          <w:sz w:val="24"/>
          <w:szCs w:val="20"/>
          <w:highlight w:val="none"/>
        </w:rPr>
        <w:t>文件相关要求提供</w:t>
      </w:r>
      <w:r>
        <w:rPr>
          <w:rFonts w:hint="eastAsia" w:cs="Cambria Math"/>
          <w:b w:val="0"/>
          <w:color w:val="auto"/>
          <w:sz w:val="24"/>
          <w:szCs w:val="20"/>
          <w:highlight w:val="none"/>
          <w:lang w:val="en-US" w:eastAsia="zh-CN"/>
        </w:rPr>
        <w:t>1</w:t>
      </w:r>
      <w:r>
        <w:rPr>
          <w:rFonts w:ascii="Cambria Math" w:hAnsi="Cambria Math" w:eastAsia="宋体" w:cs="Cambria Math"/>
          <w:b w:val="0"/>
          <w:color w:val="auto"/>
          <w:sz w:val="24"/>
          <w:szCs w:val="20"/>
          <w:highlight w:val="none"/>
        </w:rPr>
        <w:t>份</w:t>
      </w:r>
      <w:r>
        <w:rPr>
          <w:rFonts w:hint="eastAsia" w:cs="Cambria Math"/>
          <w:b w:val="0"/>
          <w:color w:val="auto"/>
          <w:sz w:val="24"/>
          <w:szCs w:val="20"/>
          <w:highlight w:val="none"/>
          <w:lang w:val="en-US" w:eastAsia="zh-CN"/>
        </w:rPr>
        <w:t>新春礼包、帆布袋及存单封套</w:t>
      </w:r>
      <w:r>
        <w:rPr>
          <w:rFonts w:ascii="Cambria Math" w:hAnsi="Cambria Math" w:eastAsia="宋体" w:cs="Cambria Math"/>
          <w:b w:val="0"/>
          <w:color w:val="auto"/>
          <w:sz w:val="24"/>
          <w:szCs w:val="20"/>
          <w:highlight w:val="none"/>
        </w:rPr>
        <w:t>样品（</w:t>
      </w:r>
      <w:r>
        <w:rPr>
          <w:rFonts w:ascii="Cambria Math" w:hAnsi="Cambria Math" w:eastAsia="宋体" w:cs="Cambria Math"/>
          <w:b w:val="0"/>
          <w:color w:val="auto"/>
          <w:sz w:val="24"/>
          <w:szCs w:val="20"/>
          <w:highlight w:val="none"/>
          <w:lang w:val="en-US"/>
        </w:rPr>
        <w:t>每份</w:t>
      </w:r>
      <w:r>
        <w:rPr>
          <w:rFonts w:hint="eastAsia" w:cs="Cambria Math"/>
          <w:b w:val="0"/>
          <w:color w:val="auto"/>
          <w:sz w:val="24"/>
          <w:szCs w:val="20"/>
          <w:highlight w:val="none"/>
          <w:lang w:val="en-US" w:eastAsia="zh-CN"/>
        </w:rPr>
        <w:t>样品</w:t>
      </w:r>
      <w:r>
        <w:rPr>
          <w:rFonts w:ascii="Cambria Math" w:hAnsi="Cambria Math" w:eastAsia="宋体" w:cs="Cambria Math"/>
          <w:b w:val="0"/>
          <w:color w:val="auto"/>
          <w:sz w:val="24"/>
          <w:szCs w:val="20"/>
          <w:highlight w:val="none"/>
          <w:lang w:val="en-US"/>
        </w:rPr>
        <w:t>含：</w:t>
      </w:r>
      <w:r>
        <w:rPr>
          <w:rFonts w:hint="eastAsia" w:ascii="宋体" w:hAnsi="宋体" w:eastAsia="宋体" w:cs="宋体"/>
          <w:snapToGrid w:val="0"/>
          <w:color w:val="auto"/>
          <w:kern w:val="0"/>
          <w:sz w:val="24"/>
          <w:szCs w:val="24"/>
          <w:highlight w:val="none"/>
        </w:rPr>
        <w:t>福字贴1</w:t>
      </w:r>
      <w:r>
        <w:rPr>
          <w:rFonts w:hint="eastAsia" w:ascii="宋体" w:hAnsi="宋体" w:cs="宋体"/>
          <w:snapToGrid w:val="0"/>
          <w:color w:val="auto"/>
          <w:kern w:val="0"/>
          <w:sz w:val="24"/>
          <w:szCs w:val="24"/>
          <w:highlight w:val="none"/>
          <w:lang w:val="en-US" w:eastAsia="zh-CN"/>
        </w:rPr>
        <w:t>张</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对联1幅</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腰条1张、普通</w:t>
      </w:r>
      <w:r>
        <w:rPr>
          <w:rFonts w:hint="eastAsia" w:ascii="宋体" w:hAnsi="宋体" w:eastAsia="宋体" w:cs="宋体"/>
          <w:snapToGrid w:val="0"/>
          <w:color w:val="auto"/>
          <w:kern w:val="0"/>
          <w:sz w:val="24"/>
          <w:szCs w:val="24"/>
          <w:highlight w:val="none"/>
        </w:rPr>
        <w:t>红包</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个</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万元红包2个、礼盒包装、点胶1张、帆布袋1个、存单封套1个</w:t>
      </w:r>
      <w:r>
        <w:rPr>
          <w:rFonts w:ascii="Cambria Math" w:hAnsi="Cambria Math" w:eastAsia="宋体" w:cs="Cambria Math"/>
          <w:b w:val="0"/>
          <w:color w:val="auto"/>
          <w:sz w:val="24"/>
          <w:szCs w:val="20"/>
          <w:highlight w:val="none"/>
        </w:rPr>
        <w:t>）参与评审。</w:t>
      </w:r>
    </w:p>
    <w:p w14:paraId="049DFC6A">
      <w:pPr>
        <w:widowControl/>
        <w:rPr>
          <w:rFonts w:ascii="Cambria Math" w:hAnsi="Cambria Math" w:eastAsia="宋体" w:cs="Cambria Math"/>
          <w:b w:val="0"/>
          <w:color w:val="auto"/>
          <w:sz w:val="24"/>
          <w:szCs w:val="20"/>
          <w:highlight w:val="none"/>
        </w:rPr>
      </w:pPr>
      <w:r>
        <w:rPr>
          <w:rFonts w:hint="eastAsia" w:cs="Cambria Math"/>
          <w:b w:val="0"/>
          <w:color w:val="auto"/>
          <w:sz w:val="24"/>
          <w:szCs w:val="20"/>
          <w:highlight w:val="none"/>
          <w:lang w:val="en-US" w:eastAsia="zh-CN"/>
        </w:rPr>
        <w:t>2、参选人</w:t>
      </w:r>
      <w:r>
        <w:rPr>
          <w:rFonts w:ascii="Cambria Math" w:hAnsi="Cambria Math" w:eastAsia="宋体" w:cs="Cambria Math"/>
          <w:b w:val="0"/>
          <w:color w:val="auto"/>
          <w:sz w:val="24"/>
          <w:szCs w:val="20"/>
          <w:highlight w:val="none"/>
        </w:rPr>
        <w:t>须将以上样品单独密封，样品的封装袋应有</w:t>
      </w:r>
      <w:r>
        <w:rPr>
          <w:rFonts w:hint="eastAsia" w:cs="Cambria Math"/>
          <w:b w:val="0"/>
          <w:color w:val="auto"/>
          <w:sz w:val="24"/>
          <w:szCs w:val="20"/>
          <w:highlight w:val="none"/>
          <w:lang w:eastAsia="zh-CN"/>
        </w:rPr>
        <w:t>参选人</w:t>
      </w:r>
      <w:r>
        <w:rPr>
          <w:rFonts w:ascii="Cambria Math" w:hAnsi="Cambria Math" w:eastAsia="宋体" w:cs="Cambria Math"/>
          <w:b w:val="0"/>
          <w:color w:val="auto"/>
          <w:sz w:val="24"/>
          <w:szCs w:val="20"/>
          <w:highlight w:val="none"/>
        </w:rPr>
        <w:t>法定代表人或其授权代表的签字或加盖</w:t>
      </w:r>
      <w:r>
        <w:rPr>
          <w:rFonts w:hint="eastAsia" w:cs="Cambria Math"/>
          <w:b w:val="0"/>
          <w:color w:val="auto"/>
          <w:sz w:val="24"/>
          <w:szCs w:val="20"/>
          <w:highlight w:val="none"/>
          <w:lang w:eastAsia="zh-CN"/>
        </w:rPr>
        <w:t>参选</w:t>
      </w:r>
      <w:r>
        <w:rPr>
          <w:rFonts w:ascii="Cambria Math" w:hAnsi="Cambria Math" w:eastAsia="宋体" w:cs="Cambria Math"/>
          <w:b w:val="0"/>
          <w:color w:val="auto"/>
          <w:sz w:val="24"/>
          <w:szCs w:val="20"/>
          <w:highlight w:val="none"/>
        </w:rPr>
        <w:t>单位公章，封皮上写明项目名称</w:t>
      </w:r>
      <w:r>
        <w:rPr>
          <w:rFonts w:ascii="Cambria Math" w:hAnsi="Cambria Math" w:eastAsia="宋体" w:cs="Cambria Math"/>
          <w:b w:val="0"/>
          <w:color w:val="auto"/>
          <w:sz w:val="24"/>
          <w:szCs w:val="20"/>
          <w:highlight w:val="none"/>
          <w:lang w:eastAsia="zh-CN"/>
        </w:rPr>
        <w:t>及</w:t>
      </w:r>
      <w:r>
        <w:rPr>
          <w:rFonts w:hint="eastAsia" w:cs="Cambria Math"/>
          <w:b w:val="0"/>
          <w:color w:val="auto"/>
          <w:sz w:val="24"/>
          <w:szCs w:val="20"/>
          <w:highlight w:val="none"/>
          <w:lang w:eastAsia="zh-CN"/>
        </w:rPr>
        <w:t>参选人</w:t>
      </w:r>
      <w:r>
        <w:rPr>
          <w:rFonts w:ascii="Cambria Math" w:hAnsi="Cambria Math" w:eastAsia="宋体" w:cs="Cambria Math"/>
          <w:b w:val="0"/>
          <w:color w:val="auto"/>
          <w:sz w:val="24"/>
          <w:szCs w:val="20"/>
          <w:highlight w:val="none"/>
          <w:lang w:eastAsia="zh-CN"/>
        </w:rPr>
        <w:t>单位</w:t>
      </w:r>
      <w:r>
        <w:rPr>
          <w:rFonts w:ascii="Cambria Math" w:hAnsi="Cambria Math" w:eastAsia="宋体" w:cs="Cambria Math"/>
          <w:b w:val="0"/>
          <w:color w:val="auto"/>
          <w:sz w:val="24"/>
          <w:szCs w:val="20"/>
          <w:highlight w:val="none"/>
        </w:rPr>
        <w:t>名称，并在递交</w:t>
      </w:r>
      <w:r>
        <w:rPr>
          <w:rFonts w:hint="eastAsia" w:cs="Cambria Math"/>
          <w:b w:val="0"/>
          <w:color w:val="auto"/>
          <w:sz w:val="24"/>
          <w:szCs w:val="20"/>
          <w:highlight w:val="none"/>
          <w:lang w:eastAsia="zh-CN"/>
        </w:rPr>
        <w:t>参选</w:t>
      </w:r>
      <w:r>
        <w:rPr>
          <w:rFonts w:ascii="Cambria Math" w:hAnsi="Cambria Math" w:eastAsia="宋体" w:cs="Cambria Math"/>
          <w:b w:val="0"/>
          <w:color w:val="auto"/>
          <w:sz w:val="24"/>
          <w:szCs w:val="20"/>
          <w:highlight w:val="none"/>
        </w:rPr>
        <w:t>文件时一并递交。</w:t>
      </w:r>
    </w:p>
    <w:p w14:paraId="628B6BF9">
      <w:pPr>
        <w:widowControl/>
        <w:jc w:val="left"/>
        <w:rPr>
          <w:rFonts w:ascii="Cambria Math" w:hAnsi="Cambria Math" w:eastAsia="宋体" w:cs="Cambria Math"/>
          <w:b w:val="0"/>
          <w:color w:val="auto"/>
          <w:sz w:val="24"/>
          <w:szCs w:val="20"/>
          <w:highlight w:val="none"/>
        </w:rPr>
      </w:pPr>
      <w:r>
        <w:rPr>
          <w:rFonts w:hint="eastAsia" w:cs="Cambria Math"/>
          <w:b w:val="0"/>
          <w:color w:val="auto"/>
          <w:sz w:val="24"/>
          <w:szCs w:val="20"/>
          <w:highlight w:val="none"/>
          <w:lang w:val="en-US" w:eastAsia="zh-CN"/>
        </w:rPr>
        <w:t>3、</w:t>
      </w:r>
      <w:r>
        <w:rPr>
          <w:rFonts w:ascii="Cambria Math" w:hAnsi="Cambria Math" w:eastAsia="宋体" w:cs="Cambria Math"/>
          <w:b w:val="0"/>
          <w:color w:val="auto"/>
          <w:sz w:val="24"/>
          <w:szCs w:val="20"/>
          <w:highlight w:val="none"/>
        </w:rPr>
        <w:t>未按上述要求进行密封递交的样品，</w:t>
      </w:r>
      <w:r>
        <w:rPr>
          <w:rFonts w:hint="eastAsia" w:cs="Cambria Math"/>
          <w:b w:val="0"/>
          <w:color w:val="auto"/>
          <w:sz w:val="24"/>
          <w:szCs w:val="20"/>
          <w:highlight w:val="none"/>
          <w:lang w:val="en-US" w:eastAsia="zh-CN"/>
        </w:rPr>
        <w:t>比选人</w:t>
      </w:r>
      <w:r>
        <w:rPr>
          <w:rFonts w:ascii="Cambria Math" w:hAnsi="Cambria Math" w:eastAsia="宋体" w:cs="Cambria Math"/>
          <w:b w:val="0"/>
          <w:color w:val="auto"/>
          <w:sz w:val="24"/>
          <w:szCs w:val="20"/>
          <w:highlight w:val="none"/>
        </w:rPr>
        <w:t>可接收其</w:t>
      </w:r>
      <w:r>
        <w:rPr>
          <w:rFonts w:hint="eastAsia" w:cs="Cambria Math"/>
          <w:b w:val="0"/>
          <w:color w:val="auto"/>
          <w:sz w:val="24"/>
          <w:szCs w:val="20"/>
          <w:highlight w:val="none"/>
          <w:lang w:eastAsia="zh-CN"/>
        </w:rPr>
        <w:t>参选</w:t>
      </w:r>
      <w:r>
        <w:rPr>
          <w:rFonts w:ascii="Cambria Math" w:hAnsi="Cambria Math" w:eastAsia="宋体" w:cs="Cambria Math"/>
          <w:b w:val="0"/>
          <w:color w:val="auto"/>
          <w:sz w:val="24"/>
          <w:szCs w:val="20"/>
          <w:highlight w:val="none"/>
        </w:rPr>
        <w:t>文件但拒收其样品。未递交样品或递交样品被拒的</w:t>
      </w:r>
      <w:r>
        <w:rPr>
          <w:rFonts w:hint="eastAsia" w:cs="Cambria Math"/>
          <w:b w:val="0"/>
          <w:color w:val="auto"/>
          <w:sz w:val="24"/>
          <w:szCs w:val="20"/>
          <w:highlight w:val="none"/>
          <w:lang w:eastAsia="zh-CN"/>
        </w:rPr>
        <w:t>参选人</w:t>
      </w:r>
      <w:r>
        <w:rPr>
          <w:rFonts w:ascii="Cambria Math" w:hAnsi="Cambria Math" w:eastAsia="宋体" w:cs="Cambria Math"/>
          <w:b w:val="0"/>
          <w:color w:val="auto"/>
          <w:sz w:val="24"/>
          <w:szCs w:val="20"/>
          <w:highlight w:val="none"/>
        </w:rPr>
        <w:t>，不作否决</w:t>
      </w:r>
      <w:r>
        <w:rPr>
          <w:rFonts w:hint="eastAsia" w:cs="Cambria Math"/>
          <w:b w:val="0"/>
          <w:color w:val="auto"/>
          <w:sz w:val="24"/>
          <w:szCs w:val="20"/>
          <w:highlight w:val="none"/>
          <w:lang w:eastAsia="zh-CN"/>
        </w:rPr>
        <w:t>参选</w:t>
      </w:r>
      <w:r>
        <w:rPr>
          <w:rFonts w:ascii="Cambria Math" w:hAnsi="Cambria Math" w:eastAsia="宋体" w:cs="Cambria Math"/>
          <w:b w:val="0"/>
          <w:color w:val="auto"/>
          <w:sz w:val="24"/>
          <w:szCs w:val="20"/>
          <w:highlight w:val="none"/>
        </w:rPr>
        <w:t>处理，但“</w:t>
      </w:r>
      <w:r>
        <w:rPr>
          <w:rFonts w:ascii="Cambria Math" w:hAnsi="Cambria Math" w:eastAsia="宋体" w:cs="Cambria Math"/>
          <w:b w:val="0"/>
          <w:color w:val="auto"/>
          <w:sz w:val="24"/>
          <w:szCs w:val="20"/>
          <w:highlight w:val="none"/>
          <w:lang w:eastAsia="zh-CN"/>
        </w:rPr>
        <w:t>技术部分</w:t>
      </w:r>
      <w:r>
        <w:rPr>
          <w:rFonts w:ascii="Cambria Math" w:hAnsi="Cambria Math" w:eastAsia="宋体" w:cs="Cambria Math"/>
          <w:b w:val="0"/>
          <w:color w:val="auto"/>
          <w:sz w:val="24"/>
          <w:szCs w:val="20"/>
          <w:highlight w:val="none"/>
        </w:rPr>
        <w:t>-样品</w:t>
      </w:r>
      <w:r>
        <w:rPr>
          <w:rFonts w:hint="eastAsia" w:cs="Cambria Math"/>
          <w:b w:val="0"/>
          <w:color w:val="auto"/>
          <w:sz w:val="24"/>
          <w:szCs w:val="20"/>
          <w:highlight w:val="none"/>
          <w:lang w:val="en-US" w:eastAsia="zh-CN"/>
        </w:rPr>
        <w:t>展示35</w:t>
      </w:r>
      <w:r>
        <w:rPr>
          <w:rFonts w:ascii="Cambria Math" w:hAnsi="Cambria Math" w:eastAsia="宋体" w:cs="Cambria Math"/>
          <w:b w:val="0"/>
          <w:color w:val="auto"/>
          <w:sz w:val="24"/>
          <w:szCs w:val="20"/>
          <w:highlight w:val="none"/>
        </w:rPr>
        <w:t>分”部分直接得0分。</w:t>
      </w:r>
    </w:p>
    <w:p w14:paraId="4DCB3C9C">
      <w:pPr>
        <w:bidi w:val="0"/>
        <w:rPr>
          <w:color w:val="auto"/>
          <w:highlight w:val="none"/>
          <w:lang w:val="en-US" w:eastAsia="zh-CN"/>
        </w:rPr>
      </w:pPr>
      <w:r>
        <w:rPr>
          <w:rFonts w:hint="eastAsia" w:cs="Cambria Math"/>
          <w:b w:val="0"/>
          <w:color w:val="auto"/>
          <w:sz w:val="24"/>
          <w:szCs w:val="20"/>
          <w:highlight w:val="none"/>
          <w:lang w:val="en-US" w:eastAsia="zh-CN"/>
        </w:rPr>
        <w:t>4、</w:t>
      </w:r>
      <w:r>
        <w:rPr>
          <w:rFonts w:ascii="Cambria Math" w:hAnsi="Cambria Math" w:eastAsia="宋体" w:cs="Cambria Math"/>
          <w:b w:val="0"/>
          <w:color w:val="auto"/>
          <w:sz w:val="24"/>
          <w:szCs w:val="20"/>
          <w:highlight w:val="none"/>
        </w:rPr>
        <w:t>样品不予退还。</w:t>
      </w:r>
    </w:p>
    <w:p w14:paraId="049ED923">
      <w:pPr>
        <w:pStyle w:val="3"/>
        <w:rPr>
          <w:color w:val="auto"/>
          <w:highlight w:val="none"/>
        </w:rPr>
      </w:pPr>
      <w:r>
        <w:rPr>
          <w:rFonts w:hint="eastAsia"/>
          <w:color w:val="auto"/>
          <w:highlight w:val="none"/>
          <w:lang w:val="en-US" w:eastAsia="zh-CN"/>
        </w:rPr>
        <w:t xml:space="preserve">    </w:t>
      </w:r>
      <w:bookmarkStart w:id="50" w:name="_Toc15059418"/>
      <w:bookmarkStart w:id="51" w:name="_Toc89675144"/>
      <w:r>
        <w:rPr>
          <w:rFonts w:hint="eastAsia"/>
          <w:color w:val="auto"/>
          <w:highlight w:val="none"/>
          <w:lang w:val="en-US" w:eastAsia="zh-CN"/>
        </w:rPr>
        <w:t>五、</w:t>
      </w:r>
      <w:r>
        <w:rPr>
          <w:rFonts w:hint="eastAsia"/>
          <w:color w:val="auto"/>
          <w:highlight w:val="none"/>
        </w:rPr>
        <w:t>交付周期、地点</w:t>
      </w:r>
      <w:bookmarkEnd w:id="50"/>
      <w:bookmarkEnd w:id="51"/>
    </w:p>
    <w:p w14:paraId="7F654575">
      <w:pPr>
        <w:rPr>
          <w:rFonts w:hint="eastAsia"/>
          <w:color w:val="auto"/>
          <w:highlight w:val="none"/>
        </w:rPr>
      </w:pPr>
      <w:bookmarkStart w:id="52" w:name="_Toc15059420"/>
      <w:bookmarkStart w:id="53" w:name="_Toc89675146"/>
      <w:bookmarkStart w:id="54" w:name="_Toc1125"/>
      <w:bookmarkStart w:id="55" w:name="_Toc440628915"/>
      <w:bookmarkStart w:id="56" w:name="_Toc387826347"/>
      <w:bookmarkStart w:id="57" w:name="_Toc432254881"/>
      <w:r>
        <w:rPr>
          <w:rFonts w:hint="eastAsia"/>
          <w:color w:val="auto"/>
          <w:highlight w:val="none"/>
          <w:lang w:val="en-US" w:eastAsia="zh-CN"/>
        </w:rPr>
        <w:t>5</w:t>
      </w:r>
      <w:r>
        <w:rPr>
          <w:rFonts w:hint="eastAsia"/>
          <w:color w:val="auto"/>
          <w:highlight w:val="none"/>
        </w:rPr>
        <w:t>.1 交付时间</w:t>
      </w:r>
      <w:r>
        <w:rPr>
          <w:color w:val="auto"/>
          <w:highlight w:val="none"/>
        </w:rPr>
        <w:t>：</w:t>
      </w:r>
      <w:r>
        <w:rPr>
          <w:rFonts w:hint="eastAsia"/>
          <w:color w:val="auto"/>
          <w:highlight w:val="none"/>
        </w:rPr>
        <w:t>中</w:t>
      </w:r>
      <w:r>
        <w:rPr>
          <w:rFonts w:hint="eastAsia"/>
          <w:color w:val="auto"/>
          <w:highlight w:val="none"/>
          <w:lang w:val="en-US" w:eastAsia="zh-CN"/>
        </w:rPr>
        <w:t>选</w:t>
      </w:r>
      <w:r>
        <w:rPr>
          <w:color w:val="auto"/>
          <w:highlight w:val="none"/>
          <w:lang w:val="en-US" w:eastAsia="zh-CN"/>
        </w:rPr>
        <w:t>单位中选</w:t>
      </w:r>
      <w:r>
        <w:rPr>
          <w:rFonts w:hint="eastAsia"/>
          <w:color w:val="auto"/>
          <w:highlight w:val="none"/>
        </w:rPr>
        <w:t>后</w:t>
      </w:r>
      <w:r>
        <w:rPr>
          <w:color w:val="auto"/>
          <w:highlight w:val="none"/>
        </w:rPr>
        <w:t>应</w:t>
      </w:r>
      <w:r>
        <w:rPr>
          <w:rFonts w:hint="eastAsia"/>
          <w:color w:val="auto"/>
          <w:highlight w:val="none"/>
        </w:rPr>
        <w:t>保质保量完成制作，</w:t>
      </w:r>
      <w:r>
        <w:rPr>
          <w:color w:val="auto"/>
          <w:highlight w:val="none"/>
        </w:rPr>
        <w:t>确保</w:t>
      </w:r>
      <w:r>
        <w:rPr>
          <w:rFonts w:hint="eastAsia"/>
          <w:color w:val="auto"/>
          <w:highlight w:val="none"/>
        </w:rPr>
        <w:t>能在2024年1</w:t>
      </w:r>
      <w:r>
        <w:rPr>
          <w:color w:val="auto"/>
          <w:highlight w:val="none"/>
        </w:rPr>
        <w:t>2</w:t>
      </w:r>
      <w:r>
        <w:rPr>
          <w:rFonts w:hint="eastAsia"/>
          <w:color w:val="auto"/>
          <w:highlight w:val="none"/>
        </w:rPr>
        <w:t>月</w:t>
      </w:r>
      <w:r>
        <w:rPr>
          <w:color w:val="auto"/>
          <w:highlight w:val="none"/>
        </w:rPr>
        <w:t>10</w:t>
      </w:r>
      <w:r>
        <w:rPr>
          <w:rFonts w:hint="eastAsia"/>
          <w:color w:val="auto"/>
          <w:highlight w:val="none"/>
          <w:lang w:val="en-US" w:eastAsia="zh-CN"/>
        </w:rPr>
        <w:t>日</w:t>
      </w:r>
      <w:r>
        <w:rPr>
          <w:rFonts w:hint="eastAsia"/>
          <w:color w:val="auto"/>
          <w:highlight w:val="none"/>
        </w:rPr>
        <w:t>前完成以下</w:t>
      </w:r>
      <w:r>
        <w:rPr>
          <w:rFonts w:hint="eastAsia"/>
          <w:color w:val="auto"/>
          <w:highlight w:val="none"/>
          <w:lang w:val="en-US" w:eastAsia="zh-CN"/>
        </w:rPr>
        <w:t>机构</w:t>
      </w:r>
      <w:r>
        <w:rPr>
          <w:rFonts w:hint="eastAsia"/>
          <w:color w:val="auto"/>
          <w:highlight w:val="none"/>
        </w:rPr>
        <w:t>的配送工作：</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6477"/>
        <w:gridCol w:w="1099"/>
      </w:tblGrid>
      <w:tr w14:paraId="7B96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14:paraId="7157FB88">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14:paraId="477552E0">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营业网点</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14:paraId="59B82002">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网点数量</w:t>
            </w:r>
          </w:p>
        </w:tc>
      </w:tr>
      <w:tr w14:paraId="57F5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14:paraId="08154446">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营业网点</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14:paraId="419201E0">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总行营业部、渝中支行、江北支行、渝北支行、沙坪坝支行、九龙坡支行、南岸支行、大渡口支行、北部新区支行、北碚支行、巴南支行、空港支行、两江支行、西永支行、高新支行、锦江支行、巴国城支行、大坪支行、陈家湾支行、鱼复支行、茶园支行、</w:t>
            </w:r>
            <w:r>
              <w:rPr>
                <w:rFonts w:ascii="宋体" w:hAnsi="宋体" w:eastAsia="宋体" w:cs="宋体"/>
                <w:snapToGrid w:val="0"/>
                <w:color w:val="auto"/>
                <w:kern w:val="0"/>
                <w:sz w:val="24"/>
                <w:szCs w:val="24"/>
                <w:highlight w:val="none"/>
              </w:rPr>
              <w:t>红锦支行、</w:t>
            </w:r>
            <w:r>
              <w:rPr>
                <w:rFonts w:hint="eastAsia" w:ascii="宋体" w:hAnsi="宋体" w:eastAsia="宋体" w:cs="宋体"/>
                <w:snapToGrid w:val="0"/>
                <w:color w:val="auto"/>
                <w:kern w:val="0"/>
                <w:sz w:val="24"/>
                <w:szCs w:val="24"/>
                <w:highlight w:val="none"/>
              </w:rPr>
              <w:t>回兴支行、二郎支行、界石支行、福利社支行、</w:t>
            </w:r>
            <w:r>
              <w:rPr>
                <w:rFonts w:ascii="宋体" w:hAnsi="宋体" w:eastAsia="宋体" w:cs="宋体"/>
                <w:snapToGrid w:val="0"/>
                <w:color w:val="auto"/>
                <w:kern w:val="0"/>
                <w:sz w:val="24"/>
                <w:szCs w:val="24"/>
                <w:highlight w:val="none"/>
              </w:rPr>
              <w:t>人和</w:t>
            </w:r>
            <w:r>
              <w:rPr>
                <w:rFonts w:hint="eastAsia" w:ascii="宋体" w:hAnsi="宋体" w:eastAsia="宋体" w:cs="宋体"/>
                <w:snapToGrid w:val="0"/>
                <w:color w:val="auto"/>
                <w:kern w:val="0"/>
                <w:sz w:val="24"/>
                <w:szCs w:val="24"/>
                <w:highlight w:val="none"/>
              </w:rPr>
              <w:t>支行、李家沱支行、两江名居支行、黄杨路支行、鸳鸯支行、冉家坝支行、</w:t>
            </w:r>
            <w:r>
              <w:rPr>
                <w:rFonts w:ascii="宋体" w:hAnsi="宋体" w:eastAsia="宋体" w:cs="宋体"/>
                <w:snapToGrid w:val="0"/>
                <w:color w:val="auto"/>
                <w:kern w:val="0"/>
                <w:sz w:val="24"/>
                <w:szCs w:val="24"/>
                <w:highlight w:val="none"/>
              </w:rPr>
              <w:t>九街</w:t>
            </w:r>
            <w:r>
              <w:rPr>
                <w:rFonts w:hint="eastAsia" w:ascii="宋体" w:hAnsi="宋体" w:eastAsia="宋体" w:cs="宋体"/>
                <w:snapToGrid w:val="0"/>
                <w:color w:val="auto"/>
                <w:kern w:val="0"/>
                <w:sz w:val="24"/>
                <w:szCs w:val="24"/>
                <w:highlight w:val="none"/>
              </w:rPr>
              <w:t>支行、回龙湾支行、龙头寺支行、金开支行、弹子石支行、南桥寺支行、潼南支行、长寿支行、凤城支行、涪陵支行、黔江支行、忠县支行、丰都支行、永川支行、璧山支行、江津支行、白沙支行、大足支行、綦江支行、南川支行、铜梁支行、武隆支行、石柱支行、彭水支行、秀山支行、酉阳支行、合川支行、荣昌支行、万盛支行、双福经开支行、南州支行、和平支行、万州分行营业部、龙宝支行、王牌路支行、天城支行、白岩路支行、金狮支行、北山支行、高笋塘支行、电报路支行、五桥支行、江南支行、太白路支行、未来城支行、移民广场支行、青羊宫支行、长龙支行、梁平支行、垫江支行、开州支行、云阳支行、巫山支行、奉节支行、城口支行、巫溪支行、梁山支行、双桥支行、东安支行、天星桥支行</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空港新城支行</w:t>
            </w:r>
            <w:r>
              <w:rPr>
                <w:rFonts w:ascii="宋体" w:hAnsi="宋体" w:cs="宋体"/>
                <w:snapToGrid w:val="0"/>
                <w:color w:val="auto"/>
                <w:kern w:val="0"/>
                <w:sz w:val="24"/>
                <w:szCs w:val="24"/>
                <w:highlight w:val="none"/>
                <w:lang w:val="en-US" w:eastAsia="zh-CN"/>
              </w:rPr>
              <w:t>等98家。</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14:paraId="5B941E52">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98</w:t>
            </w:r>
            <w:r>
              <w:rPr>
                <w:rFonts w:hint="eastAsia" w:ascii="宋体" w:hAnsi="宋体" w:eastAsia="宋体" w:cs="宋体"/>
                <w:color w:val="auto"/>
                <w:sz w:val="24"/>
                <w:szCs w:val="24"/>
                <w:highlight w:val="none"/>
              </w:rPr>
              <w:t>家</w:t>
            </w:r>
          </w:p>
        </w:tc>
      </w:tr>
      <w:tr w14:paraId="1596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54" w:type="pct"/>
            <w:tcBorders>
              <w:top w:val="single" w:color="auto" w:sz="4" w:space="0"/>
              <w:left w:val="single" w:color="auto" w:sz="4" w:space="0"/>
              <w:bottom w:val="single" w:color="auto" w:sz="4" w:space="0"/>
              <w:right w:val="single" w:color="auto" w:sz="4" w:space="0"/>
              <w:tl2br w:val="nil"/>
              <w:tr2bl w:val="nil"/>
            </w:tcBorders>
            <w:vAlign w:val="center"/>
          </w:tcPr>
          <w:p w14:paraId="0DE265C2">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总行</w:t>
            </w:r>
          </w:p>
        </w:tc>
        <w:tc>
          <w:tcPr>
            <w:tcW w:w="3800" w:type="pct"/>
            <w:tcBorders>
              <w:top w:val="single" w:color="auto" w:sz="4" w:space="0"/>
              <w:left w:val="single" w:color="auto" w:sz="4" w:space="0"/>
              <w:bottom w:val="single" w:color="auto" w:sz="4" w:space="0"/>
              <w:right w:val="single" w:color="auto" w:sz="4" w:space="0"/>
              <w:tl2br w:val="nil"/>
              <w:tr2bl w:val="nil"/>
            </w:tcBorders>
            <w:vAlign w:val="center"/>
          </w:tcPr>
          <w:p w14:paraId="203EE44E">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重庆三峡银行总行</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14:paraId="71C34035">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1家</w:t>
            </w:r>
          </w:p>
        </w:tc>
      </w:tr>
    </w:tbl>
    <w:p w14:paraId="206D9311">
      <w:pPr>
        <w:rPr>
          <w:color w:val="auto"/>
          <w:highlight w:val="none"/>
        </w:rPr>
      </w:pPr>
      <w:r>
        <w:rPr>
          <w:rFonts w:hint="eastAsia"/>
          <w:color w:val="auto"/>
          <w:highlight w:val="none"/>
        </w:rPr>
        <w:t>单家</w:t>
      </w:r>
      <w:r>
        <w:rPr>
          <w:rFonts w:hint="eastAsia"/>
          <w:color w:val="auto"/>
          <w:highlight w:val="none"/>
          <w:lang w:val="en-US" w:eastAsia="zh-CN"/>
        </w:rPr>
        <w:t>机构</w:t>
      </w:r>
      <w:r>
        <w:rPr>
          <w:rFonts w:hint="eastAsia"/>
          <w:color w:val="auto"/>
          <w:highlight w:val="none"/>
        </w:rPr>
        <w:t>的具体配送数量和详细地址以比选人和</w:t>
      </w:r>
      <w:r>
        <w:rPr>
          <w:rFonts w:hint="eastAsia"/>
          <w:color w:val="auto"/>
          <w:highlight w:val="none"/>
          <w:lang w:val="en-US" w:eastAsia="zh-CN"/>
        </w:rPr>
        <w:t>中选</w:t>
      </w:r>
      <w:r>
        <w:rPr>
          <w:rFonts w:hint="eastAsia"/>
          <w:color w:val="auto"/>
          <w:highlight w:val="none"/>
          <w:lang w:eastAsia="zh-CN"/>
        </w:rPr>
        <w:t>人</w:t>
      </w:r>
      <w:r>
        <w:rPr>
          <w:rFonts w:hint="eastAsia"/>
          <w:color w:val="auto"/>
          <w:highlight w:val="none"/>
        </w:rPr>
        <w:t>合同约定为准。</w:t>
      </w:r>
    </w:p>
    <w:p w14:paraId="6EC2FE94">
      <w:pPr>
        <w:pStyle w:val="4"/>
        <w:rPr>
          <w:color w:val="auto"/>
          <w:highlight w:val="none"/>
        </w:rPr>
      </w:pPr>
      <w:r>
        <w:rPr>
          <w:rFonts w:hint="eastAsia"/>
          <w:color w:val="auto"/>
          <w:highlight w:val="none"/>
        </w:rPr>
        <w:t>4.2 实施及交付地点</w:t>
      </w:r>
    </w:p>
    <w:p w14:paraId="09814A4A">
      <w:pPr>
        <w:rPr>
          <w:color w:val="auto"/>
          <w:highlight w:val="none"/>
        </w:rPr>
      </w:pPr>
      <w:r>
        <w:rPr>
          <w:rFonts w:hint="eastAsia"/>
          <w:color w:val="auto"/>
          <w:highlight w:val="none"/>
        </w:rPr>
        <w:t>重庆市。</w:t>
      </w:r>
    </w:p>
    <w:p w14:paraId="51850249">
      <w:pPr>
        <w:pStyle w:val="3"/>
        <w:rPr>
          <w:color w:val="auto"/>
          <w:highlight w:val="none"/>
        </w:rPr>
      </w:pPr>
      <w:r>
        <w:rPr>
          <w:rFonts w:hint="eastAsia"/>
          <w:color w:val="auto"/>
          <w:highlight w:val="none"/>
        </w:rPr>
        <w:t>5. 服务连续性预案</w:t>
      </w:r>
    </w:p>
    <w:p w14:paraId="4BCA3003">
      <w:pPr>
        <w:rPr>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14:paraId="69AD1FCA">
      <w:pPr>
        <w:pStyle w:val="3"/>
        <w:rPr>
          <w:color w:val="auto"/>
          <w:highlight w:val="none"/>
        </w:rPr>
      </w:pPr>
      <w:r>
        <w:rPr>
          <w:rFonts w:hint="eastAsia"/>
          <w:color w:val="auto"/>
          <w:highlight w:val="none"/>
        </w:rPr>
        <w:t>6. 项目实施方案</w:t>
      </w:r>
    </w:p>
    <w:p w14:paraId="250F6FE5">
      <w:pPr>
        <w:rPr>
          <w:color w:val="auto"/>
          <w:highlight w:val="none"/>
        </w:rPr>
      </w:pPr>
      <w:r>
        <w:rPr>
          <w:rFonts w:hint="eastAsia"/>
          <w:color w:val="auto"/>
          <w:highlight w:val="none"/>
        </w:rPr>
        <w:t>在本次比选中，参选人应在参选文件中提供项目实施方案供比选人查看，方案应包括包括履行合同的时间计划、提交资料、人员安排等内容。【提供项目实施方案】</w:t>
      </w:r>
    </w:p>
    <w:bookmarkEnd w:id="52"/>
    <w:bookmarkEnd w:id="53"/>
    <w:p w14:paraId="1AA699CD">
      <w:pPr>
        <w:pStyle w:val="3"/>
        <w:rPr>
          <w:color w:val="auto"/>
          <w:highlight w:val="none"/>
        </w:rPr>
      </w:pPr>
      <w:bookmarkStart w:id="58" w:name="_Toc89675148"/>
      <w:bookmarkStart w:id="59" w:name="_Toc15059422"/>
      <w:r>
        <w:rPr>
          <w:rFonts w:hint="eastAsia"/>
          <w:color w:val="auto"/>
          <w:highlight w:val="none"/>
        </w:rPr>
        <w:t>7. 付款方式</w:t>
      </w:r>
      <w:bookmarkEnd w:id="58"/>
      <w:bookmarkEnd w:id="59"/>
    </w:p>
    <w:p w14:paraId="50328E2C">
      <w:pPr>
        <w:adjustRightInd w:val="0"/>
        <w:snapToGrid w:val="0"/>
        <w:spacing w:line="560" w:lineRule="exact"/>
        <w:ind w:firstLine="417" w:firstLineChars="174"/>
        <w:rPr>
          <w:color w:val="auto"/>
          <w:highlight w:val="none"/>
        </w:rPr>
      </w:pPr>
      <w:r>
        <w:rPr>
          <w:rFonts w:hint="eastAsia"/>
          <w:snapToGrid w:val="0"/>
          <w:color w:val="auto"/>
          <w:kern w:val="0"/>
          <w:sz w:val="24"/>
          <w:highlight w:val="none"/>
          <w:lang w:eastAsia="zh-CN"/>
        </w:rPr>
        <w:t>参选人</w:t>
      </w:r>
      <w:r>
        <w:rPr>
          <w:rFonts w:hint="eastAsia"/>
          <w:snapToGrid w:val="0"/>
          <w:color w:val="auto"/>
          <w:kern w:val="0"/>
          <w:sz w:val="24"/>
          <w:highlight w:val="none"/>
        </w:rPr>
        <w:t>应按合同及本</w:t>
      </w:r>
      <w:r>
        <w:rPr>
          <w:rFonts w:hint="eastAsia"/>
          <w:snapToGrid w:val="0"/>
          <w:color w:val="auto"/>
          <w:kern w:val="0"/>
          <w:sz w:val="24"/>
          <w:highlight w:val="none"/>
          <w:lang w:eastAsia="zh-CN"/>
        </w:rPr>
        <w:t>比选文件</w:t>
      </w:r>
      <w:r>
        <w:rPr>
          <w:rFonts w:hint="eastAsia"/>
          <w:snapToGrid w:val="0"/>
          <w:color w:val="auto"/>
          <w:kern w:val="0"/>
          <w:sz w:val="24"/>
          <w:highlight w:val="none"/>
        </w:rPr>
        <w:t>约定的时间实施。当比选人总行主管部门收到汇总装订成册的验收报告并最终通过验收后，支付合同总金额的90%，剩余应付货款的10%作为尾款，合同签订三个月后依据评价结果予以支付。比选人每次付款前，</w:t>
      </w:r>
      <w:r>
        <w:rPr>
          <w:rFonts w:hint="eastAsia"/>
          <w:snapToGrid w:val="0"/>
          <w:color w:val="auto"/>
          <w:kern w:val="0"/>
          <w:sz w:val="24"/>
          <w:highlight w:val="none"/>
          <w:lang w:eastAsia="zh-CN"/>
        </w:rPr>
        <w:t>参选人</w:t>
      </w:r>
      <w:r>
        <w:rPr>
          <w:rFonts w:hint="eastAsia"/>
          <w:snapToGrid w:val="0"/>
          <w:color w:val="auto"/>
          <w:kern w:val="0"/>
          <w:sz w:val="24"/>
          <w:highlight w:val="none"/>
        </w:rPr>
        <w:t>需先开具并送达等额增值税专用发票。否则，比选人有权不予付款且无需承担逾期付款违约责任。</w:t>
      </w:r>
    </w:p>
    <w:p w14:paraId="2A911553">
      <w:pPr>
        <w:pStyle w:val="3"/>
        <w:rPr>
          <w:color w:val="auto"/>
          <w:highlight w:val="none"/>
        </w:rPr>
      </w:pPr>
      <w:bookmarkStart w:id="60" w:name="_Toc15059424"/>
      <w:bookmarkStart w:id="61" w:name="_Toc89675150"/>
      <w:r>
        <w:rPr>
          <w:rFonts w:hint="eastAsia"/>
          <w:color w:val="auto"/>
          <w:highlight w:val="none"/>
        </w:rPr>
        <w:t>8. 保密条款</w:t>
      </w:r>
      <w:bookmarkEnd w:id="54"/>
      <w:bookmarkEnd w:id="55"/>
      <w:bookmarkEnd w:id="56"/>
      <w:bookmarkEnd w:id="57"/>
      <w:bookmarkEnd w:id="60"/>
      <w:bookmarkEnd w:id="61"/>
    </w:p>
    <w:p w14:paraId="6A825B48">
      <w:pPr>
        <w:pStyle w:val="4"/>
        <w:rPr>
          <w:color w:val="auto"/>
          <w:highlight w:val="none"/>
        </w:rPr>
      </w:pPr>
      <w:r>
        <w:rPr>
          <w:rFonts w:hint="eastAsia"/>
          <w:color w:val="auto"/>
          <w:highlight w:val="none"/>
        </w:rPr>
        <w:t>8.1 保密范围</w:t>
      </w:r>
    </w:p>
    <w:p w14:paraId="17644745">
      <w:pPr>
        <w:rPr>
          <w:color w:val="auto"/>
          <w:highlight w:val="none"/>
        </w:rPr>
      </w:pPr>
      <w:r>
        <w:rPr>
          <w:rFonts w:hint="eastAsia"/>
          <w:color w:val="auto"/>
          <w:highlight w:val="none"/>
        </w:rPr>
        <w:t>中选人在实施过程中接触到的比选人知识产权、经营信息等。</w:t>
      </w:r>
    </w:p>
    <w:p w14:paraId="3FF1D98F">
      <w:pPr>
        <w:pStyle w:val="4"/>
        <w:rPr>
          <w:color w:val="auto"/>
          <w:highlight w:val="none"/>
        </w:rPr>
      </w:pPr>
      <w:r>
        <w:rPr>
          <w:rFonts w:hint="eastAsia"/>
          <w:color w:val="auto"/>
          <w:highlight w:val="none"/>
        </w:rPr>
        <w:t>8.2 保密责任</w:t>
      </w:r>
    </w:p>
    <w:p w14:paraId="35FB4E4F">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8810E70">
      <w:pPr>
        <w:pStyle w:val="3"/>
        <w:rPr>
          <w:color w:val="auto"/>
          <w:highlight w:val="none"/>
        </w:rPr>
      </w:pPr>
      <w:r>
        <w:rPr>
          <w:rFonts w:hint="eastAsia"/>
          <w:color w:val="auto"/>
          <w:highlight w:val="none"/>
        </w:rPr>
        <w:t>9. 报价要求</w:t>
      </w:r>
    </w:p>
    <w:p w14:paraId="26A99610">
      <w:pPr>
        <w:rPr>
          <w:color w:val="auto"/>
          <w:highlight w:val="none"/>
        </w:rPr>
      </w:pPr>
      <w:r>
        <w:rPr>
          <w:rFonts w:hint="eastAsia"/>
          <w:color w:val="auto"/>
          <w:highlight w:val="none"/>
        </w:rPr>
        <w:t>参选人应严格按照《参选文件格式》格式认真填写。</w:t>
      </w:r>
    </w:p>
    <w:p w14:paraId="30CF4B98">
      <w:pPr>
        <w:pStyle w:val="3"/>
        <w:rPr>
          <w:color w:val="auto"/>
          <w:highlight w:val="none"/>
        </w:rPr>
      </w:pPr>
      <w:bookmarkStart w:id="62" w:name="_Toc89675152"/>
      <w:bookmarkStart w:id="63" w:name="_Toc15059426"/>
      <w:r>
        <w:rPr>
          <w:rFonts w:hint="eastAsia"/>
          <w:color w:val="auto"/>
          <w:highlight w:val="none"/>
        </w:rPr>
        <w:t>10. 知识产权</w:t>
      </w:r>
      <w:bookmarkEnd w:id="62"/>
      <w:bookmarkEnd w:id="63"/>
    </w:p>
    <w:p w14:paraId="16AB672D">
      <w:pPr>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B1639A9">
      <w:pPr>
        <w:pStyle w:val="3"/>
        <w:rPr>
          <w:color w:val="auto"/>
          <w:highlight w:val="none"/>
        </w:rPr>
      </w:pPr>
      <w:bookmarkStart w:id="64" w:name="_Toc89675153"/>
      <w:bookmarkStart w:id="65" w:name="_Toc15059427"/>
      <w:r>
        <w:rPr>
          <w:rFonts w:hint="eastAsia"/>
          <w:color w:val="auto"/>
          <w:highlight w:val="none"/>
        </w:rPr>
        <w:t>11. 其他</w:t>
      </w:r>
      <w:bookmarkEnd w:id="64"/>
      <w:bookmarkEnd w:id="65"/>
    </w:p>
    <w:p w14:paraId="5B2535A4">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.1 参选人必须在响应承诺函中对本章内容做出整体性响应和承诺，承诺内容必须达到本章及比选文件其他条款的要求。</w:t>
      </w:r>
    </w:p>
    <w:p w14:paraId="31794DA6">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13224399">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114DE8EB">
      <w:pPr>
        <w:snapToGrid w:val="0"/>
        <w:spacing w:line="360" w:lineRule="auto"/>
        <w:rPr>
          <w:rFonts w:ascii="宋体" w:cs="宋体"/>
          <w:snapToGrid w:val="0"/>
          <w:color w:val="auto"/>
          <w:kern w:val="0"/>
          <w:szCs w:val="24"/>
          <w:highlight w:val="none"/>
        </w:rPr>
      </w:pPr>
      <w:r>
        <w:rPr>
          <w:rFonts w:hint="eastAsia" w:ascii="宋体" w:cs="宋体"/>
          <w:snapToGrid w:val="0"/>
          <w:color w:val="auto"/>
          <w:kern w:val="0"/>
          <w:szCs w:val="24"/>
          <w:highlight w:val="none"/>
        </w:rPr>
        <w:br w:type="page"/>
      </w:r>
    </w:p>
    <w:p w14:paraId="60FDE2F4">
      <w:pPr>
        <w:pStyle w:val="2"/>
        <w:rPr>
          <w:color w:val="auto"/>
          <w:highlight w:val="none"/>
        </w:rPr>
      </w:pPr>
      <w:bookmarkStart w:id="66" w:name="_Toc24542"/>
      <w:bookmarkStart w:id="67" w:name="_Toc29189"/>
      <w:bookmarkStart w:id="68" w:name="_Toc9009"/>
      <w:r>
        <w:rPr>
          <w:rFonts w:hint="eastAsia"/>
          <w:color w:val="auto"/>
          <w:highlight w:val="none"/>
        </w:rPr>
        <w:t>第四章 评审办法（综合评估法）</w:t>
      </w:r>
      <w:bookmarkEnd w:id="66"/>
      <w:bookmarkEnd w:id="67"/>
      <w:bookmarkEnd w:id="68"/>
    </w:p>
    <w:p w14:paraId="5E2C327B">
      <w:pPr>
        <w:rPr>
          <w:b/>
          <w:bCs/>
          <w:color w:val="auto"/>
          <w:highlight w:val="none"/>
        </w:rPr>
      </w:pPr>
      <w:bookmarkStart w:id="69" w:name="_Toc2028"/>
      <w:bookmarkStart w:id="70" w:name="_Toc11471"/>
      <w:bookmarkStart w:id="71" w:name="_Toc14810"/>
      <w:bookmarkStart w:id="72" w:name="_Toc27076"/>
      <w:r>
        <w:rPr>
          <w:rFonts w:hint="eastAsia"/>
          <w:b/>
          <w:bCs/>
          <w:color w:val="auto"/>
          <w:highlight w:val="none"/>
        </w:rPr>
        <w:t>评审办法前附表</w:t>
      </w:r>
      <w:bookmarkEnd w:id="69"/>
      <w:bookmarkEnd w:id="70"/>
      <w:bookmarkEnd w:id="71"/>
      <w:bookmarkEnd w:id="72"/>
    </w:p>
    <w:p w14:paraId="422FF947">
      <w:pPr>
        <w:spacing w:line="360" w:lineRule="auto"/>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45F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8618285">
            <w:pPr>
              <w:spacing w:line="360" w:lineRule="auto"/>
              <w:ind w:firstLine="0" w:firstLineChars="0"/>
              <w:jc w:val="center"/>
              <w:rPr>
                <w:rFonts w:ascii="宋体" w:hAnsi="宋体" w:cs="宋体"/>
                <w:b/>
                <w:color w:val="auto"/>
                <w:kern w:val="0"/>
                <w:sz w:val="21"/>
                <w:szCs w:val="21"/>
                <w:highlight w:val="none"/>
              </w:rPr>
            </w:pPr>
            <w:bookmarkStart w:id="73" w:name="CQZH1_07"/>
            <w:r>
              <w:rPr>
                <w:rFonts w:hint="eastAsia" w:ascii="宋体" w:hAnsi="宋体" w:cs="宋体"/>
                <w:b/>
                <w:color w:val="auto"/>
                <w:kern w:val="0"/>
                <w:sz w:val="21"/>
                <w:szCs w:val="21"/>
                <w:highlight w:val="none"/>
              </w:rPr>
              <w:t>条款号</w:t>
            </w:r>
          </w:p>
        </w:tc>
        <w:tc>
          <w:tcPr>
            <w:tcW w:w="1482" w:type="dxa"/>
            <w:vAlign w:val="center"/>
          </w:tcPr>
          <w:p w14:paraId="62FF478A">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14:paraId="25B72CEE">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0546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57D5104">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w:t>
            </w:r>
          </w:p>
        </w:tc>
        <w:tc>
          <w:tcPr>
            <w:tcW w:w="1482" w:type="dxa"/>
            <w:tcBorders>
              <w:left w:val="single" w:color="auto" w:sz="4" w:space="0"/>
            </w:tcBorders>
            <w:vAlign w:val="center"/>
          </w:tcPr>
          <w:p w14:paraId="5EF033AB">
            <w:pPr>
              <w:spacing w:line="360" w:lineRule="auto"/>
              <w:ind w:firstLine="0" w:firstLineChars="0"/>
              <w:jc w:val="center"/>
              <w:rPr>
                <w:rFonts w:ascii="宋体" w:hAnsi="宋体"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tcBorders>
              <w:left w:val="single" w:color="auto" w:sz="4" w:space="0"/>
            </w:tcBorders>
            <w:vAlign w:val="center"/>
          </w:tcPr>
          <w:p w14:paraId="3227AF95">
            <w:pPr>
              <w:spacing w:line="360" w:lineRule="auto"/>
              <w:ind w:firstLine="0" w:firstLineChars="0"/>
              <w:jc w:val="left"/>
              <w:rPr>
                <w:rFonts w:ascii="宋体" w:hAnsi="宋体" w:cs="宋体"/>
                <w:b/>
                <w:color w:val="auto"/>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样品展示得分高的原则排序。</w:t>
            </w:r>
          </w:p>
        </w:tc>
      </w:tr>
      <w:tr w14:paraId="6488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EB5444B">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482" w:type="dxa"/>
            <w:tcBorders>
              <w:left w:val="single" w:color="auto" w:sz="4" w:space="0"/>
            </w:tcBorders>
            <w:vAlign w:val="center"/>
          </w:tcPr>
          <w:p w14:paraId="3FF7053A">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初步评审标准</w:t>
            </w:r>
          </w:p>
        </w:tc>
        <w:tc>
          <w:tcPr>
            <w:tcW w:w="7162" w:type="dxa"/>
            <w:gridSpan w:val="3"/>
            <w:tcBorders>
              <w:left w:val="single" w:color="auto" w:sz="4" w:space="0"/>
            </w:tcBorders>
            <w:vAlign w:val="center"/>
          </w:tcPr>
          <w:p w14:paraId="56FECE61">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所有参选单位</w:t>
            </w:r>
            <w:r>
              <w:rPr>
                <w:rFonts w:hint="eastAsia" w:ascii="宋体" w:hAnsi="宋体" w:cs="Times New Roman"/>
                <w:color w:val="auto"/>
                <w:spacing w:val="4"/>
                <w:kern w:val="0"/>
                <w:sz w:val="21"/>
                <w:szCs w:val="21"/>
                <w:highlight w:val="none"/>
              </w:rPr>
              <w:t>进行</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内容：资格评审、形式评审、响应性评审。</w:t>
            </w:r>
          </w:p>
        </w:tc>
      </w:tr>
      <w:tr w14:paraId="7029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B79FEE4">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color w:val="auto"/>
                <w:kern w:val="0"/>
                <w:sz w:val="21"/>
                <w:szCs w:val="21"/>
                <w:highlight w:val="none"/>
              </w:rPr>
              <w:t>2.1.1</w:t>
            </w:r>
          </w:p>
        </w:tc>
        <w:tc>
          <w:tcPr>
            <w:tcW w:w="1482" w:type="dxa"/>
            <w:tcBorders>
              <w:left w:val="single" w:color="auto" w:sz="4" w:space="0"/>
            </w:tcBorders>
            <w:vAlign w:val="center"/>
          </w:tcPr>
          <w:p w14:paraId="3CF7B40D">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资格评审标准</w:t>
            </w:r>
          </w:p>
        </w:tc>
        <w:tc>
          <w:tcPr>
            <w:tcW w:w="1686" w:type="dxa"/>
            <w:gridSpan w:val="2"/>
            <w:tcBorders>
              <w:left w:val="single" w:color="auto" w:sz="4" w:space="0"/>
            </w:tcBorders>
            <w:vAlign w:val="center"/>
          </w:tcPr>
          <w:p w14:paraId="37C90960">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资格条件要求</w:t>
            </w:r>
          </w:p>
        </w:tc>
        <w:tc>
          <w:tcPr>
            <w:tcW w:w="5476" w:type="dxa"/>
            <w:tcBorders>
              <w:left w:val="single" w:color="auto" w:sz="4" w:space="0"/>
            </w:tcBorders>
            <w:vAlign w:val="center"/>
          </w:tcPr>
          <w:p w14:paraId="4F8CFDE2">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符合第一章“2. 参选人资格要求”规定</w:t>
            </w:r>
          </w:p>
        </w:tc>
      </w:tr>
      <w:tr w14:paraId="7A4D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48A653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tcBorders>
              <w:left w:val="single" w:color="auto" w:sz="4" w:space="0"/>
            </w:tcBorders>
            <w:vAlign w:val="center"/>
          </w:tcPr>
          <w:p w14:paraId="61AFE652">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形式评审标准</w:t>
            </w:r>
          </w:p>
        </w:tc>
        <w:tc>
          <w:tcPr>
            <w:tcW w:w="1686" w:type="dxa"/>
            <w:gridSpan w:val="2"/>
            <w:tcBorders>
              <w:left w:val="single" w:color="auto" w:sz="4" w:space="0"/>
            </w:tcBorders>
            <w:vAlign w:val="center"/>
          </w:tcPr>
          <w:p w14:paraId="02AE54E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参选人名称</w:t>
            </w:r>
          </w:p>
        </w:tc>
        <w:tc>
          <w:tcPr>
            <w:tcW w:w="5476" w:type="dxa"/>
            <w:tcBorders>
              <w:left w:val="single" w:color="auto" w:sz="4" w:space="0"/>
            </w:tcBorders>
            <w:vAlign w:val="center"/>
          </w:tcPr>
          <w:p w14:paraId="76840023">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与营业执照、资格证明材料一致</w:t>
            </w:r>
          </w:p>
        </w:tc>
      </w:tr>
      <w:tr w14:paraId="5940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25E973C">
            <w:pPr>
              <w:rPr>
                <w:color w:val="auto"/>
                <w:highlight w:val="none"/>
              </w:rPr>
            </w:pPr>
          </w:p>
        </w:tc>
        <w:tc>
          <w:tcPr>
            <w:tcW w:w="1482" w:type="dxa"/>
            <w:vMerge w:val="continue"/>
            <w:tcBorders>
              <w:left w:val="single" w:color="auto" w:sz="4" w:space="0"/>
            </w:tcBorders>
            <w:textDirection w:val="tbRlV"/>
            <w:vAlign w:val="center"/>
          </w:tcPr>
          <w:p w14:paraId="5CC23878">
            <w:pPr>
              <w:rPr>
                <w:color w:val="auto"/>
                <w:highlight w:val="none"/>
              </w:rPr>
            </w:pPr>
          </w:p>
        </w:tc>
        <w:tc>
          <w:tcPr>
            <w:tcW w:w="1686" w:type="dxa"/>
            <w:gridSpan w:val="2"/>
            <w:tcBorders>
              <w:left w:val="single" w:color="auto" w:sz="4" w:space="0"/>
            </w:tcBorders>
            <w:vAlign w:val="center"/>
          </w:tcPr>
          <w:p w14:paraId="44D3BDB1">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参选文件的签字盖章</w:t>
            </w:r>
          </w:p>
        </w:tc>
        <w:tc>
          <w:tcPr>
            <w:tcW w:w="5476" w:type="dxa"/>
            <w:tcBorders>
              <w:left w:val="single" w:color="auto" w:sz="4" w:space="0"/>
            </w:tcBorders>
            <w:vAlign w:val="center"/>
          </w:tcPr>
          <w:p w14:paraId="7617FF73">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14:paraId="0EE4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F25A21D">
            <w:pPr>
              <w:rPr>
                <w:color w:val="auto"/>
                <w:highlight w:val="none"/>
              </w:rPr>
            </w:pPr>
          </w:p>
        </w:tc>
        <w:tc>
          <w:tcPr>
            <w:tcW w:w="1482" w:type="dxa"/>
            <w:vMerge w:val="continue"/>
            <w:tcBorders>
              <w:left w:val="single" w:color="auto" w:sz="4" w:space="0"/>
            </w:tcBorders>
            <w:textDirection w:val="tbRlV"/>
            <w:vAlign w:val="center"/>
          </w:tcPr>
          <w:p w14:paraId="5DD2ED44">
            <w:pPr>
              <w:rPr>
                <w:color w:val="auto"/>
                <w:highlight w:val="none"/>
              </w:rPr>
            </w:pPr>
          </w:p>
        </w:tc>
        <w:tc>
          <w:tcPr>
            <w:tcW w:w="1686" w:type="dxa"/>
            <w:gridSpan w:val="2"/>
            <w:tcBorders>
              <w:left w:val="single" w:color="auto" w:sz="4" w:space="0"/>
            </w:tcBorders>
            <w:vAlign w:val="center"/>
          </w:tcPr>
          <w:p w14:paraId="21B98DB2">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参选文件的密封</w:t>
            </w:r>
          </w:p>
        </w:tc>
        <w:tc>
          <w:tcPr>
            <w:tcW w:w="5476" w:type="dxa"/>
            <w:tcBorders>
              <w:left w:val="single" w:color="auto" w:sz="4" w:space="0"/>
            </w:tcBorders>
            <w:vAlign w:val="center"/>
          </w:tcPr>
          <w:p w14:paraId="03B226DD">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符合第二章“参选人须知”4.6 条规定</w:t>
            </w:r>
          </w:p>
        </w:tc>
      </w:tr>
      <w:tr w14:paraId="3EA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EB1F96D">
            <w:pPr>
              <w:rPr>
                <w:color w:val="auto"/>
                <w:highlight w:val="none"/>
              </w:rPr>
            </w:pPr>
          </w:p>
        </w:tc>
        <w:tc>
          <w:tcPr>
            <w:tcW w:w="1482" w:type="dxa"/>
            <w:vMerge w:val="continue"/>
            <w:tcBorders>
              <w:left w:val="single" w:color="auto" w:sz="4" w:space="0"/>
            </w:tcBorders>
            <w:textDirection w:val="tbRlV"/>
            <w:vAlign w:val="center"/>
          </w:tcPr>
          <w:p w14:paraId="2EF108EE">
            <w:pPr>
              <w:rPr>
                <w:color w:val="auto"/>
                <w:highlight w:val="none"/>
              </w:rPr>
            </w:pPr>
          </w:p>
        </w:tc>
        <w:tc>
          <w:tcPr>
            <w:tcW w:w="1686" w:type="dxa"/>
            <w:gridSpan w:val="2"/>
            <w:tcBorders>
              <w:left w:val="single" w:color="auto" w:sz="4" w:space="0"/>
            </w:tcBorders>
            <w:vAlign w:val="center"/>
          </w:tcPr>
          <w:p w14:paraId="6A793AD0">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参选文件格式</w:t>
            </w:r>
          </w:p>
        </w:tc>
        <w:tc>
          <w:tcPr>
            <w:tcW w:w="5476" w:type="dxa"/>
            <w:tcBorders>
              <w:left w:val="single" w:color="auto" w:sz="4" w:space="0"/>
            </w:tcBorders>
            <w:vAlign w:val="center"/>
          </w:tcPr>
          <w:p w14:paraId="5408074C">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符合第六章“参选文件格式”的要求</w:t>
            </w:r>
          </w:p>
        </w:tc>
      </w:tr>
      <w:tr w14:paraId="76D4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A8FB6D">
            <w:pPr>
              <w:rPr>
                <w:color w:val="auto"/>
                <w:highlight w:val="none"/>
              </w:rPr>
            </w:pPr>
          </w:p>
        </w:tc>
        <w:tc>
          <w:tcPr>
            <w:tcW w:w="1482" w:type="dxa"/>
            <w:vMerge w:val="continue"/>
            <w:tcBorders>
              <w:left w:val="single" w:color="auto" w:sz="4" w:space="0"/>
            </w:tcBorders>
            <w:textDirection w:val="tbRlV"/>
            <w:vAlign w:val="center"/>
          </w:tcPr>
          <w:p w14:paraId="42356934">
            <w:pPr>
              <w:rPr>
                <w:color w:val="auto"/>
                <w:highlight w:val="none"/>
              </w:rPr>
            </w:pPr>
          </w:p>
        </w:tc>
        <w:tc>
          <w:tcPr>
            <w:tcW w:w="1686" w:type="dxa"/>
            <w:gridSpan w:val="2"/>
            <w:tcBorders>
              <w:left w:val="single" w:color="auto" w:sz="4" w:space="0"/>
            </w:tcBorders>
            <w:vAlign w:val="center"/>
          </w:tcPr>
          <w:p w14:paraId="4252E904">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参选文件组成</w:t>
            </w:r>
          </w:p>
        </w:tc>
        <w:tc>
          <w:tcPr>
            <w:tcW w:w="5476" w:type="dxa"/>
            <w:tcBorders>
              <w:left w:val="single" w:color="auto" w:sz="4" w:space="0"/>
            </w:tcBorders>
            <w:vAlign w:val="center"/>
          </w:tcPr>
          <w:p w14:paraId="2EF789E1">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符合第二章“参选人须知”4.1 条规定，</w:t>
            </w:r>
            <w:r>
              <w:rPr>
                <w:rFonts w:hint="eastAsia" w:ascii="宋体" w:cs="宋体"/>
                <w:color w:val="auto"/>
                <w:kern w:val="0"/>
                <w:sz w:val="20"/>
                <w:highlight w:val="none"/>
              </w:rPr>
              <w:t>内容齐全、无遗漏</w:t>
            </w:r>
          </w:p>
        </w:tc>
      </w:tr>
      <w:tr w14:paraId="76B0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06814C9">
            <w:pPr>
              <w:rPr>
                <w:color w:val="auto"/>
                <w:highlight w:val="none"/>
              </w:rPr>
            </w:pPr>
          </w:p>
        </w:tc>
        <w:tc>
          <w:tcPr>
            <w:tcW w:w="1482" w:type="dxa"/>
            <w:vMerge w:val="continue"/>
            <w:tcBorders>
              <w:left w:val="single" w:color="auto" w:sz="4" w:space="0"/>
            </w:tcBorders>
            <w:textDirection w:val="tbRlV"/>
            <w:vAlign w:val="center"/>
          </w:tcPr>
          <w:p w14:paraId="21B91EBA">
            <w:pPr>
              <w:rPr>
                <w:color w:val="auto"/>
                <w:highlight w:val="none"/>
              </w:rPr>
            </w:pPr>
          </w:p>
        </w:tc>
        <w:tc>
          <w:tcPr>
            <w:tcW w:w="1686" w:type="dxa"/>
            <w:gridSpan w:val="2"/>
            <w:tcBorders>
              <w:left w:val="single" w:color="auto" w:sz="4" w:space="0"/>
            </w:tcBorders>
            <w:vAlign w:val="center"/>
          </w:tcPr>
          <w:p w14:paraId="502D499F">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联合体参选</w:t>
            </w:r>
          </w:p>
        </w:tc>
        <w:tc>
          <w:tcPr>
            <w:tcW w:w="5476" w:type="dxa"/>
            <w:tcBorders>
              <w:left w:val="single" w:color="auto" w:sz="4" w:space="0"/>
            </w:tcBorders>
            <w:vAlign w:val="center"/>
          </w:tcPr>
          <w:p w14:paraId="71AF7531">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参选人资格要求”2.8 条的要求</w:t>
            </w:r>
          </w:p>
        </w:tc>
      </w:tr>
      <w:tr w14:paraId="052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42D205D">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tcBorders>
              <w:left w:val="single" w:color="auto" w:sz="4" w:space="0"/>
            </w:tcBorders>
            <w:vAlign w:val="center"/>
          </w:tcPr>
          <w:p w14:paraId="74211370">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tcBorders>
              <w:left w:val="single" w:color="auto" w:sz="4" w:space="0"/>
            </w:tcBorders>
            <w:vAlign w:val="center"/>
          </w:tcPr>
          <w:p w14:paraId="328EAFC6">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参选内容</w:t>
            </w:r>
          </w:p>
        </w:tc>
        <w:tc>
          <w:tcPr>
            <w:tcW w:w="5476" w:type="dxa"/>
            <w:tcBorders>
              <w:left w:val="single" w:color="auto" w:sz="4" w:space="0"/>
            </w:tcBorders>
            <w:vAlign w:val="center"/>
          </w:tcPr>
          <w:p w14:paraId="75E0A559">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在响应承诺函中对第三章“项目要求”内容做出整体承诺；</w:t>
            </w:r>
          </w:p>
          <w:p w14:paraId="07C29754">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根据第一章“2. </w:t>
            </w:r>
            <w:r>
              <w:rPr>
                <w:rFonts w:ascii="宋体" w:hAnsi="宋体" w:cs="宋体"/>
                <w:color w:val="auto"/>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lang w:val="en-US" w:eastAsia="zh-CN"/>
              </w:rPr>
              <w:t>资料</w:t>
            </w:r>
            <w:r>
              <w:rPr>
                <w:rFonts w:ascii="宋体" w:hAnsi="宋体" w:cs="宋体"/>
                <w:color w:val="auto"/>
                <w:kern w:val="0"/>
                <w:sz w:val="21"/>
                <w:szCs w:val="21"/>
                <w:highlight w:val="none"/>
              </w:rPr>
              <w:t>，内容齐全、无遗漏。</w:t>
            </w:r>
          </w:p>
        </w:tc>
      </w:tr>
      <w:tr w14:paraId="6D3B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9B3B71">
            <w:pPr>
              <w:rPr>
                <w:color w:val="auto"/>
                <w:highlight w:val="none"/>
              </w:rPr>
            </w:pPr>
          </w:p>
        </w:tc>
        <w:tc>
          <w:tcPr>
            <w:tcW w:w="1482" w:type="dxa"/>
            <w:vMerge w:val="continue"/>
            <w:tcBorders>
              <w:left w:val="single" w:color="auto" w:sz="4" w:space="0"/>
            </w:tcBorders>
          </w:tcPr>
          <w:p w14:paraId="530F3CEF">
            <w:pPr>
              <w:rPr>
                <w:color w:val="auto"/>
                <w:highlight w:val="none"/>
              </w:rPr>
            </w:pPr>
          </w:p>
        </w:tc>
        <w:tc>
          <w:tcPr>
            <w:tcW w:w="1686" w:type="dxa"/>
            <w:gridSpan w:val="2"/>
            <w:tcBorders>
              <w:left w:val="single" w:color="auto" w:sz="4" w:space="0"/>
            </w:tcBorders>
            <w:vAlign w:val="center"/>
          </w:tcPr>
          <w:p w14:paraId="0929E16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参选文件份数</w:t>
            </w:r>
          </w:p>
        </w:tc>
        <w:tc>
          <w:tcPr>
            <w:tcW w:w="5476" w:type="dxa"/>
            <w:tcBorders>
              <w:left w:val="single" w:color="auto" w:sz="4" w:space="0"/>
            </w:tcBorders>
            <w:vAlign w:val="center"/>
          </w:tcPr>
          <w:p w14:paraId="4F8E233B">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14:paraId="5338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F90C8B">
            <w:pPr>
              <w:rPr>
                <w:color w:val="auto"/>
                <w:highlight w:val="none"/>
              </w:rPr>
            </w:pPr>
          </w:p>
        </w:tc>
        <w:tc>
          <w:tcPr>
            <w:tcW w:w="1482" w:type="dxa"/>
            <w:vMerge w:val="continue"/>
            <w:tcBorders>
              <w:left w:val="single" w:color="auto" w:sz="4" w:space="0"/>
            </w:tcBorders>
          </w:tcPr>
          <w:p w14:paraId="219B32CA">
            <w:pPr>
              <w:rPr>
                <w:color w:val="auto"/>
                <w:highlight w:val="none"/>
              </w:rPr>
            </w:pPr>
          </w:p>
        </w:tc>
        <w:tc>
          <w:tcPr>
            <w:tcW w:w="1686" w:type="dxa"/>
            <w:gridSpan w:val="2"/>
            <w:tcBorders>
              <w:left w:val="single" w:color="auto" w:sz="4" w:space="0"/>
            </w:tcBorders>
            <w:vAlign w:val="center"/>
          </w:tcPr>
          <w:p w14:paraId="25E82BEF">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参选方案唯一</w:t>
            </w:r>
          </w:p>
        </w:tc>
        <w:tc>
          <w:tcPr>
            <w:tcW w:w="5476" w:type="dxa"/>
            <w:tcBorders>
              <w:left w:val="single" w:color="auto" w:sz="4" w:space="0"/>
            </w:tcBorders>
            <w:vAlign w:val="center"/>
          </w:tcPr>
          <w:p w14:paraId="195CF68C">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只能有一个方案参选。</w:t>
            </w:r>
          </w:p>
        </w:tc>
      </w:tr>
      <w:tr w14:paraId="15E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AB3F50">
            <w:pPr>
              <w:rPr>
                <w:color w:val="auto"/>
                <w:highlight w:val="none"/>
              </w:rPr>
            </w:pPr>
          </w:p>
        </w:tc>
        <w:tc>
          <w:tcPr>
            <w:tcW w:w="1482" w:type="dxa"/>
            <w:vMerge w:val="continue"/>
            <w:tcBorders>
              <w:left w:val="single" w:color="auto" w:sz="4" w:space="0"/>
            </w:tcBorders>
          </w:tcPr>
          <w:p w14:paraId="09F2FFBB">
            <w:pPr>
              <w:rPr>
                <w:color w:val="auto"/>
                <w:highlight w:val="none"/>
              </w:rPr>
            </w:pPr>
          </w:p>
        </w:tc>
        <w:tc>
          <w:tcPr>
            <w:tcW w:w="1686" w:type="dxa"/>
            <w:gridSpan w:val="2"/>
            <w:tcBorders>
              <w:left w:val="single" w:color="auto" w:sz="4" w:space="0"/>
            </w:tcBorders>
            <w:vAlign w:val="center"/>
          </w:tcPr>
          <w:p w14:paraId="0E3AF21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参选报价</w:t>
            </w:r>
          </w:p>
        </w:tc>
        <w:tc>
          <w:tcPr>
            <w:tcW w:w="5476" w:type="dxa"/>
            <w:tcBorders>
              <w:left w:val="single" w:color="auto" w:sz="4" w:space="0"/>
            </w:tcBorders>
            <w:vAlign w:val="center"/>
          </w:tcPr>
          <w:p w14:paraId="5F7E5804">
            <w:pPr>
              <w:adjustRightInd w:val="0"/>
              <w:snapToGrid w:val="0"/>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符合第二章“参选人须知”4.7 条规定</w:t>
            </w:r>
          </w:p>
        </w:tc>
      </w:tr>
      <w:tr w14:paraId="4FAB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9F0B14E">
            <w:pPr>
              <w:rPr>
                <w:color w:val="auto"/>
                <w:highlight w:val="none"/>
              </w:rPr>
            </w:pPr>
          </w:p>
        </w:tc>
        <w:tc>
          <w:tcPr>
            <w:tcW w:w="1482" w:type="dxa"/>
            <w:vMerge w:val="continue"/>
            <w:tcBorders>
              <w:left w:val="single" w:color="auto" w:sz="4" w:space="0"/>
            </w:tcBorders>
          </w:tcPr>
          <w:p w14:paraId="37D0FE48">
            <w:pPr>
              <w:rPr>
                <w:color w:val="auto"/>
                <w:highlight w:val="none"/>
              </w:rPr>
            </w:pPr>
          </w:p>
        </w:tc>
        <w:tc>
          <w:tcPr>
            <w:tcW w:w="1686" w:type="dxa"/>
            <w:gridSpan w:val="2"/>
            <w:tcBorders>
              <w:left w:val="single" w:color="auto" w:sz="4" w:space="0"/>
            </w:tcBorders>
            <w:vAlign w:val="center"/>
          </w:tcPr>
          <w:p w14:paraId="528486E7">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参选有效期</w:t>
            </w:r>
          </w:p>
        </w:tc>
        <w:tc>
          <w:tcPr>
            <w:tcW w:w="5476" w:type="dxa"/>
            <w:tcBorders>
              <w:left w:val="single" w:color="auto" w:sz="4" w:space="0"/>
            </w:tcBorders>
          </w:tcPr>
          <w:p w14:paraId="4766D354">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符合第二章“参选人须知”4.3 条规定</w:t>
            </w:r>
          </w:p>
        </w:tc>
      </w:tr>
      <w:tr w14:paraId="1365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1EC6FA8">
            <w:pPr>
              <w:rPr>
                <w:color w:val="auto"/>
                <w:highlight w:val="none"/>
              </w:rPr>
            </w:pPr>
          </w:p>
        </w:tc>
        <w:tc>
          <w:tcPr>
            <w:tcW w:w="1482" w:type="dxa"/>
            <w:vMerge w:val="continue"/>
            <w:tcBorders>
              <w:left w:val="single" w:color="auto" w:sz="4" w:space="0"/>
            </w:tcBorders>
          </w:tcPr>
          <w:p w14:paraId="232E93D1">
            <w:pPr>
              <w:rPr>
                <w:color w:val="auto"/>
                <w:highlight w:val="none"/>
              </w:rPr>
            </w:pPr>
          </w:p>
        </w:tc>
        <w:tc>
          <w:tcPr>
            <w:tcW w:w="1686" w:type="dxa"/>
            <w:gridSpan w:val="2"/>
            <w:tcBorders>
              <w:left w:val="single" w:color="auto" w:sz="4" w:space="0"/>
            </w:tcBorders>
            <w:vAlign w:val="center"/>
          </w:tcPr>
          <w:p w14:paraId="450E978D">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参选保证金</w:t>
            </w:r>
          </w:p>
        </w:tc>
        <w:tc>
          <w:tcPr>
            <w:tcW w:w="5476" w:type="dxa"/>
            <w:tcBorders>
              <w:left w:val="single" w:color="auto" w:sz="4" w:space="0"/>
            </w:tcBorders>
          </w:tcPr>
          <w:p w14:paraId="0A37149D">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符合第二章“参选人须知”4.4 条规定</w:t>
            </w:r>
          </w:p>
        </w:tc>
      </w:tr>
      <w:tr w14:paraId="76F8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20" w:type="dxa"/>
            <w:vMerge w:val="restart"/>
            <w:vAlign w:val="center"/>
          </w:tcPr>
          <w:p w14:paraId="735D4861">
            <w:pPr>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Merge w:val="restart"/>
            <w:tcBorders>
              <w:left w:val="single" w:color="auto" w:sz="4" w:space="0"/>
            </w:tcBorders>
            <w:vAlign w:val="center"/>
          </w:tcPr>
          <w:p w14:paraId="294D366E">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详细评审</w:t>
            </w:r>
          </w:p>
        </w:tc>
        <w:tc>
          <w:tcPr>
            <w:tcW w:w="1686" w:type="dxa"/>
            <w:gridSpan w:val="2"/>
            <w:vMerge w:val="restart"/>
            <w:tcBorders>
              <w:left w:val="single" w:color="auto" w:sz="4" w:space="0"/>
            </w:tcBorders>
            <w:vAlign w:val="center"/>
          </w:tcPr>
          <w:p w14:paraId="33A73F42">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5331E431">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tcBorders>
              <w:left w:val="single" w:color="auto" w:sz="4" w:space="0"/>
            </w:tcBorders>
            <w:vAlign w:val="center"/>
          </w:tcPr>
          <w:p w14:paraId="239F1DC4">
            <w:pPr>
              <w:spacing w:line="360" w:lineRule="auto"/>
              <w:ind w:firstLine="0" w:firstLineChars="0"/>
              <w:jc w:val="left"/>
              <w:rPr>
                <w:rFonts w:ascii="宋体" w:hAnsi="宋体" w:cs="宋体"/>
                <w:color w:val="auto"/>
                <w:kern w:val="0"/>
                <w:sz w:val="21"/>
                <w:szCs w:val="21"/>
                <w:highlight w:val="none"/>
              </w:rPr>
            </w:pPr>
            <w:r>
              <w:rPr>
                <w:rFonts w:hint="eastAsia" w:ascii="宋体" w:cs="宋体"/>
                <w:color w:val="auto"/>
                <w:kern w:val="0"/>
                <w:sz w:val="21"/>
                <w:szCs w:val="21"/>
                <w:highlight w:val="none"/>
                <w:lang w:val="en-US" w:eastAsia="zh-CN"/>
              </w:rPr>
              <w:t>详见本章《详细评审评分标准表》</w:t>
            </w:r>
          </w:p>
        </w:tc>
      </w:tr>
      <w:tr w14:paraId="15FD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6E126AB9">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tcBorders>
              <w:left w:val="single" w:color="auto" w:sz="4" w:space="0"/>
            </w:tcBorders>
            <w:vAlign w:val="center"/>
          </w:tcPr>
          <w:p w14:paraId="6906580A">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Borders>
              <w:left w:val="single" w:color="auto" w:sz="4" w:space="0"/>
            </w:tcBorders>
          </w:tcPr>
          <w:p w14:paraId="0AAAE7E5">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14:paraId="6607E882">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报价、商务部分的评分。主观评审部分由各专家独立评审打分，最后取平均得分，保留2位小数。</w:t>
            </w:r>
          </w:p>
          <w:p w14:paraId="10BB189E">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14:paraId="3E4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217BDD2">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tcBorders>
              <w:left w:val="single" w:color="auto" w:sz="4" w:space="0"/>
            </w:tcBorders>
            <w:vAlign w:val="center"/>
          </w:tcPr>
          <w:p w14:paraId="3FCC6F05">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参选人得分</w:t>
            </w:r>
          </w:p>
        </w:tc>
        <w:tc>
          <w:tcPr>
            <w:tcW w:w="5651" w:type="dxa"/>
            <w:gridSpan w:val="2"/>
            <w:tcBorders>
              <w:left w:val="single" w:color="auto" w:sz="4" w:space="0"/>
            </w:tcBorders>
            <w:vAlign w:val="center"/>
          </w:tcPr>
          <w:p w14:paraId="0EDB4A06">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参选人得分=参选报价得分+商务部分得分</w:t>
            </w:r>
          </w:p>
        </w:tc>
      </w:tr>
      <w:bookmarkEnd w:id="73"/>
    </w:tbl>
    <w:p w14:paraId="3DA28CF4">
      <w:pPr>
        <w:rPr>
          <w:rFonts w:hint="eastAsia"/>
          <w:color w:val="auto"/>
          <w:highlight w:val="none"/>
        </w:rPr>
      </w:pPr>
      <w:bookmarkStart w:id="74" w:name="_Toc21111"/>
      <w:bookmarkStart w:id="75" w:name="_Toc636"/>
      <w:r>
        <w:rPr>
          <w:rFonts w:hint="eastAsia" w:ascii="宋体" w:hAnsi="宋体" w:cs="宋体"/>
          <w:snapToGrid w:val="0"/>
          <w:color w:val="auto"/>
          <w:sz w:val="21"/>
          <w:szCs w:val="21"/>
          <w:highlight w:val="none"/>
        </w:rPr>
        <w:br w:type="page"/>
      </w:r>
      <w:bookmarkEnd w:id="74"/>
      <w:bookmarkEnd w:id="75"/>
    </w:p>
    <w:p w14:paraId="56AA5A9B">
      <w:pPr>
        <w:pStyle w:val="3"/>
        <w:outlineLvl w:val="0"/>
        <w:rPr>
          <w:rFonts w:hint="eastAsia"/>
          <w:color w:val="auto"/>
          <w:highlight w:val="none"/>
        </w:rPr>
      </w:pPr>
      <w:bookmarkStart w:id="76" w:name="_Toc12709"/>
      <w:bookmarkStart w:id="77" w:name="_Toc2907"/>
      <w:bookmarkStart w:id="78" w:name="_Toc10600"/>
      <w:r>
        <w:rPr>
          <w:rFonts w:hint="eastAsia"/>
          <w:color w:val="auto"/>
          <w:highlight w:val="none"/>
          <w:lang w:val="en-US" w:eastAsia="zh-CN"/>
        </w:rPr>
        <w:t>《详细评审评分标准表》</w:t>
      </w:r>
      <w:bookmarkEnd w:id="76"/>
      <w:bookmarkEnd w:id="77"/>
      <w:bookmarkEnd w:id="78"/>
    </w:p>
    <w:p w14:paraId="124C0B11">
      <w:pPr>
        <w:rPr>
          <w:color w:val="auto"/>
          <w:highlight w:val="none"/>
        </w:rPr>
      </w:pPr>
    </w:p>
    <w:tbl>
      <w:tblPr>
        <w:tblStyle w:val="1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60"/>
        <w:gridCol w:w="1155"/>
        <w:gridCol w:w="1683"/>
        <w:gridCol w:w="4947"/>
      </w:tblGrid>
      <w:tr w14:paraId="4C5C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17" w:type="dxa"/>
            <w:shd w:val="clear" w:color="auto" w:fill="auto"/>
            <w:vAlign w:val="center"/>
          </w:tcPr>
          <w:p w14:paraId="1DBAE1C5">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snapToGrid w:val="0"/>
                <w:color w:val="auto"/>
                <w:kern w:val="0"/>
                <w:sz w:val="21"/>
                <w:szCs w:val="21"/>
                <w:highlight w:val="none"/>
              </w:rPr>
            </w:pPr>
            <w:bookmarkStart w:id="79" w:name="_Toc6341"/>
            <w:bookmarkStart w:id="80" w:name="_Toc150953074"/>
            <w:bookmarkStart w:id="81" w:name="_Toc303066034"/>
            <w:bookmarkStart w:id="82" w:name="_Toc89675170"/>
            <w:r>
              <w:rPr>
                <w:rFonts w:hint="eastAsia" w:ascii="宋体" w:hAnsi="宋体" w:eastAsia="宋体" w:cs="宋体"/>
                <w:b/>
                <w:snapToGrid w:val="0"/>
                <w:color w:val="auto"/>
                <w:kern w:val="0"/>
                <w:sz w:val="21"/>
                <w:szCs w:val="21"/>
                <w:highlight w:val="none"/>
              </w:rPr>
              <w:t>序号</w:t>
            </w:r>
          </w:p>
        </w:tc>
        <w:tc>
          <w:tcPr>
            <w:tcW w:w="960" w:type="dxa"/>
            <w:shd w:val="clear" w:color="auto" w:fill="auto"/>
            <w:vAlign w:val="center"/>
          </w:tcPr>
          <w:p w14:paraId="383B9FBE">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评分指标</w:t>
            </w:r>
          </w:p>
        </w:tc>
        <w:tc>
          <w:tcPr>
            <w:tcW w:w="1155" w:type="dxa"/>
            <w:shd w:val="clear" w:color="auto" w:fill="auto"/>
            <w:vAlign w:val="center"/>
          </w:tcPr>
          <w:p w14:paraId="5845C569">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分项指标</w:t>
            </w:r>
          </w:p>
        </w:tc>
        <w:tc>
          <w:tcPr>
            <w:tcW w:w="1683" w:type="dxa"/>
            <w:shd w:val="clear" w:color="auto" w:fill="auto"/>
            <w:vAlign w:val="center"/>
          </w:tcPr>
          <w:p w14:paraId="49E44336">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分项分值</w:t>
            </w:r>
          </w:p>
        </w:tc>
        <w:tc>
          <w:tcPr>
            <w:tcW w:w="4947" w:type="dxa"/>
            <w:shd w:val="clear" w:color="auto" w:fill="auto"/>
            <w:vAlign w:val="center"/>
          </w:tcPr>
          <w:p w14:paraId="26BB3E86">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评分说明</w:t>
            </w:r>
          </w:p>
        </w:tc>
      </w:tr>
      <w:tr w14:paraId="6513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17" w:type="dxa"/>
            <w:vMerge w:val="restart"/>
            <w:shd w:val="clear" w:color="auto" w:fill="auto"/>
            <w:vAlign w:val="center"/>
          </w:tcPr>
          <w:p w14:paraId="0B06B69C">
            <w:pPr>
              <w:keepNext w:val="0"/>
              <w:keepLines w:val="0"/>
              <w:pageBreakBefore w:val="0"/>
              <w:widowControl w:val="0"/>
              <w:kinsoku/>
              <w:wordWrap/>
              <w:overflowPunct/>
              <w:topLinePunct w:val="0"/>
              <w:autoSpaceDE/>
              <w:autoSpaceDN/>
              <w:adjustRightInd/>
              <w:snapToGrid/>
              <w:spacing w:line="240" w:lineRule="auto"/>
              <w:ind w:lef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960" w:type="dxa"/>
            <w:vMerge w:val="restart"/>
            <w:tcBorders>
              <w:left w:val="single" w:color="auto" w:sz="4" w:space="0"/>
            </w:tcBorders>
            <w:shd w:val="clear" w:color="auto" w:fill="auto"/>
            <w:vAlign w:val="center"/>
          </w:tcPr>
          <w:p w14:paraId="03A894AA">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参选人</w:t>
            </w:r>
            <w:r>
              <w:rPr>
                <w:rFonts w:hint="eastAsia" w:ascii="宋体" w:hAnsi="宋体" w:eastAsia="宋体" w:cs="宋体"/>
                <w:snapToGrid w:val="0"/>
                <w:color w:val="auto"/>
                <w:kern w:val="0"/>
                <w:sz w:val="21"/>
                <w:szCs w:val="21"/>
                <w:highlight w:val="none"/>
              </w:rPr>
              <w:t>资质（10分）</w:t>
            </w:r>
          </w:p>
        </w:tc>
        <w:tc>
          <w:tcPr>
            <w:tcW w:w="1155" w:type="dxa"/>
            <w:tcBorders>
              <w:left w:val="single" w:color="auto" w:sz="4" w:space="0"/>
            </w:tcBorders>
            <w:shd w:val="clear" w:color="auto" w:fill="auto"/>
            <w:vAlign w:val="center"/>
          </w:tcPr>
          <w:p w14:paraId="730D9BA9">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所得税申报情况      </w:t>
            </w:r>
          </w:p>
        </w:tc>
        <w:tc>
          <w:tcPr>
            <w:tcW w:w="1683" w:type="dxa"/>
            <w:tcBorders>
              <w:left w:val="single" w:color="auto" w:sz="4" w:space="0"/>
            </w:tcBorders>
            <w:shd w:val="clear" w:color="auto" w:fill="auto"/>
            <w:vAlign w:val="center"/>
          </w:tcPr>
          <w:p w14:paraId="22145E0C">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4947" w:type="dxa"/>
            <w:tcBorders>
              <w:left w:val="single" w:color="auto" w:sz="4" w:space="0"/>
            </w:tcBorders>
            <w:shd w:val="clear" w:color="auto" w:fill="auto"/>
            <w:vAlign w:val="center"/>
          </w:tcPr>
          <w:p w14:paraId="36171D20">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根据</w:t>
            </w:r>
            <w:r>
              <w:rPr>
                <w:rFonts w:hint="eastAsia" w:ascii="宋体" w:hAnsi="宋体" w:cs="宋体"/>
                <w:snapToGrid w:val="0"/>
                <w:color w:val="auto"/>
                <w:kern w:val="0"/>
                <w:sz w:val="21"/>
                <w:szCs w:val="21"/>
                <w:highlight w:val="none"/>
                <w:lang w:val="en-US" w:eastAsia="zh-CN"/>
              </w:rPr>
              <w:t>各参选人</w:t>
            </w:r>
            <w:r>
              <w:rPr>
                <w:rFonts w:hint="eastAsia" w:ascii="宋体" w:hAnsi="宋体" w:cs="宋体"/>
                <w:b w:val="0"/>
                <w:bCs w:val="0"/>
                <w:snapToGrid w:val="0"/>
                <w:color w:val="auto"/>
                <w:kern w:val="0"/>
                <w:sz w:val="21"/>
                <w:szCs w:val="21"/>
                <w:highlight w:val="none"/>
                <w:lang w:val="en-US" w:eastAsia="zh-CN"/>
              </w:rPr>
              <w:t>提供的</w:t>
            </w:r>
            <w:r>
              <w:rPr>
                <w:rFonts w:hint="eastAsia" w:ascii="宋体" w:hAnsi="宋体" w:eastAsia="宋体" w:cs="宋体"/>
                <w:snapToGrid w:val="0"/>
                <w:color w:val="auto"/>
                <w:kern w:val="0"/>
                <w:sz w:val="21"/>
                <w:szCs w:val="21"/>
                <w:highlight w:val="none"/>
              </w:rPr>
              <w:t>202</w:t>
            </w:r>
            <w:r>
              <w:rPr>
                <w:rFonts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rPr>
              <w:t>年</w:t>
            </w:r>
            <w:r>
              <w:rPr>
                <w:rFonts w:hint="eastAsia" w:ascii="宋体" w:hAnsi="宋体" w:cs="宋体"/>
                <w:b w:val="0"/>
                <w:bCs w:val="0"/>
                <w:snapToGrid w:val="0"/>
                <w:color w:val="auto"/>
                <w:kern w:val="0"/>
                <w:sz w:val="21"/>
                <w:szCs w:val="21"/>
                <w:highlight w:val="none"/>
                <w:lang w:val="en-US" w:eastAsia="zh-CN"/>
              </w:rPr>
              <w:t>企业所得税申报表</w:t>
            </w:r>
            <w:r>
              <w:rPr>
                <w:rFonts w:hint="eastAsia" w:ascii="宋体" w:hAnsi="宋体" w:eastAsia="宋体" w:cs="宋体"/>
                <w:snapToGrid w:val="0"/>
                <w:color w:val="auto"/>
                <w:kern w:val="0"/>
                <w:sz w:val="21"/>
                <w:szCs w:val="21"/>
                <w:highlight w:val="none"/>
              </w:rPr>
              <w:t>合计的高低进行</w:t>
            </w:r>
            <w:r>
              <w:rPr>
                <w:rFonts w:hint="eastAsia" w:ascii="宋体" w:hAnsi="宋体" w:cs="宋体"/>
                <w:snapToGrid w:val="0"/>
                <w:color w:val="auto"/>
                <w:kern w:val="0"/>
                <w:sz w:val="21"/>
                <w:szCs w:val="21"/>
                <w:highlight w:val="none"/>
                <w:lang w:val="en-US" w:eastAsia="zh-CN"/>
              </w:rPr>
              <w:t>排名，</w:t>
            </w:r>
            <w:r>
              <w:rPr>
                <w:rFonts w:hint="eastAsia" w:ascii="宋体" w:hAnsi="宋体" w:cs="宋体"/>
                <w:snapToGrid w:val="0"/>
                <w:color w:val="auto"/>
                <w:kern w:val="0"/>
                <w:sz w:val="21"/>
                <w:szCs w:val="21"/>
                <w:highlight w:val="none"/>
              </w:rPr>
              <w:t>第一名得五分，第二名得四分，以此类推</w:t>
            </w:r>
            <w:r>
              <w:rPr>
                <w:rFonts w:hint="eastAsia"/>
                <w:color w:val="auto"/>
                <w:highlight w:val="none"/>
                <w:lang w:eastAsia="zh-CN"/>
              </w:rPr>
              <w:t>。</w:t>
            </w:r>
          </w:p>
        </w:tc>
      </w:tr>
      <w:tr w14:paraId="16C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7" w:type="dxa"/>
            <w:vMerge w:val="continue"/>
            <w:vAlign w:val="center"/>
          </w:tcPr>
          <w:p w14:paraId="3253CF4C">
            <w:pPr>
              <w:rPr>
                <w:color w:val="auto"/>
                <w:highlight w:val="none"/>
              </w:rPr>
            </w:pPr>
          </w:p>
        </w:tc>
        <w:tc>
          <w:tcPr>
            <w:tcW w:w="960" w:type="dxa"/>
            <w:vMerge w:val="continue"/>
            <w:tcBorders>
              <w:left w:val="single" w:color="auto" w:sz="4" w:space="0"/>
            </w:tcBorders>
            <w:vAlign w:val="center"/>
          </w:tcPr>
          <w:p w14:paraId="2015CF8D">
            <w:pPr>
              <w:rPr>
                <w:color w:val="auto"/>
                <w:highlight w:val="none"/>
              </w:rPr>
            </w:pPr>
          </w:p>
        </w:tc>
        <w:tc>
          <w:tcPr>
            <w:tcW w:w="1155" w:type="dxa"/>
            <w:tcBorders>
              <w:left w:val="single" w:color="auto" w:sz="4" w:space="0"/>
            </w:tcBorders>
            <w:shd w:val="clear" w:color="auto" w:fill="auto"/>
            <w:vAlign w:val="center"/>
          </w:tcPr>
          <w:p w14:paraId="27E719B1">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w:t>
            </w:r>
            <w:r>
              <w:rPr>
                <w:rFonts w:hint="eastAsia" w:ascii="宋体" w:hAnsi="宋体" w:cs="宋体"/>
                <w:snapToGrid w:val="0"/>
                <w:color w:val="auto"/>
                <w:kern w:val="0"/>
                <w:sz w:val="21"/>
                <w:szCs w:val="21"/>
                <w:highlight w:val="none"/>
                <w:lang w:val="en-US" w:eastAsia="zh-CN"/>
              </w:rPr>
              <w:t>业绩</w:t>
            </w:r>
            <w:r>
              <w:rPr>
                <w:rFonts w:hint="eastAsia" w:ascii="宋体" w:hAnsi="宋体" w:eastAsia="宋体" w:cs="宋体"/>
                <w:snapToGrid w:val="0"/>
                <w:color w:val="auto"/>
                <w:kern w:val="0"/>
                <w:sz w:val="21"/>
                <w:szCs w:val="21"/>
                <w:highlight w:val="none"/>
              </w:rPr>
              <w:t>案例证明</w:t>
            </w:r>
          </w:p>
        </w:tc>
        <w:tc>
          <w:tcPr>
            <w:tcW w:w="1683" w:type="dxa"/>
            <w:tcBorders>
              <w:left w:val="single" w:color="auto" w:sz="4" w:space="0"/>
            </w:tcBorders>
            <w:shd w:val="clear" w:color="auto" w:fill="auto"/>
            <w:vAlign w:val="center"/>
          </w:tcPr>
          <w:p w14:paraId="65FEA044">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4947" w:type="dxa"/>
            <w:tcBorders>
              <w:left w:val="single" w:color="auto" w:sz="4" w:space="0"/>
            </w:tcBorders>
            <w:shd w:val="clear" w:color="auto" w:fill="auto"/>
            <w:vAlign w:val="center"/>
          </w:tcPr>
          <w:p w14:paraId="3EDD8A5A">
            <w:pPr>
              <w:keepNext w:val="0"/>
              <w:keepLines w:val="0"/>
              <w:pageBreakBefore w:val="0"/>
              <w:widowControl/>
              <w:kinsoku/>
              <w:wordWrap/>
              <w:overflowPunct/>
              <w:topLinePunct w:val="0"/>
              <w:autoSpaceDE/>
              <w:autoSpaceDN/>
              <w:adjustRightInd/>
              <w:snapToGrid/>
              <w:spacing w:line="360" w:lineRule="exact"/>
              <w:ind w:firstLine="0" w:firstLineChars="0"/>
              <w:jc w:val="left"/>
              <w:rPr>
                <w:rFonts w:hint="eastAsia" w:ascii="宋体" w:hAnsi="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20</w:t>
            </w:r>
            <w:r>
              <w:rPr>
                <w:rFonts w:hint="eastAsia" w:ascii="宋体" w:hAnsi="宋体" w:eastAsia="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月1日</w:t>
            </w:r>
            <w:r>
              <w:rPr>
                <w:rFonts w:hint="default" w:ascii="宋体" w:hAnsi="宋体" w:cs="宋体"/>
                <w:color w:val="auto"/>
                <w:kern w:val="0"/>
                <w:sz w:val="21"/>
                <w:szCs w:val="21"/>
                <w:highlight w:val="none"/>
                <w:lang w:val="en-US" w:eastAsia="zh-CN"/>
              </w:rPr>
              <w:t>至参选截止之日止</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以合同签订时间为准</w:t>
            </w:r>
            <w:r>
              <w:rPr>
                <w:rFonts w:hint="eastAsia" w:ascii="宋体" w:hAnsi="宋体" w:eastAsia="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参选人</w:t>
            </w:r>
            <w:r>
              <w:rPr>
                <w:rFonts w:hint="eastAsia" w:ascii="宋体" w:hAnsi="宋体" w:eastAsia="宋体" w:cs="宋体"/>
                <w:snapToGrid w:val="0"/>
                <w:color w:val="auto"/>
                <w:kern w:val="0"/>
                <w:sz w:val="21"/>
                <w:szCs w:val="21"/>
                <w:highlight w:val="none"/>
              </w:rPr>
              <w:t>具有相关实施案例，</w:t>
            </w:r>
            <w:r>
              <w:rPr>
                <w:rFonts w:hint="eastAsia" w:ascii="宋体" w:hAnsi="宋体" w:cs="宋体"/>
                <w:snapToGrid w:val="0"/>
                <w:color w:val="auto"/>
                <w:kern w:val="0"/>
                <w:sz w:val="21"/>
                <w:szCs w:val="21"/>
                <w:highlight w:val="none"/>
                <w:lang w:val="en-US" w:eastAsia="zh-CN"/>
              </w:rPr>
              <w:t>每提供一个有效案例得1分，最高5分，</w:t>
            </w:r>
            <w:r>
              <w:rPr>
                <w:rFonts w:hint="eastAsia" w:ascii="Times New Roman" w:hAnsi="Times New Roman" w:cs="宋体"/>
                <w:color w:val="auto"/>
                <w:kern w:val="0"/>
                <w:sz w:val="21"/>
                <w:szCs w:val="21"/>
                <w:highlight w:val="none"/>
              </w:rPr>
              <w:t>参选人资格要求所用案例不计入评分，同一单位案例不重复计分。</w:t>
            </w:r>
          </w:p>
          <w:p w14:paraId="1D91B175">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案例须同时提供合同关键页复印件、</w:t>
            </w:r>
            <w:r>
              <w:rPr>
                <w:rFonts w:hint="eastAsia" w:ascii="宋体" w:hAnsi="宋体" w:eastAsia="宋体" w:cs="宋体"/>
                <w:snapToGrid w:val="0"/>
                <w:color w:val="auto"/>
                <w:kern w:val="0"/>
                <w:sz w:val="21"/>
                <w:szCs w:val="21"/>
                <w:highlight w:val="none"/>
                <w:lang w:val="en-US" w:eastAsia="zh-CN"/>
              </w:rPr>
              <w:t>项目简介、</w:t>
            </w:r>
            <w:r>
              <w:rPr>
                <w:rFonts w:hint="eastAsia" w:ascii="宋体" w:hAnsi="宋体" w:eastAsia="宋体" w:cs="宋体"/>
                <w:snapToGrid w:val="0"/>
                <w:color w:val="auto"/>
                <w:kern w:val="0"/>
                <w:sz w:val="21"/>
                <w:szCs w:val="21"/>
                <w:highlight w:val="none"/>
              </w:rPr>
              <w:t>合同对应的发票之一和网上税务系统查询该发票截图。（发票开具日期须晚于合同签订日期、发票购买方须与合同买方一致、发票销售方须与合同卖方（参选人）一致）</w:t>
            </w:r>
          </w:p>
        </w:tc>
      </w:tr>
      <w:tr w14:paraId="02F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517" w:type="dxa"/>
            <w:shd w:val="clear" w:color="auto" w:fill="auto"/>
            <w:vAlign w:val="center"/>
          </w:tcPr>
          <w:p w14:paraId="57DFE101">
            <w:pPr>
              <w:keepNext w:val="0"/>
              <w:keepLines w:val="0"/>
              <w:pageBreakBefore w:val="0"/>
              <w:widowControl w:val="0"/>
              <w:kinsoku/>
              <w:wordWrap/>
              <w:overflowPunct/>
              <w:topLinePunct w:val="0"/>
              <w:autoSpaceDE/>
              <w:autoSpaceDN/>
              <w:adjustRightInd/>
              <w:snapToGrid/>
              <w:spacing w:line="240" w:lineRule="auto"/>
              <w:ind w:lef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960" w:type="dxa"/>
            <w:tcBorders>
              <w:left w:val="single" w:color="auto" w:sz="4" w:space="0"/>
            </w:tcBorders>
            <w:shd w:val="clear" w:color="auto" w:fill="auto"/>
            <w:vAlign w:val="center"/>
          </w:tcPr>
          <w:p w14:paraId="37D6D82E">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实施方案</w:t>
            </w:r>
            <w:r>
              <w:rPr>
                <w:rFonts w:hint="eastAsia" w:ascii="宋体" w:hAnsi="宋体" w:eastAsia="宋体" w:cs="宋体"/>
                <w:snapToGrid w:val="0"/>
                <w:color w:val="auto"/>
                <w:kern w:val="0"/>
                <w:sz w:val="21"/>
                <w:szCs w:val="21"/>
                <w:highlight w:val="none"/>
              </w:rPr>
              <w:br w:type="textWrapping"/>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1155" w:type="dxa"/>
            <w:tcBorders>
              <w:left w:val="single" w:color="auto" w:sz="4" w:space="0"/>
            </w:tcBorders>
            <w:shd w:val="clear" w:color="auto" w:fill="auto"/>
            <w:vAlign w:val="center"/>
          </w:tcPr>
          <w:p w14:paraId="42A9C816">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实施计划</w:t>
            </w:r>
          </w:p>
        </w:tc>
        <w:tc>
          <w:tcPr>
            <w:tcW w:w="1683" w:type="dxa"/>
            <w:tcBorders>
              <w:left w:val="single" w:color="auto" w:sz="4" w:space="0"/>
            </w:tcBorders>
            <w:shd w:val="clear" w:color="auto" w:fill="auto"/>
            <w:vAlign w:val="center"/>
          </w:tcPr>
          <w:p w14:paraId="5006A2F8">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5</w:t>
            </w:r>
          </w:p>
        </w:tc>
        <w:tc>
          <w:tcPr>
            <w:tcW w:w="4947" w:type="dxa"/>
            <w:tcBorders>
              <w:left w:val="single" w:color="auto" w:sz="4" w:space="0"/>
            </w:tcBorders>
            <w:shd w:val="clear" w:color="000000" w:fill="FFFFFF"/>
            <w:vAlign w:val="center"/>
          </w:tcPr>
          <w:p w14:paraId="5987C85F">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完成时间满足</w:t>
            </w:r>
            <w:r>
              <w:rPr>
                <w:rFonts w:hint="eastAsia" w:ascii="宋体" w:hAnsi="宋体" w:eastAsia="宋体" w:cs="宋体"/>
                <w:snapToGrid w:val="0"/>
                <w:color w:val="auto"/>
                <w:kern w:val="0"/>
                <w:sz w:val="21"/>
                <w:szCs w:val="21"/>
                <w:highlight w:val="none"/>
                <w:lang w:eastAsia="zh-CN"/>
              </w:rPr>
              <w:t>比选文件</w:t>
            </w:r>
            <w:r>
              <w:rPr>
                <w:rFonts w:hint="eastAsia" w:ascii="宋体" w:hAnsi="宋体" w:eastAsia="宋体" w:cs="宋体"/>
                <w:snapToGrid w:val="0"/>
                <w:color w:val="auto"/>
                <w:kern w:val="0"/>
                <w:sz w:val="21"/>
                <w:szCs w:val="21"/>
                <w:highlight w:val="none"/>
              </w:rPr>
              <w:t>及合同要求，生产计划安排详尽且合理，采用绿色印刷工艺及环保油墨，利用先进节能及环保技术处理废弃物等</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每个计划执行阶段有相应的保障措施，为保证计划执行配备了充足的生产设备和技术及完善的应急处理方案。</w:t>
            </w:r>
          </w:p>
          <w:p w14:paraId="0018C234">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评审委员会</w:t>
            </w:r>
            <w:r>
              <w:rPr>
                <w:rFonts w:hint="eastAsia" w:ascii="宋体" w:hAnsi="宋体" w:eastAsia="宋体" w:cs="宋体"/>
                <w:snapToGrid w:val="0"/>
                <w:color w:val="auto"/>
                <w:kern w:val="0"/>
                <w:sz w:val="21"/>
                <w:szCs w:val="21"/>
                <w:highlight w:val="none"/>
              </w:rPr>
              <w:t>对</w:t>
            </w:r>
            <w:r>
              <w:rPr>
                <w:rFonts w:hint="eastAsia" w:ascii="宋体" w:hAnsi="宋体" w:eastAsia="宋体" w:cs="宋体"/>
                <w:snapToGrid w:val="0"/>
                <w:color w:val="auto"/>
                <w:kern w:val="0"/>
                <w:sz w:val="21"/>
                <w:szCs w:val="21"/>
                <w:highlight w:val="none"/>
                <w:lang w:val="en-US" w:eastAsia="zh-CN"/>
              </w:rPr>
              <w:t>参选人</w:t>
            </w:r>
            <w:r>
              <w:rPr>
                <w:rFonts w:hint="eastAsia" w:ascii="宋体" w:hAnsi="宋体" w:cs="宋体"/>
                <w:snapToGrid w:val="0"/>
                <w:color w:val="auto"/>
                <w:kern w:val="0"/>
                <w:sz w:val="21"/>
                <w:szCs w:val="21"/>
                <w:highlight w:val="none"/>
                <w:lang w:val="en-US" w:eastAsia="zh-CN"/>
              </w:rPr>
              <w:t>提供的项目实施</w:t>
            </w:r>
            <w:r>
              <w:rPr>
                <w:rFonts w:hint="eastAsia" w:ascii="宋体" w:hAnsi="宋体" w:eastAsia="宋体" w:cs="宋体"/>
                <w:snapToGrid w:val="0"/>
                <w:color w:val="auto"/>
                <w:kern w:val="0"/>
                <w:sz w:val="21"/>
                <w:szCs w:val="21"/>
                <w:highlight w:val="none"/>
              </w:rPr>
              <w:t>方案按以上标准进行横向比较并综合评审：优得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分，良得3-</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分，一般得1-</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分，差或未提供得0分。</w:t>
            </w:r>
          </w:p>
        </w:tc>
      </w:tr>
      <w:tr w14:paraId="69F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7" w:type="dxa"/>
            <w:shd w:val="clear" w:color="auto" w:fill="auto"/>
            <w:vAlign w:val="center"/>
          </w:tcPr>
          <w:p w14:paraId="263CC6D0">
            <w:pPr>
              <w:spacing w:line="240" w:lineRule="auto"/>
              <w:ind w:firstLine="0" w:firstLineChars="0"/>
              <w:jc w:val="center"/>
              <w:rPr>
                <w:rFonts w:hint="eastAsia" w:ascii="Cambria Math" w:hAnsi="Cambria Math" w:eastAsia="宋体" w:cs="Cambria Math"/>
                <w:color w:val="auto"/>
                <w:kern w:val="2"/>
                <w:sz w:val="24"/>
                <w:highlight w:val="none"/>
                <w:lang w:val="en-US" w:eastAsia="zh-CN" w:bidi="ar-SA"/>
              </w:rPr>
            </w:pPr>
            <w:r>
              <w:rPr>
                <w:rFonts w:hint="eastAsia" w:ascii="宋体" w:hAnsi="宋体" w:eastAsia="宋体" w:cs="宋体"/>
                <w:snapToGrid w:val="0"/>
                <w:color w:val="auto"/>
                <w:kern w:val="0"/>
                <w:sz w:val="21"/>
                <w:szCs w:val="21"/>
                <w:highlight w:val="none"/>
              </w:rPr>
              <w:t>3</w:t>
            </w:r>
          </w:p>
        </w:tc>
        <w:tc>
          <w:tcPr>
            <w:tcW w:w="960" w:type="dxa"/>
            <w:tcBorders>
              <w:left w:val="single" w:color="auto" w:sz="4" w:space="0"/>
            </w:tcBorders>
            <w:shd w:val="clear" w:color="auto" w:fill="auto"/>
            <w:vAlign w:val="center"/>
          </w:tcPr>
          <w:p w14:paraId="3722D320">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质保服务方案</w:t>
            </w:r>
            <w:r>
              <w:rPr>
                <w:rFonts w:hint="eastAsia" w:ascii="宋体" w:hAnsi="宋体" w:eastAsia="宋体" w:cs="宋体"/>
                <w:snapToGrid w:val="0"/>
                <w:color w:val="auto"/>
                <w:kern w:val="0"/>
                <w:sz w:val="21"/>
                <w:szCs w:val="21"/>
                <w:highlight w:val="none"/>
              </w:rPr>
              <w:br w:type="textWrapping"/>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1155" w:type="dxa"/>
            <w:tcBorders>
              <w:left w:val="single" w:color="auto" w:sz="4" w:space="0"/>
            </w:tcBorders>
            <w:shd w:val="clear" w:color="auto" w:fill="auto"/>
            <w:vAlign w:val="center"/>
          </w:tcPr>
          <w:p w14:paraId="75294759">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质量保证</w:t>
            </w:r>
          </w:p>
        </w:tc>
        <w:tc>
          <w:tcPr>
            <w:tcW w:w="1683" w:type="dxa"/>
            <w:tcBorders>
              <w:left w:val="single" w:color="auto" w:sz="4" w:space="0"/>
            </w:tcBorders>
            <w:shd w:val="clear" w:color="auto" w:fill="auto"/>
            <w:vAlign w:val="center"/>
          </w:tcPr>
          <w:p w14:paraId="10230EA1">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5</w:t>
            </w:r>
          </w:p>
        </w:tc>
        <w:tc>
          <w:tcPr>
            <w:tcW w:w="4947" w:type="dxa"/>
            <w:tcBorders>
              <w:left w:val="single" w:color="auto" w:sz="4" w:space="0"/>
            </w:tcBorders>
            <w:shd w:val="clear" w:color="000000" w:fill="FFFFFF"/>
            <w:vAlign w:val="center"/>
          </w:tcPr>
          <w:p w14:paraId="77E437FE">
            <w:pPr>
              <w:keepNext w:val="0"/>
              <w:keepLines w:val="0"/>
              <w:pageBreakBefore w:val="0"/>
              <w:widowControl/>
              <w:kinsoku/>
              <w:wordWrap/>
              <w:overflowPunct/>
              <w:topLinePunct w:val="0"/>
              <w:autoSpaceDE/>
              <w:autoSpaceDN/>
              <w:adjustRightInd/>
              <w:snapToGrid/>
              <w:spacing w:line="240" w:lineRule="auto"/>
              <w:ind w:firstLine="0" w:firstLineChars="0"/>
              <w:jc w:val="left"/>
              <w:rPr>
                <w:rFonts w:hint="eastAsia" w:ascii="宋体" w:hAnsi="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参选人</w:t>
            </w:r>
            <w:r>
              <w:rPr>
                <w:rFonts w:hint="eastAsia" w:ascii="宋体" w:hAnsi="宋体" w:cs="宋体"/>
                <w:snapToGrid w:val="0"/>
                <w:color w:val="auto"/>
                <w:kern w:val="0"/>
                <w:sz w:val="21"/>
                <w:szCs w:val="21"/>
                <w:highlight w:val="none"/>
                <w:lang w:val="en-US" w:eastAsia="zh-CN"/>
              </w:rPr>
              <w:t>应提供质保服务方案，</w:t>
            </w:r>
            <w:r>
              <w:rPr>
                <w:rFonts w:hint="eastAsia" w:ascii="宋体" w:hAnsi="宋体" w:eastAsia="宋体" w:cs="宋体"/>
                <w:snapToGrid w:val="0"/>
                <w:color w:val="auto"/>
                <w:kern w:val="0"/>
                <w:sz w:val="21"/>
                <w:szCs w:val="21"/>
                <w:highlight w:val="none"/>
              </w:rPr>
              <w:t>承诺比选人有权核实制成品与参选人参选时提供样品的吻合度，当制成品与参选时提供样品的吻合度低于95%时，视为制成品不合格，出现制成品不合格时，及时更新新的制成品</w:t>
            </w:r>
            <w:r>
              <w:rPr>
                <w:rFonts w:hint="eastAsia" w:ascii="宋体" w:hAnsi="宋体" w:cs="宋体"/>
                <w:snapToGrid w:val="0"/>
                <w:color w:val="auto"/>
                <w:kern w:val="0"/>
                <w:sz w:val="21"/>
                <w:szCs w:val="21"/>
                <w:highlight w:val="none"/>
                <w:lang w:eastAsia="zh-CN"/>
              </w:rPr>
              <w:t>。</w:t>
            </w:r>
          </w:p>
          <w:p w14:paraId="0C9F49BC">
            <w:pPr>
              <w:keepNext w:val="0"/>
              <w:keepLines w:val="0"/>
              <w:pageBreakBefore w:val="0"/>
              <w:widowControl/>
              <w:kinsoku/>
              <w:wordWrap/>
              <w:overflowPunct/>
              <w:topLinePunct w:val="0"/>
              <w:autoSpaceDE/>
              <w:autoSpaceDN/>
              <w:adjustRightInd/>
              <w:snapToGrid/>
              <w:spacing w:line="240" w:lineRule="auto"/>
              <w:ind w:firstLine="0" w:firstLineChars="0"/>
              <w:jc w:val="left"/>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1.承诺在5个自然日内重新制作及配送到相应网点，并且承诺自行承担由此所产生的一切费用的得5分；</w:t>
            </w:r>
          </w:p>
          <w:p w14:paraId="06C6485E">
            <w:pPr>
              <w:keepNext w:val="0"/>
              <w:keepLines w:val="0"/>
              <w:pageBreakBefore w:val="0"/>
              <w:widowControl/>
              <w:kinsoku/>
              <w:wordWrap/>
              <w:overflowPunct/>
              <w:topLinePunct w:val="0"/>
              <w:autoSpaceDE/>
              <w:autoSpaceDN/>
              <w:adjustRightInd/>
              <w:snapToGrid/>
              <w:spacing w:line="240" w:lineRule="auto"/>
              <w:ind w:firstLine="0" w:firstLineChars="0"/>
              <w:jc w:val="left"/>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2.承诺在7个自然日内重新制作及配送到相应网点，并且承诺自行承担由此所产生的一切费用的得3分；</w:t>
            </w:r>
          </w:p>
          <w:p w14:paraId="65FCDE17">
            <w:pPr>
              <w:keepNext w:val="0"/>
              <w:keepLines w:val="0"/>
              <w:pageBreakBefore w:val="0"/>
              <w:widowControl/>
              <w:kinsoku/>
              <w:wordWrap/>
              <w:overflowPunct/>
              <w:topLinePunct w:val="0"/>
              <w:autoSpaceDE/>
              <w:autoSpaceDN/>
              <w:adjustRightInd/>
              <w:snapToGrid/>
              <w:spacing w:line="240" w:lineRule="auto"/>
              <w:ind w:firstLine="0" w:firstLineChars="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3.未对此项作出承诺，或承诺时间超过7个自然日的不得分。</w:t>
            </w:r>
          </w:p>
        </w:tc>
      </w:tr>
      <w:tr w14:paraId="788B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7" w:type="dxa"/>
            <w:shd w:val="clear" w:color="auto" w:fill="auto"/>
            <w:vAlign w:val="center"/>
          </w:tcPr>
          <w:p w14:paraId="4ACA447E">
            <w:pPr>
              <w:keepNext w:val="0"/>
              <w:keepLines w:val="0"/>
              <w:pageBreakBefore w:val="0"/>
              <w:widowControl w:val="0"/>
              <w:kinsoku/>
              <w:wordWrap/>
              <w:overflowPunct/>
              <w:topLinePunct w:val="0"/>
              <w:autoSpaceDE/>
              <w:autoSpaceDN/>
              <w:adjustRightInd/>
              <w:snapToGrid/>
              <w:spacing w:line="240" w:lineRule="auto"/>
              <w:ind w:lef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960" w:type="dxa"/>
            <w:tcBorders>
              <w:left w:val="single" w:color="auto" w:sz="4" w:space="0"/>
            </w:tcBorders>
            <w:shd w:val="clear" w:color="auto" w:fill="auto"/>
            <w:vAlign w:val="center"/>
          </w:tcPr>
          <w:p w14:paraId="47ADDC79">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样品展示（</w:t>
            </w:r>
            <w:r>
              <w:rPr>
                <w:rFonts w:hint="eastAsia" w:ascii="宋体" w:hAnsi="宋体" w:cs="宋体"/>
                <w:snapToGrid w:val="0"/>
                <w:color w:val="auto"/>
                <w:kern w:val="0"/>
                <w:sz w:val="21"/>
                <w:szCs w:val="21"/>
                <w:highlight w:val="none"/>
                <w:lang w:val="en-US" w:eastAsia="zh-CN"/>
              </w:rPr>
              <w:t>35</w:t>
            </w:r>
            <w:r>
              <w:rPr>
                <w:rFonts w:hint="eastAsia" w:ascii="宋体" w:hAnsi="宋体" w:eastAsia="宋体" w:cs="宋体"/>
                <w:snapToGrid w:val="0"/>
                <w:color w:val="auto"/>
                <w:kern w:val="0"/>
                <w:sz w:val="21"/>
                <w:szCs w:val="21"/>
                <w:highlight w:val="none"/>
              </w:rPr>
              <w:t>分）</w:t>
            </w:r>
          </w:p>
        </w:tc>
        <w:tc>
          <w:tcPr>
            <w:tcW w:w="1155" w:type="dxa"/>
            <w:tcBorders>
              <w:left w:val="single" w:color="auto" w:sz="4" w:space="0"/>
            </w:tcBorders>
            <w:shd w:val="clear" w:color="auto" w:fill="auto"/>
            <w:vAlign w:val="center"/>
          </w:tcPr>
          <w:p w14:paraId="06B883C6">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样品质量</w:t>
            </w:r>
          </w:p>
        </w:tc>
        <w:tc>
          <w:tcPr>
            <w:tcW w:w="1683" w:type="dxa"/>
            <w:tcBorders>
              <w:left w:val="single" w:color="auto" w:sz="4" w:space="0"/>
            </w:tcBorders>
            <w:shd w:val="clear" w:color="auto" w:fill="auto"/>
            <w:vAlign w:val="center"/>
          </w:tcPr>
          <w:p w14:paraId="2AA6D958">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cs="宋体"/>
                <w:snapToGrid w:val="0"/>
                <w:color w:val="auto"/>
                <w:kern w:val="0"/>
                <w:sz w:val="21"/>
                <w:szCs w:val="21"/>
                <w:highlight w:val="none"/>
                <w:lang w:val="en-US" w:eastAsia="zh-CN"/>
              </w:rPr>
              <w:t>5</w:t>
            </w:r>
          </w:p>
        </w:tc>
        <w:tc>
          <w:tcPr>
            <w:tcW w:w="4947" w:type="dxa"/>
            <w:tcBorders>
              <w:left w:val="single" w:color="auto" w:sz="4" w:space="0"/>
            </w:tcBorders>
            <w:shd w:val="clear" w:color="000000" w:fill="FFFFFF"/>
            <w:vAlign w:val="center"/>
          </w:tcPr>
          <w:p w14:paraId="2E2A40B1">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1、样品内容印刷清晰、墨色均匀，无糊版、透印等缺陷。优得</w:t>
            </w:r>
            <w:r>
              <w:rPr>
                <w:rFonts w:hint="eastAsia" w:ascii="宋体" w:hAnsi="宋体" w:eastAsia="宋体" w:cs="宋体"/>
                <w:snapToGrid w:val="0"/>
                <w:color w:val="auto"/>
                <w:kern w:val="0"/>
                <w:sz w:val="21"/>
                <w:szCs w:val="21"/>
                <w:highlight w:val="none"/>
                <w:lang w:val="en-US" w:eastAsia="zh-CN"/>
              </w:rPr>
              <w:t>12</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8</w:t>
            </w:r>
            <w:r>
              <w:rPr>
                <w:rFonts w:hint="eastAsia" w:ascii="宋体" w:hAnsi="宋体" w:eastAsia="宋体" w:cs="宋体"/>
                <w:snapToGrid w:val="0"/>
                <w:color w:val="auto"/>
                <w:kern w:val="0"/>
                <w:sz w:val="21"/>
                <w:szCs w:val="21"/>
                <w:highlight w:val="none"/>
              </w:rPr>
              <w:t>分，良好得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分，一般得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分，差或未提供得0分。</w:t>
            </w:r>
          </w:p>
          <w:p w14:paraId="75A1FBEE">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2、样品外观整洁，无破损、毛边等缺陷。优得</w:t>
            </w:r>
            <w:r>
              <w:rPr>
                <w:rFonts w:hint="eastAsia" w:ascii="宋体" w:hAnsi="宋体" w:eastAsia="宋体" w:cs="宋体"/>
                <w:snapToGrid w:val="0"/>
                <w:color w:val="auto"/>
                <w:kern w:val="0"/>
                <w:sz w:val="21"/>
                <w:szCs w:val="21"/>
                <w:highlight w:val="none"/>
                <w:lang w:val="en-US" w:eastAsia="zh-CN"/>
              </w:rPr>
              <w:t>12</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分，良好得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分，一般得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分，差或未提供得0分。</w:t>
            </w:r>
          </w:p>
        </w:tc>
      </w:tr>
      <w:tr w14:paraId="0BEF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2" w:type="dxa"/>
            <w:gridSpan w:val="3"/>
            <w:shd w:val="clear" w:color="auto" w:fill="auto"/>
            <w:vAlign w:val="center"/>
          </w:tcPr>
          <w:p w14:paraId="37001FD5">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技术部分分值合计</w:t>
            </w:r>
          </w:p>
        </w:tc>
        <w:tc>
          <w:tcPr>
            <w:tcW w:w="1683" w:type="dxa"/>
            <w:tcBorders>
              <w:left w:val="single" w:color="auto" w:sz="4" w:space="0"/>
            </w:tcBorders>
            <w:shd w:val="clear" w:color="auto" w:fill="auto"/>
            <w:vAlign w:val="center"/>
          </w:tcPr>
          <w:p w14:paraId="07DE1EDE">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55</w:t>
            </w:r>
          </w:p>
        </w:tc>
        <w:tc>
          <w:tcPr>
            <w:tcW w:w="4947" w:type="dxa"/>
            <w:tcBorders>
              <w:left w:val="single" w:color="auto" w:sz="4" w:space="0"/>
            </w:tcBorders>
            <w:shd w:val="clear" w:color="auto" w:fill="auto"/>
            <w:vAlign w:val="center"/>
          </w:tcPr>
          <w:p w14:paraId="1B30F761">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p>
        </w:tc>
      </w:tr>
      <w:tr w14:paraId="59C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7" w:type="dxa"/>
            <w:shd w:val="clear" w:color="auto" w:fill="auto"/>
            <w:vAlign w:val="center"/>
          </w:tcPr>
          <w:p w14:paraId="5AC908EA">
            <w:pPr>
              <w:keepNext w:val="0"/>
              <w:keepLines w:val="0"/>
              <w:pageBreakBefore w:val="0"/>
              <w:widowControl w:val="0"/>
              <w:kinsoku/>
              <w:wordWrap/>
              <w:overflowPunct/>
              <w:topLinePunct w:val="0"/>
              <w:autoSpaceDE/>
              <w:autoSpaceDN/>
              <w:adjustRightInd/>
              <w:snapToGrid/>
              <w:spacing w:line="240" w:lineRule="auto"/>
              <w:ind w:left="0"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960" w:type="dxa"/>
            <w:tcBorders>
              <w:left w:val="single" w:color="auto" w:sz="4" w:space="0"/>
            </w:tcBorders>
            <w:shd w:val="clear" w:color="auto" w:fill="auto"/>
            <w:vAlign w:val="center"/>
          </w:tcPr>
          <w:p w14:paraId="4EE79675">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商务报价</w:t>
            </w:r>
            <w:r>
              <w:rPr>
                <w:rFonts w:hint="eastAsia" w:ascii="宋体" w:hAnsi="宋体" w:eastAsia="宋体" w:cs="宋体"/>
                <w:snapToGrid w:val="0"/>
                <w:color w:val="auto"/>
                <w:kern w:val="0"/>
                <w:sz w:val="21"/>
                <w:szCs w:val="21"/>
                <w:highlight w:val="none"/>
              </w:rPr>
              <w:br w:type="textWrapping"/>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val="en-US" w:eastAsia="zh-CN"/>
              </w:rPr>
              <w:t>45</w:t>
            </w:r>
            <w:r>
              <w:rPr>
                <w:rFonts w:hint="eastAsia" w:ascii="宋体" w:hAnsi="宋体" w:eastAsia="宋体" w:cs="宋体"/>
                <w:snapToGrid w:val="0"/>
                <w:color w:val="auto"/>
                <w:kern w:val="0"/>
                <w:sz w:val="21"/>
                <w:szCs w:val="21"/>
                <w:highlight w:val="none"/>
              </w:rPr>
              <w:t>分）</w:t>
            </w:r>
          </w:p>
        </w:tc>
        <w:tc>
          <w:tcPr>
            <w:tcW w:w="1155" w:type="dxa"/>
            <w:tcBorders>
              <w:left w:val="single" w:color="auto" w:sz="4" w:space="0"/>
            </w:tcBorders>
            <w:shd w:val="clear" w:color="auto" w:fill="auto"/>
            <w:vAlign w:val="center"/>
          </w:tcPr>
          <w:p w14:paraId="5CB2B120">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参选</w:t>
            </w:r>
            <w:r>
              <w:rPr>
                <w:rFonts w:hint="eastAsia" w:ascii="宋体" w:hAnsi="宋体" w:eastAsia="宋体" w:cs="宋体"/>
                <w:snapToGrid w:val="0"/>
                <w:color w:val="auto"/>
                <w:kern w:val="0"/>
                <w:sz w:val="21"/>
                <w:szCs w:val="21"/>
                <w:highlight w:val="none"/>
              </w:rPr>
              <w:t>价格</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不含税</w:t>
            </w:r>
            <w:r>
              <w:rPr>
                <w:rFonts w:hint="eastAsia" w:ascii="宋体" w:hAnsi="宋体" w:cs="宋体"/>
                <w:snapToGrid w:val="0"/>
                <w:color w:val="auto"/>
                <w:kern w:val="0"/>
                <w:sz w:val="21"/>
                <w:szCs w:val="21"/>
                <w:highlight w:val="none"/>
                <w:lang w:eastAsia="zh-CN"/>
              </w:rPr>
              <w:t>）</w:t>
            </w:r>
          </w:p>
        </w:tc>
        <w:tc>
          <w:tcPr>
            <w:tcW w:w="1683" w:type="dxa"/>
            <w:tcBorders>
              <w:left w:val="single" w:color="auto" w:sz="4" w:space="0"/>
            </w:tcBorders>
            <w:shd w:val="clear" w:color="auto" w:fill="auto"/>
            <w:vAlign w:val="center"/>
          </w:tcPr>
          <w:p w14:paraId="51510BE5">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45</w:t>
            </w:r>
          </w:p>
        </w:tc>
        <w:tc>
          <w:tcPr>
            <w:tcW w:w="4947" w:type="dxa"/>
            <w:tcBorders>
              <w:left w:val="single" w:color="auto" w:sz="4" w:space="0"/>
            </w:tcBorders>
            <w:shd w:val="clear" w:color="auto" w:fill="auto"/>
            <w:vAlign w:val="center"/>
          </w:tcPr>
          <w:p w14:paraId="50880FBF">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rPr>
              <w:t>如</w:t>
            </w:r>
            <w:r>
              <w:rPr>
                <w:rFonts w:hint="eastAsia" w:ascii="宋体" w:hAnsi="宋体" w:cs="宋体"/>
                <w:snapToGrid w:val="0"/>
                <w:color w:val="auto"/>
                <w:kern w:val="0"/>
                <w:sz w:val="21"/>
                <w:szCs w:val="21"/>
                <w:highlight w:val="none"/>
                <w:lang w:val="en-US" w:eastAsia="zh-CN"/>
              </w:rPr>
              <w:t>通过初步评审的</w:t>
            </w:r>
            <w:r>
              <w:rPr>
                <w:rFonts w:hint="eastAsia" w:ascii="宋体" w:hAnsi="宋体" w:eastAsia="宋体" w:cs="宋体"/>
                <w:snapToGrid w:val="0"/>
                <w:color w:val="auto"/>
                <w:kern w:val="0"/>
                <w:sz w:val="21"/>
                <w:szCs w:val="21"/>
                <w:highlight w:val="none"/>
                <w:lang w:val="en-US" w:eastAsia="zh-CN"/>
              </w:rPr>
              <w:t>参选人&lt;5，以各有效报价</w:t>
            </w:r>
            <w:r>
              <w:rPr>
                <w:rFonts w:ascii="Times New Roman" w:hAnsi="Times New Roman" w:eastAsia="宋体" w:cs="Times New Roman"/>
                <w:color w:val="auto"/>
                <w:kern w:val="0"/>
                <w:sz w:val="21"/>
                <w:szCs w:val="21"/>
                <w:highlight w:val="none"/>
              </w:rPr>
              <w:t>（不含税报价）</w:t>
            </w:r>
            <w:r>
              <w:rPr>
                <w:rFonts w:hint="eastAsia" w:ascii="宋体" w:hAnsi="宋体" w:eastAsia="宋体" w:cs="宋体"/>
                <w:snapToGrid w:val="0"/>
                <w:color w:val="auto"/>
                <w:kern w:val="0"/>
                <w:sz w:val="21"/>
                <w:szCs w:val="21"/>
                <w:highlight w:val="none"/>
                <w:lang w:val="en-US" w:eastAsia="zh-CN"/>
              </w:rPr>
              <w:t>之和的平均价格作为基准价，如参选人</w:t>
            </w:r>
            <w:r>
              <w:rPr>
                <w:rFonts w:hint="eastAsia" w:ascii="宋体" w:hAnsi="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rPr>
              <w:t>5，去掉一个最高分和一个最低分后，以剩余有效报价</w:t>
            </w:r>
            <w:r>
              <w:rPr>
                <w:rFonts w:ascii="Times New Roman" w:hAnsi="Times New Roman" w:eastAsia="宋体" w:cs="Times New Roman"/>
                <w:color w:val="auto"/>
                <w:kern w:val="0"/>
                <w:sz w:val="21"/>
                <w:szCs w:val="21"/>
                <w:highlight w:val="none"/>
              </w:rPr>
              <w:t>（不含税报价）</w:t>
            </w:r>
            <w:r>
              <w:rPr>
                <w:rFonts w:hint="eastAsia" w:ascii="宋体" w:hAnsi="宋体" w:eastAsia="宋体" w:cs="宋体"/>
                <w:snapToGrid w:val="0"/>
                <w:color w:val="auto"/>
                <w:kern w:val="0"/>
                <w:sz w:val="21"/>
                <w:szCs w:val="21"/>
                <w:highlight w:val="none"/>
                <w:lang w:val="en-US" w:eastAsia="zh-CN"/>
              </w:rPr>
              <w:t>之和平均价格作为基准价，基准分为</w:t>
            </w:r>
            <w:r>
              <w:rPr>
                <w:rFonts w:hint="eastAsia" w:ascii="宋体" w:hAnsi="宋体" w:cs="宋体"/>
                <w:snapToGrid w:val="0"/>
                <w:color w:val="auto"/>
                <w:kern w:val="0"/>
                <w:sz w:val="21"/>
                <w:szCs w:val="21"/>
                <w:highlight w:val="none"/>
                <w:lang w:val="en-US" w:eastAsia="zh-CN"/>
              </w:rPr>
              <w:t>45</w:t>
            </w:r>
            <w:r>
              <w:rPr>
                <w:rFonts w:hint="eastAsia" w:ascii="宋体" w:hAnsi="宋体" w:eastAsia="宋体" w:cs="宋体"/>
                <w:snapToGrid w:val="0"/>
                <w:color w:val="auto"/>
                <w:kern w:val="0"/>
                <w:sz w:val="21"/>
                <w:szCs w:val="21"/>
                <w:highlight w:val="none"/>
                <w:lang w:val="en-US" w:eastAsia="zh-CN"/>
              </w:rPr>
              <w:t>分。</w:t>
            </w:r>
          </w:p>
          <w:p w14:paraId="5D74D04E">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cs="宋体"/>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rPr>
              <w:t>计算各有效报价与基准价的偏离度。偏离度=(有效报价/基准价-1)*100%</w:t>
            </w:r>
            <w:r>
              <w:rPr>
                <w:rFonts w:hint="eastAsia" w:ascii="宋体" w:hAnsi="宋体" w:cs="宋体"/>
                <w:snapToGrid w:val="0"/>
                <w:color w:val="auto"/>
                <w:kern w:val="0"/>
                <w:sz w:val="21"/>
                <w:szCs w:val="21"/>
                <w:highlight w:val="none"/>
                <w:lang w:val="en-US" w:eastAsia="zh-CN"/>
              </w:rPr>
              <w:t>。</w:t>
            </w:r>
          </w:p>
          <w:p w14:paraId="3991A548">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Times New Roman" w:hAnsi="Times New Roman" w:eastAsia="宋体" w:cs="Times New Roman"/>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、报价</w:t>
            </w:r>
            <w:r>
              <w:rPr>
                <w:rFonts w:hint="eastAsia" w:ascii="Times New Roman" w:hAnsi="Times New Roman" w:eastAsia="宋体" w:cs="Times New Roman"/>
                <w:color w:val="auto"/>
                <w:kern w:val="0"/>
                <w:sz w:val="21"/>
                <w:szCs w:val="21"/>
                <w:highlight w:val="none"/>
              </w:rPr>
              <w:t>偏离度不足1%的不扣分；</w:t>
            </w:r>
          </w:p>
          <w:p w14:paraId="1DBDBC6D">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报价向上每正偏离1%的，扣1分；</w:t>
            </w:r>
          </w:p>
          <w:p w14:paraId="3C2218FE">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报价向下负偏离10%以内的，不扣分；</w:t>
            </w:r>
          </w:p>
          <w:p w14:paraId="0F3A047F">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向下负偏离超过10%的，在向下负偏离10%的基础上，每多负偏离1%扣0.5分，扣完为止。</w:t>
            </w:r>
          </w:p>
          <w:p w14:paraId="5C53C649">
            <w:pPr>
              <w:keepNext w:val="0"/>
              <w:keepLines w:val="0"/>
              <w:pageBreakBefore w:val="0"/>
              <w:widowControl w:val="0"/>
              <w:kinsoku/>
              <w:wordWrap/>
              <w:overflowPunct/>
              <w:topLinePunct w:val="0"/>
              <w:autoSpaceDE/>
              <w:autoSpaceDN/>
              <w:adjustRightInd/>
              <w:snapToGrid/>
              <w:spacing w:line="240" w:lineRule="auto"/>
              <w:ind w:firstLine="0" w:firstLineChars="0"/>
              <w:rPr>
                <w:rFonts w:ascii="宋体" w:hAnsi="宋体" w:eastAsia="宋体" w:cs="宋体"/>
                <w:snapToGrid w:val="0"/>
                <w:color w:val="auto"/>
                <w:kern w:val="0"/>
                <w:sz w:val="21"/>
                <w:szCs w:val="21"/>
                <w:highlight w:val="none"/>
                <w:lang w:val="en-US"/>
              </w:rPr>
            </w:pPr>
          </w:p>
        </w:tc>
      </w:tr>
      <w:tr w14:paraId="5FF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2" w:type="dxa"/>
            <w:gridSpan w:val="3"/>
            <w:shd w:val="clear" w:color="auto" w:fill="auto"/>
            <w:vAlign w:val="center"/>
          </w:tcPr>
          <w:p w14:paraId="61C36C73">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合计</w:t>
            </w:r>
          </w:p>
        </w:tc>
        <w:tc>
          <w:tcPr>
            <w:tcW w:w="1683" w:type="dxa"/>
            <w:tcBorders>
              <w:left w:val="single" w:color="auto" w:sz="4" w:space="0"/>
            </w:tcBorders>
            <w:shd w:val="clear" w:color="auto" w:fill="auto"/>
            <w:vAlign w:val="center"/>
          </w:tcPr>
          <w:p w14:paraId="0E4FABB0">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100</w:t>
            </w:r>
          </w:p>
        </w:tc>
        <w:tc>
          <w:tcPr>
            <w:tcW w:w="4947" w:type="dxa"/>
            <w:tcBorders>
              <w:left w:val="single" w:color="auto" w:sz="4" w:space="0"/>
            </w:tcBorders>
            <w:shd w:val="clear" w:color="auto" w:fill="auto"/>
            <w:vAlign w:val="center"/>
          </w:tcPr>
          <w:p w14:paraId="65DB1F0B">
            <w:pPr>
              <w:keepNext w:val="0"/>
              <w:keepLines w:val="0"/>
              <w:pageBreakBefore w:val="0"/>
              <w:widowControl w:val="0"/>
              <w:kinsoku/>
              <w:wordWrap/>
              <w:overflowPunct/>
              <w:topLinePunct w:val="0"/>
              <w:autoSpaceDE/>
              <w:autoSpaceDN/>
              <w:adjustRightInd/>
              <w:snapToGrid/>
              <w:spacing w:line="24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w:t>
            </w:r>
          </w:p>
        </w:tc>
      </w:tr>
    </w:tbl>
    <w:p w14:paraId="4F79C4EC">
      <w:pPr>
        <w:pStyle w:val="2"/>
        <w:jc w:val="both"/>
        <w:outlineLvl w:val="9"/>
        <w:rPr>
          <w:color w:val="auto"/>
          <w:highlight w:val="none"/>
        </w:rPr>
      </w:pPr>
    </w:p>
    <w:p w14:paraId="6674A3B4">
      <w:pPr>
        <w:pStyle w:val="2"/>
        <w:outlineLvl w:val="9"/>
        <w:rPr>
          <w:rFonts w:hint="eastAsia"/>
          <w:color w:val="auto"/>
          <w:highlight w:val="none"/>
        </w:rPr>
        <w:sectPr>
          <w:pgSz w:w="11906" w:h="16838"/>
          <w:pgMar w:top="1440" w:right="1800" w:bottom="1440" w:left="1800" w:header="851" w:footer="992" w:gutter="0"/>
          <w:pgNumType w:fmt="decimal" w:start="1"/>
          <w:cols w:space="720" w:num="1"/>
          <w:docGrid w:type="lines" w:linePitch="312" w:charSpace="0"/>
        </w:sectPr>
      </w:pPr>
    </w:p>
    <w:p w14:paraId="1B2374F4">
      <w:pPr>
        <w:pStyle w:val="3"/>
        <w:rPr>
          <w:color w:val="auto"/>
          <w:highlight w:val="none"/>
        </w:rPr>
      </w:pPr>
      <w:r>
        <w:rPr>
          <w:rFonts w:hint="eastAsia"/>
          <w:color w:val="auto"/>
          <w:highlight w:val="none"/>
        </w:rPr>
        <w:t>1. 评审方法</w:t>
      </w:r>
    </w:p>
    <w:p w14:paraId="38F90F51">
      <w:pPr>
        <w:rPr>
          <w:color w:val="auto"/>
          <w:highlight w:val="none"/>
        </w:rPr>
      </w:pPr>
      <w:r>
        <w:rPr>
          <w:rFonts w:hint="eastAsia"/>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37A23731">
      <w:pPr>
        <w:pStyle w:val="3"/>
        <w:rPr>
          <w:color w:val="auto"/>
          <w:highlight w:val="none"/>
        </w:rPr>
      </w:pPr>
      <w:r>
        <w:rPr>
          <w:rFonts w:hint="eastAsia"/>
          <w:color w:val="auto"/>
          <w:highlight w:val="none"/>
        </w:rPr>
        <w:t>2. 评审标准</w:t>
      </w:r>
    </w:p>
    <w:p w14:paraId="34F2BBBE">
      <w:pPr>
        <w:pStyle w:val="4"/>
        <w:rPr>
          <w:color w:val="auto"/>
          <w:highlight w:val="none"/>
        </w:rPr>
      </w:pPr>
      <w:r>
        <w:rPr>
          <w:rFonts w:hint="eastAsia"/>
          <w:color w:val="auto"/>
          <w:highlight w:val="none"/>
        </w:rPr>
        <w:t>2.1 初步评审标准</w:t>
      </w:r>
    </w:p>
    <w:p w14:paraId="5828D135">
      <w:pPr>
        <w:rPr>
          <w:color w:val="auto"/>
          <w:highlight w:val="none"/>
        </w:rPr>
      </w:pPr>
      <w:r>
        <w:rPr>
          <w:rFonts w:hint="eastAsia"/>
          <w:color w:val="auto"/>
          <w:highlight w:val="none"/>
        </w:rPr>
        <w:t>2.1.1 资格评审标准：见评审办法前附表。</w:t>
      </w:r>
    </w:p>
    <w:p w14:paraId="00D5075E">
      <w:pPr>
        <w:rPr>
          <w:color w:val="auto"/>
          <w:highlight w:val="none"/>
        </w:rPr>
      </w:pPr>
      <w:r>
        <w:rPr>
          <w:rFonts w:hint="eastAsia"/>
          <w:color w:val="auto"/>
          <w:highlight w:val="none"/>
        </w:rPr>
        <w:t>2.1.2 形式评审标准：见评审办法前附表。</w:t>
      </w:r>
    </w:p>
    <w:p w14:paraId="7EB42165">
      <w:pPr>
        <w:rPr>
          <w:color w:val="auto"/>
          <w:highlight w:val="none"/>
        </w:rPr>
      </w:pPr>
      <w:r>
        <w:rPr>
          <w:rFonts w:hint="eastAsia"/>
          <w:color w:val="auto"/>
          <w:highlight w:val="none"/>
        </w:rPr>
        <w:t>2.1.3 响应性评审标准：见评审办法前附表。</w:t>
      </w:r>
    </w:p>
    <w:p w14:paraId="7C063DB3">
      <w:pPr>
        <w:pStyle w:val="4"/>
        <w:rPr>
          <w:color w:val="auto"/>
          <w:highlight w:val="none"/>
        </w:rPr>
      </w:pPr>
      <w:r>
        <w:rPr>
          <w:rFonts w:hint="eastAsia"/>
          <w:color w:val="auto"/>
          <w:highlight w:val="none"/>
        </w:rPr>
        <w:t>2.2 分值构成与评分标准</w:t>
      </w:r>
    </w:p>
    <w:p w14:paraId="7C4B49B4">
      <w:pPr>
        <w:rPr>
          <w:color w:val="auto"/>
          <w:highlight w:val="none"/>
        </w:rPr>
      </w:pPr>
      <w:r>
        <w:rPr>
          <w:rFonts w:hint="eastAsia"/>
          <w:color w:val="auto"/>
          <w:highlight w:val="none"/>
        </w:rPr>
        <w:t xml:space="preserve">2.2.1 分值构成：见评审办法前附表。 </w:t>
      </w:r>
    </w:p>
    <w:p w14:paraId="10C301F5">
      <w:pPr>
        <w:rPr>
          <w:color w:val="auto"/>
          <w:highlight w:val="none"/>
        </w:rPr>
      </w:pPr>
      <w:r>
        <w:rPr>
          <w:rFonts w:hint="eastAsia"/>
          <w:color w:val="auto"/>
          <w:highlight w:val="none"/>
        </w:rPr>
        <w:t>2.2.2 评审基准价计算方法：见评审办法前附表。</w:t>
      </w:r>
    </w:p>
    <w:p w14:paraId="153D28C8">
      <w:pPr>
        <w:rPr>
          <w:color w:val="auto"/>
          <w:highlight w:val="none"/>
        </w:rPr>
      </w:pPr>
      <w:r>
        <w:rPr>
          <w:rFonts w:hint="eastAsia"/>
          <w:color w:val="auto"/>
          <w:highlight w:val="none"/>
        </w:rPr>
        <w:t>2.2.3 评分标准：</w:t>
      </w:r>
    </w:p>
    <w:p w14:paraId="2C9EB4A0">
      <w:pPr>
        <w:rPr>
          <w:color w:val="auto"/>
          <w:highlight w:val="none"/>
        </w:rPr>
      </w:pPr>
      <w:r>
        <w:rPr>
          <w:rFonts w:hint="eastAsia"/>
          <w:color w:val="auto"/>
          <w:highlight w:val="none"/>
        </w:rPr>
        <w:t>（1）参选报价评分标准：见评审办法前附表；</w:t>
      </w:r>
    </w:p>
    <w:p w14:paraId="745C83D9">
      <w:pPr>
        <w:rPr>
          <w:color w:val="auto"/>
          <w:highlight w:val="none"/>
        </w:rPr>
      </w:pPr>
      <w:r>
        <w:rPr>
          <w:rFonts w:hint="eastAsia"/>
          <w:color w:val="auto"/>
          <w:highlight w:val="none"/>
        </w:rPr>
        <w:t>（2）商务部分评分标准：见评审办法前附表；</w:t>
      </w:r>
    </w:p>
    <w:p w14:paraId="016261F6">
      <w:pPr>
        <w:pStyle w:val="3"/>
        <w:rPr>
          <w:color w:val="auto"/>
          <w:highlight w:val="none"/>
        </w:rPr>
      </w:pPr>
      <w:r>
        <w:rPr>
          <w:rFonts w:hint="eastAsia"/>
          <w:color w:val="auto"/>
          <w:highlight w:val="none"/>
        </w:rPr>
        <w:t>3. 评审程序</w:t>
      </w:r>
    </w:p>
    <w:p w14:paraId="1A04A3D8">
      <w:pPr>
        <w:pStyle w:val="4"/>
        <w:rPr>
          <w:color w:val="auto"/>
          <w:highlight w:val="none"/>
        </w:rPr>
      </w:pPr>
      <w:r>
        <w:rPr>
          <w:rFonts w:hint="eastAsia"/>
          <w:color w:val="auto"/>
          <w:highlight w:val="none"/>
        </w:rPr>
        <w:t>3.1 初步评审</w:t>
      </w:r>
    </w:p>
    <w:p w14:paraId="2AF88356">
      <w:pPr>
        <w:rPr>
          <w:color w:val="auto"/>
          <w:highlight w:val="none"/>
        </w:rPr>
      </w:pPr>
      <w:r>
        <w:rPr>
          <w:rFonts w:hint="eastAsia"/>
          <w:color w:val="auto"/>
          <w:highlight w:val="none"/>
        </w:rPr>
        <w:t>3.1.1 评审委员会依据本章第2.1 条规定的标准对参选文件进行初步评审。有一项不符合评审标准的，作否决参选处理。</w:t>
      </w:r>
    </w:p>
    <w:p w14:paraId="6AB4F658">
      <w:pPr>
        <w:outlineLvl w:val="3"/>
        <w:rPr>
          <w:color w:val="auto"/>
          <w:highlight w:val="none"/>
        </w:rPr>
      </w:pPr>
      <w:r>
        <w:rPr>
          <w:rFonts w:hint="eastAsia"/>
          <w:color w:val="auto"/>
          <w:highlight w:val="none"/>
        </w:rPr>
        <w:t>3.1.2 参选人有以下情形之一的，其参选作否决参选处理：</w:t>
      </w:r>
    </w:p>
    <w:p w14:paraId="58AC17EE">
      <w:pPr>
        <w:rPr>
          <w:color w:val="auto"/>
          <w:highlight w:val="none"/>
        </w:rPr>
      </w:pPr>
      <w:r>
        <w:rPr>
          <w:rFonts w:hint="eastAsia"/>
          <w:color w:val="auto"/>
          <w:highlight w:val="none"/>
        </w:rPr>
        <w:t>3.1.2.1 有第二章“参选人须知”第9.条以及第11. 条规定的任何一种情形的；</w:t>
      </w:r>
    </w:p>
    <w:p w14:paraId="096F18AD">
      <w:pPr>
        <w:rPr>
          <w:color w:val="auto"/>
          <w:highlight w:val="none"/>
        </w:rPr>
      </w:pPr>
      <w:r>
        <w:rPr>
          <w:rFonts w:hint="eastAsia"/>
          <w:color w:val="auto"/>
          <w:highlight w:val="none"/>
        </w:rPr>
        <w:t>3.1.2.2 有串通参选、弄虚作假等其他违反相关法律、法规行为的；</w:t>
      </w:r>
    </w:p>
    <w:p w14:paraId="4BFE9C9D">
      <w:pPr>
        <w:rPr>
          <w:color w:val="auto"/>
          <w:highlight w:val="none"/>
        </w:rPr>
      </w:pPr>
      <w:r>
        <w:rPr>
          <w:rFonts w:hint="eastAsia"/>
          <w:color w:val="auto"/>
          <w:highlight w:val="none"/>
        </w:rPr>
        <w:t>3.1.2.3 不按评审委员会要求澄清、说明或补正的。</w:t>
      </w:r>
    </w:p>
    <w:p w14:paraId="696B7C05">
      <w:pPr>
        <w:rPr>
          <w:color w:val="auto"/>
          <w:highlight w:val="none"/>
        </w:rPr>
      </w:pPr>
      <w:r>
        <w:rPr>
          <w:rFonts w:hint="eastAsia"/>
          <w:color w:val="auto"/>
          <w:highlight w:val="none"/>
        </w:rPr>
        <w:t>3.1.2.4 本参选文件约定的其它情形。</w:t>
      </w:r>
    </w:p>
    <w:p w14:paraId="1DE54CBD">
      <w:pPr>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04553C1F">
      <w:pPr>
        <w:pStyle w:val="4"/>
        <w:rPr>
          <w:color w:val="auto"/>
          <w:highlight w:val="none"/>
        </w:rPr>
      </w:pPr>
      <w:r>
        <w:rPr>
          <w:rFonts w:hint="eastAsia"/>
          <w:color w:val="auto"/>
          <w:highlight w:val="none"/>
        </w:rPr>
        <w:t>3.2 详细评审</w:t>
      </w:r>
    </w:p>
    <w:p w14:paraId="6237C677">
      <w:pPr>
        <w:rPr>
          <w:color w:val="auto"/>
          <w:highlight w:val="none"/>
        </w:rPr>
      </w:pPr>
      <w:r>
        <w:rPr>
          <w:rFonts w:hint="eastAsia"/>
          <w:color w:val="auto"/>
          <w:highlight w:val="none"/>
        </w:rPr>
        <w:t>3.2.1 评审委员会按本章第2.2 条规定的量化因素和分值进行打分，并计算出综合评估得分。</w:t>
      </w:r>
    </w:p>
    <w:p w14:paraId="15573113">
      <w:pPr>
        <w:rPr>
          <w:color w:val="auto"/>
          <w:highlight w:val="none"/>
        </w:rPr>
      </w:pPr>
      <w:r>
        <w:rPr>
          <w:rFonts w:hint="eastAsia"/>
          <w:color w:val="auto"/>
          <w:highlight w:val="none"/>
        </w:rPr>
        <w:t>3.2.1.1 按本章第2.2 条规定的评审因素和分值对参选报价计算出得分；</w:t>
      </w:r>
    </w:p>
    <w:p w14:paraId="4F3C585D">
      <w:pPr>
        <w:rPr>
          <w:color w:val="auto"/>
          <w:highlight w:val="none"/>
        </w:rPr>
      </w:pPr>
      <w:r>
        <w:rPr>
          <w:rFonts w:hint="eastAsia"/>
          <w:color w:val="auto"/>
          <w:highlight w:val="none"/>
        </w:rPr>
        <w:t>3.2.1.2 按本章第2.2 条规定的评审因素和分值对商务部分计算出得分（评审委员会统一打分）；</w:t>
      </w:r>
    </w:p>
    <w:p w14:paraId="1659A40E">
      <w:pPr>
        <w:rPr>
          <w:color w:val="auto"/>
          <w:highlight w:val="none"/>
        </w:rPr>
      </w:pPr>
      <w:r>
        <w:rPr>
          <w:rFonts w:hint="eastAsia"/>
          <w:color w:val="auto"/>
          <w:highlight w:val="none"/>
        </w:rPr>
        <w:t>3.2.2 评分分值计算保留小数点后两位，小数点后第三位“四舍五入”。</w:t>
      </w:r>
    </w:p>
    <w:p w14:paraId="450A6BB2">
      <w:pPr>
        <w:outlineLvl w:val="3"/>
        <w:rPr>
          <w:color w:val="auto"/>
          <w:highlight w:val="none"/>
        </w:rPr>
      </w:pPr>
      <w:r>
        <w:rPr>
          <w:rFonts w:hint="eastAsia"/>
          <w:color w:val="auto"/>
          <w:highlight w:val="none"/>
        </w:rPr>
        <w:t>3.2.3 参选人得分=参选报价得分+商务部分得分。</w:t>
      </w:r>
    </w:p>
    <w:p w14:paraId="383EE481">
      <w:pPr>
        <w:pStyle w:val="4"/>
        <w:rPr>
          <w:color w:val="auto"/>
          <w:highlight w:val="none"/>
        </w:rPr>
      </w:pPr>
      <w:r>
        <w:rPr>
          <w:rFonts w:hint="eastAsia"/>
          <w:color w:val="auto"/>
          <w:highlight w:val="none"/>
        </w:rPr>
        <w:t>3.3 参选文件的澄清和补正</w:t>
      </w:r>
    </w:p>
    <w:p w14:paraId="5D50D13D">
      <w:pPr>
        <w:rPr>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0A8898A8">
      <w:pPr>
        <w:rPr>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14:paraId="130EACC5">
      <w:pPr>
        <w:rPr>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14:paraId="2C0E32A2">
      <w:pPr>
        <w:pStyle w:val="4"/>
        <w:rPr>
          <w:color w:val="auto"/>
          <w:highlight w:val="none"/>
        </w:rPr>
      </w:pPr>
      <w:r>
        <w:rPr>
          <w:rFonts w:hint="eastAsia"/>
          <w:color w:val="auto"/>
          <w:highlight w:val="none"/>
        </w:rPr>
        <w:t>3.4 评审结果</w:t>
      </w:r>
    </w:p>
    <w:p w14:paraId="05F96640">
      <w:pPr>
        <w:outlineLvl w:val="3"/>
        <w:rPr>
          <w:color w:val="auto"/>
          <w:highlight w:val="none"/>
        </w:rPr>
      </w:pPr>
      <w:r>
        <w:rPr>
          <w:rFonts w:hint="eastAsia"/>
          <w:color w:val="auto"/>
          <w:highlight w:val="none"/>
        </w:rPr>
        <w:t>3.4.1 评审委员会按照得分由高到低的顺序推荐中选候选人。</w:t>
      </w:r>
    </w:p>
    <w:p w14:paraId="0FDCBA7D">
      <w:pPr>
        <w:rPr>
          <w:color w:val="auto"/>
          <w:highlight w:val="none"/>
        </w:rPr>
      </w:pPr>
      <w:r>
        <w:rPr>
          <w:rFonts w:hint="eastAsia"/>
          <w:color w:val="auto"/>
          <w:highlight w:val="none"/>
        </w:rPr>
        <w:t>3.4.2 评审委员会完成评审后，应当向比选人提交书面评审报告。</w:t>
      </w:r>
    </w:p>
    <w:p w14:paraId="4AB603A3">
      <w:pPr>
        <w:rPr>
          <w:color w:val="auto"/>
          <w:highlight w:val="none"/>
        </w:rPr>
      </w:pPr>
      <w:r>
        <w:rPr>
          <w:rFonts w:hint="eastAsia"/>
          <w:color w:val="auto"/>
          <w:highlight w:val="none"/>
        </w:rPr>
        <w:t>3.4.3 有效参选不足两个的，经评审委员会判定，参选人具有相对行业竞争力的，可继续进行评审。</w:t>
      </w:r>
    </w:p>
    <w:p w14:paraId="1BD2EC71">
      <w:pPr>
        <w:pStyle w:val="4"/>
        <w:rPr>
          <w:color w:val="auto"/>
          <w:highlight w:val="none"/>
        </w:rPr>
      </w:pPr>
      <w:r>
        <w:rPr>
          <w:rFonts w:hint="eastAsia"/>
          <w:color w:val="auto"/>
          <w:highlight w:val="none"/>
        </w:rPr>
        <w:t>3.5 对评审委员会成员的纪律要求</w:t>
      </w:r>
    </w:p>
    <w:p w14:paraId="7EEF1C49">
      <w:pPr>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3D23725">
      <w:pPr>
        <w:pStyle w:val="4"/>
        <w:rPr>
          <w:color w:val="auto"/>
          <w:highlight w:val="none"/>
        </w:rPr>
      </w:pPr>
      <w:r>
        <w:rPr>
          <w:rFonts w:hint="eastAsia"/>
          <w:color w:val="auto"/>
          <w:highlight w:val="none"/>
        </w:rPr>
        <w:t>3.6 对与评审活动有关的工作人员的纪律要求</w:t>
      </w:r>
    </w:p>
    <w:p w14:paraId="3742F6C1">
      <w:pPr>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A118411">
      <w:pPr>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227DD35A">
      <w:pPr>
        <w:pStyle w:val="2"/>
        <w:rPr>
          <w:color w:val="auto"/>
          <w:highlight w:val="none"/>
        </w:rPr>
      </w:pPr>
      <w:bookmarkStart w:id="83" w:name="_Toc22650"/>
      <w:r>
        <w:rPr>
          <w:rFonts w:hint="eastAsia"/>
          <w:color w:val="auto"/>
          <w:highlight w:val="none"/>
        </w:rPr>
        <w:t>第五章 合同</w:t>
      </w:r>
      <w:r>
        <w:rPr>
          <w:color w:val="auto"/>
          <w:highlight w:val="none"/>
        </w:rPr>
        <w:t>模板</w:t>
      </w:r>
      <w:bookmarkEnd w:id="79"/>
      <w:bookmarkEnd w:id="80"/>
      <w:bookmarkEnd w:id="83"/>
    </w:p>
    <w:p w14:paraId="0D6D0128">
      <w:pPr>
        <w:ind w:firstLine="0" w:firstLineChars="0"/>
        <w:jc w:val="center"/>
        <w:outlineLvl w:val="9"/>
        <w:rPr>
          <w:color w:val="auto"/>
          <w:highlight w:val="none"/>
        </w:rPr>
      </w:pPr>
      <w:r>
        <w:rPr>
          <w:rFonts w:hint="eastAsia"/>
          <w:color w:val="auto"/>
          <w:highlight w:val="none"/>
        </w:rPr>
        <w:t>（本章节的合同条款及格式仅供参考，具体以合同签订时为准）</w:t>
      </w:r>
    </w:p>
    <w:p w14:paraId="4E9DBBF3">
      <w:pPr>
        <w:ind w:firstLine="0" w:firstLineChars="0"/>
        <w:jc w:val="left"/>
        <w:rPr>
          <w:color w:val="auto"/>
          <w:highlight w:val="none"/>
        </w:rPr>
      </w:pPr>
      <w:r>
        <w:rPr>
          <w:color w:val="auto"/>
          <w:highlight w:val="none"/>
        </w:rPr>
        <w:t>以下合同内容为部分条款，若比选文件与最终合同条款不一致，以最终合同条款为准。</w:t>
      </w:r>
    </w:p>
    <w:p w14:paraId="4569D998">
      <w:pPr>
        <w:outlineLvl w:val="1"/>
        <w:rPr>
          <w:color w:val="auto"/>
          <w:highlight w:val="none"/>
        </w:rPr>
      </w:pPr>
      <w:r>
        <w:rPr>
          <w:color w:val="auto"/>
          <w:highlight w:val="none"/>
        </w:rPr>
        <w:t>一、实施时间、地点</w:t>
      </w:r>
    </w:p>
    <w:p w14:paraId="5E4FF6FA">
      <w:pPr>
        <w:rPr>
          <w:color w:val="auto"/>
          <w:highlight w:val="none"/>
        </w:rPr>
      </w:pPr>
      <w:r>
        <w:rPr>
          <w:color w:val="auto"/>
          <w:highlight w:val="none"/>
        </w:rPr>
        <w:t>参选人须在2024年12月10日（含）前完成制作并配送至本行总行及各营业网点。</w:t>
      </w:r>
    </w:p>
    <w:p w14:paraId="6347FC00">
      <w:pPr>
        <w:outlineLvl w:val="1"/>
        <w:rPr>
          <w:color w:val="auto"/>
          <w:highlight w:val="none"/>
        </w:rPr>
      </w:pPr>
      <w:r>
        <w:rPr>
          <w:color w:val="auto"/>
          <w:highlight w:val="none"/>
        </w:rPr>
        <w:t>二、保密条款</w:t>
      </w:r>
    </w:p>
    <w:p w14:paraId="205710E6">
      <w:pPr>
        <w:outlineLvl w:val="2"/>
        <w:rPr>
          <w:color w:val="auto"/>
          <w:highlight w:val="none"/>
        </w:rPr>
      </w:pPr>
      <w:r>
        <w:rPr>
          <w:color w:val="auto"/>
          <w:highlight w:val="none"/>
        </w:rPr>
        <w:t>（一）保密范围</w:t>
      </w:r>
    </w:p>
    <w:p w14:paraId="4D7B847C">
      <w:pPr>
        <w:rPr>
          <w:color w:val="auto"/>
          <w:highlight w:val="none"/>
        </w:rPr>
      </w:pPr>
      <w:r>
        <w:rPr>
          <w:color w:val="auto"/>
          <w:highlight w:val="none"/>
        </w:rPr>
        <w:t>参选人在实施过程中接触到的比选人知识产权、经营信息等。</w:t>
      </w:r>
    </w:p>
    <w:p w14:paraId="4BA00483">
      <w:pPr>
        <w:outlineLvl w:val="2"/>
        <w:rPr>
          <w:color w:val="auto"/>
          <w:highlight w:val="none"/>
        </w:rPr>
      </w:pPr>
      <w:r>
        <w:rPr>
          <w:color w:val="auto"/>
          <w:highlight w:val="none"/>
        </w:rPr>
        <w:t>（二）保密责任</w:t>
      </w:r>
    </w:p>
    <w:p w14:paraId="31FA919D">
      <w:pPr>
        <w:rPr>
          <w:color w:val="auto"/>
          <w:highlight w:val="none"/>
        </w:rPr>
      </w:pPr>
      <w:r>
        <w:rPr>
          <w:color w:val="auto"/>
          <w:highlight w:val="none"/>
        </w:rPr>
        <w:t>双方互为保密资料的提供方和接受方，负有保密义务，承担保密责任。除经过双方书面同意，任何一方不得将有关内容提供给合同以外的第三人。</w:t>
      </w:r>
    </w:p>
    <w:p w14:paraId="6C684F20">
      <w:pPr>
        <w:outlineLvl w:val="1"/>
        <w:rPr>
          <w:color w:val="auto"/>
          <w:highlight w:val="none"/>
        </w:rPr>
      </w:pPr>
      <w:r>
        <w:rPr>
          <w:color w:val="auto"/>
          <w:highlight w:val="none"/>
        </w:rPr>
        <w:t>三、报价要求</w:t>
      </w:r>
    </w:p>
    <w:p w14:paraId="718F8933">
      <w:pPr>
        <w:rPr>
          <w:color w:val="auto"/>
          <w:highlight w:val="none"/>
        </w:rPr>
      </w:pPr>
      <w:r>
        <w:rPr>
          <w:color w:val="auto"/>
          <w:highlight w:val="none"/>
        </w:rPr>
        <w:t>（一）以人民币报价。</w:t>
      </w:r>
    </w:p>
    <w:p w14:paraId="64BB9117">
      <w:pPr>
        <w:rPr>
          <w:color w:val="auto"/>
          <w:highlight w:val="none"/>
        </w:rPr>
      </w:pPr>
      <w:r>
        <w:rPr>
          <w:color w:val="auto"/>
          <w:highlight w:val="none"/>
        </w:rPr>
        <w:t>（二）参选人应严格按照参选文件格式认真填写。</w:t>
      </w:r>
    </w:p>
    <w:p w14:paraId="78371EF3">
      <w:pPr>
        <w:rPr>
          <w:color w:val="auto"/>
          <w:highlight w:val="none"/>
        </w:rPr>
      </w:pPr>
      <w:r>
        <w:rPr>
          <w:color w:val="auto"/>
          <w:highlight w:val="none"/>
        </w:rPr>
        <w:t>（三）报价应包含正常实施所必须的物料采买、制作、安装、拆除、人工、运输、维护、分装、保险、税金、样品制作等所有费用。</w:t>
      </w:r>
    </w:p>
    <w:p w14:paraId="79624ECA">
      <w:pPr>
        <w:rPr>
          <w:color w:val="auto"/>
          <w:highlight w:val="none"/>
        </w:rPr>
      </w:pPr>
      <w:r>
        <w:rPr>
          <w:color w:val="auto"/>
          <w:highlight w:val="none"/>
        </w:rPr>
        <w:t>（四）报价单上应列明增值税专用发票的税率。</w:t>
      </w:r>
    </w:p>
    <w:p w14:paraId="4637746B">
      <w:pPr>
        <w:rPr>
          <w:color w:val="auto"/>
          <w:highlight w:val="none"/>
        </w:rPr>
      </w:pPr>
      <w:r>
        <w:rPr>
          <w:color w:val="auto"/>
          <w:highlight w:val="none"/>
        </w:rPr>
        <w:t>（五）报价为一次性报价，比选后不可更改。</w:t>
      </w:r>
    </w:p>
    <w:p w14:paraId="69D1BCF6">
      <w:pPr>
        <w:rPr>
          <w:color w:val="auto"/>
          <w:highlight w:val="none"/>
        </w:rPr>
      </w:pPr>
      <w:r>
        <w:rPr>
          <w:color w:val="auto"/>
          <w:highlight w:val="none"/>
        </w:rPr>
        <w:t>（六）若参选人有漏项报价，应视为已均摊在其他费用中，入围后在合同有效期内不予补报。</w:t>
      </w:r>
    </w:p>
    <w:p w14:paraId="2121FDC6">
      <w:pPr>
        <w:outlineLvl w:val="1"/>
        <w:rPr>
          <w:color w:val="auto"/>
          <w:highlight w:val="none"/>
        </w:rPr>
      </w:pPr>
      <w:r>
        <w:rPr>
          <w:color w:val="auto"/>
          <w:highlight w:val="none"/>
        </w:rPr>
        <w:t>四、验收</w:t>
      </w:r>
    </w:p>
    <w:p w14:paraId="67F9B594">
      <w:pPr>
        <w:outlineLvl w:val="2"/>
        <w:rPr>
          <w:color w:val="auto"/>
          <w:highlight w:val="none"/>
        </w:rPr>
      </w:pPr>
      <w:r>
        <w:rPr>
          <w:color w:val="auto"/>
          <w:highlight w:val="none"/>
        </w:rPr>
        <w:t>（一）总行由总行主管部门验收，其他分支机构自行验收。</w:t>
      </w:r>
    </w:p>
    <w:p w14:paraId="75CE18B9">
      <w:pPr>
        <w:rPr>
          <w:color w:val="auto"/>
          <w:highlight w:val="none"/>
        </w:rPr>
      </w:pPr>
      <w:r>
        <w:rPr>
          <w:color w:val="auto"/>
          <w:highlight w:val="none"/>
        </w:rPr>
        <w:t>（二）针对每个分支机构制作单独的验收报告。总行主管部门验收的验收报告至少应包括每种物料的照片各1张、各类物料签收数量，且照片应清晰、光线明亮，能反应该物料的全貌，且经总行主管部门相关人员签字认可；各分支机构的验收报告至少应包括各类物料签收数量，且经分支机构综合人员签字认可。</w:t>
      </w:r>
    </w:p>
    <w:p w14:paraId="717FC86B">
      <w:pPr>
        <w:outlineLvl w:val="2"/>
        <w:rPr>
          <w:color w:val="auto"/>
          <w:highlight w:val="none"/>
        </w:rPr>
      </w:pPr>
      <w:r>
        <w:rPr>
          <w:color w:val="auto"/>
          <w:highlight w:val="none"/>
        </w:rPr>
        <w:t>（三）制作整体验收报告，装订成册，盖参选人单位公章。</w:t>
      </w:r>
    </w:p>
    <w:p w14:paraId="695A05A3">
      <w:pPr>
        <w:rPr>
          <w:color w:val="auto"/>
          <w:highlight w:val="none"/>
        </w:rPr>
      </w:pPr>
      <w:r>
        <w:rPr>
          <w:color w:val="auto"/>
          <w:highlight w:val="none"/>
        </w:rPr>
        <w:t>（四）单独的验收报告和整体验收报告都须提交比选人总行主管部门进行验收。</w:t>
      </w:r>
    </w:p>
    <w:p w14:paraId="270B0358">
      <w:pPr>
        <w:outlineLvl w:val="1"/>
        <w:rPr>
          <w:color w:val="auto"/>
          <w:highlight w:val="none"/>
        </w:rPr>
      </w:pPr>
      <w:r>
        <w:rPr>
          <w:color w:val="auto"/>
          <w:highlight w:val="none"/>
        </w:rPr>
        <w:t>五、基本要求</w:t>
      </w:r>
    </w:p>
    <w:p w14:paraId="4402F0B9">
      <w:pPr>
        <w:outlineLvl w:val="2"/>
        <w:rPr>
          <w:color w:val="auto"/>
          <w:highlight w:val="none"/>
        </w:rPr>
      </w:pPr>
      <w:r>
        <w:rPr>
          <w:color w:val="auto"/>
          <w:highlight w:val="none"/>
        </w:rPr>
        <w:t>（一）参选人需负责本次项目的制作、运输、分装等一切服务。</w:t>
      </w:r>
    </w:p>
    <w:p w14:paraId="7F9B6110">
      <w:pPr>
        <w:rPr>
          <w:color w:val="auto"/>
          <w:highlight w:val="none"/>
        </w:rPr>
      </w:pPr>
      <w:r>
        <w:rPr>
          <w:color w:val="auto"/>
          <w:highlight w:val="none"/>
        </w:rPr>
        <w:t>（二）符合条件的参选人，需严格按照比选人提供的项目之要求进行制作和分装，并承担比选项目的材料供应和分装配送中可能发生的一切费用。比选人将按设计要求进行验收和使用，不承担其他任何责任，比选人变更设计要求的情况除外。</w:t>
      </w:r>
    </w:p>
    <w:p w14:paraId="282F7706">
      <w:pPr>
        <w:rPr>
          <w:color w:val="auto"/>
          <w:highlight w:val="none"/>
        </w:rPr>
      </w:pPr>
      <w:r>
        <w:rPr>
          <w:color w:val="auto"/>
          <w:highlight w:val="none"/>
        </w:rPr>
        <w:t>（三）比选人提供设计图纸、资料和相关信息，它是本项目要求的重要组成部份。但对其中任何错误、遗漏和有失精确之处不承担任何责任，参选人应承担核实的全部责任。</w:t>
      </w:r>
    </w:p>
    <w:p w14:paraId="22C8DEF7">
      <w:pPr>
        <w:rPr>
          <w:color w:val="auto"/>
          <w:highlight w:val="none"/>
        </w:rPr>
      </w:pPr>
      <w:r>
        <w:rPr>
          <w:color w:val="auto"/>
          <w:highlight w:val="none"/>
        </w:rPr>
        <w:t>（四）本行营业网点信息、物料清单及预计采购数量仅供参选人报价参考，且预计采购数量为估算数据，具体采购数量和规格型号以比选人与中选的参选人签订的采购合同为准。</w:t>
      </w:r>
    </w:p>
    <w:p w14:paraId="4707E2F0">
      <w:pPr>
        <w:rPr>
          <w:color w:val="auto"/>
          <w:highlight w:val="none"/>
        </w:rPr>
      </w:pPr>
      <w:r>
        <w:rPr>
          <w:color w:val="auto"/>
          <w:highlight w:val="none"/>
        </w:rPr>
        <w:t>（五）参选人制作新春礼包、新春帆布袋及存单封套时须用料讲究、成品精致美观，并在参选时提交新年礼包、新春帆布袋及存单封套的样品。</w:t>
      </w:r>
    </w:p>
    <w:p w14:paraId="3FCC3A43">
      <w:pPr>
        <w:rPr>
          <w:color w:val="auto"/>
          <w:highlight w:val="none"/>
        </w:rPr>
      </w:pPr>
      <w:r>
        <w:rPr>
          <w:color w:val="auto"/>
          <w:highlight w:val="none"/>
        </w:rPr>
        <w:t>（六）项目推进过程中，比选人对项目质量不满意而提出意见的，参选人应无条件进行整改。</w:t>
      </w:r>
    </w:p>
    <w:p w14:paraId="153FC77E">
      <w:pPr>
        <w:rPr>
          <w:color w:val="auto"/>
          <w:highlight w:val="none"/>
        </w:rPr>
      </w:pPr>
      <w:r>
        <w:rPr>
          <w:color w:val="auto"/>
          <w:highlight w:val="none"/>
        </w:rPr>
        <w:t>（七）福字贴和对联应配置透明胶、双面胶、胶块等粘贴工具。</w:t>
      </w:r>
    </w:p>
    <w:p w14:paraId="25182313">
      <w:pPr>
        <w:rPr>
          <w:color w:val="auto"/>
          <w:highlight w:val="none"/>
        </w:rPr>
      </w:pPr>
      <w:r>
        <w:rPr>
          <w:color w:val="auto"/>
          <w:highlight w:val="none"/>
        </w:rPr>
        <w:t>（八）红包外壳可写字，且字体清晰、不易擦除。</w:t>
      </w:r>
    </w:p>
    <w:p w14:paraId="1CFA9C0E">
      <w:pPr>
        <w:rPr>
          <w:color w:val="auto"/>
          <w:highlight w:val="none"/>
        </w:rPr>
      </w:pPr>
      <w:r>
        <w:rPr>
          <w:color w:val="auto"/>
          <w:highlight w:val="none"/>
        </w:rPr>
        <w:t>（九）履约担保</w:t>
      </w:r>
    </w:p>
    <w:p w14:paraId="0265F401">
      <w:pPr>
        <w:outlineLvl w:val="3"/>
        <w:rPr>
          <w:color w:val="auto"/>
          <w:highlight w:val="none"/>
        </w:rPr>
      </w:pPr>
      <w:r>
        <w:rPr>
          <w:color w:val="auto"/>
          <w:highlight w:val="none"/>
        </w:rPr>
        <w:t>1、履约担保金额：合同总金额的5%；</w:t>
      </w:r>
    </w:p>
    <w:p w14:paraId="20B11A19">
      <w:pPr>
        <w:rPr>
          <w:color w:val="auto"/>
          <w:highlight w:val="none"/>
        </w:rPr>
      </w:pPr>
      <w:r>
        <w:rPr>
          <w:color w:val="auto"/>
          <w:highlight w:val="none"/>
        </w:rPr>
        <w:t>2、履约担保方式：现金或见索即付的保函（包含银行、担保公司及保险公司出具的保函）；</w:t>
      </w:r>
    </w:p>
    <w:p w14:paraId="545BD2E7">
      <w:pPr>
        <w:rPr>
          <w:color w:val="auto"/>
          <w:highlight w:val="none"/>
        </w:rPr>
      </w:pPr>
      <w:r>
        <w:rPr>
          <w:color w:val="auto"/>
          <w:highlight w:val="none"/>
        </w:rPr>
        <w:t>3、履约担保提交时间和账户：中选人在领取中选通知书后5日内向比选人提交；</w:t>
      </w:r>
    </w:p>
    <w:p w14:paraId="25904DAC">
      <w:pPr>
        <w:rPr>
          <w:color w:val="auto"/>
          <w:highlight w:val="none"/>
        </w:rPr>
      </w:pPr>
      <w:r>
        <w:rPr>
          <w:color w:val="auto"/>
          <w:highlight w:val="none"/>
        </w:rPr>
        <w:t>（户名：重庆三峡银行股份有限公司账号：0101014040000043 开户行：重庆三峡银行总行营业部）；</w:t>
      </w:r>
    </w:p>
    <w:p w14:paraId="7EBC78DB">
      <w:pPr>
        <w:rPr>
          <w:color w:val="auto"/>
          <w:highlight w:val="none"/>
        </w:rPr>
      </w:pPr>
      <w:r>
        <w:rPr>
          <w:color w:val="auto"/>
          <w:highlight w:val="none"/>
        </w:rPr>
        <w:t xml:space="preserve">4、履约保证金退还时间：合同事项确认完成后30个工作日内，一次性无息退还；如有违约，仅退还扣除违约金、赔偿款等应付款项后的余额。  </w:t>
      </w:r>
    </w:p>
    <w:p w14:paraId="3622C181">
      <w:pPr>
        <w:outlineLvl w:val="1"/>
        <w:rPr>
          <w:color w:val="auto"/>
          <w:highlight w:val="none"/>
        </w:rPr>
      </w:pPr>
      <w:r>
        <w:rPr>
          <w:color w:val="auto"/>
          <w:highlight w:val="none"/>
        </w:rPr>
        <w:t>六、质量保证及售后服务</w:t>
      </w:r>
    </w:p>
    <w:p w14:paraId="71AB9094">
      <w:pPr>
        <w:rPr>
          <w:color w:val="auto"/>
          <w:highlight w:val="none"/>
        </w:rPr>
      </w:pPr>
      <w:r>
        <w:rPr>
          <w:color w:val="auto"/>
          <w:highlight w:val="none"/>
        </w:rPr>
        <w:t>比选人有权核实制成品与参选人参选时提供样品的吻合度，当制成品与参选时提供样品的吻合度低于95%时，视为制成品不合格，参选人应尽快重新制作及配送，在质保服务方案中承诺相应时间（自然日）并承诺自行承担由此所产生的一切费用。</w:t>
      </w:r>
    </w:p>
    <w:p w14:paraId="704DC38B">
      <w:pPr>
        <w:outlineLvl w:val="1"/>
        <w:rPr>
          <w:color w:val="auto"/>
          <w:highlight w:val="none"/>
        </w:rPr>
      </w:pPr>
      <w:r>
        <w:rPr>
          <w:color w:val="auto"/>
          <w:highlight w:val="none"/>
        </w:rPr>
        <w:t>七、付款方式</w:t>
      </w:r>
    </w:p>
    <w:p w14:paraId="7348EA39">
      <w:pPr>
        <w:rPr>
          <w:color w:val="auto"/>
          <w:highlight w:val="none"/>
        </w:rPr>
      </w:pPr>
      <w:r>
        <w:rPr>
          <w:color w:val="auto"/>
          <w:highlight w:val="none"/>
        </w:rPr>
        <w:t>参选人应按合同及本比选文件约定的时间实施。当比选人总行主管部门收到汇总装订成册的验收报告并最终通过验收后，支付合同总金额的90%，剩余应付货款的10%作为尾款，合同签订三个月后依据评价结果予以支付。比选人每次付款前，参选人需先开具并送达等额增值税专用发票。否则，比选人有权不予付款且无需承担逾期付款违约责任。</w:t>
      </w:r>
    </w:p>
    <w:p w14:paraId="0846F3FC">
      <w:pPr>
        <w:outlineLvl w:val="1"/>
        <w:rPr>
          <w:color w:val="auto"/>
          <w:highlight w:val="none"/>
        </w:rPr>
      </w:pPr>
      <w:r>
        <w:rPr>
          <w:color w:val="auto"/>
          <w:highlight w:val="none"/>
        </w:rPr>
        <w:t>八、知识产权</w:t>
      </w:r>
    </w:p>
    <w:p w14:paraId="1DFC7EB4">
      <w:pPr>
        <w:rPr>
          <w:color w:val="auto"/>
          <w:highlight w:val="none"/>
        </w:rPr>
      </w:pPr>
      <w:r>
        <w:rPr>
          <w:color w:val="auto"/>
          <w:highlight w:val="none"/>
        </w:rPr>
        <w:t>参选人在参加本次项目参选、中选后制作的新春礼包、新春帆布袋及存单封套、提供相关服务的全程中，均不得侵犯任何方的知识产权和其他合法权益，不得侵犯本行商誉，未经本行同意不得使用本行合法所有的知识产权（包括但不限于本次新春礼包、新春帆布袋及存单封套的设计、本行的商标等），由此造成的一切损失由参选人承担赔偿责任。</w:t>
      </w:r>
    </w:p>
    <w:p w14:paraId="6F7CF375">
      <w:pPr>
        <w:outlineLvl w:val="1"/>
        <w:rPr>
          <w:color w:val="auto"/>
          <w:highlight w:val="none"/>
        </w:rPr>
      </w:pPr>
      <w:r>
        <w:rPr>
          <w:color w:val="auto"/>
          <w:highlight w:val="none"/>
        </w:rPr>
        <w:t>九、合约中止情况</w:t>
      </w:r>
    </w:p>
    <w:p w14:paraId="4F154273">
      <w:pPr>
        <w:rPr>
          <w:color w:val="auto"/>
          <w:highlight w:val="none"/>
        </w:rPr>
      </w:pPr>
      <w:r>
        <w:rPr>
          <w:color w:val="auto"/>
          <w:highlight w:val="none"/>
        </w:rPr>
        <w:t>当参选人出现以下任意一种情况时，比选人有权单方面终止采购合同：</w:t>
      </w:r>
    </w:p>
    <w:p w14:paraId="771A41C2">
      <w:pPr>
        <w:rPr>
          <w:color w:val="auto"/>
          <w:highlight w:val="none"/>
        </w:rPr>
      </w:pPr>
      <w:r>
        <w:rPr>
          <w:color w:val="auto"/>
          <w:highlight w:val="none"/>
        </w:rPr>
        <w:t>（一）比选人收到新春礼包、新春帆布袋及存单封套后，发现明显质量问题，经与参选人沟通仍不能解决。</w:t>
      </w:r>
    </w:p>
    <w:p w14:paraId="4D4C12F8">
      <w:pPr>
        <w:outlineLvl w:val="2"/>
        <w:rPr>
          <w:color w:val="auto"/>
          <w:highlight w:val="none"/>
        </w:rPr>
      </w:pPr>
      <w:r>
        <w:rPr>
          <w:color w:val="auto"/>
          <w:highlight w:val="none"/>
        </w:rPr>
        <w:t>（二）参选人在收到比选人订单后，未能按期交货。</w:t>
      </w:r>
    </w:p>
    <w:p w14:paraId="4F0C017B">
      <w:pPr>
        <w:rPr>
          <w:color w:val="auto"/>
          <w:highlight w:val="none"/>
        </w:rPr>
      </w:pPr>
      <w:r>
        <w:rPr>
          <w:color w:val="auto"/>
          <w:highlight w:val="none"/>
        </w:rPr>
        <w:t>（三）新春礼包和其他营销物料在使用过程中，短期内出现明显非人为质量问题或比选人收到相关投诉累计超过三次。</w:t>
      </w:r>
    </w:p>
    <w:p w14:paraId="0FB99E75">
      <w:pPr>
        <w:rPr>
          <w:color w:val="auto"/>
          <w:highlight w:val="none"/>
        </w:rPr>
      </w:pPr>
      <w:r>
        <w:rPr>
          <w:color w:val="auto"/>
          <w:highlight w:val="none"/>
        </w:rPr>
        <w:t>（四）参选人如在信息安全和保密措施方面出现较大事故，对比选人声誉造成负面影响，比选人有权单方面终止合同并追究其责任。</w:t>
      </w:r>
    </w:p>
    <w:p w14:paraId="44457D66">
      <w:pPr>
        <w:outlineLvl w:val="1"/>
        <w:rPr>
          <w:color w:val="auto"/>
          <w:highlight w:val="none"/>
        </w:rPr>
      </w:pPr>
      <w:r>
        <w:rPr>
          <w:color w:val="auto"/>
          <w:highlight w:val="none"/>
        </w:rPr>
        <w:t>十、其他</w:t>
      </w:r>
    </w:p>
    <w:p w14:paraId="4D605735">
      <w:pPr>
        <w:rPr>
          <w:color w:val="auto"/>
          <w:highlight w:val="none"/>
        </w:rPr>
      </w:pPr>
      <w:r>
        <w:rPr>
          <w:color w:val="auto"/>
          <w:highlight w:val="none"/>
        </w:rPr>
        <w:t>1、参选人必须在参选文件中对以上条款和服务承诺明确列出，承诺内容必须达到本篇及比选文件其他条款的要求。</w:t>
      </w:r>
    </w:p>
    <w:p w14:paraId="60277138">
      <w:pPr>
        <w:outlineLvl w:val="2"/>
        <w:rPr>
          <w:color w:val="auto"/>
          <w:highlight w:val="none"/>
        </w:rPr>
      </w:pPr>
      <w:r>
        <w:rPr>
          <w:color w:val="auto"/>
          <w:highlight w:val="none"/>
        </w:rPr>
        <w:t>2、其他未尽事宜由比选人和参选人在合同中详细约定。</w:t>
      </w:r>
    </w:p>
    <w:p w14:paraId="4BA9D086">
      <w:pPr>
        <w:rPr>
          <w:color w:val="auto"/>
          <w:highlight w:val="none"/>
        </w:rPr>
      </w:pPr>
    </w:p>
    <w:p w14:paraId="65A15A81">
      <w:pPr>
        <w:rPr>
          <w:color w:val="auto"/>
          <w:highlight w:val="none"/>
        </w:rPr>
      </w:pPr>
    </w:p>
    <w:p w14:paraId="4334F9E3">
      <w:pPr>
        <w:rPr>
          <w:color w:val="auto"/>
          <w:highlight w:val="none"/>
        </w:rPr>
      </w:pPr>
    </w:p>
    <w:p w14:paraId="4F76C73C">
      <w:pPr>
        <w:rPr>
          <w:color w:val="auto"/>
          <w:highlight w:val="none"/>
        </w:rPr>
      </w:pPr>
    </w:p>
    <w:p w14:paraId="12254ED0">
      <w:pPr>
        <w:pStyle w:val="2"/>
        <w:rPr>
          <w:color w:val="auto"/>
          <w:highlight w:val="none"/>
        </w:rPr>
      </w:pPr>
      <w:bookmarkStart w:id="84" w:name="_Toc8505"/>
      <w:bookmarkStart w:id="85" w:name="_Toc7021"/>
      <w:r>
        <w:rPr>
          <w:rFonts w:hint="eastAsia"/>
          <w:color w:val="auto"/>
          <w:highlight w:val="none"/>
        </w:rPr>
        <w:t>第六章 参选文件</w:t>
      </w:r>
      <w:bookmarkEnd w:id="81"/>
      <w:bookmarkEnd w:id="82"/>
      <w:bookmarkStart w:id="86" w:name="_Toc303066035"/>
      <w:r>
        <w:rPr>
          <w:rFonts w:hint="eastAsia"/>
          <w:color w:val="auto"/>
          <w:highlight w:val="none"/>
        </w:rPr>
        <w:t>格式</w:t>
      </w:r>
      <w:bookmarkEnd w:id="84"/>
      <w:bookmarkEnd w:id="85"/>
    </w:p>
    <w:bookmarkEnd w:id="86"/>
    <w:p w14:paraId="0E66A6D1">
      <w:pPr>
        <w:tabs>
          <w:tab w:val="left" w:pos="6516"/>
        </w:tabs>
        <w:adjustRightInd w:val="0"/>
        <w:snapToGrid w:val="0"/>
        <w:spacing w:line="360" w:lineRule="auto"/>
        <w:ind w:firstLine="0" w:firstLineChars="0"/>
        <w:jc w:val="center"/>
        <w:rPr>
          <w:rFonts w:ascii="宋体" w:hAnsi="宋体"/>
          <w:b/>
          <w:color w:val="auto"/>
          <w:kern w:val="0"/>
          <w:highlight w:val="none"/>
          <w:u w:val="single"/>
        </w:rPr>
      </w:pPr>
    </w:p>
    <w:p w14:paraId="6D5F8015">
      <w:pPr>
        <w:spacing w:line="360" w:lineRule="auto"/>
        <w:ind w:firstLine="0" w:firstLineChars="0"/>
        <w:jc w:val="center"/>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0E1B4857">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u w:val="single"/>
        </w:rPr>
      </w:pPr>
      <w:r>
        <w:rPr>
          <w:rFonts w:hint="eastAsia" w:ascii="Times New Roman" w:hAnsi="Times New Roman" w:cs="Times New Roman"/>
          <w:b/>
          <w:snapToGrid w:val="0"/>
          <w:color w:val="auto"/>
          <w:kern w:val="0"/>
          <w:sz w:val="48"/>
          <w:szCs w:val="84"/>
          <w:highlight w:val="none"/>
          <w:u w:val="single"/>
        </w:rPr>
        <w:t>2025年新春营销物料采购项目</w:t>
      </w:r>
    </w:p>
    <w:p w14:paraId="5B765FF5">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333DCC19">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5F15171E">
      <w:pPr>
        <w:tabs>
          <w:tab w:val="left" w:pos="3600"/>
          <w:tab w:val="left" w:pos="4480"/>
          <w:tab w:val="left" w:pos="5360"/>
        </w:tabs>
        <w:adjustRightInd w:val="0"/>
        <w:snapToGrid w:val="0"/>
        <w:spacing w:line="360" w:lineRule="auto"/>
        <w:ind w:firstLine="0" w:firstLineChars="0"/>
        <w:jc w:val="center"/>
        <w:rPr>
          <w:rFonts w:ascii="宋体" w:hAnsi="宋体"/>
          <w:b/>
          <w:color w:val="auto"/>
          <w:kern w:val="0"/>
          <w:sz w:val="84"/>
          <w:highlight w:val="none"/>
        </w:rPr>
      </w:pPr>
      <w:r>
        <w:rPr>
          <w:rFonts w:hint="eastAsia" w:ascii="宋体" w:hAnsi="宋体"/>
          <w:b/>
          <w:color w:val="auto"/>
          <w:kern w:val="0"/>
          <w:sz w:val="84"/>
          <w:highlight w:val="none"/>
        </w:rPr>
        <w:t>参  选  文  件</w:t>
      </w:r>
    </w:p>
    <w:p w14:paraId="4CAC362F">
      <w:pPr>
        <w:adjustRightInd w:val="0"/>
        <w:snapToGrid w:val="0"/>
        <w:spacing w:line="360" w:lineRule="auto"/>
        <w:ind w:firstLine="0" w:firstLineChars="0"/>
        <w:jc w:val="center"/>
        <w:rPr>
          <w:rFonts w:ascii="宋体" w:hAnsi="宋体"/>
          <w:color w:val="auto"/>
          <w:kern w:val="0"/>
          <w:sz w:val="16"/>
          <w:highlight w:val="none"/>
        </w:rPr>
      </w:pPr>
    </w:p>
    <w:p w14:paraId="1E57FBA9">
      <w:pPr>
        <w:adjustRightInd w:val="0"/>
        <w:snapToGrid w:val="0"/>
        <w:spacing w:line="360" w:lineRule="auto"/>
        <w:ind w:firstLine="0" w:firstLineChars="0"/>
        <w:jc w:val="center"/>
        <w:rPr>
          <w:rFonts w:ascii="宋体" w:hAnsi="宋体"/>
          <w:b/>
          <w:color w:val="auto"/>
          <w:kern w:val="0"/>
          <w:sz w:val="20"/>
          <w:highlight w:val="none"/>
        </w:rPr>
      </w:pPr>
    </w:p>
    <w:p w14:paraId="7F45B967">
      <w:pPr>
        <w:adjustRightInd w:val="0"/>
        <w:snapToGrid w:val="0"/>
        <w:spacing w:line="360" w:lineRule="auto"/>
        <w:ind w:firstLine="0" w:firstLineChars="0"/>
        <w:jc w:val="center"/>
        <w:rPr>
          <w:rFonts w:ascii="宋体" w:hAnsi="宋体"/>
          <w:b/>
          <w:color w:val="auto"/>
          <w:kern w:val="0"/>
          <w:sz w:val="20"/>
          <w:highlight w:val="none"/>
        </w:rPr>
      </w:pPr>
    </w:p>
    <w:p w14:paraId="5E33D952">
      <w:pPr>
        <w:adjustRightInd w:val="0"/>
        <w:snapToGrid w:val="0"/>
        <w:spacing w:line="360" w:lineRule="auto"/>
        <w:ind w:firstLine="0" w:firstLineChars="0"/>
        <w:jc w:val="center"/>
        <w:rPr>
          <w:rFonts w:ascii="宋体" w:hAnsi="宋体"/>
          <w:b/>
          <w:color w:val="auto"/>
          <w:kern w:val="0"/>
          <w:sz w:val="20"/>
          <w:highlight w:val="none"/>
        </w:rPr>
      </w:pPr>
    </w:p>
    <w:p w14:paraId="0F08D463">
      <w:pPr>
        <w:adjustRightInd w:val="0"/>
        <w:snapToGrid w:val="0"/>
        <w:spacing w:line="360" w:lineRule="auto"/>
        <w:ind w:firstLine="0" w:firstLineChars="0"/>
        <w:jc w:val="center"/>
        <w:rPr>
          <w:rFonts w:ascii="宋体" w:hAnsi="宋体"/>
          <w:b/>
          <w:color w:val="auto"/>
          <w:kern w:val="0"/>
          <w:sz w:val="20"/>
          <w:highlight w:val="none"/>
        </w:rPr>
      </w:pPr>
    </w:p>
    <w:p w14:paraId="32F597B9">
      <w:pPr>
        <w:adjustRightInd w:val="0"/>
        <w:snapToGrid w:val="0"/>
        <w:spacing w:line="360" w:lineRule="auto"/>
        <w:ind w:firstLine="0" w:firstLineChars="0"/>
        <w:jc w:val="center"/>
        <w:rPr>
          <w:rFonts w:ascii="宋体" w:hAnsi="宋体"/>
          <w:b/>
          <w:color w:val="auto"/>
          <w:kern w:val="0"/>
          <w:sz w:val="20"/>
          <w:highlight w:val="none"/>
        </w:rPr>
      </w:pPr>
    </w:p>
    <w:p w14:paraId="505EDB6B">
      <w:pPr>
        <w:adjustRightInd w:val="0"/>
        <w:snapToGrid w:val="0"/>
        <w:spacing w:line="360" w:lineRule="auto"/>
        <w:ind w:firstLine="0" w:firstLineChars="0"/>
        <w:jc w:val="center"/>
        <w:rPr>
          <w:rFonts w:ascii="宋体" w:hAnsi="宋体"/>
          <w:b/>
          <w:color w:val="auto"/>
          <w:kern w:val="0"/>
          <w:sz w:val="20"/>
          <w:highlight w:val="none"/>
        </w:rPr>
      </w:pPr>
    </w:p>
    <w:p w14:paraId="0DE3DFF3">
      <w:pPr>
        <w:adjustRightInd w:val="0"/>
        <w:snapToGrid w:val="0"/>
        <w:spacing w:line="360" w:lineRule="auto"/>
        <w:ind w:firstLine="0" w:firstLineChars="0"/>
        <w:jc w:val="center"/>
        <w:rPr>
          <w:rFonts w:ascii="宋体" w:hAnsi="宋体"/>
          <w:b/>
          <w:color w:val="auto"/>
          <w:kern w:val="0"/>
          <w:sz w:val="20"/>
          <w:highlight w:val="none"/>
        </w:rPr>
      </w:pPr>
    </w:p>
    <w:p w14:paraId="65C0AA9E">
      <w:pPr>
        <w:adjustRightInd w:val="0"/>
        <w:snapToGrid w:val="0"/>
        <w:spacing w:line="360" w:lineRule="auto"/>
        <w:ind w:firstLine="0" w:firstLineChars="0"/>
        <w:jc w:val="center"/>
        <w:rPr>
          <w:rFonts w:ascii="宋体" w:hAnsi="宋体"/>
          <w:b/>
          <w:color w:val="auto"/>
          <w:kern w:val="0"/>
          <w:sz w:val="20"/>
          <w:highlight w:val="none"/>
        </w:rPr>
      </w:pPr>
    </w:p>
    <w:p w14:paraId="36786D4F">
      <w:pPr>
        <w:adjustRightInd w:val="0"/>
        <w:snapToGrid w:val="0"/>
        <w:spacing w:line="360" w:lineRule="auto"/>
        <w:ind w:firstLine="0" w:firstLineChars="0"/>
        <w:jc w:val="center"/>
        <w:rPr>
          <w:rFonts w:ascii="宋体" w:hAnsi="宋体"/>
          <w:b/>
          <w:color w:val="auto"/>
          <w:kern w:val="0"/>
          <w:sz w:val="20"/>
          <w:highlight w:val="none"/>
        </w:rPr>
      </w:pPr>
    </w:p>
    <w:p w14:paraId="0E731FD6">
      <w:pPr>
        <w:spacing w:line="360" w:lineRule="auto"/>
        <w:ind w:firstLine="0" w:firstLineChars="0"/>
        <w:jc w:val="center"/>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3E14F9BA">
      <w:pPr>
        <w:spacing w:line="360" w:lineRule="auto"/>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1146CAEF">
      <w:pPr>
        <w:spacing w:line="360" w:lineRule="auto"/>
        <w:ind w:firstLine="0" w:firstLineChars="0"/>
        <w:jc w:val="center"/>
        <w:rPr>
          <w:color w:val="auto"/>
          <w:highlight w:val="none"/>
        </w:rPr>
      </w:pPr>
      <w:r>
        <w:rPr>
          <w:rFonts w:hint="eastAsia"/>
          <w:color w:val="auto"/>
          <w:highlight w:val="none"/>
        </w:rPr>
        <w:t>年     月     日</w:t>
      </w:r>
    </w:p>
    <w:p w14:paraId="09E6143F">
      <w:pPr>
        <w:tabs>
          <w:tab w:val="left" w:pos="3280"/>
          <w:tab w:val="left" w:pos="4680"/>
          <w:tab w:val="left" w:pos="6080"/>
        </w:tabs>
        <w:adjustRightInd w:val="0"/>
        <w:snapToGrid w:val="0"/>
        <w:spacing w:line="360" w:lineRule="auto"/>
        <w:ind w:firstLine="0" w:firstLineChars="0"/>
        <w:jc w:val="center"/>
        <w:rPr>
          <w:rFonts w:ascii="宋体" w:hAnsi="宋体"/>
          <w:b/>
          <w:color w:val="auto"/>
          <w:kern w:val="0"/>
          <w:highlight w:val="none"/>
        </w:rPr>
      </w:pPr>
    </w:p>
    <w:p w14:paraId="6623F778">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25B8AC2C">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6824C630">
      <w:pPr>
        <w:tabs>
          <w:tab w:val="left" w:pos="6300"/>
        </w:tabs>
        <w:snapToGrid w:val="0"/>
        <w:spacing w:line="360" w:lineRule="auto"/>
        <w:ind w:firstLine="0" w:firstLineChars="0"/>
        <w:jc w:val="center"/>
        <w:rPr>
          <w:rFonts w:ascii="宋体" w:hAnsi="宋体"/>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651BFDFE">
      <w:pPr>
        <w:tabs>
          <w:tab w:val="left" w:pos="6300"/>
        </w:tabs>
        <w:snapToGrid w:val="0"/>
        <w:spacing w:line="360" w:lineRule="auto"/>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5AC31E51">
      <w:pPr>
        <w:rPr>
          <w:color w:val="auto"/>
          <w:highlight w:val="none"/>
        </w:rPr>
      </w:pPr>
      <w:r>
        <w:rPr>
          <w:rFonts w:hint="eastAsia"/>
          <w:color w:val="auto"/>
          <w:highlight w:val="none"/>
        </w:rPr>
        <w:t>一、参选函</w:t>
      </w:r>
    </w:p>
    <w:p w14:paraId="3501CA77">
      <w:pPr>
        <w:rPr>
          <w:color w:val="auto"/>
          <w:highlight w:val="none"/>
        </w:rPr>
      </w:pPr>
      <w:r>
        <w:rPr>
          <w:rFonts w:hint="eastAsia"/>
          <w:color w:val="auto"/>
          <w:highlight w:val="none"/>
        </w:rPr>
        <w:t>二、分项报价明细表</w:t>
      </w:r>
    </w:p>
    <w:p w14:paraId="32475121">
      <w:pPr>
        <w:rPr>
          <w:color w:val="auto"/>
          <w:highlight w:val="none"/>
        </w:rPr>
      </w:pPr>
      <w:r>
        <w:rPr>
          <w:rFonts w:hint="eastAsia"/>
          <w:color w:val="auto"/>
          <w:highlight w:val="none"/>
        </w:rPr>
        <w:t>三、资格性文件</w:t>
      </w:r>
    </w:p>
    <w:p w14:paraId="2D52C602">
      <w:pPr>
        <w:rPr>
          <w:color w:val="auto"/>
          <w:highlight w:val="none"/>
        </w:rPr>
      </w:pPr>
      <w:r>
        <w:rPr>
          <w:color w:val="auto"/>
          <w:highlight w:val="none"/>
        </w:rPr>
        <w:t>（一）参选人基本情况介绍，资质证明等</w:t>
      </w:r>
    </w:p>
    <w:p w14:paraId="1EBA7AE0">
      <w:pPr>
        <w:rPr>
          <w:color w:val="auto"/>
          <w:highlight w:val="none"/>
        </w:rPr>
      </w:pPr>
      <w:r>
        <w:rPr>
          <w:color w:val="auto"/>
          <w:highlight w:val="none"/>
        </w:rPr>
        <w:t>（二）法定代表人身份证明及授权委托书</w:t>
      </w:r>
    </w:p>
    <w:p w14:paraId="7954B6FE">
      <w:pPr>
        <w:rPr>
          <w:color w:val="auto"/>
          <w:highlight w:val="none"/>
        </w:rPr>
      </w:pPr>
      <w:r>
        <w:rPr>
          <w:rFonts w:hint="eastAsia"/>
          <w:color w:val="auto"/>
          <w:highlight w:val="none"/>
        </w:rPr>
        <w:t>（三）书面声明</w:t>
      </w:r>
    </w:p>
    <w:p w14:paraId="19D5AF1A">
      <w:pPr>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6B01ED7C">
      <w:pPr>
        <w:rPr>
          <w:rFonts w:hint="eastAsia"/>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14:paraId="5A545DFE">
      <w:pPr>
        <w:outlineLvl w:val="9"/>
        <w:rPr>
          <w:rFonts w:hint="eastAsia"/>
          <w:b w:val="0"/>
          <w:bCs w:val="0"/>
          <w:color w:val="auto"/>
          <w:szCs w:val="20"/>
          <w:highlight w:val="none"/>
          <w:lang w:val="en-US" w:eastAsia="zh-CN"/>
        </w:rPr>
      </w:pPr>
      <w:r>
        <w:rPr>
          <w:rFonts w:hint="eastAsia"/>
          <w:b w:val="0"/>
          <w:bCs w:val="0"/>
          <w:color w:val="auto"/>
          <w:szCs w:val="20"/>
          <w:highlight w:val="none"/>
          <w:lang w:val="en-US" w:eastAsia="zh-CN"/>
        </w:rPr>
        <w:t>（六）企业所得税申报表</w:t>
      </w:r>
    </w:p>
    <w:p w14:paraId="46EBD229">
      <w:pPr>
        <w:tabs>
          <w:tab w:val="left" w:pos="6300"/>
        </w:tabs>
        <w:snapToGrid w:val="0"/>
        <w:outlineLvl w:val="9"/>
        <w:rPr>
          <w:rFonts w:hint="eastAsia" w:eastAsia="宋体"/>
          <w:b w:val="0"/>
          <w:bCs w:val="0"/>
          <w:color w:val="auto"/>
          <w:szCs w:val="20"/>
          <w:highlight w:val="none"/>
        </w:rPr>
      </w:pPr>
      <w:r>
        <w:rPr>
          <w:rFonts w:hint="eastAsia"/>
          <w:b w:val="0"/>
          <w:bCs w:val="0"/>
          <w:color w:val="auto"/>
          <w:szCs w:val="20"/>
          <w:highlight w:val="none"/>
          <w:lang w:val="en-US" w:eastAsia="zh-CN"/>
        </w:rPr>
        <w:t>（七）</w:t>
      </w:r>
      <w:r>
        <w:rPr>
          <w:rFonts w:hint="eastAsia" w:ascii="Cambria Math" w:hAnsi="Cambria Math" w:cs="Cambria Math"/>
          <w:b w:val="0"/>
          <w:bCs w:val="0"/>
          <w:snapToGrid/>
          <w:color w:val="auto"/>
          <w:kern w:val="2"/>
          <w:sz w:val="24"/>
          <w:szCs w:val="20"/>
          <w:highlight w:val="none"/>
          <w:lang w:eastAsia="zh-CN"/>
        </w:rPr>
        <w:t>参选人</w:t>
      </w:r>
      <w:r>
        <w:rPr>
          <w:rFonts w:hint="eastAsia" w:ascii="Cambria Math" w:hAnsi="Cambria Math" w:eastAsia="宋体" w:cs="Cambria Math"/>
          <w:b w:val="0"/>
          <w:bCs w:val="0"/>
          <w:snapToGrid/>
          <w:color w:val="auto"/>
          <w:kern w:val="2"/>
          <w:sz w:val="24"/>
          <w:szCs w:val="20"/>
          <w:highlight w:val="none"/>
        </w:rPr>
        <w:t>及</w:t>
      </w:r>
      <w:r>
        <w:rPr>
          <w:rFonts w:hint="eastAsia" w:ascii="Cambria Math" w:hAnsi="Cambria Math" w:cs="Cambria Math"/>
          <w:b w:val="0"/>
          <w:bCs w:val="0"/>
          <w:snapToGrid/>
          <w:color w:val="auto"/>
          <w:kern w:val="2"/>
          <w:sz w:val="24"/>
          <w:szCs w:val="20"/>
          <w:highlight w:val="none"/>
          <w:lang w:eastAsia="zh-CN"/>
        </w:rPr>
        <w:t>参选人</w:t>
      </w:r>
      <w:r>
        <w:rPr>
          <w:rFonts w:hint="eastAsia" w:ascii="Cambria Math" w:hAnsi="Cambria Math" w:eastAsia="宋体" w:cs="Cambria Math"/>
          <w:b w:val="0"/>
          <w:bCs w:val="0"/>
          <w:snapToGrid/>
          <w:color w:val="auto"/>
          <w:kern w:val="2"/>
          <w:sz w:val="24"/>
          <w:szCs w:val="20"/>
          <w:highlight w:val="none"/>
        </w:rPr>
        <w:t>法定代表人征信记录；</w:t>
      </w:r>
    </w:p>
    <w:p w14:paraId="3D889F57">
      <w:pPr>
        <w:tabs>
          <w:tab w:val="left" w:pos="6300"/>
        </w:tabs>
        <w:snapToGrid w:val="0"/>
        <w:outlineLvl w:val="9"/>
        <w:rPr>
          <w:rFonts w:hint="default" w:eastAsia="宋体"/>
          <w:color w:val="auto"/>
          <w:highlight w:val="none"/>
          <w:lang w:val="en-US" w:eastAsia="zh-CN"/>
        </w:rPr>
      </w:pPr>
      <w:r>
        <w:rPr>
          <w:rFonts w:hint="eastAsia" w:eastAsia="宋体"/>
          <w:b w:val="0"/>
          <w:bCs w:val="0"/>
          <w:color w:val="auto"/>
          <w:szCs w:val="20"/>
          <w:highlight w:val="none"/>
          <w:lang w:eastAsia="zh-CN"/>
        </w:rPr>
        <w:t>（</w:t>
      </w:r>
      <w:r>
        <w:rPr>
          <w:rFonts w:hint="eastAsia" w:eastAsia="宋体"/>
          <w:b w:val="0"/>
          <w:bCs w:val="0"/>
          <w:color w:val="auto"/>
          <w:szCs w:val="20"/>
          <w:highlight w:val="none"/>
          <w:lang w:val="en-US" w:eastAsia="zh-CN"/>
        </w:rPr>
        <w:t>八</w:t>
      </w:r>
      <w:r>
        <w:rPr>
          <w:rFonts w:hint="eastAsia" w:eastAsia="宋体"/>
          <w:b w:val="0"/>
          <w:bCs w:val="0"/>
          <w:color w:val="auto"/>
          <w:szCs w:val="20"/>
          <w:highlight w:val="none"/>
          <w:lang w:eastAsia="zh-CN"/>
        </w:rPr>
        <w:t>）</w:t>
      </w:r>
      <w:r>
        <w:rPr>
          <w:rFonts w:hint="eastAsia" w:eastAsia="宋体"/>
          <w:b w:val="0"/>
          <w:bCs w:val="0"/>
          <w:color w:val="auto"/>
          <w:szCs w:val="20"/>
          <w:highlight w:val="none"/>
          <w:lang w:val="en-US" w:eastAsia="zh-CN"/>
        </w:rPr>
        <w:t>其他（如有）</w:t>
      </w:r>
    </w:p>
    <w:p w14:paraId="6B4AB780">
      <w:pPr>
        <w:numPr>
          <w:ilvl w:val="-1"/>
          <w:numId w:val="0"/>
        </w:numPr>
        <w:ind w:left="480" w:firstLine="0" w:firstLineChars="0"/>
        <w:outlineLvl w:val="9"/>
        <w:rPr>
          <w:rFonts w:hint="eastAsia"/>
          <w:color w:val="auto"/>
          <w:highlight w:val="none"/>
          <w:lang w:val="en-US" w:eastAsia="zh-CN"/>
        </w:rPr>
      </w:pPr>
      <w:r>
        <w:rPr>
          <w:rFonts w:hint="eastAsia"/>
          <w:color w:val="auto"/>
          <w:highlight w:val="none"/>
          <w:lang w:val="en-US" w:eastAsia="zh-CN"/>
        </w:rPr>
        <w:t>四、响应性文件</w:t>
      </w:r>
    </w:p>
    <w:p w14:paraId="5345A4D3">
      <w:pPr>
        <w:ind w:firstLine="480"/>
        <w:outlineLvl w:val="9"/>
        <w:rPr>
          <w:rFonts w:ascii="Times New Roman" w:hAnsi="Times New Roman"/>
          <w:color w:val="auto"/>
          <w:highlight w:val="none"/>
        </w:rPr>
      </w:pPr>
      <w:r>
        <w:rPr>
          <w:rFonts w:hint="eastAsia" w:ascii="Times New Roman" w:hAnsi="Times New Roman"/>
          <w:color w:val="auto"/>
          <w:highlight w:val="none"/>
        </w:rPr>
        <w:t>（一）响应承诺函</w:t>
      </w:r>
    </w:p>
    <w:p w14:paraId="53FD1C89">
      <w:pPr>
        <w:numPr>
          <w:ilvl w:val="-1"/>
          <w:numId w:val="0"/>
        </w:numPr>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二）</w:t>
      </w:r>
      <w:r>
        <w:rPr>
          <w:rFonts w:hint="eastAsia" w:ascii="宋体" w:hAnsi="宋体" w:eastAsia="宋体" w:cs="宋体"/>
          <w:snapToGrid w:val="0"/>
          <w:color w:val="auto"/>
          <w:kern w:val="0"/>
          <w:sz w:val="24"/>
          <w:szCs w:val="24"/>
          <w:highlight w:val="none"/>
        </w:rPr>
        <w:t>项目实施方案</w:t>
      </w:r>
    </w:p>
    <w:p w14:paraId="36CADECC">
      <w:pPr>
        <w:numPr>
          <w:ilvl w:val="-1"/>
          <w:numId w:val="0"/>
        </w:numPr>
        <w:ind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三</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服务连续性预案</w:t>
      </w:r>
    </w:p>
    <w:p w14:paraId="037A6665">
      <w:pPr>
        <w:numPr>
          <w:ilvl w:val="-1"/>
          <w:numId w:val="0"/>
        </w:numPr>
        <w:ind w:firstLine="480" w:firstLineChars="200"/>
        <w:outlineLvl w:val="9"/>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（四）其他（如有）</w:t>
      </w:r>
    </w:p>
    <w:p w14:paraId="4B86CA38">
      <w:pPr>
        <w:keepNext w:val="0"/>
        <w:keepLines w:val="0"/>
        <w:pageBreakBefore w:val="0"/>
        <w:tabs>
          <w:tab w:val="left" w:pos="6300"/>
        </w:tabs>
        <w:kinsoku/>
        <w:wordWrap/>
        <w:overflowPunct/>
        <w:autoSpaceDE w:val="0"/>
        <w:autoSpaceDN w:val="0"/>
        <w:snapToGrid w:val="0"/>
        <w:ind w:left="0" w:firstLine="480" w:firstLineChars="200"/>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参选</w:t>
      </w:r>
      <w:r>
        <w:rPr>
          <w:rFonts w:hint="eastAsia" w:ascii="宋体" w:hAnsi="宋体" w:eastAsia="宋体" w:cs="宋体"/>
          <w:snapToGrid w:val="0"/>
          <w:color w:val="auto"/>
          <w:kern w:val="0"/>
          <w:sz w:val="24"/>
          <w:szCs w:val="24"/>
          <w:highlight w:val="none"/>
        </w:rPr>
        <w:t>保证</w:t>
      </w:r>
    </w:p>
    <w:p w14:paraId="4F7719E9">
      <w:pPr>
        <w:rPr>
          <w:rFonts w:hint="eastAsia" w:ascii="宋体" w:hAnsi="宋体" w:eastAsia="宋体" w:cs="宋体"/>
          <w:snapToGrid w:val="0"/>
          <w:color w:val="auto"/>
          <w:kern w:val="0"/>
          <w:sz w:val="24"/>
          <w:szCs w:val="24"/>
          <w:highlight w:val="none"/>
        </w:rPr>
      </w:pPr>
      <w:r>
        <w:rPr>
          <w:rFonts w:hint="eastAsia"/>
          <w:color w:val="auto"/>
          <w:highlight w:val="none"/>
          <w:lang w:val="en-US" w:eastAsia="zh-CN"/>
        </w:rPr>
        <w:t>六</w:t>
      </w:r>
      <w:r>
        <w:rPr>
          <w:rFonts w:hint="eastAsia"/>
          <w:color w:val="auto"/>
          <w:highlight w:val="none"/>
        </w:rPr>
        <w:t>、</w:t>
      </w:r>
      <w:r>
        <w:rPr>
          <w:rFonts w:hint="eastAsia" w:ascii="宋体" w:hAnsi="宋体" w:cs="宋体"/>
          <w:snapToGrid w:val="0"/>
          <w:color w:val="auto"/>
          <w:kern w:val="0"/>
          <w:sz w:val="24"/>
          <w:szCs w:val="24"/>
          <w:highlight w:val="none"/>
          <w:lang w:val="en-US" w:eastAsia="zh-CN"/>
        </w:rPr>
        <w:t>其他（如有）</w:t>
      </w:r>
    </w:p>
    <w:p w14:paraId="0B8899CE">
      <w:pPr>
        <w:spacing w:line="360" w:lineRule="auto"/>
        <w:ind w:firstLine="0" w:firstLineChars="0"/>
        <w:jc w:val="center"/>
        <w:outlineLvl w:val="1"/>
        <w:rPr>
          <w:rStyle w:val="24"/>
          <w:color w:val="auto"/>
          <w:highlight w:val="none"/>
        </w:rPr>
      </w:pPr>
      <w:r>
        <w:rPr>
          <w:rFonts w:hint="eastAsia" w:ascii="宋体" w:hAnsi="宋体" w:cs="宋体"/>
          <w:color w:val="auto"/>
          <w:highlight w:val="none"/>
        </w:rPr>
        <w:br w:type="page"/>
      </w:r>
      <w:r>
        <w:rPr>
          <w:rStyle w:val="24"/>
          <w:rFonts w:hint="eastAsia"/>
          <w:color w:val="auto"/>
          <w:highlight w:val="none"/>
        </w:rPr>
        <w:t>一、参选函</w:t>
      </w:r>
    </w:p>
    <w:p w14:paraId="15B0D41E">
      <w:pPr>
        <w:tabs>
          <w:tab w:val="left" w:pos="6300"/>
        </w:tabs>
        <w:snapToGrid w:val="0"/>
        <w:spacing w:line="360" w:lineRule="auto"/>
        <w:ind w:right="-34" w:rightChars="-14"/>
        <w:rPr>
          <w:rFonts w:ascii="宋体"/>
          <w:snapToGrid w:val="0"/>
          <w:color w:val="auto"/>
          <w:kern w:val="0"/>
          <w:szCs w:val="24"/>
          <w:highlight w:val="none"/>
          <w:u w:val="single"/>
        </w:rPr>
      </w:pPr>
    </w:p>
    <w:p w14:paraId="78BF446A">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u w:val="single"/>
        </w:rPr>
        <w:t>重庆三峡银行股份有限公司</w:t>
      </w:r>
      <w:r>
        <w:rPr>
          <w:rFonts w:hint="eastAsia" w:ascii="宋体"/>
          <w:snapToGrid w:val="0"/>
          <w:color w:val="auto"/>
          <w:kern w:val="0"/>
          <w:szCs w:val="24"/>
          <w:highlight w:val="none"/>
        </w:rPr>
        <w:t>：</w:t>
      </w:r>
    </w:p>
    <w:p w14:paraId="4E15D816">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我方收到___________________比选文件，经详细研究，决定参加该比选项目的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w:t>
      </w:r>
    </w:p>
    <w:p w14:paraId="487A4C59">
      <w:pPr>
        <w:tabs>
          <w:tab w:val="left" w:pos="6300"/>
        </w:tabs>
        <w:snapToGrid w:val="0"/>
        <w:spacing w:line="360" w:lineRule="auto"/>
        <w:ind w:right="-34" w:rightChars="-14" w:firstLine="573" w:firstLineChars="0"/>
        <w:rPr>
          <w:rFonts w:hint="eastAsia" w:ascii="宋体" w:eastAsia="宋体"/>
          <w:snapToGrid w:val="0"/>
          <w:color w:val="auto"/>
          <w:kern w:val="0"/>
          <w:szCs w:val="24"/>
          <w:highlight w:val="none"/>
          <w:u w:val="single"/>
          <w:lang w:eastAsia="zh-CN"/>
        </w:rPr>
      </w:pPr>
      <w:r>
        <w:rPr>
          <w:rFonts w:hint="eastAsia" w:ascii="宋体"/>
          <w:snapToGrid w:val="0"/>
          <w:color w:val="auto"/>
          <w:kern w:val="0"/>
          <w:szCs w:val="24"/>
          <w:highlight w:val="none"/>
        </w:rPr>
        <w:t>1、愿意按照比选文件中的一切要求，以人民币小写：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，人民币大写：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总价（含税）</w:t>
      </w:r>
      <w:r>
        <w:rPr>
          <w:rFonts w:hint="eastAsia" w:ascii="宋体"/>
          <w:snapToGrid w:val="0"/>
          <w:color w:val="auto"/>
          <w:kern w:val="0"/>
          <w:szCs w:val="24"/>
          <w:highlight w:val="none"/>
          <w:lang w:eastAsia="zh-CN"/>
        </w:rPr>
        <w:t>，</w:t>
      </w:r>
      <w:r>
        <w:rPr>
          <w:rFonts w:hint="eastAsia" w:ascii="宋体"/>
          <w:snapToGrid w:val="0"/>
          <w:color w:val="auto"/>
          <w:kern w:val="0"/>
          <w:szCs w:val="24"/>
          <w:highlight w:val="none"/>
        </w:rPr>
        <w:t>人民币小写：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，人民币大写：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总价（</w:t>
      </w:r>
      <w:r>
        <w:rPr>
          <w:rFonts w:hint="eastAsia" w:ascii="宋体"/>
          <w:snapToGrid w:val="0"/>
          <w:color w:val="auto"/>
          <w:kern w:val="0"/>
          <w:szCs w:val="24"/>
          <w:highlight w:val="none"/>
          <w:lang w:val="en-US" w:eastAsia="zh-CN"/>
        </w:rPr>
        <w:t>不</w:t>
      </w:r>
      <w:r>
        <w:rPr>
          <w:rFonts w:hint="eastAsia" w:ascii="宋体"/>
          <w:snapToGrid w:val="0"/>
          <w:color w:val="auto"/>
          <w:kern w:val="0"/>
          <w:szCs w:val="24"/>
          <w:highlight w:val="none"/>
        </w:rPr>
        <w:t>含税）承担和完成本项目。交货期：</w:t>
      </w:r>
      <w:r>
        <w:rPr>
          <w:rFonts w:ascii="宋体"/>
          <w:snapToGrid w:val="0"/>
          <w:color w:val="auto"/>
          <w:kern w:val="0"/>
          <w:szCs w:val="24"/>
          <w:highlight w:val="none"/>
        </w:rPr>
        <w:t>2024年12月10日</w:t>
      </w:r>
      <w:r>
        <w:rPr>
          <w:rFonts w:hint="eastAsia" w:ascii="宋体"/>
          <w:snapToGrid w:val="0"/>
          <w:color w:val="auto"/>
          <w:kern w:val="0"/>
          <w:szCs w:val="24"/>
          <w:highlight w:val="none"/>
        </w:rPr>
        <w:t>；交货地点：</w:t>
      </w:r>
      <w:r>
        <w:rPr>
          <w:rFonts w:ascii="宋体"/>
          <w:snapToGrid w:val="0"/>
          <w:color w:val="auto"/>
          <w:kern w:val="0"/>
          <w:szCs w:val="24"/>
          <w:highlight w:val="none"/>
        </w:rPr>
        <w:t>重庆</w:t>
      </w:r>
      <w:r>
        <w:rPr>
          <w:rFonts w:hint="eastAsia" w:ascii="宋体"/>
          <w:snapToGrid w:val="0"/>
          <w:color w:val="auto"/>
          <w:kern w:val="0"/>
          <w:szCs w:val="24"/>
          <w:highlight w:val="none"/>
          <w:lang w:eastAsia="zh-CN"/>
        </w:rPr>
        <w:t>。</w:t>
      </w:r>
    </w:p>
    <w:p w14:paraId="78895EF5">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2、我方现提交的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文件正本一份，副本一份，电子文件一份。</w:t>
      </w:r>
    </w:p>
    <w:p w14:paraId="0E99C2DA">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3、如果我方</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文件被接受，我方将履行比选文件中规定的各项要求，按相关法律法规和合同约定条款承担我方的责任。</w:t>
      </w:r>
    </w:p>
    <w:p w14:paraId="11172BF4">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4、我方愿意提供比选文件中要求的所有资料，并对其真实性负责。</w:t>
      </w:r>
    </w:p>
    <w:p w14:paraId="79C462B7">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5、我方理解最低价格不是中选的唯一条件。</w:t>
      </w:r>
    </w:p>
    <w:p w14:paraId="07FBAAA0">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6、</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有效期为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截止日期后90天内。</w:t>
      </w:r>
    </w:p>
    <w:p w14:paraId="5A41B71B">
      <w:pPr>
        <w:tabs>
          <w:tab w:val="left" w:pos="6300"/>
        </w:tabs>
        <w:snapToGrid w:val="0"/>
        <w:spacing w:line="360" w:lineRule="auto"/>
        <w:ind w:right="-34" w:rightChars="-14" w:firstLine="573" w:firstLineChars="0"/>
        <w:rPr>
          <w:rFonts w:ascii="宋体"/>
          <w:snapToGrid w:val="0"/>
          <w:color w:val="auto"/>
          <w:kern w:val="0"/>
          <w:szCs w:val="24"/>
          <w:highlight w:val="none"/>
        </w:rPr>
      </w:pPr>
      <w:r>
        <w:rPr>
          <w:rFonts w:hint="eastAsia" w:ascii="宋体"/>
          <w:snapToGrid w:val="0"/>
          <w:color w:val="auto"/>
          <w:kern w:val="0"/>
          <w:szCs w:val="24"/>
          <w:highlight w:val="none"/>
        </w:rPr>
        <w:t>7、若我方中选，我方开具税率为_</w:t>
      </w:r>
      <w:r>
        <w:rPr>
          <w:rFonts w:hint="eastAsia" w:ascii="宋体"/>
          <w:snapToGrid w:val="0"/>
          <w:color w:val="auto"/>
          <w:kern w:val="0"/>
          <w:szCs w:val="24"/>
          <w:highlight w:val="none"/>
          <w:lang w:val="en-US" w:eastAsia="zh-CN"/>
        </w:rPr>
        <w:t>13</w:t>
      </w:r>
      <w:r>
        <w:rPr>
          <w:rFonts w:hint="eastAsia" w:ascii="宋体"/>
          <w:snapToGrid w:val="0"/>
          <w:color w:val="auto"/>
          <w:kern w:val="0"/>
          <w:szCs w:val="24"/>
          <w:highlight w:val="none"/>
        </w:rPr>
        <w:t>_%的增值税专用发票；</w:t>
      </w:r>
    </w:p>
    <w:p w14:paraId="1679B237">
      <w:pPr>
        <w:tabs>
          <w:tab w:val="left" w:pos="6300"/>
        </w:tabs>
        <w:snapToGrid w:val="0"/>
        <w:spacing w:line="360" w:lineRule="auto"/>
        <w:ind w:right="-34" w:rightChars="-14"/>
        <w:rPr>
          <w:rFonts w:ascii="宋体"/>
          <w:snapToGrid w:val="0"/>
          <w:color w:val="auto"/>
          <w:kern w:val="0"/>
          <w:szCs w:val="24"/>
          <w:highlight w:val="none"/>
        </w:rPr>
      </w:pPr>
    </w:p>
    <w:p w14:paraId="319B2391">
      <w:pPr>
        <w:tabs>
          <w:tab w:val="left" w:pos="6300"/>
        </w:tabs>
        <w:snapToGrid w:val="0"/>
        <w:spacing w:line="360" w:lineRule="auto"/>
        <w:ind w:right="-34" w:rightChars="-14"/>
        <w:rPr>
          <w:rFonts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人（公章）：</w:t>
      </w:r>
    </w:p>
    <w:p w14:paraId="693A27B6">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 xml:space="preserve">地址：  </w:t>
      </w:r>
    </w:p>
    <w:p w14:paraId="162FA7CB">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电话：                           传真：</w:t>
      </w:r>
    </w:p>
    <w:p w14:paraId="14D3FF09">
      <w:pPr>
        <w:tabs>
          <w:tab w:val="left" w:pos="6300"/>
        </w:tabs>
        <w:snapToGrid w:val="0"/>
        <w:spacing w:line="360" w:lineRule="auto"/>
        <w:ind w:right="-34" w:rightChars="-14"/>
        <w:rPr>
          <w:rFonts w:ascii="宋体"/>
          <w:snapToGrid w:val="0"/>
          <w:color w:val="auto"/>
          <w:kern w:val="0"/>
          <w:szCs w:val="24"/>
          <w:highlight w:val="none"/>
        </w:rPr>
      </w:pPr>
      <w:r>
        <w:rPr>
          <w:rFonts w:hint="eastAsia" w:ascii="宋体"/>
          <w:snapToGrid w:val="0"/>
          <w:color w:val="auto"/>
          <w:kern w:val="0"/>
          <w:szCs w:val="24"/>
          <w:highlight w:val="none"/>
        </w:rPr>
        <w:t xml:space="preserve">网址：                         </w:t>
      </w:r>
    </w:p>
    <w:p w14:paraId="5054153C">
      <w:pPr>
        <w:tabs>
          <w:tab w:val="left" w:pos="6300"/>
        </w:tabs>
        <w:snapToGrid w:val="0"/>
        <w:spacing w:line="360" w:lineRule="auto"/>
        <w:ind w:right="-34" w:rightChars="-14" w:firstLine="6540" w:firstLineChars="2725"/>
        <w:rPr>
          <w:rFonts w:ascii="宋体"/>
          <w:snapToGrid w:val="0"/>
          <w:color w:val="auto"/>
          <w:kern w:val="0"/>
          <w:szCs w:val="24"/>
          <w:highlight w:val="none"/>
        </w:rPr>
      </w:pPr>
    </w:p>
    <w:p w14:paraId="0DF64D53">
      <w:pPr>
        <w:tabs>
          <w:tab w:val="left" w:pos="6300"/>
        </w:tabs>
        <w:snapToGrid w:val="0"/>
        <w:spacing w:line="360" w:lineRule="auto"/>
        <w:ind w:right="-34" w:rightChars="-14" w:firstLine="5400" w:firstLineChars="2250"/>
        <w:rPr>
          <w:rFonts w:ascii="宋体"/>
          <w:snapToGrid w:val="0"/>
          <w:color w:val="auto"/>
          <w:kern w:val="0"/>
          <w:szCs w:val="24"/>
          <w:highlight w:val="none"/>
        </w:rPr>
      </w:pPr>
      <w:r>
        <w:rPr>
          <w:rFonts w:hint="eastAsia" w:ascii="宋体"/>
          <w:snapToGrid w:val="0"/>
          <w:color w:val="auto"/>
          <w:kern w:val="0"/>
          <w:szCs w:val="24"/>
          <w:highlight w:val="none"/>
        </w:rPr>
        <w:t>年     月     日</w:t>
      </w:r>
    </w:p>
    <w:p w14:paraId="272B7320">
      <w:pPr>
        <w:widowControl/>
        <w:spacing w:line="360" w:lineRule="auto"/>
        <w:jc w:val="left"/>
        <w:rPr>
          <w:rFonts w:ascii="宋体"/>
          <w:snapToGrid w:val="0"/>
          <w:color w:val="auto"/>
          <w:kern w:val="0"/>
          <w:szCs w:val="24"/>
          <w:highlight w:val="none"/>
        </w:rPr>
      </w:pPr>
    </w:p>
    <w:p w14:paraId="23E5D7B8">
      <w:pPr>
        <w:tabs>
          <w:tab w:val="left" w:pos="6300"/>
        </w:tabs>
        <w:snapToGrid w:val="0"/>
        <w:spacing w:line="360" w:lineRule="auto"/>
        <w:rPr>
          <w:rFonts w:ascii="宋体"/>
          <w:snapToGrid w:val="0"/>
          <w:color w:val="auto"/>
          <w:kern w:val="0"/>
          <w:szCs w:val="24"/>
          <w:highlight w:val="none"/>
        </w:rPr>
      </w:pPr>
    </w:p>
    <w:p w14:paraId="39C58CF7">
      <w:pPr>
        <w:widowControl/>
        <w:spacing w:line="360" w:lineRule="auto"/>
        <w:jc w:val="left"/>
        <w:rPr>
          <w:rFonts w:ascii="宋体"/>
          <w:snapToGrid w:val="0"/>
          <w:color w:val="auto"/>
          <w:kern w:val="0"/>
          <w:szCs w:val="24"/>
          <w:highlight w:val="none"/>
        </w:rPr>
      </w:pPr>
    </w:p>
    <w:p w14:paraId="2E5D935E">
      <w:pPr>
        <w:widowControl/>
        <w:spacing w:line="360" w:lineRule="auto"/>
        <w:jc w:val="left"/>
        <w:rPr>
          <w:rFonts w:ascii="宋体"/>
          <w:snapToGrid w:val="0"/>
          <w:color w:val="auto"/>
          <w:kern w:val="0"/>
          <w:szCs w:val="24"/>
          <w:highlight w:val="none"/>
        </w:rPr>
      </w:pPr>
    </w:p>
    <w:p w14:paraId="1AC28D5A">
      <w:pPr>
        <w:widowControl/>
        <w:spacing w:line="360" w:lineRule="auto"/>
        <w:jc w:val="left"/>
        <w:rPr>
          <w:rFonts w:ascii="宋体"/>
          <w:snapToGrid w:val="0"/>
          <w:color w:val="auto"/>
          <w:kern w:val="0"/>
          <w:szCs w:val="24"/>
          <w:highlight w:val="none"/>
        </w:rPr>
      </w:pPr>
    </w:p>
    <w:p w14:paraId="404F9635">
      <w:pPr>
        <w:snapToGrid w:val="0"/>
        <w:spacing w:line="360" w:lineRule="auto"/>
        <w:ind w:left="0" w:firstLine="0" w:firstLineChars="0"/>
        <w:rPr>
          <w:rFonts w:ascii="宋体"/>
          <w:snapToGrid w:val="0"/>
          <w:color w:val="auto"/>
          <w:kern w:val="0"/>
          <w:szCs w:val="24"/>
          <w:highlight w:val="none"/>
        </w:rPr>
      </w:pPr>
    </w:p>
    <w:p w14:paraId="22A43846">
      <w:pPr>
        <w:pStyle w:val="26"/>
        <w:rPr>
          <w:color w:val="auto"/>
          <w:highlight w:val="none"/>
        </w:rPr>
      </w:pPr>
      <w:r>
        <w:rPr>
          <w:color w:val="auto"/>
          <w:highlight w:val="none"/>
        </w:rPr>
        <w:t>二、分项报价明细表</w:t>
      </w:r>
    </w:p>
    <w:p w14:paraId="52BFFC01">
      <w:pPr>
        <w:ind w:firstLine="0" w:firstLineChars="0"/>
        <w:jc w:val="center"/>
        <w:rPr>
          <w:rFonts w:hint="eastAsia"/>
          <w:color w:val="auto"/>
          <w:highlight w:val="none"/>
        </w:rPr>
      </w:pPr>
      <w:bookmarkStart w:id="87" w:name="_Toc478053905"/>
      <w:bookmarkStart w:id="88" w:name="_Toc478054437"/>
    </w:p>
    <w:bookmarkEnd w:id="87"/>
    <w:bookmarkEnd w:id="88"/>
    <w:p w14:paraId="718AE60C">
      <w:pPr>
        <w:keepNext w:val="0"/>
        <w:keepLines w:val="0"/>
        <w:pageBreakBefore w:val="0"/>
        <w:widowControl w:val="0"/>
        <w:tabs>
          <w:tab w:val="left" w:pos="6300"/>
        </w:tabs>
        <w:kinsoku/>
        <w:wordWrap/>
        <w:overflowPunct/>
        <w:topLinePunct w:val="0"/>
        <w:autoSpaceDE/>
        <w:autoSpaceDN/>
        <w:adjustRightInd/>
        <w:snapToGrid w:val="0"/>
        <w:spacing w:line="240" w:lineRule="auto"/>
        <w:ind w:left="0" w:firstLine="0" w:firstLineChars="0"/>
        <w:rPr>
          <w:rFonts w:hint="eastAsia" w:ascii="宋体" w:hAnsi="宋体" w:eastAsia="宋体" w:cs="宋体"/>
          <w:color w:val="auto"/>
          <w:sz w:val="24"/>
          <w:szCs w:val="28"/>
          <w:highlight w:val="none"/>
        </w:rPr>
      </w:pPr>
    </w:p>
    <w:tbl>
      <w:tblPr>
        <w:tblStyle w:val="16"/>
        <w:tblW w:w="10066" w:type="dxa"/>
        <w:tblInd w:w="-1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134"/>
        <w:gridCol w:w="1333"/>
        <w:gridCol w:w="1483"/>
        <w:gridCol w:w="1350"/>
        <w:gridCol w:w="2024"/>
        <w:gridCol w:w="1992"/>
      </w:tblGrid>
      <w:tr w14:paraId="0CE0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13B07C2E">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134" w:type="dxa"/>
            <w:vAlign w:val="center"/>
          </w:tcPr>
          <w:p w14:paraId="04F88369">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名称</w:t>
            </w:r>
          </w:p>
        </w:tc>
        <w:tc>
          <w:tcPr>
            <w:tcW w:w="1333" w:type="dxa"/>
            <w:vAlign w:val="center"/>
          </w:tcPr>
          <w:p w14:paraId="40B96DDE">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1483" w:type="dxa"/>
            <w:vAlign w:val="center"/>
          </w:tcPr>
          <w:p w14:paraId="159BCEC4">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不含税</w:t>
            </w:r>
            <w:r>
              <w:rPr>
                <w:rFonts w:hint="eastAsia" w:ascii="宋体" w:hAnsi="宋体" w:eastAsia="宋体" w:cs="宋体"/>
                <w:color w:val="auto"/>
                <w:sz w:val="18"/>
                <w:szCs w:val="18"/>
                <w:highlight w:val="none"/>
              </w:rPr>
              <w:t>单价</w:t>
            </w:r>
          </w:p>
        </w:tc>
        <w:tc>
          <w:tcPr>
            <w:tcW w:w="1350" w:type="dxa"/>
            <w:vAlign w:val="center"/>
          </w:tcPr>
          <w:p w14:paraId="0F5C9B75">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含税</w:t>
            </w:r>
            <w:r>
              <w:rPr>
                <w:rFonts w:hint="eastAsia" w:ascii="宋体" w:hAnsi="宋体" w:eastAsia="宋体" w:cs="宋体"/>
                <w:color w:val="auto"/>
                <w:sz w:val="18"/>
                <w:szCs w:val="18"/>
                <w:highlight w:val="none"/>
              </w:rPr>
              <w:t>单价</w:t>
            </w:r>
          </w:p>
        </w:tc>
        <w:tc>
          <w:tcPr>
            <w:tcW w:w="2024" w:type="dxa"/>
            <w:vAlign w:val="center"/>
          </w:tcPr>
          <w:p w14:paraId="07545A3C">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单项</w:t>
            </w:r>
            <w:r>
              <w:rPr>
                <w:rFonts w:hint="eastAsia" w:ascii="宋体" w:hAnsi="宋体" w:eastAsia="宋体" w:cs="宋体"/>
                <w:color w:val="auto"/>
                <w:sz w:val="18"/>
                <w:szCs w:val="18"/>
                <w:highlight w:val="none"/>
                <w:lang w:val="en-US" w:eastAsia="zh-CN"/>
              </w:rPr>
              <w:t>合计（</w:t>
            </w:r>
            <w:r>
              <w:rPr>
                <w:rFonts w:hint="eastAsia" w:ascii="宋体" w:hAnsi="宋体" w:cs="宋体"/>
                <w:color w:val="auto"/>
                <w:sz w:val="18"/>
                <w:szCs w:val="18"/>
                <w:highlight w:val="none"/>
                <w:lang w:val="en-US" w:eastAsia="zh-CN"/>
              </w:rPr>
              <w:t>不</w:t>
            </w:r>
            <w:r>
              <w:rPr>
                <w:rFonts w:hint="eastAsia" w:ascii="宋体" w:hAnsi="宋体" w:eastAsia="宋体" w:cs="宋体"/>
                <w:color w:val="auto"/>
                <w:sz w:val="18"/>
                <w:szCs w:val="18"/>
                <w:highlight w:val="none"/>
                <w:lang w:val="en-US" w:eastAsia="zh-CN"/>
              </w:rPr>
              <w:t>含税）</w:t>
            </w:r>
          </w:p>
        </w:tc>
        <w:tc>
          <w:tcPr>
            <w:tcW w:w="1992" w:type="dxa"/>
            <w:vAlign w:val="center"/>
          </w:tcPr>
          <w:p w14:paraId="41BCB32D">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tc>
      </w:tr>
      <w:tr w14:paraId="1BD5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04AC9944">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1</w:t>
            </w:r>
          </w:p>
        </w:tc>
        <w:tc>
          <w:tcPr>
            <w:tcW w:w="1134" w:type="dxa"/>
            <w:tcBorders>
              <w:left w:val="single" w:color="auto" w:sz="4" w:space="0"/>
            </w:tcBorders>
            <w:vAlign w:val="center"/>
          </w:tcPr>
          <w:p w14:paraId="61B0F6A6">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对联</w:t>
            </w:r>
          </w:p>
        </w:tc>
        <w:tc>
          <w:tcPr>
            <w:tcW w:w="1333" w:type="dxa"/>
            <w:tcBorders>
              <w:left w:val="single" w:color="auto" w:sz="4" w:space="0"/>
            </w:tcBorders>
            <w:vAlign w:val="center"/>
          </w:tcPr>
          <w:p w14:paraId="5DD9DCE5">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SA"/>
              </w:rPr>
              <w:t>30</w:t>
            </w:r>
            <w:r>
              <w:rPr>
                <w:rFonts w:hint="eastAsia"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bidi="ar-SA"/>
              </w:rPr>
              <w:t>00</w:t>
            </w:r>
            <w:r>
              <w:rPr>
                <w:rFonts w:hint="eastAsia" w:ascii="宋体" w:hAnsi="宋体" w:eastAsia="宋体" w:cs="宋体"/>
                <w:color w:val="auto"/>
                <w:sz w:val="18"/>
                <w:szCs w:val="18"/>
                <w:highlight w:val="none"/>
                <w:lang w:eastAsia="zh-CN"/>
              </w:rPr>
              <w:t>副</w:t>
            </w:r>
          </w:p>
        </w:tc>
        <w:tc>
          <w:tcPr>
            <w:tcW w:w="1483" w:type="dxa"/>
            <w:tcBorders>
              <w:left w:val="single" w:color="auto" w:sz="4" w:space="0"/>
            </w:tcBorders>
            <w:vAlign w:val="center"/>
          </w:tcPr>
          <w:p w14:paraId="265911CD">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副</w:t>
            </w:r>
          </w:p>
        </w:tc>
        <w:tc>
          <w:tcPr>
            <w:tcW w:w="1350" w:type="dxa"/>
            <w:tcBorders>
              <w:left w:val="single" w:color="auto" w:sz="4" w:space="0"/>
            </w:tcBorders>
            <w:vAlign w:val="center"/>
          </w:tcPr>
          <w:p w14:paraId="03FEE3A4">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副</w:t>
            </w:r>
          </w:p>
        </w:tc>
        <w:tc>
          <w:tcPr>
            <w:tcW w:w="2024" w:type="dxa"/>
            <w:tcBorders>
              <w:left w:val="single" w:color="auto" w:sz="4" w:space="0"/>
            </w:tcBorders>
            <w:vAlign w:val="center"/>
          </w:tcPr>
          <w:p w14:paraId="610D49EC">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c>
          <w:tcPr>
            <w:tcW w:w="1992" w:type="dxa"/>
            <w:tcBorders>
              <w:left w:val="single" w:color="auto" w:sz="4" w:space="0"/>
            </w:tcBorders>
            <w:vAlign w:val="center"/>
          </w:tcPr>
          <w:p w14:paraId="21395E43">
            <w:pPr>
              <w:keepNext w:val="0"/>
              <w:keepLines w:val="0"/>
              <w:pageBreakBefore w:val="0"/>
              <w:widowControl w:val="0"/>
              <w:kinsoku/>
              <w:wordWrap/>
              <w:overflowPunct/>
              <w:topLinePunct w:val="0"/>
              <w:autoSpaceDE/>
              <w:autoSpaceDN/>
              <w:adjustRightInd/>
              <w:spacing w:line="240" w:lineRule="auto"/>
              <w:ind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含点胶</w:t>
            </w:r>
          </w:p>
        </w:tc>
      </w:tr>
      <w:tr w14:paraId="5B44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07725A1E">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2</w:t>
            </w:r>
          </w:p>
        </w:tc>
        <w:tc>
          <w:tcPr>
            <w:tcW w:w="1134" w:type="dxa"/>
            <w:tcBorders>
              <w:left w:val="single" w:color="auto" w:sz="4" w:space="0"/>
            </w:tcBorders>
            <w:vAlign w:val="center"/>
          </w:tcPr>
          <w:p w14:paraId="459CE6C0">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福字贴</w:t>
            </w:r>
          </w:p>
        </w:tc>
        <w:tc>
          <w:tcPr>
            <w:tcW w:w="1333" w:type="dxa"/>
            <w:tcBorders>
              <w:left w:val="single" w:color="auto" w:sz="4" w:space="0"/>
            </w:tcBorders>
            <w:vAlign w:val="center"/>
          </w:tcPr>
          <w:p w14:paraId="77F4A0AA">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SA"/>
              </w:rPr>
              <w:t>30</w:t>
            </w:r>
            <w:r>
              <w:rPr>
                <w:rFonts w:hint="eastAsia"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bidi="ar-SA"/>
              </w:rPr>
              <w:t>00</w:t>
            </w:r>
            <w:r>
              <w:rPr>
                <w:rFonts w:hint="eastAsia" w:ascii="宋体" w:hAnsi="宋体" w:eastAsia="宋体" w:cs="宋体"/>
                <w:color w:val="auto"/>
                <w:sz w:val="18"/>
                <w:szCs w:val="18"/>
                <w:highlight w:val="none"/>
                <w:lang w:eastAsia="zh-CN"/>
              </w:rPr>
              <w:t>张</w:t>
            </w:r>
          </w:p>
        </w:tc>
        <w:tc>
          <w:tcPr>
            <w:tcW w:w="1483" w:type="dxa"/>
            <w:tcBorders>
              <w:left w:val="single" w:color="auto" w:sz="4" w:space="0"/>
            </w:tcBorders>
            <w:vAlign w:val="center"/>
          </w:tcPr>
          <w:p w14:paraId="13573009">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张</w:t>
            </w:r>
          </w:p>
        </w:tc>
        <w:tc>
          <w:tcPr>
            <w:tcW w:w="1350" w:type="dxa"/>
            <w:tcBorders>
              <w:left w:val="single" w:color="auto" w:sz="4" w:space="0"/>
            </w:tcBorders>
            <w:vAlign w:val="center"/>
          </w:tcPr>
          <w:p w14:paraId="72AC7AC9">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张</w:t>
            </w:r>
          </w:p>
        </w:tc>
        <w:tc>
          <w:tcPr>
            <w:tcW w:w="2024" w:type="dxa"/>
            <w:tcBorders>
              <w:left w:val="single" w:color="auto" w:sz="4" w:space="0"/>
            </w:tcBorders>
            <w:vAlign w:val="center"/>
          </w:tcPr>
          <w:p w14:paraId="4BACEC74">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c>
          <w:tcPr>
            <w:tcW w:w="1992" w:type="dxa"/>
            <w:tcBorders>
              <w:left w:val="single" w:color="auto" w:sz="4" w:space="0"/>
            </w:tcBorders>
            <w:vAlign w:val="center"/>
          </w:tcPr>
          <w:p w14:paraId="7FB2A1DA">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val="en-US" w:eastAsia="zh-CN"/>
              </w:rPr>
            </w:pPr>
          </w:p>
        </w:tc>
      </w:tr>
      <w:tr w14:paraId="0015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056CD28A">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3</w:t>
            </w:r>
          </w:p>
        </w:tc>
        <w:tc>
          <w:tcPr>
            <w:tcW w:w="1134" w:type="dxa"/>
            <w:tcBorders>
              <w:left w:val="single" w:color="auto" w:sz="4" w:space="0"/>
            </w:tcBorders>
            <w:vAlign w:val="center"/>
          </w:tcPr>
          <w:p w14:paraId="056B5D19">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ascii="宋体" w:hAnsi="宋体" w:eastAsia="宋体" w:cs="宋体"/>
                <w:color w:val="auto"/>
                <w:sz w:val="18"/>
                <w:szCs w:val="18"/>
                <w:highlight w:val="none"/>
                <w:lang w:bidi="ar-SA"/>
              </w:rPr>
              <w:t>普通</w:t>
            </w:r>
            <w:r>
              <w:rPr>
                <w:rFonts w:hint="eastAsia" w:ascii="宋体" w:hAnsi="宋体" w:eastAsia="宋体" w:cs="宋体"/>
                <w:color w:val="auto"/>
                <w:sz w:val="18"/>
                <w:szCs w:val="18"/>
                <w:highlight w:val="none"/>
                <w:lang w:bidi="ar-SA"/>
              </w:rPr>
              <w:t>红包</w:t>
            </w:r>
          </w:p>
        </w:tc>
        <w:tc>
          <w:tcPr>
            <w:tcW w:w="1333" w:type="dxa"/>
            <w:tcBorders>
              <w:left w:val="single" w:color="auto" w:sz="4" w:space="0"/>
            </w:tcBorders>
            <w:vAlign w:val="center"/>
          </w:tcPr>
          <w:p w14:paraId="130A0F14">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SA"/>
              </w:rPr>
              <w:t>30</w:t>
            </w:r>
            <w:r>
              <w:rPr>
                <w:rFonts w:hint="eastAsia"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bidi="ar-SA"/>
              </w:rPr>
              <w:t>00套</w:t>
            </w:r>
          </w:p>
        </w:tc>
        <w:tc>
          <w:tcPr>
            <w:tcW w:w="1483" w:type="dxa"/>
            <w:tcBorders>
              <w:left w:val="single" w:color="auto" w:sz="4" w:space="0"/>
            </w:tcBorders>
            <w:vAlign w:val="center"/>
          </w:tcPr>
          <w:p w14:paraId="1FBB29DB">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1350" w:type="dxa"/>
            <w:tcBorders>
              <w:left w:val="single" w:color="auto" w:sz="4" w:space="0"/>
            </w:tcBorders>
            <w:vAlign w:val="center"/>
          </w:tcPr>
          <w:p w14:paraId="544C6F35">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2024" w:type="dxa"/>
            <w:tcBorders>
              <w:left w:val="single" w:color="auto" w:sz="4" w:space="0"/>
            </w:tcBorders>
            <w:vAlign w:val="center"/>
          </w:tcPr>
          <w:p w14:paraId="218F1DFC">
            <w:pPr>
              <w:keepNext w:val="0"/>
              <w:keepLines w:val="0"/>
              <w:pageBreakBefore w:val="0"/>
              <w:widowControl w:val="0"/>
              <w:kinsoku/>
              <w:wordWrap/>
              <w:overflowPunct/>
              <w:topLinePunct w:val="0"/>
              <w:autoSpaceDE/>
              <w:autoSpaceDN/>
              <w:adjustRightInd/>
              <w:spacing w:line="240" w:lineRule="auto"/>
              <w:ind w:firstLine="0" w:firstLineChars="0"/>
              <w:jc w:val="left"/>
              <w:rPr>
                <w:rFonts w:hint="eastAsia" w:ascii="宋体" w:hAnsi="宋体" w:eastAsia="宋体" w:cs="宋体"/>
                <w:color w:val="auto"/>
                <w:spacing w:val="-1"/>
                <w:sz w:val="18"/>
                <w:szCs w:val="18"/>
                <w:highlight w:val="none"/>
                <w:lang w:val="en-US" w:eastAsia="zh-CN"/>
              </w:rPr>
            </w:pPr>
          </w:p>
        </w:tc>
        <w:tc>
          <w:tcPr>
            <w:tcW w:w="1992" w:type="dxa"/>
            <w:tcBorders>
              <w:left w:val="single" w:color="auto" w:sz="4" w:space="0"/>
            </w:tcBorders>
            <w:vAlign w:val="center"/>
          </w:tcPr>
          <w:p w14:paraId="796ADF50">
            <w:pPr>
              <w:keepNext w:val="0"/>
              <w:keepLines w:val="0"/>
              <w:pageBreakBefore w:val="0"/>
              <w:widowControl w:val="0"/>
              <w:kinsoku/>
              <w:wordWrap/>
              <w:overflowPunct/>
              <w:topLinePunct w:val="0"/>
              <w:autoSpaceDE/>
              <w:autoSpaceDN/>
              <w:adjustRightInd/>
              <w:spacing w:line="240" w:lineRule="auto"/>
              <w:ind w:firstLine="0" w:firstLineChars="0"/>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1"/>
                <w:sz w:val="18"/>
                <w:szCs w:val="18"/>
                <w:highlight w:val="none"/>
                <w:lang w:val="en-US" w:eastAsia="zh-CN"/>
              </w:rPr>
              <w:t>红包</w:t>
            </w:r>
            <w:r>
              <w:rPr>
                <w:rFonts w:hint="eastAsia" w:ascii="宋体" w:hAnsi="宋体" w:cs="宋体"/>
                <w:color w:val="auto"/>
                <w:spacing w:val="-1"/>
                <w:sz w:val="18"/>
                <w:szCs w:val="18"/>
                <w:highlight w:val="none"/>
                <w:lang w:val="en-US" w:eastAsia="zh-CN"/>
              </w:rPr>
              <w:t>8</w:t>
            </w:r>
            <w:r>
              <w:rPr>
                <w:rFonts w:hint="eastAsia" w:ascii="宋体" w:hAnsi="宋体" w:eastAsia="宋体" w:cs="宋体"/>
                <w:color w:val="auto"/>
                <w:spacing w:val="-1"/>
                <w:sz w:val="18"/>
                <w:szCs w:val="18"/>
                <w:highlight w:val="none"/>
                <w:lang w:val="en-US" w:eastAsia="zh-CN"/>
              </w:rPr>
              <w:t>个为1套</w:t>
            </w:r>
            <w:r>
              <w:rPr>
                <w:rFonts w:ascii="宋体" w:hAnsi="宋体" w:eastAsia="宋体" w:cs="宋体"/>
                <w:color w:val="auto"/>
                <w:spacing w:val="-1"/>
                <w:sz w:val="18"/>
                <w:szCs w:val="18"/>
                <w:highlight w:val="none"/>
                <w:lang w:val="en-US" w:eastAsia="zh-CN"/>
              </w:rPr>
              <w:t>，含腰条</w:t>
            </w:r>
          </w:p>
        </w:tc>
      </w:tr>
      <w:tr w14:paraId="73CA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0C45F6E4">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ascii="宋体" w:hAnsi="宋体" w:eastAsia="宋体" w:cs="宋体"/>
                <w:color w:val="auto"/>
                <w:sz w:val="18"/>
                <w:szCs w:val="18"/>
                <w:highlight w:val="none"/>
                <w:lang w:bidi="ar-SA"/>
              </w:rPr>
              <w:t>4</w:t>
            </w:r>
          </w:p>
        </w:tc>
        <w:tc>
          <w:tcPr>
            <w:tcW w:w="1134" w:type="dxa"/>
            <w:tcBorders>
              <w:left w:val="single" w:color="auto" w:sz="4" w:space="0"/>
            </w:tcBorders>
            <w:vAlign w:val="center"/>
          </w:tcPr>
          <w:p w14:paraId="2C5BFA10">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ascii="宋体" w:hAnsi="宋体" w:eastAsia="宋体" w:cs="宋体"/>
                <w:color w:val="auto"/>
                <w:sz w:val="18"/>
                <w:szCs w:val="18"/>
                <w:highlight w:val="none"/>
                <w:lang w:bidi="ar-SA"/>
              </w:rPr>
              <w:t>万元红包</w:t>
            </w:r>
          </w:p>
        </w:tc>
        <w:tc>
          <w:tcPr>
            <w:tcW w:w="1333" w:type="dxa"/>
            <w:tcBorders>
              <w:left w:val="single" w:color="auto" w:sz="4" w:space="0"/>
            </w:tcBorders>
            <w:vAlign w:val="center"/>
          </w:tcPr>
          <w:p w14:paraId="2348E359">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hint="eastAsia" w:ascii="宋体" w:hAnsi="宋体" w:cs="宋体"/>
                <w:color w:val="auto"/>
                <w:sz w:val="18"/>
                <w:szCs w:val="18"/>
                <w:highlight w:val="none"/>
                <w:lang w:val="en-US" w:eastAsia="zh-CN" w:bidi="ar-SA"/>
              </w:rPr>
              <w:t>30</w:t>
            </w:r>
            <w:r>
              <w:rPr>
                <w:rFonts w:hint="eastAsia"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bidi="ar-SA"/>
              </w:rPr>
              <w:t>00</w:t>
            </w:r>
            <w:r>
              <w:rPr>
                <w:rFonts w:ascii="宋体" w:hAnsi="宋体" w:eastAsia="宋体" w:cs="宋体"/>
                <w:color w:val="auto"/>
                <w:sz w:val="18"/>
                <w:szCs w:val="18"/>
                <w:highlight w:val="none"/>
                <w:lang w:bidi="ar-SA"/>
              </w:rPr>
              <w:t>套</w:t>
            </w:r>
          </w:p>
        </w:tc>
        <w:tc>
          <w:tcPr>
            <w:tcW w:w="1483" w:type="dxa"/>
            <w:tcBorders>
              <w:left w:val="single" w:color="auto" w:sz="4" w:space="0"/>
            </w:tcBorders>
            <w:vAlign w:val="center"/>
          </w:tcPr>
          <w:p w14:paraId="5BBAB555">
            <w:pPr>
              <w:keepNext w:val="0"/>
              <w:keepLines w:val="0"/>
              <w:pageBreakBefore w:val="0"/>
              <w:widowControl w:val="0"/>
              <w:kinsoku/>
              <w:wordWrap/>
              <w:overflowPunct/>
              <w:topLinePunct w:val="0"/>
              <w:autoSpaceDE/>
              <w:autoSpaceDN/>
              <w:adjustRightInd/>
              <w:spacing w:line="240" w:lineRule="auto"/>
              <w:ind w:firstLine="0" w:firstLineChars="0"/>
              <w:jc w:val="right"/>
              <w:rPr>
                <w:rFonts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1350" w:type="dxa"/>
            <w:tcBorders>
              <w:left w:val="single" w:color="auto" w:sz="4" w:space="0"/>
            </w:tcBorders>
            <w:vAlign w:val="center"/>
          </w:tcPr>
          <w:p w14:paraId="07F712FE">
            <w:pPr>
              <w:keepNext w:val="0"/>
              <w:keepLines w:val="0"/>
              <w:pageBreakBefore w:val="0"/>
              <w:widowControl w:val="0"/>
              <w:kinsoku/>
              <w:wordWrap/>
              <w:overflowPunct/>
              <w:topLinePunct w:val="0"/>
              <w:autoSpaceDE/>
              <w:autoSpaceDN/>
              <w:adjustRightInd/>
              <w:spacing w:line="240" w:lineRule="auto"/>
              <w:ind w:firstLine="0" w:firstLineChars="0"/>
              <w:jc w:val="right"/>
              <w:rPr>
                <w:rFonts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2024" w:type="dxa"/>
            <w:tcBorders>
              <w:left w:val="single" w:color="auto" w:sz="4" w:space="0"/>
            </w:tcBorders>
            <w:vAlign w:val="center"/>
          </w:tcPr>
          <w:p w14:paraId="2554E6F8">
            <w:pPr>
              <w:keepNext w:val="0"/>
              <w:keepLines w:val="0"/>
              <w:pageBreakBefore w:val="0"/>
              <w:widowControl w:val="0"/>
              <w:kinsoku/>
              <w:wordWrap/>
              <w:overflowPunct/>
              <w:topLinePunct w:val="0"/>
              <w:autoSpaceDE/>
              <w:autoSpaceDN/>
              <w:adjustRightInd/>
              <w:spacing w:line="240" w:lineRule="auto"/>
              <w:ind w:firstLine="0" w:firstLineChars="0"/>
              <w:jc w:val="left"/>
              <w:rPr>
                <w:rFonts w:ascii="宋体" w:hAnsi="宋体" w:eastAsia="宋体" w:cs="宋体"/>
                <w:color w:val="auto"/>
                <w:spacing w:val="-1"/>
                <w:sz w:val="18"/>
                <w:szCs w:val="18"/>
                <w:highlight w:val="none"/>
                <w:lang w:val="en-US" w:eastAsia="zh-CN"/>
              </w:rPr>
            </w:pPr>
          </w:p>
        </w:tc>
        <w:tc>
          <w:tcPr>
            <w:tcW w:w="1992" w:type="dxa"/>
            <w:tcBorders>
              <w:left w:val="single" w:color="auto" w:sz="4" w:space="0"/>
            </w:tcBorders>
            <w:vAlign w:val="center"/>
          </w:tcPr>
          <w:p w14:paraId="01608666">
            <w:pPr>
              <w:keepNext w:val="0"/>
              <w:keepLines w:val="0"/>
              <w:pageBreakBefore w:val="0"/>
              <w:widowControl w:val="0"/>
              <w:kinsoku/>
              <w:wordWrap/>
              <w:overflowPunct/>
              <w:topLinePunct w:val="0"/>
              <w:autoSpaceDE/>
              <w:autoSpaceDN/>
              <w:adjustRightInd/>
              <w:spacing w:line="240" w:lineRule="auto"/>
              <w:ind w:firstLine="0" w:firstLineChars="0"/>
              <w:jc w:val="left"/>
              <w:rPr>
                <w:rFonts w:ascii="宋体" w:hAnsi="宋体" w:eastAsia="宋体" w:cs="宋体"/>
                <w:color w:val="auto"/>
                <w:spacing w:val="-1"/>
                <w:sz w:val="18"/>
                <w:szCs w:val="18"/>
                <w:highlight w:val="none"/>
                <w:lang w:val="en-US" w:eastAsia="zh-CN"/>
              </w:rPr>
            </w:pPr>
          </w:p>
        </w:tc>
      </w:tr>
      <w:tr w14:paraId="4248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7585996D">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ascii="宋体" w:hAnsi="宋体" w:eastAsia="宋体" w:cs="宋体"/>
                <w:color w:val="auto"/>
                <w:sz w:val="18"/>
                <w:szCs w:val="18"/>
                <w:highlight w:val="none"/>
                <w:lang w:bidi="ar-SA"/>
              </w:rPr>
              <w:t>5</w:t>
            </w:r>
          </w:p>
        </w:tc>
        <w:tc>
          <w:tcPr>
            <w:tcW w:w="1134" w:type="dxa"/>
            <w:tcBorders>
              <w:left w:val="single" w:color="auto" w:sz="4" w:space="0"/>
            </w:tcBorders>
            <w:vAlign w:val="center"/>
          </w:tcPr>
          <w:p w14:paraId="49A326D2">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hint="eastAsia" w:ascii="宋体" w:hAnsi="宋体" w:cs="宋体"/>
                <w:color w:val="auto"/>
                <w:sz w:val="18"/>
                <w:szCs w:val="18"/>
                <w:highlight w:val="none"/>
                <w:lang w:val="en-US" w:eastAsia="zh-CN" w:bidi="ar-SA"/>
              </w:rPr>
              <w:t>礼盒</w:t>
            </w:r>
            <w:r>
              <w:rPr>
                <w:rFonts w:ascii="宋体" w:hAnsi="宋体" w:eastAsia="宋体" w:cs="宋体"/>
                <w:color w:val="auto"/>
                <w:sz w:val="18"/>
                <w:szCs w:val="18"/>
                <w:highlight w:val="none"/>
                <w:lang w:bidi="ar-SA"/>
              </w:rPr>
              <w:t>包装</w:t>
            </w:r>
          </w:p>
        </w:tc>
        <w:tc>
          <w:tcPr>
            <w:tcW w:w="1333" w:type="dxa"/>
            <w:tcBorders>
              <w:left w:val="single" w:color="auto" w:sz="4" w:space="0"/>
            </w:tcBorders>
            <w:vAlign w:val="center"/>
          </w:tcPr>
          <w:p w14:paraId="37EE0C30">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bidi="ar-SA"/>
              </w:rPr>
            </w:pPr>
            <w:r>
              <w:rPr>
                <w:rFonts w:hint="eastAsia" w:ascii="宋体" w:hAnsi="宋体" w:cs="宋体"/>
                <w:color w:val="auto"/>
                <w:sz w:val="18"/>
                <w:szCs w:val="18"/>
                <w:highlight w:val="none"/>
                <w:lang w:val="en-US" w:eastAsia="zh-CN" w:bidi="ar-SA"/>
              </w:rPr>
              <w:t>30</w:t>
            </w:r>
            <w:r>
              <w:rPr>
                <w:rFonts w:hint="eastAsia"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bidi="ar-SA"/>
              </w:rPr>
              <w:t>00</w:t>
            </w:r>
            <w:r>
              <w:rPr>
                <w:rFonts w:ascii="宋体" w:hAnsi="宋体" w:eastAsia="宋体" w:cs="宋体"/>
                <w:color w:val="auto"/>
                <w:sz w:val="18"/>
                <w:szCs w:val="18"/>
                <w:highlight w:val="none"/>
                <w:lang w:bidi="ar-SA"/>
              </w:rPr>
              <w:t>套</w:t>
            </w:r>
          </w:p>
        </w:tc>
        <w:tc>
          <w:tcPr>
            <w:tcW w:w="1483" w:type="dxa"/>
            <w:tcBorders>
              <w:left w:val="single" w:color="auto" w:sz="4" w:space="0"/>
            </w:tcBorders>
            <w:vAlign w:val="center"/>
          </w:tcPr>
          <w:p w14:paraId="57DA2DF9">
            <w:pPr>
              <w:keepNext w:val="0"/>
              <w:keepLines w:val="0"/>
              <w:pageBreakBefore w:val="0"/>
              <w:widowControl w:val="0"/>
              <w:kinsoku/>
              <w:wordWrap/>
              <w:overflowPunct/>
              <w:topLinePunct w:val="0"/>
              <w:autoSpaceDE/>
              <w:autoSpaceDN/>
              <w:adjustRightInd/>
              <w:spacing w:line="240" w:lineRule="auto"/>
              <w:ind w:firstLine="0" w:firstLineChars="0"/>
              <w:jc w:val="right"/>
              <w:rPr>
                <w:rFonts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1350" w:type="dxa"/>
            <w:tcBorders>
              <w:left w:val="single" w:color="auto" w:sz="4" w:space="0"/>
            </w:tcBorders>
            <w:vAlign w:val="center"/>
          </w:tcPr>
          <w:p w14:paraId="55E8CAC2">
            <w:pPr>
              <w:keepNext w:val="0"/>
              <w:keepLines w:val="0"/>
              <w:pageBreakBefore w:val="0"/>
              <w:widowControl w:val="0"/>
              <w:kinsoku/>
              <w:wordWrap/>
              <w:overflowPunct/>
              <w:topLinePunct w:val="0"/>
              <w:autoSpaceDE/>
              <w:autoSpaceDN/>
              <w:adjustRightInd/>
              <w:spacing w:line="240" w:lineRule="auto"/>
              <w:ind w:firstLine="0" w:firstLineChars="0"/>
              <w:jc w:val="right"/>
              <w:rPr>
                <w:rFonts w:ascii="宋体" w:hAnsi="宋体" w:eastAsia="宋体" w:cs="宋体"/>
                <w:color w:val="auto"/>
                <w:sz w:val="18"/>
                <w:szCs w:val="18"/>
                <w:highlight w:val="none"/>
                <w:u w:val="single"/>
                <w:lang w:val="en-US" w:eastAsia="zh-CN"/>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元/个</w:t>
            </w:r>
          </w:p>
        </w:tc>
        <w:tc>
          <w:tcPr>
            <w:tcW w:w="2024" w:type="dxa"/>
            <w:tcBorders>
              <w:left w:val="single" w:color="auto" w:sz="4" w:space="0"/>
            </w:tcBorders>
            <w:vAlign w:val="center"/>
          </w:tcPr>
          <w:p w14:paraId="47F9EF07">
            <w:pPr>
              <w:keepNext w:val="0"/>
              <w:keepLines w:val="0"/>
              <w:pageBreakBefore w:val="0"/>
              <w:widowControl w:val="0"/>
              <w:kinsoku/>
              <w:wordWrap/>
              <w:overflowPunct/>
              <w:topLinePunct w:val="0"/>
              <w:autoSpaceDE/>
              <w:autoSpaceDN/>
              <w:adjustRightInd/>
              <w:spacing w:line="240" w:lineRule="auto"/>
              <w:ind w:firstLine="0" w:firstLineChars="0"/>
              <w:jc w:val="left"/>
              <w:rPr>
                <w:rFonts w:ascii="宋体" w:hAnsi="宋体" w:eastAsia="宋体" w:cs="宋体"/>
                <w:color w:val="auto"/>
                <w:spacing w:val="-1"/>
                <w:sz w:val="18"/>
                <w:szCs w:val="18"/>
                <w:highlight w:val="none"/>
                <w:lang w:val="en-US" w:eastAsia="zh-CN"/>
              </w:rPr>
            </w:pPr>
          </w:p>
        </w:tc>
        <w:tc>
          <w:tcPr>
            <w:tcW w:w="1992" w:type="dxa"/>
            <w:tcBorders>
              <w:left w:val="single" w:color="auto" w:sz="4" w:space="0"/>
            </w:tcBorders>
            <w:vAlign w:val="center"/>
          </w:tcPr>
          <w:p w14:paraId="3F01A2B6">
            <w:pPr>
              <w:keepNext w:val="0"/>
              <w:keepLines w:val="0"/>
              <w:pageBreakBefore w:val="0"/>
              <w:widowControl w:val="0"/>
              <w:kinsoku/>
              <w:wordWrap/>
              <w:overflowPunct/>
              <w:topLinePunct w:val="0"/>
              <w:autoSpaceDE/>
              <w:autoSpaceDN/>
              <w:adjustRightInd/>
              <w:spacing w:line="240" w:lineRule="auto"/>
              <w:ind w:firstLine="0" w:firstLineChars="0"/>
              <w:jc w:val="left"/>
              <w:rPr>
                <w:rFonts w:ascii="宋体" w:hAnsi="宋体" w:eastAsia="宋体" w:cs="宋体"/>
                <w:color w:val="auto"/>
                <w:spacing w:val="-1"/>
                <w:sz w:val="18"/>
                <w:szCs w:val="18"/>
                <w:highlight w:val="none"/>
                <w:lang w:val="en-US" w:eastAsia="zh-CN"/>
              </w:rPr>
            </w:pPr>
          </w:p>
        </w:tc>
      </w:tr>
      <w:tr w14:paraId="723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5B1D5570">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eastAsia="zh-CN" w:bidi="ar-SA"/>
              </w:rPr>
            </w:pPr>
            <w:r>
              <w:rPr>
                <w:rFonts w:ascii="宋体" w:hAnsi="宋体" w:cs="宋体"/>
                <w:color w:val="auto"/>
                <w:sz w:val="18"/>
                <w:szCs w:val="18"/>
                <w:highlight w:val="none"/>
                <w:lang w:val="en-US" w:eastAsia="zh-CN" w:bidi="ar-SA"/>
              </w:rPr>
              <w:t>6</w:t>
            </w:r>
          </w:p>
        </w:tc>
        <w:tc>
          <w:tcPr>
            <w:tcW w:w="1134" w:type="dxa"/>
            <w:tcBorders>
              <w:left w:val="single" w:color="auto" w:sz="4" w:space="0"/>
            </w:tcBorders>
            <w:vAlign w:val="center"/>
          </w:tcPr>
          <w:p w14:paraId="49A0D185">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hint="eastAsia" w:ascii="宋体" w:hAnsi="宋体" w:eastAsia="宋体" w:cs="宋体"/>
                <w:color w:val="auto"/>
                <w:sz w:val="18"/>
                <w:szCs w:val="18"/>
                <w:highlight w:val="none"/>
                <w:lang w:bidi="ar-SA"/>
              </w:rPr>
              <w:t>帆布袋</w:t>
            </w:r>
          </w:p>
        </w:tc>
        <w:tc>
          <w:tcPr>
            <w:tcW w:w="1333" w:type="dxa"/>
            <w:tcBorders>
              <w:left w:val="single" w:color="auto" w:sz="4" w:space="0"/>
            </w:tcBorders>
            <w:vAlign w:val="center"/>
          </w:tcPr>
          <w:p w14:paraId="0C60B610">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SA"/>
              </w:rPr>
              <w:t>9</w:t>
            </w:r>
            <w:r>
              <w:rPr>
                <w:rFonts w:ascii="宋体" w:hAnsi="宋体" w:eastAsia="宋体" w:cs="宋体"/>
                <w:color w:val="auto"/>
                <w:sz w:val="18"/>
                <w:szCs w:val="18"/>
                <w:highlight w:val="none"/>
                <w:lang w:bidi="ar-SA"/>
              </w:rPr>
              <w:t>,</w:t>
            </w:r>
            <w:r>
              <w:rPr>
                <w:rFonts w:hint="eastAsia" w:ascii="宋体" w:hAnsi="宋体" w:cs="宋体"/>
                <w:color w:val="auto"/>
                <w:sz w:val="18"/>
                <w:szCs w:val="18"/>
                <w:highlight w:val="none"/>
                <w:lang w:val="en-US" w:eastAsia="zh-CN" w:bidi="ar-SA"/>
              </w:rPr>
              <w:t>5</w:t>
            </w:r>
            <w:r>
              <w:rPr>
                <w:rFonts w:ascii="宋体" w:hAnsi="宋体" w:eastAsia="宋体" w:cs="宋体"/>
                <w:color w:val="auto"/>
                <w:sz w:val="18"/>
                <w:szCs w:val="18"/>
                <w:highlight w:val="none"/>
                <w:lang w:bidi="ar-SA"/>
              </w:rPr>
              <w:t>0</w:t>
            </w:r>
            <w:r>
              <w:rPr>
                <w:rFonts w:hint="eastAsia" w:ascii="宋体" w:hAnsi="宋体" w:eastAsia="宋体" w:cs="宋体"/>
                <w:color w:val="auto"/>
                <w:sz w:val="18"/>
                <w:szCs w:val="18"/>
                <w:highlight w:val="none"/>
                <w:lang w:bidi="ar-SA"/>
              </w:rPr>
              <w:t>0</w:t>
            </w:r>
            <w:r>
              <w:rPr>
                <w:rFonts w:hint="eastAsia" w:ascii="宋体" w:hAnsi="宋体" w:eastAsia="宋体" w:cs="宋体"/>
                <w:color w:val="auto"/>
                <w:sz w:val="18"/>
                <w:szCs w:val="18"/>
                <w:highlight w:val="none"/>
                <w:lang w:val="en-US" w:eastAsia="zh-CN"/>
              </w:rPr>
              <w:t>个</w:t>
            </w:r>
          </w:p>
        </w:tc>
        <w:tc>
          <w:tcPr>
            <w:tcW w:w="1483" w:type="dxa"/>
            <w:tcBorders>
              <w:left w:val="single" w:color="auto" w:sz="4" w:space="0"/>
            </w:tcBorders>
            <w:vAlign w:val="center"/>
          </w:tcPr>
          <w:p w14:paraId="2FE10A55">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sz w:val="18"/>
                <w:szCs w:val="18"/>
                <w:highlight w:val="none"/>
                <w:lang w:val="ru-RU"/>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个</w:t>
            </w:r>
          </w:p>
        </w:tc>
        <w:tc>
          <w:tcPr>
            <w:tcW w:w="1350" w:type="dxa"/>
            <w:tcBorders>
              <w:left w:val="single" w:color="auto" w:sz="4" w:space="0"/>
            </w:tcBorders>
            <w:vAlign w:val="center"/>
          </w:tcPr>
          <w:p w14:paraId="133687A1">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个</w:t>
            </w:r>
          </w:p>
        </w:tc>
        <w:tc>
          <w:tcPr>
            <w:tcW w:w="2024" w:type="dxa"/>
            <w:tcBorders>
              <w:left w:val="single" w:color="auto" w:sz="4" w:space="0"/>
            </w:tcBorders>
            <w:vAlign w:val="center"/>
          </w:tcPr>
          <w:p w14:paraId="56DAD078">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c>
          <w:tcPr>
            <w:tcW w:w="1992" w:type="dxa"/>
            <w:tcBorders>
              <w:left w:val="single" w:color="auto" w:sz="4" w:space="0"/>
            </w:tcBorders>
            <w:vAlign w:val="center"/>
          </w:tcPr>
          <w:p w14:paraId="4E0542C7">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r>
      <w:tr w14:paraId="67C1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14:paraId="013AE123">
            <w:pPr>
              <w:keepNext w:val="0"/>
              <w:keepLines w:val="0"/>
              <w:pageBreakBefore w:val="0"/>
              <w:widowControl w:val="0"/>
              <w:kinsoku/>
              <w:wordWrap/>
              <w:overflowPunct/>
              <w:topLinePunct w:val="0"/>
              <w:autoSpaceDE/>
              <w:autoSpaceDN/>
              <w:adjustRightInd/>
              <w:spacing w:line="240" w:lineRule="auto"/>
              <w:ind w:firstLine="0" w:firstLineChars="0"/>
              <w:jc w:val="center"/>
              <w:rPr>
                <w:rFonts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7</w:t>
            </w:r>
          </w:p>
        </w:tc>
        <w:tc>
          <w:tcPr>
            <w:tcW w:w="1134" w:type="dxa"/>
            <w:tcBorders>
              <w:left w:val="single" w:color="auto" w:sz="4" w:space="0"/>
            </w:tcBorders>
            <w:vAlign w:val="center"/>
          </w:tcPr>
          <w:p w14:paraId="2F712460">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bidi="ar-SA"/>
              </w:rPr>
            </w:pPr>
            <w:r>
              <w:rPr>
                <w:rFonts w:ascii="宋体" w:hAnsi="宋体" w:eastAsia="宋体" w:cs="宋体"/>
                <w:color w:val="auto"/>
                <w:sz w:val="18"/>
                <w:szCs w:val="18"/>
                <w:highlight w:val="none"/>
                <w:lang w:bidi="ar-SA"/>
              </w:rPr>
              <w:t>存单封套</w:t>
            </w:r>
          </w:p>
        </w:tc>
        <w:tc>
          <w:tcPr>
            <w:tcW w:w="1333" w:type="dxa"/>
            <w:tcBorders>
              <w:left w:val="single" w:color="auto" w:sz="4" w:space="0"/>
            </w:tcBorders>
            <w:vAlign w:val="center"/>
          </w:tcPr>
          <w:p w14:paraId="1C8C3404">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r>
              <w:rPr>
                <w:rFonts w:ascii="宋体" w:hAnsi="宋体" w:eastAsia="宋体" w:cs="宋体"/>
                <w:color w:val="auto"/>
                <w:sz w:val="18"/>
                <w:szCs w:val="18"/>
                <w:highlight w:val="none"/>
                <w:lang w:bidi="ar-SA"/>
              </w:rPr>
              <w:t>26,000</w:t>
            </w:r>
            <w:r>
              <w:rPr>
                <w:rFonts w:hint="eastAsia" w:ascii="宋体" w:hAnsi="宋体" w:eastAsia="宋体" w:cs="宋体"/>
                <w:color w:val="auto"/>
                <w:sz w:val="18"/>
                <w:szCs w:val="18"/>
                <w:highlight w:val="none"/>
                <w:lang w:bidi="ar-SA"/>
              </w:rPr>
              <w:t>个</w:t>
            </w:r>
          </w:p>
        </w:tc>
        <w:tc>
          <w:tcPr>
            <w:tcW w:w="1483" w:type="dxa"/>
            <w:tcBorders>
              <w:left w:val="single" w:color="auto" w:sz="4" w:space="0"/>
            </w:tcBorders>
            <w:vAlign w:val="center"/>
          </w:tcPr>
          <w:p w14:paraId="28A28F4B">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sz w:val="18"/>
                <w:szCs w:val="18"/>
                <w:highlight w:val="none"/>
                <w:lang w:val="ru-RU"/>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个</w:t>
            </w:r>
          </w:p>
        </w:tc>
        <w:tc>
          <w:tcPr>
            <w:tcW w:w="1350" w:type="dxa"/>
            <w:tcBorders>
              <w:left w:val="single" w:color="auto" w:sz="4" w:space="0"/>
            </w:tcBorders>
            <w:vAlign w:val="center"/>
          </w:tcPr>
          <w:p w14:paraId="5E5FCC38">
            <w:pPr>
              <w:keepNext w:val="0"/>
              <w:keepLines w:val="0"/>
              <w:pageBreakBefore w:val="0"/>
              <w:widowControl w:val="0"/>
              <w:kinsoku/>
              <w:wordWrap/>
              <w:overflowPunct/>
              <w:topLinePunct w:val="0"/>
              <w:autoSpaceDE/>
              <w:autoSpaceDN/>
              <w:adjustRightInd/>
              <w:spacing w:line="240" w:lineRule="auto"/>
              <w:ind w:firstLine="0" w:firstLineChars="0"/>
              <w:jc w:val="righ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lang w:eastAsia="zh-CN"/>
              </w:rPr>
              <w:t>个</w:t>
            </w:r>
          </w:p>
        </w:tc>
        <w:tc>
          <w:tcPr>
            <w:tcW w:w="2024" w:type="dxa"/>
            <w:tcBorders>
              <w:left w:val="single" w:color="auto" w:sz="4" w:space="0"/>
            </w:tcBorders>
            <w:vAlign w:val="center"/>
          </w:tcPr>
          <w:p w14:paraId="4C92359F">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c>
          <w:tcPr>
            <w:tcW w:w="1992" w:type="dxa"/>
            <w:tcBorders>
              <w:left w:val="single" w:color="auto" w:sz="4" w:space="0"/>
            </w:tcBorders>
            <w:vAlign w:val="center"/>
          </w:tcPr>
          <w:p w14:paraId="7F8856B6">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rPr>
            </w:pPr>
          </w:p>
        </w:tc>
      </w:tr>
      <w:tr w14:paraId="577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217" w:type="dxa"/>
            <w:gridSpan w:val="3"/>
            <w:vAlign w:val="center"/>
          </w:tcPr>
          <w:p w14:paraId="4466CE9C">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开具发票类型</w:t>
            </w:r>
          </w:p>
        </w:tc>
        <w:tc>
          <w:tcPr>
            <w:tcW w:w="6849" w:type="dxa"/>
            <w:gridSpan w:val="4"/>
            <w:tcBorders>
              <w:left w:val="single" w:color="auto" w:sz="4" w:space="0"/>
            </w:tcBorders>
            <w:vAlign w:val="center"/>
          </w:tcPr>
          <w:p w14:paraId="1BDCFF6D">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税率为</w:t>
            </w:r>
            <w:r>
              <w:rPr>
                <w:rFonts w:hint="eastAsia" w:ascii="宋体" w:hAnsi="宋体" w:cs="宋体"/>
                <w:color w:val="auto"/>
                <w:sz w:val="18"/>
                <w:szCs w:val="18"/>
                <w:highlight w:val="none"/>
                <w:u w:val="single"/>
                <w:lang w:val="en-US" w:eastAsia="zh-CN"/>
              </w:rPr>
              <w:t>13</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none"/>
                <w:lang w:val="en-US" w:eastAsia="zh-CN"/>
              </w:rPr>
              <w:t>%的增值税专用发票</w:t>
            </w:r>
          </w:p>
        </w:tc>
      </w:tr>
      <w:tr w14:paraId="1FF4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217" w:type="dxa"/>
            <w:gridSpan w:val="3"/>
            <w:vAlign w:val="center"/>
          </w:tcPr>
          <w:p w14:paraId="432441DA">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项目总价</w:t>
            </w:r>
            <w:r>
              <w:rPr>
                <w:rFonts w:hint="eastAsia" w:ascii="宋体" w:hAnsi="宋体" w:eastAsia="宋体" w:cs="宋体"/>
                <w:color w:val="auto"/>
                <w:sz w:val="18"/>
                <w:szCs w:val="18"/>
                <w:highlight w:val="none"/>
                <w:lang w:val="ru-RU"/>
              </w:rPr>
              <w:t>合计</w:t>
            </w:r>
          </w:p>
        </w:tc>
        <w:tc>
          <w:tcPr>
            <w:tcW w:w="6849" w:type="dxa"/>
            <w:gridSpan w:val="4"/>
            <w:tcBorders>
              <w:left w:val="single" w:color="auto" w:sz="4" w:space="0"/>
            </w:tcBorders>
            <w:vAlign w:val="center"/>
          </w:tcPr>
          <w:p w14:paraId="6B097E52">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single"/>
                <w:lang w:val="en-US" w:eastAsia="zh-CN"/>
              </w:rPr>
            </w:pPr>
            <w:r>
              <w:rPr>
                <w:rFonts w:hint="eastAsia" w:ascii="宋体" w:hAnsi="宋体" w:cs="宋体"/>
                <w:color w:val="auto"/>
                <w:sz w:val="18"/>
                <w:szCs w:val="18"/>
                <w:highlight w:val="none"/>
                <w:u w:val="none"/>
                <w:lang w:val="en-US" w:eastAsia="zh-CN"/>
              </w:rPr>
              <w:t>含税</w:t>
            </w:r>
            <w:r>
              <w:rPr>
                <w:rFonts w:hint="eastAsia" w:ascii="宋体" w:hAnsi="宋体" w:eastAsia="宋体" w:cs="宋体"/>
                <w:color w:val="auto"/>
                <w:sz w:val="18"/>
                <w:szCs w:val="18"/>
                <w:highlight w:val="none"/>
                <w:u w:val="none"/>
                <w:lang w:val="en-US" w:eastAsia="zh-CN"/>
              </w:rPr>
              <w:t>小写（元）：</w:t>
            </w:r>
            <w:r>
              <w:rPr>
                <w:rFonts w:hint="eastAsia" w:ascii="宋体" w:hAnsi="宋体" w:eastAsia="宋体" w:cs="宋体"/>
                <w:color w:val="auto"/>
                <w:sz w:val="18"/>
                <w:szCs w:val="18"/>
                <w:highlight w:val="none"/>
                <w:u w:val="single"/>
                <w:lang w:val="en-US" w:eastAsia="zh-CN"/>
              </w:rPr>
              <w:t xml:space="preserve">           </w:t>
            </w:r>
          </w:p>
          <w:p w14:paraId="60FB8FC6">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single"/>
                <w:lang w:val="en-US" w:eastAsia="zh-CN"/>
              </w:rPr>
            </w:pPr>
            <w:r>
              <w:rPr>
                <w:rFonts w:hint="eastAsia" w:ascii="宋体" w:hAnsi="宋体" w:cs="宋体"/>
                <w:color w:val="auto"/>
                <w:sz w:val="18"/>
                <w:szCs w:val="18"/>
                <w:highlight w:val="none"/>
                <w:u w:val="none"/>
                <w:lang w:val="en-US" w:eastAsia="zh-CN"/>
              </w:rPr>
              <w:t>含税</w:t>
            </w:r>
            <w:r>
              <w:rPr>
                <w:rFonts w:hint="eastAsia" w:ascii="宋体" w:hAnsi="宋体" w:eastAsia="宋体" w:cs="宋体"/>
                <w:color w:val="auto"/>
                <w:sz w:val="18"/>
                <w:szCs w:val="18"/>
                <w:highlight w:val="none"/>
                <w:u w:val="none"/>
                <w:lang w:val="en-US" w:eastAsia="zh-CN"/>
              </w:rPr>
              <w:t>大写（元）：</w:t>
            </w:r>
            <w:r>
              <w:rPr>
                <w:rFonts w:hint="eastAsia" w:ascii="宋体" w:hAnsi="宋体" w:eastAsia="宋体" w:cs="宋体"/>
                <w:color w:val="auto"/>
                <w:sz w:val="18"/>
                <w:szCs w:val="18"/>
                <w:highlight w:val="none"/>
                <w:u w:val="single"/>
                <w:lang w:val="en-US" w:eastAsia="zh-CN"/>
              </w:rPr>
              <w:t xml:space="preserve">           </w:t>
            </w:r>
          </w:p>
          <w:p w14:paraId="4CB351D1">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single"/>
                <w:lang w:val="en-US" w:eastAsia="zh-CN"/>
              </w:rPr>
            </w:pPr>
            <w:r>
              <w:rPr>
                <w:rFonts w:hint="eastAsia" w:ascii="宋体" w:hAnsi="宋体" w:cs="宋体"/>
                <w:color w:val="auto"/>
                <w:sz w:val="18"/>
                <w:szCs w:val="18"/>
                <w:highlight w:val="none"/>
                <w:u w:val="none"/>
                <w:lang w:val="en-US" w:eastAsia="zh-CN"/>
              </w:rPr>
              <w:t>不含税</w:t>
            </w:r>
            <w:r>
              <w:rPr>
                <w:rFonts w:hint="eastAsia" w:ascii="宋体" w:hAnsi="宋体" w:eastAsia="宋体" w:cs="宋体"/>
                <w:color w:val="auto"/>
                <w:sz w:val="18"/>
                <w:szCs w:val="18"/>
                <w:highlight w:val="none"/>
                <w:u w:val="none"/>
                <w:lang w:val="en-US" w:eastAsia="zh-CN"/>
              </w:rPr>
              <w:t>小写（元）：</w:t>
            </w:r>
            <w:r>
              <w:rPr>
                <w:rFonts w:hint="eastAsia" w:ascii="宋体" w:hAnsi="宋体" w:eastAsia="宋体" w:cs="宋体"/>
                <w:color w:val="auto"/>
                <w:sz w:val="18"/>
                <w:szCs w:val="18"/>
                <w:highlight w:val="none"/>
                <w:u w:val="single"/>
                <w:lang w:val="en-US" w:eastAsia="zh-CN"/>
              </w:rPr>
              <w:t xml:space="preserve">           </w:t>
            </w:r>
          </w:p>
          <w:p w14:paraId="77FC6117">
            <w:pPr>
              <w:keepNext w:val="0"/>
              <w:keepLines w:val="0"/>
              <w:pageBreakBefore w:val="0"/>
              <w:widowControl w:val="0"/>
              <w:kinsoku/>
              <w:wordWrap/>
              <w:overflowPunct/>
              <w:topLinePunct w:val="0"/>
              <w:autoSpaceDE/>
              <w:autoSpaceDN/>
              <w:adjustRightInd/>
              <w:spacing w:line="240" w:lineRule="auto"/>
              <w:ind w:firstLine="0" w:firstLineChars="0"/>
              <w:jc w:val="center"/>
              <w:rPr>
                <w:rFonts w:hint="eastAsia" w:ascii="宋体" w:hAnsi="宋体" w:eastAsia="宋体" w:cs="宋体"/>
                <w:color w:val="auto"/>
                <w:sz w:val="18"/>
                <w:szCs w:val="18"/>
                <w:highlight w:val="none"/>
                <w:u w:val="single"/>
                <w:lang w:val="en-US" w:eastAsia="zh-CN"/>
              </w:rPr>
            </w:pPr>
            <w:r>
              <w:rPr>
                <w:rFonts w:hint="eastAsia" w:ascii="宋体" w:hAnsi="宋体" w:cs="宋体"/>
                <w:color w:val="auto"/>
                <w:sz w:val="18"/>
                <w:szCs w:val="18"/>
                <w:highlight w:val="none"/>
                <w:u w:val="none"/>
                <w:lang w:val="en-US" w:eastAsia="zh-CN"/>
              </w:rPr>
              <w:t>不含税</w:t>
            </w:r>
            <w:r>
              <w:rPr>
                <w:rFonts w:hint="eastAsia" w:ascii="宋体" w:hAnsi="宋体" w:eastAsia="宋体" w:cs="宋体"/>
                <w:color w:val="auto"/>
                <w:sz w:val="18"/>
                <w:szCs w:val="18"/>
                <w:highlight w:val="none"/>
                <w:u w:val="none"/>
                <w:lang w:val="en-US" w:eastAsia="zh-CN"/>
              </w:rPr>
              <w:t>大写（元）：</w:t>
            </w:r>
            <w:r>
              <w:rPr>
                <w:rFonts w:hint="eastAsia" w:ascii="宋体" w:hAnsi="宋体" w:eastAsia="宋体" w:cs="宋体"/>
                <w:color w:val="auto"/>
                <w:sz w:val="18"/>
                <w:szCs w:val="18"/>
                <w:highlight w:val="none"/>
                <w:u w:val="single"/>
                <w:lang w:val="en-US" w:eastAsia="zh-CN"/>
              </w:rPr>
              <w:t xml:space="preserve">           </w:t>
            </w:r>
          </w:p>
        </w:tc>
      </w:tr>
    </w:tbl>
    <w:p w14:paraId="012E9AF3">
      <w:pPr>
        <w:keepNext w:val="0"/>
        <w:keepLines w:val="0"/>
        <w:pageBreakBefore w:val="0"/>
        <w:widowControl w:val="0"/>
        <w:tabs>
          <w:tab w:val="left" w:pos="6300"/>
        </w:tabs>
        <w:kinsoku/>
        <w:wordWrap/>
        <w:overflowPunct/>
        <w:topLinePunct w:val="0"/>
        <w:autoSpaceDE/>
        <w:autoSpaceDN/>
        <w:adjustRightInd/>
        <w:snapToGrid w:val="0"/>
        <w:spacing w:line="24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注：</w:t>
      </w:r>
    </w:p>
    <w:p w14:paraId="7CC12EA1">
      <w:pPr>
        <w:keepNext w:val="0"/>
        <w:keepLines w:val="0"/>
        <w:pageBreakBefore w:val="0"/>
        <w:widowControl w:val="0"/>
        <w:tabs>
          <w:tab w:val="left" w:pos="6300"/>
        </w:tabs>
        <w:kinsoku/>
        <w:wordWrap/>
        <w:overflowPunct/>
        <w:topLinePunct w:val="0"/>
        <w:autoSpaceDE/>
        <w:autoSpaceDN/>
        <w:adjustRightInd/>
        <w:snapToGrid w:val="0"/>
        <w:spacing w:line="24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本表报价应包含物料采买、制作、分装、运输、维护、分装等</w:t>
      </w:r>
      <w:r>
        <w:rPr>
          <w:rFonts w:hint="eastAsia" w:ascii="宋体" w:hAnsi="宋体" w:eastAsia="宋体" w:cs="宋体"/>
          <w:snapToGrid w:val="0"/>
          <w:color w:val="auto"/>
          <w:kern w:val="0"/>
          <w:sz w:val="24"/>
          <w:highlight w:val="none"/>
          <w:lang w:val="en-US" w:eastAsia="zh-CN"/>
        </w:rPr>
        <w:t>所有相关</w:t>
      </w:r>
      <w:r>
        <w:rPr>
          <w:rFonts w:hint="eastAsia" w:ascii="宋体" w:hAnsi="宋体" w:eastAsia="宋体" w:cs="宋体"/>
          <w:snapToGrid w:val="0"/>
          <w:color w:val="auto"/>
          <w:kern w:val="0"/>
          <w:sz w:val="24"/>
          <w:highlight w:val="none"/>
        </w:rPr>
        <w:t>费用。</w:t>
      </w:r>
    </w:p>
    <w:p w14:paraId="43305D6E">
      <w:pPr>
        <w:keepNext w:val="0"/>
        <w:keepLines w:val="0"/>
        <w:pageBreakBefore w:val="0"/>
        <w:widowControl w:val="0"/>
        <w:tabs>
          <w:tab w:val="left" w:pos="6300"/>
        </w:tabs>
        <w:kinsoku/>
        <w:wordWrap/>
        <w:overflowPunct/>
        <w:topLinePunct w:val="0"/>
        <w:autoSpaceDE/>
        <w:autoSpaceDN/>
        <w:adjustRightInd/>
        <w:snapToGrid w:val="0"/>
        <w:spacing w:line="240" w:lineRule="auto"/>
        <w:outlineLvl w:val="9"/>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2.本表报价均以人民币为单位，精确到小数点后2位。</w:t>
      </w:r>
    </w:p>
    <w:p w14:paraId="32489670">
      <w:pPr>
        <w:keepNext w:val="0"/>
        <w:keepLines w:val="0"/>
        <w:pageBreakBefore w:val="0"/>
        <w:widowControl w:val="0"/>
        <w:tabs>
          <w:tab w:val="left" w:pos="6300"/>
        </w:tabs>
        <w:kinsoku/>
        <w:wordWrap/>
        <w:overflowPunct/>
        <w:topLinePunct w:val="0"/>
        <w:autoSpaceDE/>
        <w:autoSpaceDN/>
        <w:adjustRightInd/>
        <w:snapToGrid w:val="0"/>
        <w:spacing w:line="240" w:lineRule="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3.本项目仅支持一种税率，若本表中出现多种税率，则统一按低税率核算价格得分。</w:t>
      </w:r>
    </w:p>
    <w:p w14:paraId="1BB8B2CA">
      <w:pPr>
        <w:spacing w:line="360" w:lineRule="auto"/>
        <w:ind w:left="0" w:right="-34" w:rightChars="-14" w:firstLine="0" w:firstLineChars="0"/>
        <w:rPr>
          <w:rFonts w:hint="eastAsia" w:ascii="宋体" w:hAnsi="宋体" w:eastAsia="宋体" w:cs="宋体"/>
          <w:snapToGrid w:val="0"/>
          <w:color w:val="auto"/>
          <w:kern w:val="0"/>
          <w:sz w:val="24"/>
          <w:szCs w:val="24"/>
          <w:highlight w:val="none"/>
        </w:rPr>
      </w:pPr>
    </w:p>
    <w:p w14:paraId="3C41F6B6">
      <w:pPr>
        <w:spacing w:line="360" w:lineRule="auto"/>
        <w:ind w:right="-34" w:rightChars="-14"/>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参选人</w:t>
      </w:r>
      <w:r>
        <w:rPr>
          <w:rFonts w:hint="eastAsia" w:ascii="宋体" w:hAnsi="宋体" w:eastAsia="宋体" w:cs="宋体"/>
          <w:snapToGrid w:val="0"/>
          <w:color w:val="auto"/>
          <w:kern w:val="0"/>
          <w:sz w:val="24"/>
          <w:szCs w:val="24"/>
          <w:highlight w:val="none"/>
        </w:rPr>
        <w:t>：                            法人授权代表：</w:t>
      </w:r>
    </w:p>
    <w:p w14:paraId="4C088899">
      <w:pPr>
        <w:spacing w:line="360" w:lineRule="auto"/>
        <w:ind w:right="-34" w:rightChars="-1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（公章）                               （签章）</w:t>
      </w:r>
    </w:p>
    <w:p w14:paraId="6DDA0137">
      <w:pPr>
        <w:spacing w:line="360" w:lineRule="auto"/>
        <w:ind w:right="-34" w:rightChars="-14"/>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年     月     日</w:t>
      </w:r>
    </w:p>
    <w:p w14:paraId="0E6474B9">
      <w:pPr>
        <w:rPr>
          <w:rStyle w:val="23"/>
          <w:b/>
          <w:color w:val="auto"/>
          <w:highlight w:val="none"/>
        </w:rPr>
      </w:pPr>
    </w:p>
    <w:p w14:paraId="69C587A1">
      <w:pPr>
        <w:rPr>
          <w:rStyle w:val="23"/>
          <w:b/>
          <w:color w:val="auto"/>
          <w:highlight w:val="none"/>
        </w:rPr>
      </w:pPr>
    </w:p>
    <w:p w14:paraId="44CC8388">
      <w:pPr>
        <w:rPr>
          <w:rStyle w:val="23"/>
          <w:b/>
          <w:color w:val="auto"/>
          <w:highlight w:val="none"/>
        </w:rPr>
      </w:pPr>
    </w:p>
    <w:p w14:paraId="12C08CF0">
      <w:pPr>
        <w:rPr>
          <w:rStyle w:val="23"/>
          <w:b/>
          <w:color w:val="auto"/>
          <w:highlight w:val="none"/>
        </w:rPr>
      </w:pPr>
    </w:p>
    <w:p w14:paraId="1E78A83E">
      <w:pPr>
        <w:rPr>
          <w:rStyle w:val="23"/>
          <w:b/>
          <w:color w:val="auto"/>
          <w:highlight w:val="none"/>
        </w:rPr>
      </w:pPr>
    </w:p>
    <w:p w14:paraId="4D396751">
      <w:pPr>
        <w:pStyle w:val="26"/>
        <w:rPr>
          <w:color w:val="auto"/>
          <w:highlight w:val="none"/>
        </w:rPr>
      </w:pPr>
      <w:r>
        <w:rPr>
          <w:color w:val="auto"/>
          <w:highlight w:val="none"/>
        </w:rPr>
        <w:t>三、资格性文件</w:t>
      </w:r>
    </w:p>
    <w:p w14:paraId="66A28A57">
      <w:pPr>
        <w:pStyle w:val="28"/>
        <w:rPr>
          <w:color w:val="auto"/>
          <w:highlight w:val="none"/>
        </w:rPr>
      </w:pPr>
      <w:r>
        <w:rPr>
          <w:color w:val="auto"/>
          <w:highlight w:val="none"/>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01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F19983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5F2A3F18">
            <w:pPr>
              <w:spacing w:line="360" w:lineRule="auto"/>
              <w:ind w:firstLine="0" w:firstLineChars="0"/>
              <w:jc w:val="center"/>
              <w:rPr>
                <w:rFonts w:ascii="宋体"/>
                <w:color w:val="auto"/>
                <w:sz w:val="22"/>
                <w:szCs w:val="24"/>
                <w:highlight w:val="none"/>
              </w:rPr>
            </w:pPr>
          </w:p>
        </w:tc>
      </w:tr>
      <w:tr w14:paraId="199C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737F02E">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788038D">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0703C80">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Borders>
              <w:left w:val="single" w:color="auto" w:sz="4" w:space="0"/>
            </w:tcBorders>
          </w:tcPr>
          <w:p w14:paraId="5490B332">
            <w:pPr>
              <w:spacing w:line="360" w:lineRule="auto"/>
              <w:ind w:firstLine="0" w:firstLineChars="0"/>
              <w:jc w:val="center"/>
              <w:rPr>
                <w:rFonts w:ascii="宋体"/>
                <w:color w:val="auto"/>
                <w:sz w:val="22"/>
                <w:szCs w:val="24"/>
                <w:highlight w:val="none"/>
              </w:rPr>
            </w:pPr>
          </w:p>
        </w:tc>
      </w:tr>
      <w:tr w14:paraId="054B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AD02FB4">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C30132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47E4F4D">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09A13BB">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1657" w:type="dxa"/>
            <w:gridSpan w:val="3"/>
            <w:tcBorders>
              <w:left w:val="single" w:color="auto" w:sz="4" w:space="0"/>
            </w:tcBorders>
          </w:tcPr>
          <w:p w14:paraId="64C4CCA4">
            <w:pPr>
              <w:spacing w:line="360" w:lineRule="auto"/>
              <w:ind w:firstLine="0" w:firstLineChars="0"/>
              <w:jc w:val="center"/>
              <w:rPr>
                <w:rFonts w:ascii="宋体"/>
                <w:color w:val="auto"/>
                <w:sz w:val="22"/>
                <w:szCs w:val="24"/>
                <w:highlight w:val="none"/>
              </w:rPr>
            </w:pPr>
          </w:p>
        </w:tc>
      </w:tr>
      <w:tr w14:paraId="6B9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C27DDA2">
            <w:pPr>
              <w:rPr>
                <w:color w:val="auto"/>
                <w:highlight w:val="none"/>
              </w:rPr>
            </w:pPr>
          </w:p>
        </w:tc>
        <w:tc>
          <w:tcPr>
            <w:tcW w:w="1077" w:type="dxa"/>
            <w:tcBorders>
              <w:top w:val="single" w:color="auto" w:sz="4" w:space="0"/>
              <w:left w:val="single" w:color="auto" w:sz="4" w:space="0"/>
              <w:right w:val="single" w:color="auto" w:sz="4" w:space="0"/>
            </w:tcBorders>
            <w:vAlign w:val="center"/>
          </w:tcPr>
          <w:p w14:paraId="3804C281">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4ABAF83">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C0B893E">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网址</w:t>
            </w:r>
          </w:p>
        </w:tc>
        <w:tc>
          <w:tcPr>
            <w:tcW w:w="1657" w:type="dxa"/>
            <w:gridSpan w:val="3"/>
            <w:tcBorders>
              <w:left w:val="single" w:color="auto" w:sz="4" w:space="0"/>
            </w:tcBorders>
          </w:tcPr>
          <w:p w14:paraId="3B599312">
            <w:pPr>
              <w:spacing w:line="360" w:lineRule="auto"/>
              <w:ind w:firstLine="0" w:firstLineChars="0"/>
              <w:jc w:val="center"/>
              <w:rPr>
                <w:rFonts w:ascii="宋体"/>
                <w:color w:val="auto"/>
                <w:sz w:val="22"/>
                <w:szCs w:val="24"/>
                <w:highlight w:val="none"/>
              </w:rPr>
            </w:pPr>
          </w:p>
        </w:tc>
      </w:tr>
      <w:tr w14:paraId="048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8BCF5D">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tcBorders>
              <w:left w:val="single" w:color="auto" w:sz="4" w:space="0"/>
            </w:tcBorders>
            <w:vAlign w:val="center"/>
          </w:tcPr>
          <w:p w14:paraId="0B27EFFA">
            <w:pPr>
              <w:spacing w:line="360" w:lineRule="auto"/>
              <w:ind w:firstLine="0" w:firstLineChars="0"/>
              <w:jc w:val="center"/>
              <w:rPr>
                <w:rFonts w:ascii="宋体"/>
                <w:color w:val="auto"/>
                <w:sz w:val="22"/>
                <w:szCs w:val="24"/>
                <w:highlight w:val="none"/>
              </w:rPr>
            </w:pPr>
          </w:p>
        </w:tc>
      </w:tr>
      <w:tr w14:paraId="7BF1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F76FDD4">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416E7334">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9E7CEBB">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1D2900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CDC80EE">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FF1EE8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Borders>
              <w:left w:val="single" w:color="auto" w:sz="4" w:space="0"/>
            </w:tcBorders>
          </w:tcPr>
          <w:p w14:paraId="20B860FB">
            <w:pPr>
              <w:spacing w:line="360" w:lineRule="auto"/>
              <w:ind w:firstLine="0" w:firstLineChars="0"/>
              <w:jc w:val="center"/>
              <w:rPr>
                <w:rFonts w:ascii="宋体"/>
                <w:color w:val="auto"/>
                <w:sz w:val="22"/>
                <w:szCs w:val="24"/>
                <w:highlight w:val="none"/>
              </w:rPr>
            </w:pPr>
          </w:p>
        </w:tc>
      </w:tr>
      <w:tr w14:paraId="6C01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0869157">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D4D8416">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9D69AFD">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9176B7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159A3F2">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F4364B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Borders>
              <w:left w:val="single" w:color="auto" w:sz="4" w:space="0"/>
            </w:tcBorders>
          </w:tcPr>
          <w:p w14:paraId="76726DE6">
            <w:pPr>
              <w:spacing w:line="360" w:lineRule="auto"/>
              <w:ind w:firstLine="0" w:firstLineChars="0"/>
              <w:jc w:val="center"/>
              <w:rPr>
                <w:rFonts w:ascii="宋体"/>
                <w:color w:val="auto"/>
                <w:sz w:val="22"/>
                <w:szCs w:val="24"/>
                <w:highlight w:val="none"/>
              </w:rPr>
            </w:pPr>
          </w:p>
        </w:tc>
      </w:tr>
      <w:tr w14:paraId="720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273551">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9A90E57">
            <w:pPr>
              <w:spacing w:line="360" w:lineRule="auto"/>
              <w:ind w:firstLine="0" w:firstLineChars="0"/>
              <w:jc w:val="center"/>
              <w:rPr>
                <w:rFonts w:ascii="宋体"/>
                <w:color w:val="auto"/>
                <w:sz w:val="22"/>
                <w:szCs w:val="24"/>
                <w:highlight w:val="none"/>
              </w:rPr>
            </w:pPr>
          </w:p>
        </w:tc>
        <w:tc>
          <w:tcPr>
            <w:tcW w:w="4234" w:type="dxa"/>
            <w:gridSpan w:val="6"/>
            <w:tcBorders>
              <w:left w:val="single" w:color="auto" w:sz="4" w:space="0"/>
            </w:tcBorders>
          </w:tcPr>
          <w:p w14:paraId="5AE39744">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员工总人数：</w:t>
            </w:r>
          </w:p>
        </w:tc>
      </w:tr>
      <w:tr w14:paraId="2D72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66EBB58">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C1C3BB7">
            <w:pPr>
              <w:spacing w:line="360" w:lineRule="auto"/>
              <w:ind w:firstLine="0" w:firstLineChars="0"/>
              <w:jc w:val="center"/>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C46A3AE">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FBF979D">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Borders>
              <w:left w:val="single" w:color="auto" w:sz="4" w:space="0"/>
            </w:tcBorders>
          </w:tcPr>
          <w:p w14:paraId="6C406150">
            <w:pPr>
              <w:spacing w:line="360" w:lineRule="auto"/>
              <w:ind w:firstLine="0" w:firstLineChars="0"/>
              <w:jc w:val="center"/>
              <w:rPr>
                <w:rFonts w:ascii="宋体"/>
                <w:color w:val="auto"/>
                <w:sz w:val="22"/>
                <w:szCs w:val="24"/>
                <w:highlight w:val="none"/>
              </w:rPr>
            </w:pPr>
          </w:p>
        </w:tc>
      </w:tr>
      <w:tr w14:paraId="7024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715259C">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2C3AA2A">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DEBBDAF">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8041681">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Borders>
              <w:left w:val="single" w:color="auto" w:sz="4" w:space="0"/>
            </w:tcBorders>
          </w:tcPr>
          <w:p w14:paraId="05A5BE82">
            <w:pPr>
              <w:spacing w:line="360" w:lineRule="auto"/>
              <w:ind w:firstLine="0" w:firstLineChars="0"/>
              <w:jc w:val="center"/>
              <w:rPr>
                <w:rFonts w:ascii="宋体"/>
                <w:color w:val="auto"/>
                <w:sz w:val="22"/>
                <w:szCs w:val="24"/>
                <w:highlight w:val="none"/>
              </w:rPr>
            </w:pPr>
          </w:p>
        </w:tc>
      </w:tr>
      <w:tr w14:paraId="453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C22A1B7">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0338142">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FB253EF">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030E36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Borders>
              <w:left w:val="single" w:color="auto" w:sz="4" w:space="0"/>
            </w:tcBorders>
          </w:tcPr>
          <w:p w14:paraId="4BB909DB">
            <w:pPr>
              <w:spacing w:line="360" w:lineRule="auto"/>
              <w:ind w:firstLine="0" w:firstLineChars="0"/>
              <w:jc w:val="center"/>
              <w:rPr>
                <w:rFonts w:ascii="宋体"/>
                <w:color w:val="auto"/>
                <w:sz w:val="22"/>
                <w:szCs w:val="24"/>
                <w:highlight w:val="none"/>
              </w:rPr>
            </w:pPr>
          </w:p>
        </w:tc>
      </w:tr>
      <w:tr w14:paraId="7C7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6341AFD">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4E9EBE73">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DD0AAB6">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4B6829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Borders>
              <w:left w:val="single" w:color="auto" w:sz="4" w:space="0"/>
            </w:tcBorders>
          </w:tcPr>
          <w:p w14:paraId="3DE1B137">
            <w:pPr>
              <w:spacing w:line="360" w:lineRule="auto"/>
              <w:ind w:firstLine="0" w:firstLineChars="0"/>
              <w:jc w:val="center"/>
              <w:rPr>
                <w:rFonts w:ascii="宋体"/>
                <w:color w:val="auto"/>
                <w:sz w:val="22"/>
                <w:szCs w:val="24"/>
                <w:highlight w:val="none"/>
              </w:rPr>
            </w:pPr>
          </w:p>
        </w:tc>
      </w:tr>
      <w:tr w14:paraId="63D5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3D04C3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32CFED7B">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337AB5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DCB51D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技工</w:t>
            </w:r>
          </w:p>
        </w:tc>
        <w:tc>
          <w:tcPr>
            <w:tcW w:w="1481" w:type="dxa"/>
            <w:gridSpan w:val="2"/>
            <w:tcBorders>
              <w:left w:val="single" w:color="auto" w:sz="4" w:space="0"/>
            </w:tcBorders>
          </w:tcPr>
          <w:p w14:paraId="1FD7D8A4">
            <w:pPr>
              <w:spacing w:line="360" w:lineRule="auto"/>
              <w:ind w:firstLine="0" w:firstLineChars="0"/>
              <w:jc w:val="center"/>
              <w:rPr>
                <w:rFonts w:ascii="宋体"/>
                <w:color w:val="auto"/>
                <w:sz w:val="22"/>
                <w:szCs w:val="24"/>
                <w:highlight w:val="none"/>
              </w:rPr>
            </w:pPr>
          </w:p>
        </w:tc>
      </w:tr>
      <w:tr w14:paraId="60C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671F8B9">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Borders>
              <w:left w:val="single" w:color="auto" w:sz="4" w:space="0"/>
            </w:tcBorders>
          </w:tcPr>
          <w:p w14:paraId="2E31CE94">
            <w:pPr>
              <w:spacing w:line="360" w:lineRule="auto"/>
              <w:ind w:firstLine="0" w:firstLineChars="0"/>
              <w:jc w:val="center"/>
              <w:rPr>
                <w:rFonts w:ascii="宋体"/>
                <w:color w:val="auto"/>
                <w:sz w:val="22"/>
                <w:szCs w:val="24"/>
                <w:highlight w:val="none"/>
              </w:rPr>
            </w:pPr>
          </w:p>
        </w:tc>
      </w:tr>
      <w:tr w14:paraId="5F5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F46220F">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备注</w:t>
            </w:r>
          </w:p>
        </w:tc>
        <w:tc>
          <w:tcPr>
            <w:tcW w:w="7114" w:type="dxa"/>
            <w:gridSpan w:val="8"/>
            <w:tcBorders>
              <w:left w:val="single" w:color="auto" w:sz="4" w:space="0"/>
            </w:tcBorders>
          </w:tcPr>
          <w:p w14:paraId="18D5E976">
            <w:pPr>
              <w:spacing w:line="360" w:lineRule="auto"/>
              <w:ind w:firstLine="0" w:firstLineChars="0"/>
              <w:jc w:val="center"/>
              <w:rPr>
                <w:rFonts w:ascii="宋体"/>
                <w:color w:val="auto"/>
                <w:sz w:val="22"/>
                <w:szCs w:val="24"/>
                <w:highlight w:val="none"/>
              </w:rPr>
            </w:pPr>
          </w:p>
        </w:tc>
      </w:tr>
    </w:tbl>
    <w:p w14:paraId="56AA51AE">
      <w:pPr>
        <w:widowControl/>
        <w:spacing w:line="360" w:lineRule="auto"/>
        <w:jc w:val="left"/>
        <w:rPr>
          <w:rFonts w:ascii="宋体"/>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rPr>
        <w:t>总公司授权委托书、</w:t>
      </w:r>
      <w:r>
        <w:rPr>
          <w:rFonts w:hint="eastAsia" w:ascii="宋体"/>
          <w:color w:val="auto"/>
          <w:sz w:val="20"/>
          <w:szCs w:val="21"/>
          <w:highlight w:val="none"/>
        </w:rPr>
        <w:t>资质证明复印件等。</w:t>
      </w:r>
    </w:p>
    <w:p w14:paraId="2E85BBB2">
      <w:pPr>
        <w:pStyle w:val="28"/>
        <w:rPr>
          <w:color w:val="auto"/>
          <w:highlight w:val="none"/>
        </w:rPr>
      </w:pPr>
      <w:bookmarkStart w:id="89" w:name="_Toc472780356"/>
      <w:bookmarkStart w:id="90" w:name="_Toc378234770"/>
      <w:bookmarkStart w:id="91" w:name="_Toc378234584"/>
      <w:bookmarkStart w:id="92" w:name="_Toc478053903"/>
      <w:bookmarkStart w:id="93" w:name="_Toc478054435"/>
      <w:r>
        <w:rPr>
          <w:color w:val="auto"/>
          <w:highlight w:val="none"/>
        </w:rPr>
        <w:t>（二）法定代表人身份证明及授权委托书</w:t>
      </w:r>
      <w:bookmarkEnd w:id="89"/>
      <w:bookmarkEnd w:id="90"/>
      <w:bookmarkEnd w:id="91"/>
      <w:bookmarkEnd w:id="92"/>
      <w:bookmarkEnd w:id="93"/>
    </w:p>
    <w:p w14:paraId="158B4D5A">
      <w:pPr>
        <w:pStyle w:val="29"/>
        <w:outlineLvl w:val="9"/>
        <w:rPr>
          <w:color w:val="auto"/>
          <w:highlight w:val="none"/>
        </w:rPr>
      </w:pPr>
      <w:r>
        <w:rPr>
          <w:color w:val="auto"/>
          <w:highlight w:val="none"/>
        </w:rPr>
        <w:t>法定代表人身份证明书</w:t>
      </w:r>
    </w:p>
    <w:p w14:paraId="043F673E">
      <w:pPr>
        <w:tabs>
          <w:tab w:val="left" w:pos="6300"/>
        </w:tabs>
        <w:snapToGrid w:val="0"/>
        <w:spacing w:line="360" w:lineRule="auto"/>
        <w:rPr>
          <w:rFonts w:ascii="宋体"/>
          <w:snapToGrid w:val="0"/>
          <w:color w:val="auto"/>
          <w:kern w:val="0"/>
          <w:highlight w:val="none"/>
        </w:rPr>
      </w:pPr>
    </w:p>
    <w:p w14:paraId="46F1DFE3">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项目名称：</w:t>
      </w:r>
      <w:r>
        <w:rPr>
          <w:rFonts w:hint="eastAsia" w:ascii="宋体"/>
          <w:snapToGrid w:val="0"/>
          <w:color w:val="auto"/>
          <w:kern w:val="0"/>
          <w:highlight w:val="none"/>
          <w:u w:val="single"/>
        </w:rPr>
        <w:t>____________________</w:t>
      </w:r>
    </w:p>
    <w:p w14:paraId="2E21FDA9">
      <w:pPr>
        <w:tabs>
          <w:tab w:val="left" w:pos="6300"/>
        </w:tabs>
        <w:snapToGrid w:val="0"/>
        <w:spacing w:line="360" w:lineRule="auto"/>
        <w:rPr>
          <w:rFonts w:ascii="宋体"/>
          <w:snapToGrid w:val="0"/>
          <w:color w:val="auto"/>
          <w:kern w:val="0"/>
          <w:highlight w:val="none"/>
        </w:rPr>
      </w:pPr>
    </w:p>
    <w:p w14:paraId="5523291D">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 xml:space="preserve"> 重庆三峡银行股份有限公司  </w:t>
      </w:r>
      <w:r>
        <w:rPr>
          <w:rFonts w:hint="eastAsia" w:ascii="宋体"/>
          <w:snapToGrid w:val="0"/>
          <w:color w:val="auto"/>
          <w:kern w:val="0"/>
          <w:highlight w:val="none"/>
        </w:rPr>
        <w:t>：</w:t>
      </w:r>
    </w:p>
    <w:p w14:paraId="12A5E707">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人法定代表人姓名）在</w:t>
      </w:r>
      <w:r>
        <w:rPr>
          <w:rFonts w:hint="eastAsia" w:ascii="宋体"/>
          <w:snapToGrid w:val="0"/>
          <w:color w:val="auto"/>
          <w:kern w:val="0"/>
          <w:highlight w:val="none"/>
          <w:u w:val="single"/>
        </w:rPr>
        <w:t xml:space="preserve">        </w:t>
      </w:r>
      <w:r>
        <w:rPr>
          <w:rFonts w:hint="eastAsia" w:ascii="宋体"/>
          <w:snapToGrid w:val="0"/>
          <w:color w:val="auto"/>
          <w:kern w:val="0"/>
          <w:highlight w:val="none"/>
        </w:rPr>
        <w:t>（参选人名称）任</w:t>
      </w:r>
      <w:r>
        <w:rPr>
          <w:rFonts w:hint="eastAsia" w:ascii="宋体"/>
          <w:snapToGrid w:val="0"/>
          <w:color w:val="auto"/>
          <w:kern w:val="0"/>
          <w:highlight w:val="none"/>
          <w:u w:val="single"/>
        </w:rPr>
        <w:t xml:space="preserve">        </w:t>
      </w:r>
      <w:r>
        <w:rPr>
          <w:rFonts w:hint="eastAsia" w:ascii="宋体"/>
          <w:snapToGrid w:val="0"/>
          <w:color w:val="auto"/>
          <w:kern w:val="0"/>
          <w:highlight w:val="none"/>
        </w:rPr>
        <w:t>（职务名称）职务，是（参</w:t>
      </w:r>
      <w:r>
        <w:rPr>
          <w:rFonts w:hint="eastAsia" w:ascii="宋体" w:cs="Cambria"/>
          <w:snapToGrid w:val="0"/>
          <w:color w:val="auto"/>
          <w:kern w:val="0"/>
          <w:szCs w:val="24"/>
          <w:highlight w:val="none"/>
        </w:rPr>
        <w:t>选</w:t>
      </w:r>
      <w:r>
        <w:rPr>
          <w:rFonts w:hint="eastAsia" w:ascii="宋体"/>
          <w:snapToGrid w:val="0"/>
          <w:color w:val="auto"/>
          <w:kern w:val="0"/>
          <w:highlight w:val="none"/>
        </w:rPr>
        <w:t>人名称）</w:t>
      </w:r>
      <w:r>
        <w:rPr>
          <w:rFonts w:hint="eastAsia" w:ascii="宋体"/>
          <w:snapToGrid w:val="0"/>
          <w:color w:val="auto"/>
          <w:kern w:val="0"/>
          <w:highlight w:val="none"/>
          <w:u w:val="single"/>
        </w:rPr>
        <w:t xml:space="preserve">        </w:t>
      </w:r>
      <w:r>
        <w:rPr>
          <w:rFonts w:hint="eastAsia" w:ascii="宋体"/>
          <w:snapToGrid w:val="0"/>
          <w:color w:val="auto"/>
          <w:kern w:val="0"/>
          <w:highlight w:val="none"/>
        </w:rPr>
        <w:t>的法定代表人。</w:t>
      </w:r>
    </w:p>
    <w:p w14:paraId="6B6EE6A7">
      <w:pPr>
        <w:tabs>
          <w:tab w:val="left" w:pos="6300"/>
        </w:tabs>
        <w:snapToGrid w:val="0"/>
        <w:spacing w:line="360" w:lineRule="auto"/>
        <w:rPr>
          <w:rFonts w:ascii="宋体"/>
          <w:snapToGrid w:val="0"/>
          <w:color w:val="auto"/>
          <w:kern w:val="0"/>
          <w:highlight w:val="none"/>
        </w:rPr>
      </w:pPr>
    </w:p>
    <w:p w14:paraId="739AE1DB">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特此证明。</w:t>
      </w:r>
    </w:p>
    <w:p w14:paraId="178F5AB8">
      <w:pPr>
        <w:tabs>
          <w:tab w:val="left" w:pos="6300"/>
        </w:tabs>
        <w:snapToGrid w:val="0"/>
        <w:spacing w:line="360" w:lineRule="auto"/>
        <w:rPr>
          <w:rFonts w:ascii="宋体"/>
          <w:snapToGrid w:val="0"/>
          <w:color w:val="auto"/>
          <w:kern w:val="0"/>
          <w:highlight w:val="none"/>
        </w:rPr>
      </w:pPr>
    </w:p>
    <w:p w14:paraId="06588A2B">
      <w:pPr>
        <w:tabs>
          <w:tab w:val="left" w:pos="6300"/>
        </w:tabs>
        <w:snapToGrid w:val="0"/>
        <w:spacing w:line="360" w:lineRule="auto"/>
        <w:rPr>
          <w:rFonts w:ascii="宋体"/>
          <w:snapToGrid w:val="0"/>
          <w:color w:val="auto"/>
          <w:kern w:val="0"/>
          <w:highlight w:val="none"/>
        </w:rPr>
      </w:pPr>
    </w:p>
    <w:p w14:paraId="46CF35FF">
      <w:pPr>
        <w:tabs>
          <w:tab w:val="left" w:pos="6300"/>
        </w:tabs>
        <w:snapToGrid w:val="0"/>
        <w:spacing w:line="360" w:lineRule="auto"/>
        <w:ind w:firstLine="6000" w:firstLineChars="2500"/>
        <w:rPr>
          <w:rFonts w:ascii="宋体"/>
          <w:snapToGrid w:val="0"/>
          <w:color w:val="auto"/>
          <w:kern w:val="0"/>
          <w:highlight w:val="none"/>
        </w:rPr>
      </w:pPr>
      <w:r>
        <w:rPr>
          <w:rFonts w:hint="eastAsia" w:ascii="宋体"/>
          <w:snapToGrid w:val="0"/>
          <w:color w:val="auto"/>
          <w:kern w:val="0"/>
          <w:highlight w:val="none"/>
        </w:rPr>
        <w:t>参选人：</w:t>
      </w:r>
    </w:p>
    <w:p w14:paraId="090D4C33">
      <w:pPr>
        <w:tabs>
          <w:tab w:val="left" w:pos="6300"/>
        </w:tabs>
        <w:snapToGrid w:val="0"/>
        <w:spacing w:line="360" w:lineRule="auto"/>
        <w:ind w:firstLine="5760" w:firstLineChars="2400"/>
        <w:rPr>
          <w:rFonts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14:paraId="3F71DBDA">
      <w:pPr>
        <w:tabs>
          <w:tab w:val="left" w:pos="6300"/>
        </w:tabs>
        <w:snapToGrid w:val="0"/>
        <w:spacing w:line="360" w:lineRule="auto"/>
        <w:rPr>
          <w:rFonts w:ascii="宋体"/>
          <w:snapToGrid w:val="0"/>
          <w:color w:val="auto"/>
          <w:kern w:val="0"/>
          <w:highlight w:val="none"/>
        </w:rPr>
      </w:pPr>
    </w:p>
    <w:p w14:paraId="7D021CC4">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 xml:space="preserve">                                             年   月   日</w:t>
      </w:r>
    </w:p>
    <w:p w14:paraId="4C0758B2">
      <w:pPr>
        <w:tabs>
          <w:tab w:val="left" w:pos="6300"/>
        </w:tabs>
        <w:snapToGrid w:val="0"/>
        <w:spacing w:line="360" w:lineRule="auto"/>
        <w:rPr>
          <w:rFonts w:ascii="宋体"/>
          <w:snapToGrid w:val="0"/>
          <w:color w:val="auto"/>
          <w:kern w:val="0"/>
          <w:highlight w:val="none"/>
        </w:rPr>
      </w:pPr>
    </w:p>
    <w:p w14:paraId="2DBF73FB">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（附：法定代表人身份证正反面复印件）</w:t>
      </w:r>
    </w:p>
    <w:p w14:paraId="4E66823E">
      <w:pPr>
        <w:tabs>
          <w:tab w:val="left" w:pos="6300"/>
        </w:tabs>
        <w:snapToGrid w:val="0"/>
        <w:spacing w:line="360" w:lineRule="auto"/>
        <w:rPr>
          <w:rFonts w:ascii="宋体"/>
          <w:snapToGrid w:val="0"/>
          <w:color w:val="auto"/>
          <w:kern w:val="0"/>
          <w:highlight w:val="none"/>
        </w:rPr>
      </w:pPr>
    </w:p>
    <w:p w14:paraId="193BFDCC">
      <w:pPr>
        <w:tabs>
          <w:tab w:val="left" w:pos="6300"/>
        </w:tabs>
        <w:snapToGrid w:val="0"/>
        <w:spacing w:line="360" w:lineRule="auto"/>
        <w:rPr>
          <w:rFonts w:ascii="宋体"/>
          <w:snapToGrid w:val="0"/>
          <w:color w:val="auto"/>
          <w:kern w:val="0"/>
          <w:highlight w:val="none"/>
        </w:rPr>
      </w:pPr>
    </w:p>
    <w:p w14:paraId="03408957">
      <w:pPr>
        <w:tabs>
          <w:tab w:val="left" w:pos="6300"/>
        </w:tabs>
        <w:snapToGrid w:val="0"/>
        <w:spacing w:line="360" w:lineRule="auto"/>
        <w:rPr>
          <w:rFonts w:ascii="宋体"/>
          <w:snapToGrid w:val="0"/>
          <w:color w:val="auto"/>
          <w:kern w:val="0"/>
          <w:highlight w:val="none"/>
        </w:rPr>
      </w:pPr>
    </w:p>
    <w:p w14:paraId="71AF76AC">
      <w:pPr>
        <w:jc w:val="center"/>
        <w:rPr>
          <w:rStyle w:val="30"/>
          <w:color w:val="auto"/>
          <w:highlight w:val="none"/>
        </w:rPr>
      </w:pPr>
      <w:r>
        <w:rPr>
          <w:rFonts w:hint="eastAsia"/>
          <w:snapToGrid w:val="0"/>
          <w:color w:val="auto"/>
          <w:kern w:val="0"/>
          <w:highlight w:val="none"/>
        </w:rPr>
        <w:br w:type="column"/>
      </w:r>
      <w:r>
        <w:rPr>
          <w:rStyle w:val="30"/>
          <w:color w:val="auto"/>
          <w:highlight w:val="none"/>
        </w:rPr>
        <w:t>法定代表人授权委托书</w:t>
      </w:r>
    </w:p>
    <w:p w14:paraId="68F3F5D1">
      <w:pPr>
        <w:tabs>
          <w:tab w:val="left" w:pos="6300"/>
        </w:tabs>
        <w:snapToGrid w:val="0"/>
        <w:spacing w:line="360" w:lineRule="auto"/>
        <w:rPr>
          <w:rFonts w:ascii="宋体"/>
          <w:snapToGrid w:val="0"/>
          <w:color w:val="auto"/>
          <w:kern w:val="0"/>
          <w:highlight w:val="none"/>
        </w:rPr>
      </w:pPr>
    </w:p>
    <w:p w14:paraId="2E69748D">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szCs w:val="28"/>
          <w:highlight w:val="none"/>
        </w:rPr>
        <w:t>项目名称</w:t>
      </w:r>
      <w:r>
        <w:rPr>
          <w:rFonts w:hint="eastAsia" w:ascii="宋体"/>
          <w:snapToGrid w:val="0"/>
          <w:color w:val="auto"/>
          <w:kern w:val="0"/>
          <w:highlight w:val="none"/>
        </w:rPr>
        <w:t>：</w:t>
      </w:r>
      <w:r>
        <w:rPr>
          <w:rFonts w:hint="eastAsia" w:ascii="宋体"/>
          <w:snapToGrid w:val="0"/>
          <w:color w:val="auto"/>
          <w:kern w:val="0"/>
          <w:szCs w:val="24"/>
          <w:highlight w:val="none"/>
          <w:u w:val="single"/>
        </w:rPr>
        <w:t>___________________</w:t>
      </w:r>
    </w:p>
    <w:p w14:paraId="3BD4FC25">
      <w:pPr>
        <w:tabs>
          <w:tab w:val="left" w:pos="6300"/>
        </w:tabs>
        <w:snapToGrid w:val="0"/>
        <w:spacing w:line="360" w:lineRule="auto"/>
        <w:rPr>
          <w:rFonts w:ascii="宋体"/>
          <w:snapToGrid w:val="0"/>
          <w:color w:val="auto"/>
          <w:kern w:val="0"/>
          <w:highlight w:val="none"/>
        </w:rPr>
      </w:pPr>
    </w:p>
    <w:p w14:paraId="198B169F">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重庆三峡银行股份有限公司</w:t>
      </w:r>
      <w:r>
        <w:rPr>
          <w:rFonts w:hint="eastAsia" w:ascii="宋体"/>
          <w:snapToGrid w:val="0"/>
          <w:color w:val="auto"/>
          <w:kern w:val="0"/>
          <w:highlight w:val="none"/>
        </w:rPr>
        <w:t>：</w:t>
      </w:r>
    </w:p>
    <w:p w14:paraId="2CCA5BE6">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人法定代表人名称）是</w:t>
      </w: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人名称）的法定代表人，特授权</w:t>
      </w:r>
      <w:r>
        <w:rPr>
          <w:rFonts w:hint="eastAsia" w:ascii="宋体"/>
          <w:snapToGrid w:val="0"/>
          <w:color w:val="auto"/>
          <w:kern w:val="0"/>
          <w:highlight w:val="none"/>
          <w:u w:val="single"/>
        </w:rPr>
        <w:t xml:space="preserve">        </w:t>
      </w:r>
      <w:r>
        <w:rPr>
          <w:rFonts w:hint="eastAsia" w:ascii="宋体"/>
          <w:snapToGrid w:val="0"/>
          <w:color w:val="auto"/>
          <w:kern w:val="0"/>
          <w:highlight w:val="none"/>
        </w:rPr>
        <w:t>（被授权人姓名及身份证代码）代表我单位全权办理上述项目的</w:t>
      </w:r>
      <w:r>
        <w:rPr>
          <w:rFonts w:hint="eastAsia" w:ascii="宋体" w:cs="Cambria"/>
          <w:snapToGrid w:val="0"/>
          <w:color w:val="auto"/>
          <w:kern w:val="0"/>
          <w:szCs w:val="24"/>
          <w:highlight w:val="none"/>
        </w:rPr>
        <w:t>参选</w:t>
      </w:r>
      <w:r>
        <w:rPr>
          <w:rFonts w:hint="eastAsia" w:ascii="宋体"/>
          <w:snapToGrid w:val="0"/>
          <w:color w:val="auto"/>
          <w:kern w:val="0"/>
          <w:highlight w:val="none"/>
        </w:rPr>
        <w:t>、谈判、签约等具体工作，并签署全部有关文件、协议及合同。</w:t>
      </w:r>
    </w:p>
    <w:p w14:paraId="70191593">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我单位对被授权人的签字负全部责任。</w:t>
      </w:r>
    </w:p>
    <w:p w14:paraId="4FD48062">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在撤消授权的书面通知以前，本授权书一直有效。被授权人在授权书有效期内签署的所有文件不因授权的撤消而失效。</w:t>
      </w:r>
    </w:p>
    <w:p w14:paraId="6B3EC3B9">
      <w:pPr>
        <w:tabs>
          <w:tab w:val="left" w:pos="6300"/>
        </w:tabs>
        <w:snapToGrid w:val="0"/>
        <w:spacing w:line="360" w:lineRule="auto"/>
        <w:rPr>
          <w:rFonts w:ascii="宋体"/>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E55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7F6F849D">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highlight w:val="none"/>
              </w:rPr>
              <w:t>被授权人</w:t>
            </w:r>
          </w:p>
        </w:tc>
        <w:tc>
          <w:tcPr>
            <w:tcW w:w="4261" w:type="dxa"/>
            <w:tcBorders>
              <w:top w:val="nil"/>
              <w:left w:val="nil"/>
              <w:bottom w:val="nil"/>
              <w:right w:val="nil"/>
            </w:tcBorders>
          </w:tcPr>
          <w:p w14:paraId="3524C178">
            <w:pPr>
              <w:tabs>
                <w:tab w:val="left" w:pos="6300"/>
              </w:tabs>
              <w:snapToGrid w:val="0"/>
              <w:spacing w:line="360" w:lineRule="auto"/>
              <w:ind w:firstLine="0" w:firstLineChars="0"/>
              <w:rPr>
                <w:rFonts w:ascii="宋体"/>
                <w:snapToGrid w:val="0"/>
                <w:color w:val="auto"/>
                <w:kern w:val="0"/>
                <w:highlight w:val="none"/>
              </w:rPr>
            </w:pP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人法定代表人名称：</w:t>
            </w:r>
          </w:p>
        </w:tc>
      </w:tr>
      <w:tr w14:paraId="714C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983D23C">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szCs w:val="28"/>
                <w:highlight w:val="none"/>
              </w:rPr>
              <w:t>（签字或盖章）</w:t>
            </w:r>
          </w:p>
        </w:tc>
        <w:tc>
          <w:tcPr>
            <w:tcW w:w="4261" w:type="dxa"/>
            <w:tcBorders>
              <w:top w:val="nil"/>
              <w:left w:val="nil"/>
              <w:bottom w:val="nil"/>
              <w:right w:val="nil"/>
            </w:tcBorders>
          </w:tcPr>
          <w:p w14:paraId="76EE4D21">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szCs w:val="28"/>
                <w:highlight w:val="none"/>
              </w:rPr>
              <w:t>（签字或盖章）</w:t>
            </w:r>
          </w:p>
        </w:tc>
      </w:tr>
    </w:tbl>
    <w:p w14:paraId="2CE8B7ED">
      <w:pPr>
        <w:tabs>
          <w:tab w:val="left" w:pos="6300"/>
        </w:tabs>
        <w:snapToGrid w:val="0"/>
        <w:spacing w:line="360" w:lineRule="auto"/>
        <w:rPr>
          <w:rFonts w:ascii="宋体"/>
          <w:snapToGrid w:val="0"/>
          <w:color w:val="auto"/>
          <w:kern w:val="0"/>
          <w:highlight w:val="none"/>
        </w:rPr>
      </w:pPr>
    </w:p>
    <w:p w14:paraId="5D66EFD0">
      <w:pPr>
        <w:tabs>
          <w:tab w:val="left" w:pos="6300"/>
        </w:tabs>
        <w:snapToGrid w:val="0"/>
        <w:spacing w:line="360" w:lineRule="auto"/>
        <w:rPr>
          <w:rFonts w:ascii="宋体"/>
          <w:snapToGrid w:val="0"/>
          <w:color w:val="auto"/>
          <w:kern w:val="0"/>
          <w:szCs w:val="28"/>
          <w:highlight w:val="none"/>
        </w:rPr>
      </w:pPr>
    </w:p>
    <w:p w14:paraId="0FDAA0BB">
      <w:pPr>
        <w:tabs>
          <w:tab w:val="left" w:pos="6300"/>
        </w:tabs>
        <w:snapToGrid w:val="0"/>
        <w:spacing w:line="360" w:lineRule="auto"/>
        <w:rPr>
          <w:rFonts w:ascii="宋体"/>
          <w:snapToGrid w:val="0"/>
          <w:color w:val="auto"/>
          <w:kern w:val="0"/>
          <w:highlight w:val="none"/>
        </w:rPr>
      </w:pPr>
    </w:p>
    <w:p w14:paraId="42635C58">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（附：被授权人身份证正反面复印件）</w:t>
      </w:r>
    </w:p>
    <w:p w14:paraId="1AE8EE3B">
      <w:pPr>
        <w:tabs>
          <w:tab w:val="left" w:pos="6300"/>
        </w:tabs>
        <w:snapToGrid w:val="0"/>
        <w:spacing w:line="360" w:lineRule="auto"/>
        <w:rPr>
          <w:rFonts w:ascii="宋体"/>
          <w:snapToGrid w:val="0"/>
          <w:color w:val="auto"/>
          <w:kern w:val="0"/>
          <w:highlight w:val="none"/>
        </w:rPr>
      </w:pPr>
    </w:p>
    <w:p w14:paraId="0A5AEBDB">
      <w:pPr>
        <w:tabs>
          <w:tab w:val="left" w:pos="6300"/>
        </w:tabs>
        <w:snapToGrid w:val="0"/>
        <w:spacing w:line="360" w:lineRule="auto"/>
        <w:rPr>
          <w:rFonts w:ascii="宋体"/>
          <w:snapToGrid w:val="0"/>
          <w:color w:val="auto"/>
          <w:kern w:val="0"/>
          <w:highlight w:val="none"/>
        </w:rPr>
      </w:pPr>
    </w:p>
    <w:p w14:paraId="6A0365E6">
      <w:pPr>
        <w:tabs>
          <w:tab w:val="left" w:pos="6300"/>
        </w:tabs>
        <w:snapToGrid w:val="0"/>
        <w:spacing w:line="360" w:lineRule="auto"/>
        <w:ind w:right="480"/>
        <w:jc w:val="right"/>
        <w:rPr>
          <w:rFonts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14:paraId="74F4CA0E">
      <w:pPr>
        <w:tabs>
          <w:tab w:val="left" w:pos="6300"/>
        </w:tabs>
        <w:snapToGrid w:val="0"/>
        <w:spacing w:line="360" w:lineRule="auto"/>
        <w:ind w:right="480"/>
        <w:jc w:val="right"/>
        <w:rPr>
          <w:rFonts w:ascii="宋体"/>
          <w:snapToGrid w:val="0"/>
          <w:color w:val="auto"/>
          <w:kern w:val="0"/>
          <w:highlight w:val="none"/>
        </w:rPr>
      </w:pPr>
      <w:r>
        <w:rPr>
          <w:rFonts w:hint="eastAsia" w:ascii="宋体"/>
          <w:snapToGrid w:val="0"/>
          <w:color w:val="auto"/>
          <w:kern w:val="0"/>
          <w:highlight w:val="none"/>
        </w:rPr>
        <w:t>年   月   日</w:t>
      </w:r>
    </w:p>
    <w:p w14:paraId="15720259">
      <w:pPr>
        <w:tabs>
          <w:tab w:val="left" w:pos="6300"/>
        </w:tabs>
        <w:snapToGrid w:val="0"/>
        <w:spacing w:line="360" w:lineRule="auto"/>
        <w:rPr>
          <w:rFonts w:ascii="宋体"/>
          <w:snapToGrid w:val="0"/>
          <w:color w:val="auto"/>
          <w:kern w:val="0"/>
          <w:highlight w:val="none"/>
        </w:rPr>
      </w:pPr>
    </w:p>
    <w:p w14:paraId="53F983B9">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注：1.若为法定代表人办理并签署参选文件的，不提供此文件。</w:t>
      </w:r>
    </w:p>
    <w:p w14:paraId="36451171">
      <w:pPr>
        <w:tabs>
          <w:tab w:val="left" w:pos="6300"/>
        </w:tabs>
        <w:snapToGrid w:val="0"/>
        <w:spacing w:line="360" w:lineRule="auto"/>
        <w:rPr>
          <w:rFonts w:ascii="宋体"/>
          <w:snapToGrid w:val="0"/>
          <w:color w:val="auto"/>
          <w:kern w:val="0"/>
          <w:highlight w:val="none"/>
        </w:rPr>
      </w:pPr>
      <w:r>
        <w:rPr>
          <w:rFonts w:hint="eastAsia" w:ascii="宋体"/>
          <w:snapToGrid w:val="0"/>
          <w:color w:val="auto"/>
          <w:kern w:val="0"/>
          <w:highlight w:val="none"/>
        </w:rPr>
        <w:t>2.若为联合体参选的，法定代表人授权委托书由联合体主办方（主体）出具。</w:t>
      </w:r>
    </w:p>
    <w:p w14:paraId="18A12B09">
      <w:pPr>
        <w:rPr>
          <w:color w:val="auto"/>
          <w:highlight w:val="none"/>
        </w:rPr>
      </w:pPr>
    </w:p>
    <w:p w14:paraId="7A2B78F1">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24877CB1">
      <w:pPr>
        <w:pStyle w:val="28"/>
        <w:rPr>
          <w:color w:val="auto"/>
          <w:highlight w:val="none"/>
        </w:rPr>
      </w:pPr>
      <w:r>
        <w:rPr>
          <w:rFonts w:hint="eastAsia"/>
          <w:color w:val="auto"/>
          <w:highlight w:val="none"/>
        </w:rPr>
        <w:t>（三）书面声明</w:t>
      </w:r>
    </w:p>
    <w:p w14:paraId="08395195">
      <w:pPr>
        <w:tabs>
          <w:tab w:val="left" w:pos="6300"/>
        </w:tabs>
        <w:snapToGrid w:val="0"/>
        <w:spacing w:line="360" w:lineRule="auto"/>
        <w:rPr>
          <w:rFonts w:ascii="宋体"/>
          <w:color w:val="auto"/>
          <w:highlight w:val="none"/>
        </w:rPr>
      </w:pPr>
    </w:p>
    <w:p w14:paraId="6AD74254">
      <w:pPr>
        <w:tabs>
          <w:tab w:val="left" w:pos="6300"/>
        </w:tabs>
        <w:snapToGrid w:val="0"/>
        <w:spacing w:line="360" w:lineRule="auto"/>
        <w:rPr>
          <w:rFonts w:ascii="宋体"/>
          <w:color w:val="auto"/>
          <w:highlight w:val="none"/>
        </w:rPr>
      </w:pPr>
      <w:r>
        <w:rPr>
          <w:rFonts w:hint="eastAsia" w:ascii="宋体"/>
          <w:color w:val="auto"/>
          <w:szCs w:val="28"/>
          <w:highlight w:val="none"/>
        </w:rPr>
        <w:t>项目名称</w:t>
      </w:r>
      <w:r>
        <w:rPr>
          <w:rFonts w:hint="eastAsia" w:ascii="宋体"/>
          <w:color w:val="auto"/>
          <w:highlight w:val="none"/>
        </w:rPr>
        <w:t>：</w:t>
      </w:r>
      <w:r>
        <w:rPr>
          <w:rFonts w:hint="eastAsia" w:ascii="宋体"/>
          <w:snapToGrid w:val="0"/>
          <w:color w:val="auto"/>
          <w:kern w:val="0"/>
          <w:szCs w:val="24"/>
          <w:highlight w:val="none"/>
          <w:u w:val="single"/>
        </w:rPr>
        <w:t>__________________</w:t>
      </w:r>
    </w:p>
    <w:p w14:paraId="17CF0227">
      <w:pPr>
        <w:tabs>
          <w:tab w:val="left" w:pos="6300"/>
        </w:tabs>
        <w:snapToGrid w:val="0"/>
        <w:spacing w:line="360" w:lineRule="auto"/>
        <w:rPr>
          <w:rFonts w:ascii="宋体"/>
          <w:color w:val="auto"/>
          <w:highlight w:val="none"/>
        </w:rPr>
      </w:pPr>
    </w:p>
    <w:p w14:paraId="2F2E6605">
      <w:pPr>
        <w:tabs>
          <w:tab w:val="left" w:pos="6300"/>
        </w:tabs>
        <w:snapToGrid w:val="0"/>
        <w:spacing w:line="360" w:lineRule="auto"/>
        <w:rPr>
          <w:rFonts w:ascii="宋体"/>
          <w:color w:val="auto"/>
          <w:highlight w:val="none"/>
        </w:rPr>
      </w:pPr>
      <w:r>
        <w:rPr>
          <w:rFonts w:hint="eastAsia" w:ascii="宋体"/>
          <w:color w:val="auto"/>
          <w:highlight w:val="none"/>
        </w:rPr>
        <w:t>致：</w:t>
      </w:r>
      <w:r>
        <w:rPr>
          <w:rFonts w:hint="eastAsia" w:ascii="宋体"/>
          <w:snapToGrid w:val="0"/>
          <w:color w:val="auto"/>
          <w:kern w:val="0"/>
          <w:highlight w:val="none"/>
          <w:u w:val="single"/>
        </w:rPr>
        <w:t>重庆三峡银行股份有限公司</w:t>
      </w:r>
      <w:r>
        <w:rPr>
          <w:rFonts w:hint="eastAsia" w:ascii="宋体"/>
          <w:color w:val="auto"/>
          <w:highlight w:val="none"/>
        </w:rPr>
        <w:t>：</w:t>
      </w:r>
    </w:p>
    <w:p w14:paraId="3F2E1F0A">
      <w:pPr>
        <w:tabs>
          <w:tab w:val="left" w:pos="6300"/>
        </w:tabs>
        <w:snapToGrid w:val="0"/>
        <w:spacing w:line="360" w:lineRule="auto"/>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highlight w:val="none"/>
        </w:rPr>
        <w:t>参选</w:t>
      </w:r>
      <w:r>
        <w:rPr>
          <w:rFonts w:hint="eastAsia" w:ascii="宋体"/>
          <w:color w:val="auto"/>
          <w:highlight w:val="none"/>
        </w:rPr>
        <w:t>人资格条件；</w:t>
      </w:r>
      <w:r>
        <w:rPr>
          <w:rFonts w:hint="eastAsia" w:ascii="宋体" w:hAnsi="宋体" w:cs="Cambria"/>
          <w:color w:val="auto"/>
          <w:szCs w:val="24"/>
          <w:highlight w:val="none"/>
        </w:rPr>
        <w:t>我公司本次如若中选，中选后不会对项目进行转包</w:t>
      </w:r>
      <w:r>
        <w:rPr>
          <w:rFonts w:hint="eastAsia" w:ascii="宋体"/>
          <w:color w:val="auto"/>
          <w:highlight w:val="none"/>
        </w:rPr>
        <w:t>。我方对以上声明负全部法律责任。</w:t>
      </w:r>
    </w:p>
    <w:p w14:paraId="49D25E35">
      <w:pPr>
        <w:tabs>
          <w:tab w:val="left" w:pos="6300"/>
        </w:tabs>
        <w:snapToGrid w:val="0"/>
        <w:spacing w:line="360" w:lineRule="auto"/>
        <w:rPr>
          <w:rFonts w:ascii="宋体"/>
          <w:color w:val="auto"/>
          <w:highlight w:val="none"/>
        </w:rPr>
      </w:pPr>
      <w:r>
        <w:rPr>
          <w:rFonts w:hint="eastAsia" w:ascii="宋体"/>
          <w:color w:val="auto"/>
          <w:highlight w:val="none"/>
        </w:rPr>
        <w:t>特此声明。</w:t>
      </w:r>
    </w:p>
    <w:p w14:paraId="70422DC1">
      <w:pPr>
        <w:tabs>
          <w:tab w:val="left" w:pos="6300"/>
        </w:tabs>
        <w:snapToGrid w:val="0"/>
        <w:spacing w:line="360" w:lineRule="auto"/>
        <w:rPr>
          <w:rFonts w:ascii="宋体"/>
          <w:color w:val="auto"/>
          <w:highlight w:val="none"/>
        </w:rPr>
      </w:pPr>
    </w:p>
    <w:p w14:paraId="730ED6A0">
      <w:pPr>
        <w:tabs>
          <w:tab w:val="left" w:pos="6300"/>
        </w:tabs>
        <w:snapToGrid w:val="0"/>
        <w:spacing w:line="360" w:lineRule="auto"/>
        <w:rPr>
          <w:rFonts w:ascii="宋体"/>
          <w:color w:val="auto"/>
          <w:highlight w:val="none"/>
        </w:rPr>
      </w:pPr>
    </w:p>
    <w:p w14:paraId="6FFAE34C">
      <w:pPr>
        <w:tabs>
          <w:tab w:val="left" w:pos="6300"/>
        </w:tabs>
        <w:snapToGrid w:val="0"/>
        <w:spacing w:line="360" w:lineRule="auto"/>
        <w:rPr>
          <w:rFonts w:ascii="宋体"/>
          <w:color w:val="auto"/>
          <w:highlight w:val="none"/>
        </w:rPr>
      </w:pPr>
    </w:p>
    <w:p w14:paraId="5FB486F7">
      <w:pPr>
        <w:tabs>
          <w:tab w:val="left" w:pos="6300"/>
        </w:tabs>
        <w:snapToGrid w:val="0"/>
        <w:spacing w:line="360" w:lineRule="auto"/>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4BF34A0E">
      <w:pPr>
        <w:tabs>
          <w:tab w:val="left" w:pos="6300"/>
        </w:tabs>
        <w:snapToGrid w:val="0"/>
        <w:spacing w:line="360" w:lineRule="auto"/>
        <w:ind w:right="480"/>
        <w:jc w:val="right"/>
        <w:rPr>
          <w:rFonts w:ascii="宋体"/>
          <w:color w:val="auto"/>
          <w:highlight w:val="none"/>
        </w:rPr>
      </w:pPr>
      <w:r>
        <w:rPr>
          <w:rFonts w:hint="eastAsia" w:ascii="宋体"/>
          <w:color w:val="auto"/>
          <w:highlight w:val="none"/>
        </w:rPr>
        <w:t>年   月   日</w:t>
      </w:r>
    </w:p>
    <w:p w14:paraId="41FF8DF5">
      <w:pPr>
        <w:spacing w:line="360" w:lineRule="auto"/>
        <w:jc w:val="left"/>
        <w:rPr>
          <w:rFonts w:ascii="宋体" w:cs="等线 Light"/>
          <w:snapToGrid w:val="0"/>
          <w:color w:val="auto"/>
          <w:kern w:val="0"/>
          <w:szCs w:val="24"/>
          <w:highlight w:val="none"/>
        </w:rPr>
      </w:pPr>
    </w:p>
    <w:p w14:paraId="2F0265BF">
      <w:pPr>
        <w:spacing w:line="360" w:lineRule="auto"/>
        <w:jc w:val="left"/>
        <w:rPr>
          <w:rFonts w:ascii="宋体" w:cs="等线 Light"/>
          <w:snapToGrid w:val="0"/>
          <w:color w:val="auto"/>
          <w:kern w:val="0"/>
          <w:szCs w:val="24"/>
          <w:highlight w:val="none"/>
        </w:rPr>
      </w:pPr>
    </w:p>
    <w:p w14:paraId="3406CCEB">
      <w:pPr>
        <w:spacing w:line="360" w:lineRule="auto"/>
        <w:jc w:val="left"/>
        <w:rPr>
          <w:rFonts w:ascii="宋体" w:cs="等线 Light"/>
          <w:snapToGrid w:val="0"/>
          <w:color w:val="auto"/>
          <w:kern w:val="0"/>
          <w:szCs w:val="24"/>
          <w:highlight w:val="none"/>
        </w:rPr>
      </w:pPr>
    </w:p>
    <w:p w14:paraId="79B7B643">
      <w:pPr>
        <w:spacing w:line="360" w:lineRule="auto"/>
        <w:jc w:val="left"/>
        <w:rPr>
          <w:rFonts w:ascii="宋体" w:cs="等线 Light"/>
          <w:snapToGrid w:val="0"/>
          <w:color w:val="auto"/>
          <w:kern w:val="0"/>
          <w:szCs w:val="24"/>
          <w:highlight w:val="none"/>
        </w:rPr>
      </w:pPr>
    </w:p>
    <w:p w14:paraId="2BC67A30">
      <w:pPr>
        <w:spacing w:line="360" w:lineRule="auto"/>
        <w:jc w:val="left"/>
        <w:rPr>
          <w:rFonts w:ascii="宋体" w:cs="等线 Light"/>
          <w:snapToGrid w:val="0"/>
          <w:color w:val="auto"/>
          <w:kern w:val="0"/>
          <w:szCs w:val="24"/>
          <w:highlight w:val="none"/>
        </w:rPr>
      </w:pPr>
    </w:p>
    <w:p w14:paraId="49DEA59F">
      <w:pPr>
        <w:spacing w:line="360" w:lineRule="auto"/>
        <w:jc w:val="left"/>
        <w:rPr>
          <w:rFonts w:ascii="宋体" w:cs="等线 Light"/>
          <w:snapToGrid w:val="0"/>
          <w:color w:val="auto"/>
          <w:kern w:val="0"/>
          <w:szCs w:val="24"/>
          <w:highlight w:val="none"/>
        </w:rPr>
      </w:pPr>
    </w:p>
    <w:p w14:paraId="4FBB9CBE">
      <w:pPr>
        <w:spacing w:line="360" w:lineRule="auto"/>
        <w:jc w:val="left"/>
        <w:rPr>
          <w:rFonts w:ascii="宋体" w:cs="等线 Light"/>
          <w:snapToGrid w:val="0"/>
          <w:color w:val="auto"/>
          <w:kern w:val="0"/>
          <w:szCs w:val="24"/>
          <w:highlight w:val="none"/>
        </w:rPr>
      </w:pPr>
    </w:p>
    <w:p w14:paraId="674B770F">
      <w:pPr>
        <w:rPr>
          <w:b/>
          <w:bCs/>
          <w:color w:val="auto"/>
          <w:highlight w:val="none"/>
        </w:rPr>
      </w:pPr>
      <w:r>
        <w:rPr>
          <w:rFonts w:hint="eastAsia"/>
          <w:color w:val="auto"/>
          <w:kern w:val="0"/>
          <w:highlight w:val="none"/>
        </w:rPr>
        <w:br w:type="page"/>
      </w:r>
    </w:p>
    <w:p w14:paraId="50194A65">
      <w:pPr>
        <w:pStyle w:val="28"/>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1806DC06">
      <w:pPr>
        <w:rPr>
          <w:color w:val="auto"/>
          <w:highlight w:val="none"/>
        </w:rPr>
      </w:pPr>
    </w:p>
    <w:p w14:paraId="02DCD71A">
      <w:pPr>
        <w:ind w:firstLine="480"/>
        <w:rPr>
          <w:rFonts w:ascii="Times New Roman" w:hAnsi="Times New Roman"/>
          <w:color w:val="auto"/>
          <w:highlight w:val="none"/>
        </w:rPr>
      </w:pPr>
      <w:r>
        <w:rPr>
          <w:rFonts w:hint="eastAsia" w:ascii="Times New Roman" w:hAnsi="Times New Roman"/>
          <w:color w:val="auto"/>
          <w:highlight w:val="none"/>
        </w:rPr>
        <w:t>1.法人中国执行信息公开网截图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rPr>
        <w:t>2.法定代表人中国执行信息公开网截图</w:t>
      </w:r>
    </w:p>
    <w:p w14:paraId="453266FD">
      <w:pPr>
        <w:ind w:firstLine="480"/>
        <w:rPr>
          <w:rFonts w:ascii="Times New Roman" w:hAnsi="Times New Roman"/>
          <w:color w:val="auto"/>
          <w:highlight w:val="none"/>
        </w:rPr>
      </w:pPr>
    </w:p>
    <w:p w14:paraId="32DC14C3">
      <w:pPr>
        <w:rPr>
          <w:color w:val="auto"/>
          <w:highlight w:val="none"/>
        </w:rPr>
      </w:pPr>
    </w:p>
    <w:p w14:paraId="375AFCA6">
      <w:pPr>
        <w:rPr>
          <w:color w:val="auto"/>
          <w:highlight w:val="none"/>
        </w:rPr>
      </w:pPr>
    </w:p>
    <w:p w14:paraId="3D95928C">
      <w:pPr>
        <w:rPr>
          <w:color w:val="auto"/>
          <w:highlight w:val="none"/>
        </w:rPr>
      </w:pPr>
    </w:p>
    <w:p w14:paraId="48B2072C">
      <w:pPr>
        <w:rPr>
          <w:color w:val="auto"/>
          <w:highlight w:val="none"/>
        </w:rPr>
      </w:pPr>
    </w:p>
    <w:p w14:paraId="7D5212BA">
      <w:pPr>
        <w:rPr>
          <w:color w:val="auto"/>
          <w:highlight w:val="none"/>
        </w:rPr>
      </w:pPr>
      <w:r>
        <w:rPr>
          <w:rFonts w:hint="eastAsia"/>
          <w:color w:val="auto"/>
          <w:highlight w:val="none"/>
        </w:rPr>
        <w:br w:type="page"/>
      </w:r>
    </w:p>
    <w:p w14:paraId="5A366DA8">
      <w:pPr>
        <w:pStyle w:val="28"/>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color w:val="auto"/>
          <w:highlight w:val="none"/>
          <w:lang w:val="zh-CN"/>
        </w:rPr>
        <w:t>项目案例和</w:t>
      </w:r>
      <w:r>
        <w:rPr>
          <w:rFonts w:hint="eastAsia"/>
          <w:color w:val="auto"/>
          <w:highlight w:val="none"/>
          <w:lang w:val="zh-CN"/>
        </w:rPr>
        <w:t>业绩证明文件复印件</w:t>
      </w:r>
    </w:p>
    <w:p w14:paraId="3465CB23">
      <w:pPr>
        <w:pStyle w:val="4"/>
        <w:jc w:val="center"/>
        <w:rPr>
          <w:rFonts w:hint="eastAsia"/>
          <w:b w:val="0"/>
          <w:bCs w:val="0"/>
          <w:color w:val="auto"/>
          <w:szCs w:val="20"/>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b w:val="0"/>
          <w:bCs w:val="0"/>
          <w:color w:val="auto"/>
          <w:szCs w:val="20"/>
          <w:highlight w:val="none"/>
          <w:lang w:val="en-US" w:eastAsia="zh-CN"/>
        </w:rPr>
        <w:t>（六）企业所得税申报表</w:t>
      </w:r>
    </w:p>
    <w:p w14:paraId="23159281">
      <w:pPr>
        <w:pStyle w:val="28"/>
        <w:keepNext w:val="0"/>
        <w:keepLines w:val="0"/>
        <w:pageBreakBefore w:val="0"/>
        <w:widowControl w:val="0"/>
        <w:kinsoku/>
        <w:wordWrap/>
        <w:overflowPunct/>
        <w:topLinePunct w:val="0"/>
        <w:autoSpaceDE/>
        <w:autoSpaceDN/>
        <w:adjustRightInd/>
        <w:snapToGrid w:val="0"/>
        <w:ind w:firstLineChars="0"/>
        <w:jc w:val="center"/>
        <w:rPr>
          <w:rFonts w:hint="eastAsia" w:ascii="Cambria Math" w:hAnsi="Cambria Math" w:eastAsia="宋体" w:cs="Cambria Math"/>
          <w:b w:val="0"/>
          <w:bCs w:val="0"/>
          <w:snapToGrid/>
          <w:color w:val="auto"/>
          <w:kern w:val="2"/>
          <w:sz w:val="24"/>
          <w:szCs w:val="20"/>
          <w:highlight w:val="none"/>
        </w:rPr>
      </w:pPr>
      <w:r>
        <w:rPr>
          <w:rFonts w:hint="eastAsia"/>
          <w:b w:val="0"/>
          <w:bCs w:val="0"/>
          <w:color w:val="auto"/>
          <w:szCs w:val="20"/>
          <w:highlight w:val="none"/>
          <w:lang w:val="en-US" w:eastAsia="zh-CN"/>
        </w:rPr>
        <w:t>（七）</w:t>
      </w:r>
      <w:r>
        <w:rPr>
          <w:rFonts w:hint="eastAsia" w:ascii="Cambria Math" w:hAnsi="Cambria Math" w:eastAsia="宋体" w:cs="Cambria Math"/>
          <w:b w:val="0"/>
          <w:bCs w:val="0"/>
          <w:snapToGrid/>
          <w:color w:val="auto"/>
          <w:kern w:val="2"/>
          <w:sz w:val="24"/>
          <w:szCs w:val="20"/>
          <w:highlight w:val="none"/>
          <w:lang w:eastAsia="zh-CN"/>
        </w:rPr>
        <w:t>参选人</w:t>
      </w:r>
      <w:r>
        <w:rPr>
          <w:rFonts w:hint="eastAsia" w:ascii="Cambria Math" w:hAnsi="Cambria Math" w:eastAsia="宋体" w:cs="Cambria Math"/>
          <w:b w:val="0"/>
          <w:bCs w:val="0"/>
          <w:snapToGrid/>
          <w:color w:val="auto"/>
          <w:kern w:val="2"/>
          <w:sz w:val="24"/>
          <w:szCs w:val="20"/>
          <w:highlight w:val="none"/>
        </w:rPr>
        <w:t>及</w:t>
      </w:r>
      <w:r>
        <w:rPr>
          <w:rFonts w:hint="eastAsia" w:ascii="Cambria Math" w:hAnsi="Cambria Math" w:eastAsia="宋体" w:cs="Cambria Math"/>
          <w:b w:val="0"/>
          <w:bCs w:val="0"/>
          <w:snapToGrid/>
          <w:color w:val="auto"/>
          <w:kern w:val="2"/>
          <w:sz w:val="24"/>
          <w:szCs w:val="20"/>
          <w:highlight w:val="none"/>
          <w:lang w:eastAsia="zh-CN"/>
        </w:rPr>
        <w:t>参选人</w:t>
      </w:r>
      <w:r>
        <w:rPr>
          <w:rFonts w:hint="eastAsia" w:ascii="Cambria Math" w:hAnsi="Cambria Math" w:eastAsia="宋体" w:cs="Cambria Math"/>
          <w:b w:val="0"/>
          <w:bCs w:val="0"/>
          <w:snapToGrid/>
          <w:color w:val="auto"/>
          <w:kern w:val="2"/>
          <w:sz w:val="24"/>
          <w:szCs w:val="20"/>
          <w:highlight w:val="none"/>
        </w:rPr>
        <w:t>法定代表人征信记录</w:t>
      </w:r>
    </w:p>
    <w:p w14:paraId="3B7AEADA">
      <w:pPr>
        <w:autoSpaceDE/>
        <w:autoSpaceDN/>
        <w:snapToGrid w:val="0"/>
        <w:ind w:firstLine="0" w:firstLineChars="0"/>
        <w:jc w:val="center"/>
        <w:rPr>
          <w:rFonts w:hint="eastAsia" w:ascii="Cambria Math" w:hAnsi="Cambria Math" w:eastAsia="宋体" w:cs="Cambria Math"/>
          <w:b w:val="0"/>
          <w:snapToGrid/>
          <w:color w:val="auto"/>
          <w:kern w:val="2"/>
          <w:sz w:val="24"/>
          <w:highlight w:val="none"/>
          <w:lang w:eastAsia="zh-CN"/>
        </w:rPr>
      </w:pPr>
      <w:r>
        <w:rPr>
          <w:rFonts w:hint="eastAsia" w:ascii="Cambria Math" w:hAnsi="Cambria Math" w:eastAsia="宋体" w:cs="Cambria Math"/>
          <w:b w:val="0"/>
          <w:snapToGrid/>
          <w:color w:val="auto"/>
          <w:kern w:val="2"/>
          <w:sz w:val="24"/>
          <w:highlight w:val="none"/>
        </w:rPr>
        <w:t>（以人行征信记录查询结果为准</w:t>
      </w:r>
      <w:r>
        <w:rPr>
          <w:rFonts w:hint="eastAsia" w:ascii="Cambria Math" w:hAnsi="Cambria Math" w:eastAsia="宋体" w:cs="Cambria Math"/>
          <w:b w:val="0"/>
          <w:snapToGrid/>
          <w:color w:val="auto"/>
          <w:kern w:val="2"/>
          <w:sz w:val="24"/>
          <w:highlight w:val="none"/>
          <w:lang w:eastAsia="zh-CN"/>
        </w:rPr>
        <w:t>）</w:t>
      </w:r>
    </w:p>
    <w:p w14:paraId="22E9498D">
      <w:pPr>
        <w:autoSpaceDE/>
        <w:autoSpaceDN/>
        <w:snapToGrid w:val="0"/>
        <w:ind w:firstLine="0" w:firstLineChars="0"/>
        <w:jc w:val="center"/>
        <w:rPr>
          <w:rFonts w:hint="eastAsia" w:ascii="Cambria Math" w:hAnsi="Cambria Math" w:eastAsia="宋体" w:cs="Cambria Math"/>
          <w:b w:val="0"/>
          <w:snapToGrid/>
          <w:color w:val="auto"/>
          <w:kern w:val="2"/>
          <w:sz w:val="24"/>
          <w:highlight w:val="none"/>
          <w:lang w:eastAsia="zh-CN"/>
        </w:rPr>
      </w:pPr>
    </w:p>
    <w:p w14:paraId="12C5DB16">
      <w:pPr>
        <w:widowControl/>
        <w:numPr>
          <w:ilvl w:val="0"/>
          <w:numId w:val="2"/>
        </w:numPr>
        <w:jc w:val="left"/>
        <w:rPr>
          <w:rFonts w:hint="eastAsia"/>
          <w:color w:val="auto"/>
          <w:highlight w:val="none"/>
        </w:rPr>
      </w:pPr>
      <w:r>
        <w:rPr>
          <w:rFonts w:hint="eastAsia" w:ascii="Cambria Math" w:hAnsi="Cambria Math" w:cs="Cambria Math"/>
          <w:b w:val="0"/>
          <w:snapToGrid/>
          <w:color w:val="auto"/>
          <w:kern w:val="2"/>
          <w:sz w:val="24"/>
          <w:highlight w:val="none"/>
          <w:lang w:val="en-US" w:eastAsia="zh-CN"/>
        </w:rPr>
        <w:t>参选人</w:t>
      </w:r>
      <w:r>
        <w:rPr>
          <w:rFonts w:hint="eastAsia"/>
          <w:color w:val="auto"/>
          <w:highlight w:val="none"/>
        </w:rPr>
        <w:t>征信记录</w:t>
      </w:r>
    </w:p>
    <w:p w14:paraId="23FF6359">
      <w:pPr>
        <w:widowControl/>
        <w:numPr>
          <w:ilvl w:val="0"/>
          <w:numId w:val="2"/>
        </w:numPr>
        <w:snapToGrid w:val="0"/>
        <w:ind w:firstLineChars="200"/>
        <w:jc w:val="left"/>
        <w:rPr>
          <w:rFonts w:hint="eastAsia" w:ascii="Cambria Math" w:hAnsi="Cambria Math" w:eastAsia="宋体" w:cs="Cambria Math"/>
          <w:b w:val="0"/>
          <w:snapToGrid/>
          <w:color w:val="auto"/>
          <w:kern w:val="2"/>
          <w:sz w:val="24"/>
          <w:highlight w:val="none"/>
          <w:lang w:eastAsia="zh-CN"/>
        </w:rPr>
        <w:sectPr>
          <w:pgSz w:w="11907" w:h="16840"/>
          <w:pgMar w:top="1440" w:right="1145" w:bottom="1440" w:left="1797" w:header="964" w:footer="992" w:gutter="0"/>
          <w:pgNumType w:fmt="decimal"/>
          <w:cols w:space="720" w:num="1"/>
          <w:docGrid w:type="linesAndChars" w:linePitch="380" w:charSpace="0"/>
        </w:sectPr>
      </w:pPr>
      <w:r>
        <w:rPr>
          <w:rFonts w:hint="eastAsia"/>
          <w:color w:val="auto"/>
          <w:highlight w:val="none"/>
          <w:lang w:val="en-US" w:eastAsia="zh-CN"/>
        </w:rPr>
        <w:t>参选</w:t>
      </w:r>
      <w:r>
        <w:rPr>
          <w:rFonts w:hint="eastAsia"/>
          <w:color w:val="auto"/>
          <w:highlight w:val="none"/>
          <w:lang w:eastAsia="zh-CN"/>
        </w:rPr>
        <w:t>人</w:t>
      </w:r>
      <w:r>
        <w:rPr>
          <w:rFonts w:hint="eastAsia"/>
          <w:color w:val="auto"/>
          <w:highlight w:val="none"/>
        </w:rPr>
        <w:t>法定代表人征信记录</w:t>
      </w:r>
    </w:p>
    <w:p w14:paraId="1D3AE537">
      <w:pPr>
        <w:keepNext w:val="0"/>
        <w:keepLines w:val="0"/>
        <w:pageBreakBefore w:val="0"/>
        <w:widowControl/>
        <w:tabs>
          <w:tab w:val="left" w:pos="6300"/>
        </w:tabs>
        <w:kinsoku/>
        <w:wordWrap/>
        <w:overflowPunct/>
        <w:topLinePunct w:val="0"/>
        <w:autoSpaceDE/>
        <w:autoSpaceDN/>
        <w:adjustRightInd/>
        <w:snapToGrid/>
        <w:ind w:firstLine="0" w:firstLineChars="0"/>
        <w:jc w:val="center"/>
        <w:outlineLvl w:val="2"/>
        <w:rPr>
          <w:rFonts w:hint="eastAsia" w:ascii="Cambria Math" w:hAnsi="Cambria Math" w:eastAsia="宋体" w:cs="Cambria Math"/>
          <w:b w:val="0"/>
          <w:bCs w:val="0"/>
          <w:snapToGrid/>
          <w:color w:val="auto"/>
          <w:kern w:val="2"/>
          <w:sz w:val="24"/>
          <w:szCs w:val="20"/>
          <w:highlight w:val="none"/>
        </w:rPr>
        <w:sectPr>
          <w:pgSz w:w="11907" w:h="16840"/>
          <w:pgMar w:top="1440" w:right="1145" w:bottom="1440" w:left="1797" w:header="964" w:footer="992" w:gutter="0"/>
          <w:pgNumType w:fmt="decimal"/>
          <w:cols w:space="720" w:num="1"/>
          <w:docGrid w:type="linesAndChars" w:linePitch="380" w:charSpace="0"/>
        </w:sectPr>
      </w:pPr>
      <w:r>
        <w:rPr>
          <w:rFonts w:hint="eastAsia" w:eastAsia="宋体"/>
          <w:b w:val="0"/>
          <w:bCs w:val="0"/>
          <w:color w:val="auto"/>
          <w:szCs w:val="20"/>
          <w:highlight w:val="none"/>
          <w:lang w:eastAsia="zh-CN"/>
        </w:rPr>
        <w:t>（</w:t>
      </w:r>
      <w:r>
        <w:rPr>
          <w:rFonts w:hint="eastAsia" w:eastAsia="宋体"/>
          <w:b w:val="0"/>
          <w:bCs w:val="0"/>
          <w:color w:val="auto"/>
          <w:szCs w:val="20"/>
          <w:highlight w:val="none"/>
          <w:lang w:val="en-US" w:eastAsia="zh-CN"/>
        </w:rPr>
        <w:t>八</w:t>
      </w:r>
      <w:r>
        <w:rPr>
          <w:rFonts w:hint="eastAsia" w:eastAsia="宋体"/>
          <w:b w:val="0"/>
          <w:bCs w:val="0"/>
          <w:color w:val="auto"/>
          <w:szCs w:val="20"/>
          <w:highlight w:val="none"/>
          <w:lang w:eastAsia="zh-CN"/>
        </w:rPr>
        <w:t>）</w:t>
      </w:r>
      <w:r>
        <w:rPr>
          <w:rFonts w:hint="eastAsia" w:eastAsia="宋体"/>
          <w:b w:val="0"/>
          <w:bCs w:val="0"/>
          <w:color w:val="auto"/>
          <w:szCs w:val="20"/>
          <w:highlight w:val="none"/>
          <w:lang w:val="en-US" w:eastAsia="zh-CN"/>
        </w:rPr>
        <w:t>其他（如有）</w:t>
      </w:r>
    </w:p>
    <w:p w14:paraId="27D1BA45">
      <w:pPr>
        <w:pStyle w:val="3"/>
        <w:numPr>
          <w:ilvl w:val="-1"/>
          <w:numId w:val="0"/>
        </w:numPr>
        <w:ind w:firstLine="0" w:firstLineChars="0"/>
        <w:jc w:val="center"/>
        <w:outlineLvl w:val="1"/>
        <w:rPr>
          <w:rFonts w:hint="eastAsia"/>
          <w:color w:val="auto"/>
          <w:highlight w:val="none"/>
          <w:lang w:val="en-US" w:eastAsia="zh-CN"/>
        </w:rPr>
      </w:pPr>
      <w:r>
        <w:rPr>
          <w:rFonts w:hint="eastAsia"/>
          <w:color w:val="auto"/>
          <w:highlight w:val="none"/>
          <w:lang w:val="en-US" w:eastAsia="zh-CN"/>
        </w:rPr>
        <w:t>四、响应性文件</w:t>
      </w:r>
    </w:p>
    <w:p w14:paraId="09F6502F">
      <w:pPr>
        <w:ind w:firstLine="480"/>
        <w:jc w:val="center"/>
        <w:outlineLvl w:val="2"/>
        <w:rPr>
          <w:rFonts w:hint="eastAsia" w:ascii="Times New Roman" w:hAnsi="Times New Roman"/>
          <w:color w:val="auto"/>
          <w:highlight w:val="none"/>
        </w:rPr>
      </w:pPr>
      <w:r>
        <w:rPr>
          <w:rFonts w:hint="eastAsia" w:ascii="Times New Roman" w:hAnsi="Times New Roman"/>
          <w:color w:val="auto"/>
          <w:highlight w:val="none"/>
        </w:rPr>
        <w:t>（一）响应承诺函</w:t>
      </w:r>
    </w:p>
    <w:p w14:paraId="2F878591">
      <w:pPr>
        <w:ind w:firstLine="480"/>
        <w:rPr>
          <w:rFonts w:hint="eastAsia"/>
          <w:color w:val="auto"/>
          <w:highlight w:val="none"/>
        </w:rPr>
      </w:pPr>
      <w:r>
        <w:rPr>
          <w:rFonts w:hint="eastAsia" w:ascii="宋体"/>
          <w:color w:val="auto"/>
          <w:szCs w:val="28"/>
          <w:highlight w:val="none"/>
        </w:rPr>
        <w:t>项目名称</w:t>
      </w:r>
      <w:r>
        <w:rPr>
          <w:rFonts w:hint="eastAsia" w:ascii="宋体"/>
          <w:color w:val="auto"/>
          <w:highlight w:val="none"/>
        </w:rPr>
        <w:t>：</w:t>
      </w:r>
    </w:p>
    <w:p w14:paraId="52CF7A69">
      <w:pPr>
        <w:autoSpaceDE/>
        <w:autoSpaceDN/>
        <w:ind w:firstLine="360"/>
        <w:rPr>
          <w:rFonts w:ascii="Times New Roman" w:hAnsi="Times New Roman" w:cs="Times New Roman"/>
          <w:color w:val="auto"/>
          <w:sz w:val="18"/>
          <w:szCs w:val="18"/>
          <w:highlight w:val="none"/>
        </w:rPr>
      </w:pPr>
    </w:p>
    <w:p w14:paraId="3D24274E">
      <w:pPr>
        <w:pStyle w:val="28"/>
        <w:ind w:firstLine="480" w:firstLineChars="200"/>
        <w:jc w:val="left"/>
        <w:outlineLvl w:val="9"/>
        <w:rPr>
          <w:rFonts w:hint="eastAsia"/>
          <w:color w:val="auto"/>
          <w:highlight w:val="none"/>
        </w:rPr>
      </w:pPr>
      <w:r>
        <w:rPr>
          <w:rFonts w:hint="eastAsia"/>
          <w:color w:val="auto"/>
          <w:highlight w:val="none"/>
        </w:rPr>
        <w:t>致：重庆三峡银行股份有限公司：</w:t>
      </w:r>
    </w:p>
    <w:p w14:paraId="275A820F">
      <w:pPr>
        <w:ind w:firstLine="480"/>
        <w:rPr>
          <w:rFonts w:hint="eastAsia"/>
          <w:color w:val="auto"/>
          <w:highlight w:val="none"/>
          <w:lang w:val="zh-CN"/>
        </w:rPr>
      </w:pPr>
    </w:p>
    <w:p w14:paraId="675CD69E">
      <w:pPr>
        <w:ind w:firstLine="480"/>
        <w:rPr>
          <w:rFonts w:hint="eastAsia"/>
          <w:color w:val="auto"/>
          <w:highlight w:val="none"/>
        </w:rPr>
      </w:pPr>
      <w:r>
        <w:rPr>
          <w:rFonts w:hint="eastAsia"/>
          <w:color w:val="auto"/>
          <w:highlight w:val="none"/>
        </w:rPr>
        <w:t>我公司郑重承诺，完全满足第三章“项目要求”所有内容。</w:t>
      </w:r>
    </w:p>
    <w:p w14:paraId="2EE3677A">
      <w:pPr>
        <w:ind w:firstLine="480"/>
        <w:rPr>
          <w:rFonts w:ascii="Times New Roman" w:hAnsi="Times New Roman" w:cs="Times New Roman"/>
          <w:color w:val="auto"/>
          <w:highlight w:val="none"/>
          <w:lang w:val="zh-CN"/>
        </w:rPr>
      </w:pPr>
    </w:p>
    <w:p w14:paraId="4AC73E07">
      <w:pPr>
        <w:spacing w:line="480" w:lineRule="exact"/>
        <w:ind w:firstLine="0" w:firstLineChars="0"/>
        <w:rPr>
          <w:rFonts w:hint="eastAsia"/>
          <w:color w:val="auto"/>
          <w:highlight w:val="none"/>
        </w:rPr>
      </w:pPr>
      <w:r>
        <w:rPr>
          <w:rFonts w:hint="eastAsia"/>
          <w:color w:val="auto"/>
          <w:highlight w:val="none"/>
        </w:rPr>
        <w:t>特此承诺。</w:t>
      </w:r>
    </w:p>
    <w:p w14:paraId="1D5A63B1">
      <w:pPr>
        <w:ind w:firstLine="480"/>
        <w:rPr>
          <w:rFonts w:ascii="Times New Roman" w:hAnsi="Times New Roman" w:cs="Times New Roman"/>
          <w:color w:val="auto"/>
          <w:highlight w:val="none"/>
          <w:lang w:val="zh-CN"/>
        </w:rPr>
      </w:pPr>
    </w:p>
    <w:p w14:paraId="6209035D">
      <w:pPr>
        <w:ind w:firstLine="480"/>
        <w:rPr>
          <w:rFonts w:ascii="Times New Roman" w:hAnsi="Times New Roman" w:cs="Times New Roman"/>
          <w:color w:val="auto"/>
          <w:highlight w:val="none"/>
        </w:rPr>
      </w:pPr>
    </w:p>
    <w:p w14:paraId="600457B3">
      <w:pPr>
        <w:tabs>
          <w:tab w:val="left" w:pos="6300"/>
        </w:tabs>
        <w:snapToGrid w:val="0"/>
        <w:spacing w:line="480" w:lineRule="exact"/>
        <w:ind w:right="424" w:firstLine="480"/>
        <w:jc w:val="right"/>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511EC873">
      <w:pPr>
        <w:pStyle w:val="28"/>
        <w:rPr>
          <w:rFonts w:hint="eastAsia" w:ascii="Times New Roman" w:hAnsi="Times New Roman"/>
          <w:color w:val="auto"/>
          <w:highlight w:val="none"/>
        </w:rPr>
        <w:sectPr>
          <w:pgSz w:w="11907" w:h="16840"/>
          <w:pgMar w:top="1440" w:right="1145" w:bottom="1440" w:left="1797" w:header="964" w:footer="992" w:gutter="0"/>
          <w:pgNumType w:fmt="decimal"/>
          <w:cols w:space="720" w:num="1"/>
          <w:docGrid w:type="linesAndChars" w:linePitch="380" w:charSpace="0"/>
        </w:sectPr>
      </w:pPr>
      <w:r>
        <w:rPr>
          <w:rFonts w:hint="eastAsia" w:ascii="宋体"/>
          <w:color w:val="auto"/>
          <w:highlight w:val="none"/>
        </w:rPr>
        <w:t>年   月   日</w:t>
      </w:r>
    </w:p>
    <w:p w14:paraId="633B1B0B">
      <w:pPr>
        <w:ind w:firstLine="480"/>
        <w:jc w:val="center"/>
        <w:outlineLvl w:val="2"/>
        <w:rPr>
          <w:rFonts w:hint="eastAsia"/>
          <w:color w:val="auto"/>
          <w:highlight w:val="none"/>
        </w:rPr>
      </w:pPr>
      <w:r>
        <w:rPr>
          <w:rFonts w:hint="eastAsia" w:ascii="Times New Roman" w:hAnsi="Times New Roman"/>
          <w:color w:val="auto"/>
          <w:highlight w:val="none"/>
          <w:lang w:val="en-US" w:eastAsia="zh-CN"/>
        </w:rPr>
        <w:t>（</w:t>
      </w:r>
      <w:r>
        <w:rPr>
          <w:rFonts w:hint="eastAsia"/>
          <w:color w:val="auto"/>
          <w:highlight w:val="none"/>
          <w:lang w:val="en-US" w:eastAsia="zh-CN"/>
        </w:rPr>
        <w:t>二）</w:t>
      </w:r>
      <w:r>
        <w:rPr>
          <w:rFonts w:hint="eastAsia"/>
          <w:color w:val="auto"/>
          <w:highlight w:val="none"/>
        </w:rPr>
        <w:t>项目实施方案</w:t>
      </w:r>
    </w:p>
    <w:p w14:paraId="00B2E264">
      <w:pPr>
        <w:keepNext w:val="0"/>
        <w:keepLines w:val="0"/>
        <w:pageBreakBefore w:val="0"/>
        <w:widowControl w:val="0"/>
        <w:tabs>
          <w:tab w:val="left" w:pos="6300"/>
        </w:tabs>
        <w:kinsoku/>
        <w:wordWrap/>
        <w:overflowPunct/>
        <w:topLinePunct w:val="0"/>
        <w:autoSpaceDE/>
        <w:autoSpaceDN/>
        <w:adjustRightInd/>
        <w:snapToGrid w:val="0"/>
        <w:ind w:firstLine="0" w:firstLineChars="0"/>
        <w:jc w:val="center"/>
        <w:rPr>
          <w:rFonts w:hint="eastAsia" w:ascii="Times New Roman" w:hAnsi="Times New Roman" w:eastAsia="宋体" w:cs="Cambria Math"/>
          <w:snapToGrid/>
          <w:color w:val="auto"/>
          <w:kern w:val="2"/>
          <w:sz w:val="24"/>
          <w:szCs w:val="20"/>
          <w:highlight w:val="none"/>
        </w:rPr>
        <w:sectPr>
          <w:pgSz w:w="11907" w:h="16840"/>
          <w:pgMar w:top="1440" w:right="1145" w:bottom="1440" w:left="1797" w:header="964" w:footer="992" w:gutter="0"/>
          <w:pgNumType w:fmt="decimal"/>
          <w:cols w:space="720" w:num="1"/>
          <w:docGrid w:type="linesAndChars" w:linePitch="380" w:charSpace="0"/>
        </w:sectPr>
      </w:pPr>
      <w:r>
        <w:rPr>
          <w:rFonts w:hint="eastAsia" w:ascii="宋体" w:hAnsi="宋体" w:eastAsia="宋体" w:cs="宋体"/>
          <w:snapToGrid w:val="0"/>
          <w:color w:val="auto"/>
          <w:kern w:val="0"/>
          <w:sz w:val="24"/>
          <w:szCs w:val="24"/>
          <w:highlight w:val="none"/>
        </w:rPr>
        <w:t>（包括履行合同的时间计划、提交资料、人员安排等）</w:t>
      </w:r>
    </w:p>
    <w:p w14:paraId="1165496D">
      <w:pPr>
        <w:ind w:firstLine="480"/>
        <w:jc w:val="center"/>
        <w:outlineLvl w:val="2"/>
        <w:rPr>
          <w:rFonts w:hint="eastAsia"/>
          <w:color w:val="auto"/>
          <w:highlight w:val="none"/>
        </w:rPr>
      </w:pPr>
      <w:r>
        <w:rPr>
          <w:rFonts w:hint="eastAsia" w:ascii="Times New Roman" w:hAnsi="Times New Roman" w:eastAsia="宋体" w:cs="Cambria Math"/>
          <w:snapToGrid/>
          <w:color w:val="auto"/>
          <w:kern w:val="2"/>
          <w:sz w:val="24"/>
          <w:szCs w:val="20"/>
          <w:highlight w:val="none"/>
          <w:lang w:eastAsia="zh-CN"/>
        </w:rPr>
        <w:t>（</w:t>
      </w:r>
      <w:r>
        <w:rPr>
          <w:rFonts w:hint="eastAsia" w:ascii="宋体" w:hAnsi="宋体" w:eastAsia="宋体" w:cs="宋体"/>
          <w:snapToGrid w:val="0"/>
          <w:color w:val="auto"/>
          <w:kern w:val="0"/>
          <w:sz w:val="24"/>
          <w:szCs w:val="24"/>
          <w:highlight w:val="none"/>
          <w:lang w:val="en-US" w:eastAsia="zh-CN"/>
        </w:rPr>
        <w:t>三</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服务连续性预案</w:t>
      </w:r>
    </w:p>
    <w:p w14:paraId="7C48CE24">
      <w:pPr>
        <w:bidi w:val="0"/>
        <w:ind w:left="0" w:leftChars="0" w:right="0" w:rightChars="0" w:firstLine="0" w:firstLineChars="0"/>
        <w:jc w:val="center"/>
        <w:outlineLvl w:val="9"/>
        <w:rPr>
          <w:color w:val="auto"/>
          <w:highlight w:val="none"/>
        </w:rPr>
      </w:pPr>
      <w:r>
        <w:rPr>
          <w:rFonts w:hint="eastAsia"/>
          <w:color w:val="auto"/>
          <w:highlight w:val="none"/>
        </w:rPr>
        <w:t>（应考虑供应链风险产生的影响）</w:t>
      </w:r>
    </w:p>
    <w:p w14:paraId="00F814BA">
      <w:pPr>
        <w:jc w:val="center"/>
        <w:outlineLvl w:val="9"/>
        <w:rPr>
          <w:rFonts w:hint="eastAsia"/>
          <w:color w:val="auto"/>
          <w:highlight w:val="none"/>
        </w:rPr>
        <w:sectPr>
          <w:pgSz w:w="11907" w:h="16840"/>
          <w:pgMar w:top="1440" w:right="1145" w:bottom="1440" w:left="1797" w:header="964" w:footer="992" w:gutter="0"/>
          <w:pgNumType w:fmt="decimal"/>
          <w:cols w:space="720" w:num="1"/>
          <w:docGrid w:type="linesAndChars" w:linePitch="380" w:charSpace="0"/>
        </w:sectPr>
      </w:pPr>
    </w:p>
    <w:p w14:paraId="4E386152">
      <w:pPr>
        <w:jc w:val="center"/>
        <w:outlineLvl w:val="2"/>
        <w:rPr>
          <w:rFonts w:hint="default" w:eastAsia="宋体"/>
          <w:color w:val="auto"/>
          <w:highlight w:val="none"/>
          <w:lang w:val="en-US" w:eastAsia="zh-CN"/>
        </w:rPr>
        <w:sectPr>
          <w:pgSz w:w="11907" w:h="16840"/>
          <w:pgMar w:top="1440" w:right="1145" w:bottom="1440" w:left="1797" w:header="964" w:footer="992" w:gutter="0"/>
          <w:pgNumType w:fmt="decimal"/>
          <w:cols w:space="720" w:num="1"/>
          <w:docGrid w:type="linesAndChars" w:linePitch="380" w:charSpace="0"/>
        </w:sect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其他（如有）</w:t>
      </w:r>
    </w:p>
    <w:p w14:paraId="3EA43898">
      <w:pPr>
        <w:pStyle w:val="3"/>
        <w:numPr>
          <w:ilvl w:val="-1"/>
          <w:numId w:val="0"/>
        </w:numPr>
        <w:ind w:firstLine="0" w:firstLineChars="0"/>
        <w:jc w:val="center"/>
        <w:outlineLvl w:val="1"/>
        <w:rPr>
          <w:rFonts w:hint="eastAsia"/>
          <w:color w:val="auto"/>
          <w:highlight w:val="none"/>
          <w:lang w:val="en-US" w:eastAsia="zh-CN"/>
        </w:rPr>
      </w:pPr>
      <w:r>
        <w:rPr>
          <w:rFonts w:hint="eastAsia"/>
          <w:color w:val="auto"/>
          <w:highlight w:val="none"/>
          <w:lang w:val="en-US" w:eastAsia="zh-CN"/>
        </w:rPr>
        <w:t>五、参选保证</w:t>
      </w:r>
    </w:p>
    <w:p w14:paraId="7D7433F7">
      <w:pPr>
        <w:jc w:val="center"/>
        <w:outlineLvl w:val="9"/>
        <w:rPr>
          <w:rFonts w:hint="eastAsia"/>
          <w:color w:val="auto"/>
          <w:highlight w:val="none"/>
        </w:rPr>
      </w:pPr>
    </w:p>
    <w:p w14:paraId="07B93793">
      <w:pPr>
        <w:jc w:val="center"/>
        <w:outlineLvl w:val="9"/>
        <w:rPr>
          <w:rFonts w:hint="eastAsia"/>
          <w:color w:val="auto"/>
          <w:highlight w:val="none"/>
        </w:rPr>
      </w:pPr>
    </w:p>
    <w:p w14:paraId="16469C3C">
      <w:pPr>
        <w:jc w:val="center"/>
        <w:outlineLvl w:val="9"/>
        <w:rPr>
          <w:rFonts w:hint="eastAsia"/>
          <w:color w:val="auto"/>
          <w:highlight w:val="none"/>
        </w:rPr>
      </w:pPr>
    </w:p>
    <w:p w14:paraId="592576C9">
      <w:pPr>
        <w:jc w:val="center"/>
        <w:outlineLvl w:val="9"/>
        <w:rPr>
          <w:rFonts w:hint="eastAsia"/>
          <w:color w:val="auto"/>
          <w:highlight w:val="none"/>
        </w:rPr>
      </w:pPr>
    </w:p>
    <w:p w14:paraId="2D8C4594">
      <w:pPr>
        <w:tabs>
          <w:tab w:val="left" w:pos="6300"/>
        </w:tabs>
        <w:snapToGrid w:val="0"/>
        <w:spacing w:line="360" w:lineRule="auto"/>
        <w:ind w:firstLine="480"/>
        <w:outlineLvl w:val="9"/>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554A8B07">
      <w:pPr>
        <w:jc w:val="center"/>
        <w:outlineLvl w:val="9"/>
        <w:rPr>
          <w:rFonts w:hint="eastAsia"/>
          <w:color w:val="auto"/>
          <w:highlight w:val="none"/>
        </w:rPr>
      </w:pPr>
    </w:p>
    <w:p w14:paraId="19BEBFF4">
      <w:pPr>
        <w:jc w:val="center"/>
        <w:outlineLvl w:val="9"/>
        <w:rPr>
          <w:rFonts w:hint="eastAsia"/>
          <w:color w:val="auto"/>
          <w:highlight w:val="none"/>
        </w:rPr>
        <w:sectPr>
          <w:pgSz w:w="11907" w:h="16840"/>
          <w:pgMar w:top="1440" w:right="1145" w:bottom="1440" w:left="1797" w:header="964" w:footer="992" w:gutter="0"/>
          <w:pgNumType w:fmt="decimal"/>
          <w:cols w:space="720" w:num="1"/>
          <w:docGrid w:type="linesAndChars" w:linePitch="380" w:charSpace="0"/>
        </w:sectPr>
      </w:pPr>
    </w:p>
    <w:p w14:paraId="18688E37">
      <w:pPr>
        <w:ind w:firstLine="0" w:firstLineChars="0"/>
        <w:jc w:val="center"/>
        <w:outlineLvl w:val="1"/>
        <w:rPr>
          <w:color w:val="auto"/>
          <w:highlight w:val="none"/>
        </w:rPr>
      </w:pPr>
      <w:bookmarkStart w:id="94" w:name="_Toc25796655"/>
      <w:bookmarkStart w:id="95" w:name="_Toc4252"/>
      <w:r>
        <w:rPr>
          <w:rStyle w:val="23"/>
          <w:rFonts w:hint="eastAsia"/>
          <w:b/>
          <w:bCs w:val="0"/>
          <w:color w:val="auto"/>
          <w:highlight w:val="none"/>
          <w:lang w:val="en-US" w:eastAsia="zh-CN"/>
        </w:rPr>
        <w:t>六、</w:t>
      </w:r>
      <w:bookmarkEnd w:id="94"/>
      <w:bookmarkEnd w:id="95"/>
      <w:r>
        <w:rPr>
          <w:rStyle w:val="23"/>
          <w:rFonts w:hint="eastAsia"/>
          <w:b/>
          <w:bCs w:val="0"/>
          <w:color w:val="auto"/>
          <w:highlight w:val="none"/>
          <w:lang w:val="en-US" w:eastAsia="zh-CN"/>
        </w:rPr>
        <w:t>其他（如有）</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CDA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90D1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190D1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83910"/>
    <w:multiLevelType w:val="singleLevel"/>
    <w:tmpl w:val="9A783910"/>
    <w:lvl w:ilvl="0" w:tentative="0">
      <w:start w:val="1"/>
      <w:numFmt w:val="decimal"/>
      <w:lvlText w:val="%1."/>
      <w:lvlJc w:val="left"/>
      <w:pPr>
        <w:tabs>
          <w:tab w:val="left" w:pos="312"/>
        </w:tabs>
      </w:pPr>
    </w:lvl>
  </w:abstractNum>
  <w:abstractNum w:abstractNumId="1">
    <w:nsid w:val="702883B8"/>
    <w:multiLevelType w:val="singleLevel"/>
    <w:tmpl w:val="702883B8"/>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05574FC"/>
    <w:rsid w:val="053A13B6"/>
    <w:rsid w:val="05660502"/>
    <w:rsid w:val="06824DC3"/>
    <w:rsid w:val="08BC0A60"/>
    <w:rsid w:val="0AE53B72"/>
    <w:rsid w:val="0AE87DBD"/>
    <w:rsid w:val="0BD31C1D"/>
    <w:rsid w:val="0CD36378"/>
    <w:rsid w:val="101747CE"/>
    <w:rsid w:val="104F3F68"/>
    <w:rsid w:val="10F70AE6"/>
    <w:rsid w:val="11673533"/>
    <w:rsid w:val="118B3557"/>
    <w:rsid w:val="12D15108"/>
    <w:rsid w:val="134E6759"/>
    <w:rsid w:val="14D964F6"/>
    <w:rsid w:val="15312442"/>
    <w:rsid w:val="1534372C"/>
    <w:rsid w:val="17C969A3"/>
    <w:rsid w:val="18860743"/>
    <w:rsid w:val="1D322C47"/>
    <w:rsid w:val="1D9A07EC"/>
    <w:rsid w:val="1DB47B00"/>
    <w:rsid w:val="21093CBF"/>
    <w:rsid w:val="22BB36DF"/>
    <w:rsid w:val="242C5CB8"/>
    <w:rsid w:val="250A44A9"/>
    <w:rsid w:val="273C0D1C"/>
    <w:rsid w:val="292024ED"/>
    <w:rsid w:val="2A510485"/>
    <w:rsid w:val="2BF7154E"/>
    <w:rsid w:val="2C297A06"/>
    <w:rsid w:val="2CDF1B63"/>
    <w:rsid w:val="30E42053"/>
    <w:rsid w:val="31556AAC"/>
    <w:rsid w:val="319A4FD7"/>
    <w:rsid w:val="35BE10C4"/>
    <w:rsid w:val="35CC0B43"/>
    <w:rsid w:val="36237179"/>
    <w:rsid w:val="382471D8"/>
    <w:rsid w:val="3A105730"/>
    <w:rsid w:val="3AA00A64"/>
    <w:rsid w:val="3C7763FC"/>
    <w:rsid w:val="3CC03974"/>
    <w:rsid w:val="3D566086"/>
    <w:rsid w:val="40280402"/>
    <w:rsid w:val="41B11ADD"/>
    <w:rsid w:val="44547F5B"/>
    <w:rsid w:val="453E5D7D"/>
    <w:rsid w:val="45D71D2E"/>
    <w:rsid w:val="45EF7078"/>
    <w:rsid w:val="4812529F"/>
    <w:rsid w:val="484E4529"/>
    <w:rsid w:val="49155047"/>
    <w:rsid w:val="49F4775F"/>
    <w:rsid w:val="4AE051E1"/>
    <w:rsid w:val="4FC926E8"/>
    <w:rsid w:val="50A9643C"/>
    <w:rsid w:val="51F6353C"/>
    <w:rsid w:val="528A03AE"/>
    <w:rsid w:val="534E7AD3"/>
    <w:rsid w:val="54492AD9"/>
    <w:rsid w:val="559B2D78"/>
    <w:rsid w:val="5ADB22CD"/>
    <w:rsid w:val="5D4A44DB"/>
    <w:rsid w:val="5FDA449D"/>
    <w:rsid w:val="5FE03EDC"/>
    <w:rsid w:val="631F7CDB"/>
    <w:rsid w:val="65612758"/>
    <w:rsid w:val="65CD1C48"/>
    <w:rsid w:val="681F6161"/>
    <w:rsid w:val="6942033D"/>
    <w:rsid w:val="6A5017CA"/>
    <w:rsid w:val="6A576E16"/>
    <w:rsid w:val="6C180CE4"/>
    <w:rsid w:val="6CC60283"/>
    <w:rsid w:val="6E3D4575"/>
    <w:rsid w:val="6F33528B"/>
    <w:rsid w:val="6F9208F0"/>
    <w:rsid w:val="71E60A7F"/>
    <w:rsid w:val="772A0158"/>
    <w:rsid w:val="79C97604"/>
    <w:rsid w:val="79EC4008"/>
    <w:rsid w:val="7A1545F8"/>
    <w:rsid w:val="7B0A53EC"/>
    <w:rsid w:val="7BDE55C0"/>
    <w:rsid w:val="7DDF2F52"/>
    <w:rsid w:val="7E334254"/>
    <w:rsid w:val="7E610ECA"/>
    <w:rsid w:val="7E70028C"/>
    <w:rsid w:val="7E9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20"/>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22"/>
    <w:autoRedefine/>
    <w:qFormat/>
    <w:uiPriority w:val="0"/>
    <w:pPr>
      <w:outlineLvl w:val="2"/>
    </w:pPr>
    <w:rPr>
      <w:b/>
      <w:bCs/>
      <w:szCs w:val="32"/>
    </w:rPr>
  </w:style>
  <w:style w:type="paragraph" w:styleId="5">
    <w:name w:val="heading 4"/>
    <w:basedOn w:val="1"/>
    <w:next w:val="1"/>
    <w:link w:val="23"/>
    <w:autoRedefine/>
    <w:qFormat/>
    <w:uiPriority w:val="0"/>
    <w:pPr>
      <w:outlineLvl w:val="3"/>
    </w:pPr>
    <w:rPr>
      <w:rFonts w:ascii="Calibri Light" w:hAnsi="Calibri Light" w:cs="Times New Roman"/>
      <w:bCs/>
      <w:szCs w:val="28"/>
    </w:rPr>
  </w:style>
  <w:style w:type="paragraph" w:styleId="6">
    <w:name w:val="heading 5"/>
    <w:basedOn w:val="1"/>
    <w:next w:val="1"/>
    <w:link w:val="24"/>
    <w:autoRedefine/>
    <w:qFormat/>
    <w:uiPriority w:val="0"/>
    <w:pPr>
      <w:spacing w:line="360" w:lineRule="auto"/>
      <w:ind w:firstLine="0" w:firstLineChars="0"/>
      <w:jc w:val="center"/>
      <w:outlineLvl w:val="4"/>
    </w:pPr>
    <w:rPr>
      <w:b/>
      <w:sz w:val="28"/>
    </w:rPr>
  </w:style>
  <w:style w:type="paragraph" w:styleId="7">
    <w:name w:val="heading 6"/>
    <w:basedOn w:val="1"/>
    <w:next w:val="1"/>
    <w:link w:val="25"/>
    <w:autoRedefine/>
    <w:qFormat/>
    <w:uiPriority w:val="0"/>
    <w:pPr>
      <w:keepNext/>
      <w:keepLines/>
      <w:spacing w:before="240" w:after="64" w:line="317" w:lineRule="auto"/>
      <w:outlineLvl w:val="5"/>
    </w:pPr>
    <w:rPr>
      <w:rFonts w:ascii="Arial" w:hAnsi="Arial" w:eastAsia="黑体"/>
      <w:b/>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alloon Text"/>
    <w:basedOn w:val="1"/>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annotation subject"/>
    <w:basedOn w:val="8"/>
    <w:next w:val="8"/>
    <w:qFormat/>
    <w:uiPriority w:val="0"/>
    <w:rPr>
      <w:b/>
      <w:bCs/>
    </w:rPr>
  </w:style>
  <w:style w:type="character" w:styleId="18">
    <w:name w:val="Strong"/>
    <w:basedOn w:val="17"/>
    <w:autoRedefine/>
    <w:qFormat/>
    <w:uiPriority w:val="0"/>
    <w:rPr>
      <w:b/>
      <w:bCs/>
    </w:rPr>
  </w:style>
  <w:style w:type="character" w:styleId="19">
    <w:name w:val="annotation reference"/>
    <w:basedOn w:val="17"/>
    <w:qFormat/>
    <w:uiPriority w:val="0"/>
    <w:rPr>
      <w:sz w:val="21"/>
      <w:szCs w:val="21"/>
    </w:rPr>
  </w:style>
  <w:style w:type="character" w:customStyle="1" w:styleId="20">
    <w:name w:val="heading 1 Char"/>
    <w:basedOn w:val="17"/>
    <w:link w:val="2"/>
    <w:autoRedefine/>
    <w:qFormat/>
    <w:uiPriority w:val="0"/>
    <w:rPr>
      <w:rFonts w:ascii="宋体" w:hAnsi="宋体" w:eastAsia="宋体" w:cs="等线 Light"/>
      <w:b/>
      <w:snapToGrid w:val="0"/>
      <w:kern w:val="0"/>
      <w:sz w:val="44"/>
      <w:szCs w:val="44"/>
      <w:lang w:val="en-US" w:eastAsia="zh-CN" w:bidi="ar-SA"/>
    </w:rPr>
  </w:style>
  <w:style w:type="character" w:customStyle="1" w:styleId="21">
    <w:name w:val="heading 2 Char"/>
    <w:basedOn w:val="17"/>
    <w:link w:val="3"/>
    <w:autoRedefine/>
    <w:qFormat/>
    <w:uiPriority w:val="0"/>
    <w:rPr>
      <w:rFonts w:ascii="宋体" w:hAnsi="宋体" w:eastAsia="宋体" w:cs="Times New Roman"/>
      <w:b/>
      <w:bCs/>
      <w:snapToGrid w:val="0"/>
      <w:kern w:val="2"/>
      <w:sz w:val="24"/>
      <w:szCs w:val="24"/>
      <w:lang w:val="en-US" w:eastAsia="zh-CN" w:bidi="ar-SA"/>
    </w:rPr>
  </w:style>
  <w:style w:type="character" w:customStyle="1" w:styleId="22">
    <w:name w:val="heading 3 Char"/>
    <w:basedOn w:val="17"/>
    <w:link w:val="4"/>
    <w:autoRedefine/>
    <w:qFormat/>
    <w:uiPriority w:val="0"/>
    <w:rPr>
      <w:rFonts w:ascii="Cambria Math" w:hAnsi="Cambria Math" w:eastAsia="宋体" w:cs="Cambria Math"/>
      <w:b/>
      <w:bCs/>
      <w:kern w:val="2"/>
      <w:sz w:val="24"/>
      <w:szCs w:val="32"/>
      <w:lang w:val="en-US" w:eastAsia="zh-CN" w:bidi="ar-SA"/>
    </w:rPr>
  </w:style>
  <w:style w:type="character" w:customStyle="1" w:styleId="23">
    <w:name w:val="heading 4 Char"/>
    <w:basedOn w:val="17"/>
    <w:link w:val="5"/>
    <w:autoRedefine/>
    <w:qFormat/>
    <w:uiPriority w:val="0"/>
    <w:rPr>
      <w:rFonts w:ascii="Calibri Light" w:hAnsi="Calibri Light" w:eastAsia="宋体" w:cs="Times New Roman"/>
      <w:bCs/>
      <w:kern w:val="2"/>
      <w:sz w:val="24"/>
      <w:szCs w:val="28"/>
      <w:lang w:val="en-US" w:eastAsia="zh-CN" w:bidi="ar-SA"/>
    </w:rPr>
  </w:style>
  <w:style w:type="character" w:customStyle="1" w:styleId="24">
    <w:name w:val="heading 5 Char"/>
    <w:basedOn w:val="17"/>
    <w:link w:val="6"/>
    <w:autoRedefine/>
    <w:qFormat/>
    <w:uiPriority w:val="0"/>
    <w:rPr>
      <w:rFonts w:ascii="Cambria Math" w:hAnsi="Cambria Math" w:eastAsia="宋体" w:cs="Cambria Math"/>
      <w:b/>
      <w:kern w:val="2"/>
      <w:sz w:val="28"/>
      <w:szCs w:val="20"/>
      <w:lang w:val="en-US" w:eastAsia="zh-CN" w:bidi="ar-SA"/>
    </w:rPr>
  </w:style>
  <w:style w:type="character" w:customStyle="1" w:styleId="25">
    <w:name w:val="heading 6 Char"/>
    <w:basedOn w:val="17"/>
    <w:link w:val="7"/>
    <w:autoRedefine/>
    <w:qFormat/>
    <w:uiPriority w:val="0"/>
    <w:rPr>
      <w:rFonts w:ascii="Arial" w:hAnsi="Arial" w:eastAsia="黑体" w:cs="Cambria Math"/>
      <w:b/>
      <w:kern w:val="2"/>
      <w:sz w:val="24"/>
      <w:szCs w:val="20"/>
      <w:lang w:val="en-US" w:eastAsia="zh-CN" w:bidi="ar-SA"/>
    </w:rPr>
  </w:style>
  <w:style w:type="paragraph" w:customStyle="1" w:styleId="26">
    <w:name w:val="参选文件格式1"/>
    <w:basedOn w:val="1"/>
    <w:next w:val="1"/>
    <w:link w:val="27"/>
    <w:autoRedefine/>
    <w:qFormat/>
    <w:uiPriority w:val="0"/>
    <w:pPr>
      <w:spacing w:line="360" w:lineRule="auto"/>
      <w:ind w:firstLine="0" w:firstLineChars="0"/>
      <w:jc w:val="center"/>
      <w:outlineLvl w:val="1"/>
    </w:pPr>
    <w:rPr>
      <w:b/>
      <w:sz w:val="28"/>
    </w:rPr>
  </w:style>
  <w:style w:type="character" w:customStyle="1" w:styleId="27">
    <w:name w:val="参选文件格式1 Char"/>
    <w:basedOn w:val="17"/>
    <w:link w:val="26"/>
    <w:autoRedefine/>
    <w:qFormat/>
    <w:uiPriority w:val="0"/>
    <w:rPr>
      <w:rFonts w:ascii="Cambria Math" w:hAnsi="Cambria Math" w:eastAsia="宋体" w:cs="Cambria Math"/>
      <w:b/>
      <w:kern w:val="2"/>
      <w:sz w:val="28"/>
      <w:szCs w:val="20"/>
      <w:lang w:val="en-US" w:eastAsia="zh-CN" w:bidi="ar-SA"/>
    </w:rPr>
  </w:style>
  <w:style w:type="paragraph" w:customStyle="1" w:styleId="28">
    <w:name w:val="参选文件格式2"/>
    <w:basedOn w:val="1"/>
    <w:next w:val="1"/>
    <w:autoRedefine/>
    <w:qFormat/>
    <w:uiPriority w:val="0"/>
    <w:pPr>
      <w:ind w:firstLine="0" w:firstLineChars="0"/>
      <w:jc w:val="center"/>
      <w:outlineLvl w:val="2"/>
    </w:pPr>
    <w:rPr>
      <w:bCs/>
      <w:szCs w:val="32"/>
    </w:rPr>
  </w:style>
  <w:style w:type="paragraph" w:customStyle="1" w:styleId="29">
    <w:name w:val="参选文件格式3"/>
    <w:basedOn w:val="1"/>
    <w:link w:val="30"/>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0">
    <w:name w:val="参选文件格式3 Char"/>
    <w:basedOn w:val="17"/>
    <w:link w:val="29"/>
    <w:autoRedefine/>
    <w:qFormat/>
    <w:uiPriority w:val="0"/>
    <w:rPr>
      <w:rFonts w:ascii="宋体" w:hAnsi="宋体" w:eastAsia="宋体" w:cs="Cambria Math"/>
      <w:b/>
      <w:snapToGrid w:val="0"/>
      <w:kern w:val="0"/>
      <w:sz w:val="24"/>
      <w:szCs w:val="20"/>
      <w:lang w:val="en-US" w:eastAsia="zh-CN" w:bidi="ar-SA"/>
    </w:rPr>
  </w:style>
  <w:style w:type="character" w:customStyle="1" w:styleId="31">
    <w:name w:val="font11"/>
    <w:basedOn w:val="17"/>
    <w:autoRedefine/>
    <w:qFormat/>
    <w:uiPriority w:val="0"/>
    <w:rPr>
      <w:rFonts w:ascii="宋体" w:hAnsi="宋体" w:eastAsia="宋体" w:cs="宋体"/>
      <w:b/>
      <w:bCs/>
      <w:color w:val="000000"/>
      <w:sz w:val="21"/>
      <w:szCs w:val="21"/>
      <w:u w:val="none"/>
    </w:rPr>
  </w:style>
  <w:style w:type="character" w:customStyle="1" w:styleId="32">
    <w:name w:val="font21"/>
    <w:basedOn w:val="17"/>
    <w:autoRedefine/>
    <w:qFormat/>
    <w:uiPriority w:val="0"/>
    <w:rPr>
      <w:rFonts w:ascii="宋体" w:hAnsi="宋体" w:eastAsia="宋体" w:cs="宋体"/>
      <w:color w:val="000000"/>
      <w:sz w:val="21"/>
      <w:szCs w:val="21"/>
      <w:u w:val="none"/>
    </w:rPr>
  </w:style>
  <w:style w:type="character" w:customStyle="1" w:styleId="33">
    <w:name w:val="font31"/>
    <w:basedOn w:val="17"/>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960D2-64AB-425B-91E2-35B0D917E167}">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50</Pages>
  <Words>8048</Words>
  <Characters>8911</Characters>
  <Lines>0</Lines>
  <Paragraphs>797</Paragraphs>
  <TotalTime>8</TotalTime>
  <ScaleCrop>false</ScaleCrop>
  <LinksUpToDate>false</LinksUpToDate>
  <CharactersWithSpaces>9076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2024-11-04T09:47:36Z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2136F6DAD7AA48D09467ED57D807437E_13</vt:lpwstr>
  </property>
</Properties>
</file>