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F196">
      <w:pPr>
        <w:tabs>
          <w:tab w:val="center" w:pos="4201"/>
          <w:tab w:val="right" w:leader="dot" w:pos="9298"/>
        </w:tabs>
        <w:spacing w:line="360" w:lineRule="auto"/>
        <w:ind w:firstLine="0" w:firstLineChars="0"/>
        <w:rPr>
          <w:rFonts w:ascii="Times New Roman" w:hAnsi="Times New Roman"/>
          <w:color w:val="auto"/>
          <w:highlight w:val="none"/>
        </w:rPr>
      </w:pPr>
    </w:p>
    <w:p w14:paraId="3179D214">
      <w:pPr>
        <w:spacing w:line="360" w:lineRule="auto"/>
        <w:ind w:firstLine="0" w:firstLineChars="0"/>
        <w:outlineLvl w:val="9"/>
        <w:rPr>
          <w:rFonts w:ascii="Times New Roman" w:hAnsi="Times New Roman" w:cs="Cambria"/>
          <w:b/>
          <w:snapToGrid w:val="0"/>
          <w:color w:val="auto"/>
          <w:kern w:val="0"/>
          <w:sz w:val="52"/>
          <w:szCs w:val="84"/>
          <w:highlight w:val="none"/>
        </w:rPr>
      </w:pPr>
    </w:p>
    <w:p w14:paraId="5C05DD69">
      <w:pPr>
        <w:spacing w:line="360" w:lineRule="auto"/>
        <w:ind w:firstLine="0" w:firstLineChars="0"/>
        <w:jc w:val="center"/>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A21B62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outlineLvl w:val="9"/>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lang w:eastAsia="zh-CN"/>
        </w:rPr>
        <w:t>移动作业管理系统</w:t>
      </w:r>
      <w:r>
        <w:rPr>
          <w:rFonts w:hint="eastAsia" w:ascii="Times New Roman" w:hAnsi="Times New Roman" w:cs="Times New Roman"/>
          <w:b/>
          <w:snapToGrid w:val="0"/>
          <w:color w:val="auto"/>
          <w:kern w:val="0"/>
          <w:sz w:val="48"/>
          <w:szCs w:val="84"/>
          <w:highlight w:val="none"/>
          <w:lang w:val="en-US" w:eastAsia="zh-CN"/>
        </w:rPr>
        <w:t>2024年度优化</w:t>
      </w:r>
      <w:r>
        <w:rPr>
          <w:rFonts w:hint="eastAsia" w:ascii="Times New Roman" w:hAnsi="Times New Roman" w:cs="Times New Roman"/>
          <w:b/>
          <w:snapToGrid w:val="0"/>
          <w:color w:val="auto"/>
          <w:kern w:val="0"/>
          <w:sz w:val="48"/>
          <w:szCs w:val="84"/>
          <w:highlight w:val="none"/>
        </w:rPr>
        <w:t>项目</w:t>
      </w:r>
    </w:p>
    <w:p w14:paraId="37F1FCE7">
      <w:pPr>
        <w:spacing w:line="360" w:lineRule="auto"/>
        <w:ind w:firstLine="0" w:firstLineChars="0"/>
        <w:jc w:val="left"/>
        <w:outlineLvl w:val="9"/>
        <w:rPr>
          <w:rFonts w:ascii="Times New Roman" w:hAnsi="Times New Roman" w:cs="Times New Roman"/>
          <w:snapToGrid w:val="0"/>
          <w:color w:val="auto"/>
          <w:kern w:val="0"/>
          <w:sz w:val="18"/>
          <w:highlight w:val="none"/>
        </w:rPr>
      </w:pPr>
    </w:p>
    <w:p w14:paraId="7E0452B9">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7797C866">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4E7D8A71">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485806C6">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1828AE0B">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20D20565">
      <w:pPr>
        <w:spacing w:line="360" w:lineRule="auto"/>
        <w:ind w:firstLine="0" w:firstLineChars="0"/>
        <w:jc w:val="left"/>
        <w:outlineLvl w:val="9"/>
        <w:rPr>
          <w:rFonts w:ascii="Times New Roman" w:hAnsi="Times New Roman" w:cs="Times New Roman"/>
          <w:snapToGrid w:val="0"/>
          <w:color w:val="auto"/>
          <w:kern w:val="0"/>
          <w:sz w:val="20"/>
          <w:highlight w:val="none"/>
        </w:rPr>
      </w:pPr>
    </w:p>
    <w:p w14:paraId="3E24ED85">
      <w:pPr>
        <w:spacing w:line="360" w:lineRule="auto"/>
        <w:ind w:firstLine="0" w:firstLineChars="0"/>
        <w:jc w:val="center"/>
        <w:outlineLvl w:val="9"/>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46F60272">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6E35F24E">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4972F3C0">
      <w:pPr>
        <w:spacing w:line="360" w:lineRule="auto"/>
        <w:ind w:firstLine="0" w:firstLineChars="0"/>
        <w:jc w:val="center"/>
        <w:outlineLvl w:val="9"/>
        <w:rPr>
          <w:rFonts w:ascii="Times New Roman" w:hAnsi="Times New Roman" w:cs="Times New Roman"/>
          <w:b/>
          <w:snapToGrid w:val="0"/>
          <w:color w:val="auto"/>
          <w:kern w:val="0"/>
          <w:szCs w:val="28"/>
          <w:highlight w:val="none"/>
        </w:rPr>
      </w:pPr>
    </w:p>
    <w:p w14:paraId="5958EF11">
      <w:pPr>
        <w:ind w:firstLine="0" w:firstLineChars="0"/>
        <w:outlineLvl w:val="9"/>
        <w:rPr>
          <w:rFonts w:ascii="Times New Roman" w:hAnsi="Times New Roman"/>
          <w:color w:val="auto"/>
          <w:highlight w:val="none"/>
        </w:rPr>
      </w:pPr>
    </w:p>
    <w:p w14:paraId="5B22B356">
      <w:pPr>
        <w:pStyle w:val="10"/>
        <w:ind w:firstLine="480"/>
        <w:outlineLvl w:val="9"/>
        <w:rPr>
          <w:rFonts w:ascii="Times New Roman" w:hAnsi="Times New Roman"/>
          <w:color w:val="auto"/>
          <w:highlight w:val="none"/>
        </w:rPr>
      </w:pPr>
    </w:p>
    <w:p w14:paraId="41983D26">
      <w:pPr>
        <w:ind w:firstLine="480"/>
        <w:outlineLvl w:val="9"/>
        <w:rPr>
          <w:rFonts w:ascii="Times New Roman" w:hAnsi="Times New Roman"/>
          <w:color w:val="auto"/>
          <w:highlight w:val="none"/>
        </w:rPr>
      </w:pPr>
    </w:p>
    <w:p w14:paraId="2A929355">
      <w:pPr>
        <w:outlineLvl w:val="9"/>
        <w:rPr>
          <w:color w:val="auto"/>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outlineLvl w:val="9"/>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outlineLvl w:val="9"/>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11</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Times New Roman" w:hAnsi="Times New Roman" w:cs="Times New Roman"/>
                <w:b/>
                <w:snapToGrid w:val="0"/>
                <w:color w:val="auto"/>
                <w:kern w:val="0"/>
                <w:sz w:val="30"/>
                <w:szCs w:val="30"/>
                <w:highlight w:val="none"/>
              </w:rPr>
            </w:pPr>
          </w:p>
        </w:tc>
      </w:tr>
    </w:tbl>
    <w:p w14:paraId="02DD1150">
      <w:pPr>
        <w:bidi w:val="0"/>
        <w:outlineLvl w:val="9"/>
        <w:rPr>
          <w:color w:val="auto"/>
          <w:highlight w:val="none"/>
        </w:rPr>
      </w:pPr>
    </w:p>
    <w:p w14:paraId="337DD17B">
      <w:pPr>
        <w:bidi w:val="0"/>
        <w:outlineLvl w:val="9"/>
        <w:rPr>
          <w:color w:val="auto"/>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EAE570E">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30F2002B">
      <w:pPr>
        <w:pStyle w:val="18"/>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_Toc13733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_Toc13733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46406A90">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_Toc23880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_Toc23880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445906B6">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_Toc10311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_Toc10311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49CB31FF">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_Toc5905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_Toc5905 \h </w:instrText>
      </w:r>
      <w:r>
        <w:fldChar w:fldCharType="separate"/>
      </w:r>
      <w:r>
        <w:t>27</w:t>
      </w:r>
      <w:r>
        <w:fldChar w:fldCharType="end"/>
      </w:r>
      <w:r>
        <w:rPr>
          <w:rFonts w:ascii="Times New Roman" w:hAnsi="Times New Roman"/>
          <w:snapToGrid w:val="0"/>
          <w:color w:val="auto"/>
          <w:kern w:val="0"/>
          <w:szCs w:val="24"/>
          <w:highlight w:val="none"/>
        </w:rPr>
        <w:fldChar w:fldCharType="end"/>
      </w:r>
    </w:p>
    <w:p w14:paraId="63884215">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_Toc142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_Toc142 \h </w:instrText>
      </w:r>
      <w:r>
        <w:fldChar w:fldCharType="separate"/>
      </w:r>
      <w:r>
        <w:t>34</w:t>
      </w:r>
      <w:r>
        <w:fldChar w:fldCharType="end"/>
      </w:r>
      <w:r>
        <w:rPr>
          <w:rFonts w:ascii="Times New Roman" w:hAnsi="Times New Roman"/>
          <w:snapToGrid w:val="0"/>
          <w:color w:val="auto"/>
          <w:kern w:val="0"/>
          <w:szCs w:val="24"/>
          <w:highlight w:val="none"/>
        </w:rPr>
        <w:fldChar w:fldCharType="end"/>
      </w:r>
    </w:p>
    <w:p w14:paraId="0AE7A8CE">
      <w:pPr>
        <w:pStyle w:val="18"/>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_Toc23990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_Toc23990 \h </w:instrText>
      </w:r>
      <w:r>
        <w:fldChar w:fldCharType="separate"/>
      </w:r>
      <w:r>
        <w:t>75</w:t>
      </w:r>
      <w:r>
        <w:fldChar w:fldCharType="end"/>
      </w:r>
      <w:r>
        <w:rPr>
          <w:rFonts w:ascii="Times New Roman" w:hAnsi="Times New Roman"/>
          <w:snapToGrid w:val="0"/>
          <w:color w:val="auto"/>
          <w:kern w:val="0"/>
          <w:szCs w:val="24"/>
          <w:highlight w:val="none"/>
        </w:rPr>
        <w:fldChar w:fldCharType="end"/>
      </w:r>
    </w:p>
    <w:p w14:paraId="29A5BB3E">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68F270AD">
      <w:pPr>
        <w:widowControl/>
        <w:ind w:firstLine="480"/>
        <w:jc w:val="left"/>
        <w:rPr>
          <w:rFonts w:ascii="Times New Roman" w:hAnsi="Times New Roman"/>
          <w:snapToGrid w:val="0"/>
          <w:color w:val="auto"/>
          <w:kern w:val="0"/>
          <w:szCs w:val="24"/>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563A2582">
      <w:pPr>
        <w:pStyle w:val="2"/>
        <w:rPr>
          <w:rFonts w:ascii="Times New Roman" w:hAnsi="Times New Roman"/>
          <w:color w:val="auto"/>
          <w:highlight w:val="none"/>
        </w:rPr>
      </w:pPr>
      <w:bookmarkStart w:id="0" w:name="_Toc440628903"/>
      <w:bookmarkStart w:id="1" w:name="_Toc13733"/>
      <w:bookmarkStart w:id="2" w:name="_Toc469574661"/>
      <w:bookmarkStart w:id="3"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2E9506BC">
      <w:pPr>
        <w:ind w:firstLine="480"/>
        <w:rPr>
          <w:rFonts w:ascii="Times New Roman" w:hAnsi="Times New Roman"/>
          <w:color w:val="auto"/>
          <w:highlight w:val="none"/>
        </w:rPr>
      </w:pPr>
      <w:bookmarkStart w:id="4" w:name="_Toc55379218"/>
      <w:bookmarkStart w:id="5" w:name="_Toc89675127"/>
      <w:r>
        <w:rPr>
          <w:rFonts w:hint="eastAsia" w:ascii="Times New Roman" w:hAnsi="Times New Roman"/>
          <w:color w:val="auto"/>
          <w:highlight w:val="none"/>
        </w:rPr>
        <w:t>为满足</w:t>
      </w:r>
      <w:r>
        <w:rPr>
          <w:rFonts w:hint="eastAsia" w:ascii="Times New Roman" w:hAnsi="Times New Roman"/>
          <w:color w:val="auto"/>
          <w:highlight w:val="none"/>
          <w:lang w:eastAsia="zh-CN"/>
        </w:rPr>
        <w:t>移动作业</w:t>
      </w:r>
      <w:r>
        <w:rPr>
          <w:rFonts w:hint="eastAsia" w:ascii="Times New Roman" w:hAnsi="Times New Roman"/>
          <w:color w:val="auto"/>
          <w:highlight w:val="none"/>
        </w:rPr>
        <w:t>业务发展需要，</w:t>
      </w:r>
      <w:r>
        <w:rPr>
          <w:rFonts w:hint="eastAsia" w:ascii="Times New Roman" w:hAnsi="Times New Roman"/>
          <w:color w:val="auto"/>
          <w:highlight w:val="none"/>
          <w:lang w:eastAsia="zh-CN"/>
        </w:rPr>
        <w:t>需</w:t>
      </w:r>
      <w:r>
        <w:rPr>
          <w:rFonts w:hint="eastAsia" w:ascii="Times New Roman" w:hAnsi="Times New Roman"/>
          <w:color w:val="auto"/>
          <w:highlight w:val="none"/>
        </w:rPr>
        <w:t>新增人脸识别登录/授权、现场对公开户功能，</w:t>
      </w:r>
      <w:r>
        <w:rPr>
          <w:rFonts w:hint="eastAsia" w:ascii="Times New Roman" w:hAnsi="Times New Roman"/>
          <w:color w:val="auto"/>
          <w:highlight w:val="none"/>
          <w:lang w:eastAsia="zh-CN"/>
        </w:rPr>
        <w:t>并</w:t>
      </w:r>
      <w:r>
        <w:rPr>
          <w:rFonts w:hint="eastAsia" w:ascii="Times New Roman" w:hAnsi="Times New Roman"/>
          <w:color w:val="auto"/>
          <w:highlight w:val="none"/>
        </w:rPr>
        <w:t>对现有业务功能进一步完善和优化</w:t>
      </w:r>
      <w:r>
        <w:rPr>
          <w:rFonts w:hint="eastAsia" w:ascii="Times New Roman" w:hAnsi="Times New Roman"/>
          <w:color w:val="auto"/>
          <w:highlight w:val="none"/>
          <w:lang w:eastAsia="zh-CN"/>
        </w:rPr>
        <w:t>。同时，</w:t>
      </w:r>
      <w:r>
        <w:rPr>
          <w:rFonts w:hint="eastAsia" w:ascii="Times New Roman" w:hAnsi="Times New Roman"/>
          <w:color w:val="auto"/>
          <w:highlight w:val="none"/>
        </w:rPr>
        <w:t>为提升用户体验，对移动信贷网络接入方式由VPN升级为互联网，并增加访问控制等进行改造，同时系统也需进行安全升级。现对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cs="Cambria"/>
          <w:snapToGrid w:val="0"/>
          <w:color w:val="auto"/>
          <w:kern w:val="0"/>
          <w:szCs w:val="24"/>
          <w:highlight w:val="none"/>
          <w:lang w:eastAsia="zh-CN"/>
        </w:rPr>
        <w:t>移动作业管理系统</w:t>
      </w:r>
      <w:r>
        <w:rPr>
          <w:rFonts w:hint="eastAsia" w:ascii="Times New Roman" w:hAnsi="Times New Roman" w:cs="Cambria"/>
          <w:snapToGrid w:val="0"/>
          <w:color w:val="auto"/>
          <w:kern w:val="0"/>
          <w:szCs w:val="24"/>
          <w:highlight w:val="none"/>
          <w:lang w:val="en-US" w:eastAsia="zh-CN"/>
        </w:rPr>
        <w:t>2024年度优化项目</w:t>
      </w:r>
      <w:r>
        <w:rPr>
          <w:rFonts w:hint="eastAsia" w:ascii="Times New Roman" w:hAnsi="Times New Roman"/>
          <w:color w:val="auto"/>
          <w:highlight w:val="none"/>
        </w:rPr>
        <w:t>进行公开比选，</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49A5DA0C">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D5B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0C0818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211D747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4D27717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20A3A27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385CCC4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FF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C26F8BC">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vAlign w:val="center"/>
          </w:tcPr>
          <w:p w14:paraId="7EED28C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重庆三峡银行移动作业管理系统2024年度优化项目</w:t>
            </w:r>
          </w:p>
        </w:tc>
        <w:tc>
          <w:tcPr>
            <w:tcW w:w="1646" w:type="dxa"/>
            <w:vAlign w:val="center"/>
          </w:tcPr>
          <w:p w14:paraId="78EA0B3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46万元</w:t>
            </w:r>
          </w:p>
        </w:tc>
        <w:tc>
          <w:tcPr>
            <w:tcW w:w="1798" w:type="dxa"/>
            <w:vAlign w:val="center"/>
          </w:tcPr>
          <w:p w14:paraId="04EB1BCA">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1</w:t>
            </w:r>
          </w:p>
        </w:tc>
        <w:tc>
          <w:tcPr>
            <w:tcW w:w="1798" w:type="dxa"/>
            <w:vAlign w:val="center"/>
          </w:tcPr>
          <w:p w14:paraId="13C0F7FE">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eastAsia="zh-CN"/>
              </w:rPr>
              <w:t>含税</w:t>
            </w:r>
          </w:p>
        </w:tc>
      </w:tr>
    </w:tbl>
    <w:p w14:paraId="20B95350">
      <w:pPr>
        <w:pStyle w:val="3"/>
        <w:outlineLvl w:val="1"/>
        <w:rPr>
          <w:rFonts w:ascii="Times New Roman" w:hAnsi="Times New Roman"/>
          <w:color w:val="auto"/>
          <w:highlight w:val="none"/>
        </w:rPr>
      </w:pPr>
      <w:bookmarkStart w:id="7" w:name="_Toc469574664"/>
      <w:bookmarkStart w:id="8" w:name="_Toc288224935"/>
      <w:bookmarkStart w:id="9" w:name="_Toc89675128"/>
      <w:bookmarkStart w:id="10" w:name="_Toc297817088"/>
      <w:bookmarkStart w:id="11" w:name="_Toc55379219"/>
      <w:r>
        <w:rPr>
          <w:rFonts w:hint="eastAsia" w:ascii="Times New Roman" w:hAnsi="Times New Roman"/>
          <w:color w:val="auto"/>
          <w:highlight w:val="none"/>
        </w:rPr>
        <w:t>2. 参选人资格要求</w:t>
      </w:r>
      <w:bookmarkEnd w:id="7"/>
      <w:bookmarkEnd w:id="8"/>
      <w:bookmarkEnd w:id="9"/>
      <w:bookmarkEnd w:id="10"/>
      <w:bookmarkEnd w:id="11"/>
    </w:p>
    <w:p w14:paraId="2D2CAFDA">
      <w:pPr>
        <w:bidi w:val="0"/>
        <w:outlineLvl w:val="2"/>
        <w:rPr>
          <w:rFonts w:hint="eastAsia"/>
          <w:color w:val="auto"/>
          <w:highlight w:val="none"/>
          <w:lang w:val="en-US" w:eastAsia="zh-CN"/>
        </w:rPr>
      </w:pPr>
      <w:bookmarkStart w:id="12" w:name="_Hlk55488870"/>
      <w:r>
        <w:rPr>
          <w:rFonts w:hint="eastAsia"/>
          <w:color w:val="auto"/>
          <w:highlight w:val="none"/>
          <w:lang w:val="en-US" w:eastAsia="zh-CN"/>
        </w:rPr>
        <w:t>2.1 参选人应当具备承担比选项目的能力</w:t>
      </w:r>
    </w:p>
    <w:p w14:paraId="2F84D669">
      <w:pPr>
        <w:bidi w:val="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0857FFCD">
      <w:pPr>
        <w:bidi w:val="0"/>
        <w:rPr>
          <w:rFonts w:hint="default"/>
          <w:color w:val="auto"/>
          <w:highlight w:val="none"/>
          <w:lang w:val="en-US" w:eastAsia="zh-CN"/>
        </w:rPr>
      </w:pPr>
      <w:r>
        <w:rPr>
          <w:rFonts w:hint="eastAsia"/>
          <w:color w:val="auto"/>
          <w:highlight w:val="none"/>
          <w:lang w:val="en-US" w:eastAsia="zh-CN"/>
        </w:rPr>
        <w:t>注：若为法定代表人（分支机构负责人）办理并签署参选文件的，不提供授权委托书。</w:t>
      </w:r>
    </w:p>
    <w:p w14:paraId="50C55332">
      <w:pPr>
        <w:bidi w:val="0"/>
        <w:rPr>
          <w:rFonts w:hint="eastAsia"/>
          <w:color w:val="auto"/>
          <w:highlight w:val="none"/>
          <w:lang w:val="en-US" w:eastAsia="zh-CN"/>
        </w:rPr>
      </w:pPr>
      <w:r>
        <w:rPr>
          <w:rFonts w:hint="eastAsia"/>
          <w:color w:val="auto"/>
          <w:highlight w:val="none"/>
          <w:lang w:val="en-US" w:eastAsia="zh-CN"/>
        </w:rPr>
        <w:t>2.2 具有良好的商业信誉和健全的财务会计制度【提供书面声明】；</w:t>
      </w:r>
    </w:p>
    <w:p w14:paraId="7680F39D">
      <w:pPr>
        <w:bidi w:val="0"/>
        <w:rPr>
          <w:rFonts w:hint="eastAsia"/>
          <w:color w:val="auto"/>
          <w:highlight w:val="none"/>
          <w:lang w:val="en-US" w:eastAsia="zh-CN"/>
        </w:rPr>
      </w:pPr>
      <w:r>
        <w:rPr>
          <w:rFonts w:hint="eastAsia"/>
          <w:color w:val="auto"/>
          <w:highlight w:val="none"/>
          <w:lang w:val="en-US" w:eastAsia="zh-CN"/>
        </w:rPr>
        <w:t>2.3 具有履行合同所必需的设备和专业技术能力【提供书面声明】；</w:t>
      </w:r>
    </w:p>
    <w:p w14:paraId="3AC45588">
      <w:pPr>
        <w:bidi w:val="0"/>
        <w:rPr>
          <w:rFonts w:hint="eastAsia"/>
          <w:color w:val="auto"/>
          <w:highlight w:val="none"/>
          <w:lang w:val="en-US" w:eastAsia="zh-CN"/>
        </w:rPr>
      </w:pPr>
      <w:r>
        <w:rPr>
          <w:rFonts w:hint="eastAsia"/>
          <w:color w:val="auto"/>
          <w:highlight w:val="none"/>
          <w:lang w:val="en-US" w:eastAsia="zh-CN"/>
        </w:rPr>
        <w:t>2.4 有依法缴纳税收和社会保障金的良好记录【提供书面声明】；</w:t>
      </w:r>
    </w:p>
    <w:p w14:paraId="1D0CBD5F">
      <w:pPr>
        <w:bidi w:val="0"/>
        <w:outlineLvl w:val="2"/>
        <w:rPr>
          <w:rFonts w:hint="eastAsia"/>
          <w:color w:val="auto"/>
          <w:highlight w:val="none"/>
          <w:lang w:val="en-US" w:eastAsia="zh-CN"/>
        </w:rPr>
      </w:pPr>
      <w:r>
        <w:rPr>
          <w:rFonts w:hint="eastAsia"/>
          <w:color w:val="auto"/>
          <w:highlight w:val="none"/>
          <w:lang w:val="en-US" w:eastAsia="zh-CN"/>
        </w:rPr>
        <w:t>2.5 三年内在经营活动中没有重大违法记录【提供书面声明】；</w:t>
      </w:r>
    </w:p>
    <w:p w14:paraId="1CE898C6">
      <w:pPr>
        <w:bidi w:val="0"/>
        <w:rPr>
          <w:rFonts w:hint="eastAsia"/>
          <w:color w:val="auto"/>
          <w:highlight w:val="none"/>
          <w:lang w:val="en-US" w:eastAsia="zh-CN"/>
        </w:rPr>
      </w:pPr>
      <w:r>
        <w:rPr>
          <w:rFonts w:hint="eastAsia"/>
          <w:color w:val="auto"/>
          <w:highlight w:val="none"/>
          <w:lang w:val="en-US" w:eastAsia="zh-CN"/>
        </w:rPr>
        <w:t>2.6 法人及法定代表人没有被人民法院列为失信被执行人名单【提供中国执行信息公开网截图</w:t>
      </w:r>
      <w:r>
        <w:rPr>
          <w:rFonts w:hint="eastAsia" w:eastAsia="宋体"/>
          <w:color w:val="auto"/>
          <w:highlight w:val="none"/>
          <w:lang w:val="en-US" w:eastAsia="zh-CN"/>
        </w:rPr>
        <w:t>并加盖单位鲜章</w:t>
      </w:r>
      <w:r>
        <w:rPr>
          <w:rFonts w:hint="eastAsia"/>
          <w:color w:val="auto"/>
          <w:highlight w:val="none"/>
          <w:lang w:val="en-US" w:eastAsia="zh-CN"/>
        </w:rPr>
        <w:t>】；</w:t>
      </w:r>
    </w:p>
    <w:p w14:paraId="6B183937">
      <w:pPr>
        <w:bidi w:val="0"/>
        <w:rPr>
          <w:rFonts w:hint="eastAsia"/>
          <w:color w:val="auto"/>
          <w:highlight w:val="none"/>
          <w:lang w:val="en-US" w:eastAsia="zh-CN"/>
        </w:rPr>
      </w:pPr>
      <w:r>
        <w:rPr>
          <w:rFonts w:hint="eastAsia"/>
          <w:color w:val="auto"/>
          <w:highlight w:val="none"/>
          <w:lang w:val="en-US" w:eastAsia="zh-CN"/>
        </w:rPr>
        <w:t>2.7 本项目不允许任何形式的转包【提供书面声明】。</w:t>
      </w:r>
    </w:p>
    <w:p w14:paraId="434BDD6E">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659CAB6A">
      <w:pPr>
        <w:ind w:firstLine="480"/>
        <w:rPr>
          <w:rFonts w:ascii="Times New Roman" w:hAnsi="Times New Roman"/>
          <w:color w:val="auto"/>
          <w:highlight w:val="none"/>
        </w:rPr>
      </w:pPr>
      <w:r>
        <w:rPr>
          <w:rFonts w:hint="eastAsia" w:ascii="Times New Roman" w:hAnsi="Times New Roman"/>
          <w:color w:val="auto"/>
          <w:highlight w:val="none"/>
        </w:rPr>
        <w:t>2.9 20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月1日至今</w:t>
      </w:r>
      <w:r>
        <w:rPr>
          <w:rFonts w:hint="eastAsia" w:ascii="Times New Roman" w:hAnsi="Times New Roman"/>
          <w:color w:val="auto"/>
          <w:highlight w:val="none"/>
          <w:lang w:eastAsia="zh-CN"/>
        </w:rPr>
        <w:t>（以合同签订时间为准）</w:t>
      </w:r>
      <w:r>
        <w:rPr>
          <w:rFonts w:hint="eastAsia" w:ascii="Times New Roman" w:hAnsi="Times New Roman"/>
          <w:color w:val="auto"/>
          <w:highlight w:val="none"/>
        </w:rPr>
        <w:t>具有</w:t>
      </w:r>
      <w:r>
        <w:rPr>
          <w:rFonts w:hint="eastAsia" w:ascii="Times New Roman" w:hAnsi="Times New Roman"/>
          <w:color w:val="auto"/>
          <w:highlight w:val="none"/>
          <w:lang w:eastAsia="zh-CN"/>
        </w:rPr>
        <w:t>移动作业管理系统</w:t>
      </w:r>
      <w:r>
        <w:rPr>
          <w:rFonts w:hint="eastAsia" w:ascii="Times New Roman" w:hAnsi="Times New Roman"/>
          <w:color w:val="auto"/>
          <w:highlight w:val="none"/>
        </w:rPr>
        <w:t>相关实施案例不少于</w:t>
      </w:r>
      <w:r>
        <w:rPr>
          <w:rFonts w:hint="default" w:ascii="Times New Roman" w:hAnsi="Times New Roman"/>
          <w:color w:val="auto"/>
          <w:highlight w:val="none"/>
          <w:lang w:val="en-US"/>
        </w:rPr>
        <w:t>5</w:t>
      </w:r>
      <w:r>
        <w:rPr>
          <w:rFonts w:hint="eastAsia" w:ascii="Times New Roman" w:hAnsi="Times New Roman"/>
          <w:color w:val="auto"/>
          <w:highlight w:val="none"/>
        </w:rPr>
        <w:t>家，低于</w:t>
      </w:r>
      <w:r>
        <w:rPr>
          <w:rFonts w:hint="default" w:ascii="Times New Roman" w:hAnsi="Times New Roman"/>
          <w:color w:val="auto"/>
          <w:highlight w:val="none"/>
          <w:lang w:val="en-US"/>
        </w:rPr>
        <w:t>5</w:t>
      </w:r>
      <w:r>
        <w:rPr>
          <w:rFonts w:hint="eastAsia" w:ascii="Times New Roman" w:hAnsi="Times New Roman"/>
          <w:color w:val="auto"/>
          <w:highlight w:val="none"/>
        </w:rPr>
        <w:t>个案例（不含</w:t>
      </w:r>
      <w:r>
        <w:rPr>
          <w:rFonts w:hint="default" w:ascii="Times New Roman" w:hAnsi="Times New Roman"/>
          <w:color w:val="auto"/>
          <w:highlight w:val="none"/>
          <w:lang w:val="en-US"/>
        </w:rPr>
        <w:t>5</w:t>
      </w:r>
      <w:r>
        <w:rPr>
          <w:rFonts w:hint="eastAsia" w:ascii="Times New Roman" w:hAnsi="Times New Roman"/>
          <w:color w:val="auto"/>
          <w:highlight w:val="none"/>
        </w:rPr>
        <w:t>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2AE70E26">
      <w:pPr>
        <w:rPr>
          <w:rFonts w:ascii="Times New Roman" w:hAnsi="Times New Roman" w:cs="Times New Roman"/>
          <w:color w:val="auto"/>
          <w:highlight w:val="none"/>
        </w:rPr>
      </w:pPr>
      <w:r>
        <w:rPr>
          <w:rFonts w:hint="eastAsia" w:ascii="Times New Roman" w:hAnsi="Times New Roman"/>
          <w:color w:val="auto"/>
          <w:highlight w:val="none"/>
        </w:rPr>
        <w:t xml:space="preserve">2.10 </w:t>
      </w:r>
      <w:r>
        <w:rPr>
          <w:rFonts w:ascii="Times New Roman" w:hAnsi="Times New Roman" w:cs="Times New Roman"/>
          <w:color w:val="auto"/>
          <w:highlight w:val="none"/>
        </w:rPr>
        <w:t>参选人注册成立时间不少于3年，且近3年财务状况稳定。</w:t>
      </w:r>
      <w:bookmarkStart w:id="13" w:name="_Hlk47356067"/>
      <w:r>
        <w:rPr>
          <w:rFonts w:ascii="Times New Roman" w:hAnsi="Times New Roman" w:cs="Times New Roman"/>
          <w:color w:val="auto"/>
          <w:highlight w:val="none"/>
        </w:rPr>
        <w:t>且参选人须具有本次比选内容所涉及的第三方软件代理资格（含开源软件的合法授权），取得本次比选内容所涉及的第三方软件产品的原厂商授权书或确认函（</w:t>
      </w:r>
      <w:r>
        <w:rPr>
          <w:rFonts w:hint="eastAsia"/>
          <w:color w:val="auto"/>
          <w:highlight w:val="none"/>
        </w:rPr>
        <w:t>如不涉及第三方软件，则提供未使用第三方软件产品确认函</w:t>
      </w:r>
      <w:r>
        <w:rPr>
          <w:rFonts w:ascii="Times New Roman" w:hAnsi="Times New Roman" w:cs="Times New Roman"/>
          <w:color w:val="auto"/>
          <w:highlight w:val="none"/>
        </w:rPr>
        <w:t>）</w:t>
      </w:r>
      <w:bookmarkEnd w:id="13"/>
      <w:r>
        <w:rPr>
          <w:rFonts w:ascii="Times New Roman" w:hAnsi="Times New Roman" w:cs="Times New Roman"/>
          <w:color w:val="auto"/>
          <w:highlight w:val="none"/>
        </w:rPr>
        <w:t>。【注册成立时间提供营业执照、财务状况提供书面声明、代理资格提供第三方软件产品的原厂商授权书或确认函】</w:t>
      </w:r>
    </w:p>
    <w:p w14:paraId="70BDBA42">
      <w:pPr>
        <w:ind w:firstLine="480"/>
        <w:rPr>
          <w:rFonts w:hint="default" w:ascii="Times New Roman" w:hAnsi="Times New Roman"/>
          <w:color w:val="auto"/>
          <w:highlight w:val="none"/>
          <w:lang w:val="en-US"/>
        </w:rPr>
      </w:pPr>
      <w:r>
        <w:rPr>
          <w:rFonts w:hint="eastAsia" w:ascii="Times New Roman" w:hAnsi="Times New Roman" w:cs="Times New Roman"/>
          <w:color w:val="auto"/>
          <w:highlight w:val="none"/>
          <w:lang w:val="en-US" w:eastAsia="zh-CN"/>
        </w:rPr>
        <w:t>2.11参选人需具有ISO9001（质量管理）/ISO20000（服务管理）/ISO14001（信息安全）/ISO22301（业务连续性）认证；CMMI3级及以上认证；国家高新技术企业认证。</w:t>
      </w:r>
      <w:r>
        <w:rPr>
          <w:rFonts w:cs="Times New Roman"/>
          <w:color w:val="auto"/>
          <w:highlight w:val="none"/>
        </w:rPr>
        <w:t>【提供</w:t>
      </w:r>
      <w:r>
        <w:rPr>
          <w:rFonts w:hint="eastAsia" w:cs="Times New Roman"/>
          <w:color w:val="auto"/>
          <w:highlight w:val="none"/>
        </w:rPr>
        <w:t>：1、ISO相关认证材料；2、CMMI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材料；3、</w:t>
      </w:r>
      <w:r>
        <w:rPr>
          <w:rFonts w:cs="Times New Roman"/>
          <w:color w:val="auto"/>
          <w:highlight w:val="none"/>
        </w:rPr>
        <w:t>国家高新技术企业认证</w:t>
      </w:r>
      <w:r>
        <w:rPr>
          <w:rFonts w:hint="eastAsia" w:cs="Times New Roman"/>
          <w:color w:val="auto"/>
          <w:highlight w:val="none"/>
        </w:rPr>
        <w:t>材料</w:t>
      </w:r>
      <w:r>
        <w:rPr>
          <w:rFonts w:cs="Times New Roman"/>
          <w:color w:val="auto"/>
          <w:highlight w:val="none"/>
        </w:rPr>
        <w:t>】</w:t>
      </w:r>
    </w:p>
    <w:p w14:paraId="12360677">
      <w:pPr>
        <w:ind w:firstLine="420"/>
        <w:rPr>
          <w:color w:val="auto"/>
          <w:highlight w:val="none"/>
        </w:rPr>
      </w:pPr>
      <w:r>
        <w:rPr>
          <w:rFonts w:hint="eastAsia"/>
          <w:color w:val="auto"/>
          <w:highlight w:val="none"/>
        </w:rPr>
        <w:t>注:以上证明文件若比选人存疑，参选人需提供原件备查，参选文件中须附相关证明文件复印件并逐页加盖公章。</w:t>
      </w:r>
    </w:p>
    <w:p w14:paraId="3DA2AD57">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126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454C94B">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52334E5C">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6B71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B75A63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0FE55C6A">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0C41E92C">
      <w:pPr>
        <w:ind w:firstLine="480"/>
        <w:rPr>
          <w:rFonts w:ascii="Times New Roman" w:hAnsi="Times New Roman"/>
          <w:color w:val="auto"/>
          <w:highlight w:val="none"/>
        </w:rPr>
      </w:pPr>
    </w:p>
    <w:bookmarkEnd w:id="12"/>
    <w:p w14:paraId="530C86A8">
      <w:pPr>
        <w:pStyle w:val="3"/>
        <w:outlineLvl w:val="1"/>
        <w:rPr>
          <w:rFonts w:ascii="Times New Roman" w:hAnsi="Times New Roman"/>
          <w:color w:val="auto"/>
          <w:highlight w:val="none"/>
        </w:rPr>
      </w:pPr>
      <w:bookmarkStart w:id="14" w:name="_Toc55379220"/>
      <w:bookmarkStart w:id="15" w:name="_Toc297817090"/>
      <w:bookmarkStart w:id="16" w:name="_Toc469574667"/>
      <w:bookmarkStart w:id="17" w:name="_Toc89675130"/>
      <w:r>
        <w:rPr>
          <w:rFonts w:hint="eastAsia" w:ascii="Times New Roman" w:hAnsi="Times New Roman"/>
          <w:color w:val="auto"/>
          <w:highlight w:val="none"/>
        </w:rPr>
        <w:t>3. 比选文件的获取</w:t>
      </w:r>
      <w:bookmarkEnd w:id="14"/>
    </w:p>
    <w:p w14:paraId="0F440B81">
      <w:pPr>
        <w:ind w:firstLine="420"/>
        <w:rPr>
          <w:color w:val="auto"/>
          <w:highlight w:val="none"/>
        </w:rPr>
      </w:pPr>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27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079FE33">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12</w:t>
      </w:r>
      <w:r>
        <w:rPr>
          <w:rFonts w:hint="eastAsia"/>
          <w:color w:val="auto"/>
          <w:highlight w:val="none"/>
        </w:rPr>
        <w:t>日到</w:t>
      </w:r>
      <w:r>
        <w:rPr>
          <w:rFonts w:hint="eastAsia"/>
          <w:color w:val="auto"/>
          <w:highlight w:val="none"/>
          <w:u w:val="single"/>
        </w:rPr>
        <w:t>参选截止时间</w:t>
      </w:r>
      <w:r>
        <w:rPr>
          <w:rFonts w:hint="eastAsia"/>
          <w:color w:val="auto"/>
          <w:highlight w:val="none"/>
        </w:rPr>
        <w:t>，在重庆市公共资源交易网（www.cqggzy.com）下载比选文件。</w:t>
      </w:r>
    </w:p>
    <w:p w14:paraId="2319B60F">
      <w:pPr>
        <w:ind w:firstLine="420"/>
        <w:rPr>
          <w:color w:val="auto"/>
          <w:highlight w:val="none"/>
        </w:rPr>
      </w:pPr>
      <w:r>
        <w:rPr>
          <w:rFonts w:hint="eastAsia"/>
          <w:color w:val="auto"/>
          <w:highlight w:val="none"/>
        </w:rPr>
        <w:t xml:space="preserve">3.3 参选人在下载比选文件后，应仔细检查比选文件的所有内容，如有残缺或文字表述不清，以及存在错、碰、漏、缺、概念模糊和有可能出现歧义或理解上的偏差的内容等应在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15</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C6A1486">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E13879E">
      <w:pPr>
        <w:pStyle w:val="3"/>
        <w:outlineLvl w:val="1"/>
        <w:rPr>
          <w:rFonts w:ascii="Times New Roman" w:hAnsi="Times New Roman"/>
          <w:color w:val="auto"/>
          <w:highlight w:val="none"/>
        </w:rPr>
      </w:pPr>
      <w:bookmarkStart w:id="18" w:name="_Toc55379221"/>
      <w:r>
        <w:rPr>
          <w:rFonts w:hint="eastAsia" w:ascii="Times New Roman" w:hAnsi="Times New Roman"/>
          <w:color w:val="auto"/>
          <w:highlight w:val="none"/>
        </w:rPr>
        <w:t>4. 参选保证金的递交</w:t>
      </w:r>
      <w:bookmarkEnd w:id="15"/>
      <w:bookmarkEnd w:id="16"/>
      <w:bookmarkEnd w:id="17"/>
      <w:bookmarkEnd w:id="18"/>
    </w:p>
    <w:p w14:paraId="66AD8DCF">
      <w:pPr>
        <w:ind w:firstLine="480"/>
        <w:outlineLvl w:val="2"/>
        <w:rPr>
          <w:rFonts w:ascii="Times New Roman" w:hAnsi="Times New Roman"/>
          <w:color w:val="auto"/>
          <w:highlight w:val="none"/>
        </w:rPr>
      </w:pPr>
      <w:bookmarkStart w:id="19" w:name="_Toc297817091"/>
      <w:bookmarkStart w:id="20" w:name="_Toc55379222"/>
      <w:bookmarkStart w:id="21" w:name="_Toc469574668"/>
      <w:bookmarkStart w:id="22" w:name="_Toc89675131"/>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lang w:val="en-US" w:eastAsia="zh-CN"/>
        </w:rPr>
        <w:t>9,</w:t>
      </w:r>
      <w:r>
        <w:rPr>
          <w:rFonts w:hint="default" w:ascii="Times New Roman" w:hAnsi="Times New Roman"/>
          <w:b/>
          <w:bCs/>
          <w:color w:val="auto"/>
          <w:highlight w:val="none"/>
          <w:u w:val="single"/>
          <w:lang w:val="en-US" w:eastAsia="zh-CN"/>
        </w:rPr>
        <w:t>000</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lang w:eastAsia="zh-CN"/>
        </w:rPr>
        <w:t>玖仟元整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3F1EC20A">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C7CA3BE">
      <w:pPr>
        <w:ind w:firstLine="482"/>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lang w:eastAsia="zh-CN"/>
        </w:rPr>
        <w:t>三峡银行移动作业</w:t>
      </w:r>
      <w:r>
        <w:rPr>
          <w:rFonts w:hint="eastAsia" w:ascii="Times New Roman" w:hAnsi="Times New Roman"/>
          <w:b/>
          <w:bCs/>
          <w:color w:val="auto"/>
          <w:highlight w:val="none"/>
          <w:u w:val="single"/>
        </w:rPr>
        <w:t>项目</w:t>
      </w:r>
      <w:r>
        <w:rPr>
          <w:rFonts w:hint="eastAsia" w:ascii="Times New Roman" w:hAnsi="Times New Roman"/>
          <w:b/>
          <w:bCs/>
          <w:color w:val="auto"/>
          <w:highlight w:val="none"/>
        </w:rPr>
        <w:t>。</w:t>
      </w:r>
    </w:p>
    <w:p w14:paraId="0F8781B0">
      <w:pPr>
        <w:ind w:firstLine="420"/>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27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5C8700E5">
      <w:pPr>
        <w:ind w:firstLine="420"/>
        <w:outlineLvl w:val="2"/>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423A47BA">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0DE920C">
      <w:pPr>
        <w:ind w:firstLine="420"/>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14:paraId="30D4F42F">
      <w:pPr>
        <w:pStyle w:val="3"/>
        <w:outlineLvl w:val="1"/>
        <w:rPr>
          <w:rFonts w:ascii="Times New Roman" w:hAnsi="Times New Roman"/>
          <w:color w:val="auto"/>
          <w:highlight w:val="none"/>
        </w:rPr>
      </w:pPr>
      <w:r>
        <w:rPr>
          <w:rFonts w:hint="eastAsia" w:ascii="Times New Roman" w:hAnsi="Times New Roman"/>
          <w:color w:val="auto"/>
          <w:highlight w:val="none"/>
        </w:rPr>
        <w:t>5. 参选文件的递交</w:t>
      </w:r>
    </w:p>
    <w:p w14:paraId="59B2506A">
      <w:pPr>
        <w:ind w:firstLine="420"/>
        <w:rPr>
          <w:color w:val="auto"/>
          <w:highlight w:val="none"/>
        </w:rPr>
      </w:pPr>
      <w:bookmarkStart w:id="23" w:name="_Toc89675132"/>
      <w:bookmarkStart w:id="24" w:name="_Toc55379223"/>
      <w:bookmarkStart w:id="25" w:name="_Toc469574669"/>
      <w:r>
        <w:rPr>
          <w:rFonts w:hint="eastAsia"/>
          <w:color w:val="auto"/>
          <w:highlight w:val="none"/>
        </w:rPr>
        <w:t>5.1 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11</w:t>
      </w:r>
      <w:r>
        <w:rPr>
          <w:rFonts w:hint="eastAsia"/>
          <w:color w:val="auto"/>
          <w:highlight w:val="none"/>
        </w:rPr>
        <w:t>月</w:t>
      </w:r>
      <w:r>
        <w:rPr>
          <w:rFonts w:hint="eastAsia"/>
          <w:color w:val="auto"/>
          <w:highlight w:val="none"/>
          <w:u w:val="single"/>
          <w:lang w:val="en-US" w:eastAsia="zh-CN"/>
        </w:rPr>
        <w:t>27</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分(北京时间)至</w:t>
      </w:r>
      <w:r>
        <w:rPr>
          <w:rFonts w:hint="eastAsia"/>
          <w:color w:val="auto"/>
          <w:highlight w:val="none"/>
          <w:u w:val="single"/>
        </w:rPr>
        <w:t>参选截止时间</w:t>
      </w:r>
      <w:r>
        <w:rPr>
          <w:rFonts w:hint="eastAsia"/>
          <w:color w:val="auto"/>
          <w:highlight w:val="none"/>
        </w:rPr>
        <w:t>。</w:t>
      </w:r>
    </w:p>
    <w:p w14:paraId="28C3DE8E">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7D3DC493">
      <w:pPr>
        <w:ind w:firstLine="420"/>
        <w:outlineLvl w:val="2"/>
        <w:rPr>
          <w:color w:val="auto"/>
          <w:highlight w:val="none"/>
        </w:rPr>
      </w:pPr>
      <w:r>
        <w:rPr>
          <w:rFonts w:hint="eastAsia"/>
          <w:color w:val="auto"/>
          <w:highlight w:val="none"/>
        </w:rPr>
        <w:t>5.3 逾期送达的参选文件，不予接收。</w:t>
      </w:r>
    </w:p>
    <w:p w14:paraId="3AB23FE8">
      <w:pPr>
        <w:pStyle w:val="3"/>
        <w:outlineLvl w:val="1"/>
        <w:rPr>
          <w:rFonts w:ascii="Times New Roman" w:hAnsi="Times New Roman"/>
          <w:color w:val="auto"/>
          <w:highlight w:val="none"/>
        </w:rPr>
      </w:pPr>
      <w:r>
        <w:rPr>
          <w:rFonts w:hint="eastAsia" w:ascii="Times New Roman" w:hAnsi="Times New Roman"/>
          <w:color w:val="auto"/>
          <w:highlight w:val="none"/>
        </w:rPr>
        <w:t>6. 发布公告的媒介</w:t>
      </w:r>
      <w:bookmarkEnd w:id="23"/>
      <w:bookmarkEnd w:id="24"/>
      <w:bookmarkEnd w:id="25"/>
    </w:p>
    <w:p w14:paraId="5470E29C">
      <w:pPr>
        <w:ind w:firstLine="420"/>
        <w:rPr>
          <w:color w:val="auto"/>
          <w:highlight w:val="none"/>
        </w:rPr>
      </w:pPr>
      <w:bookmarkStart w:id="26" w:name="_Toc469574670"/>
      <w:bookmarkStart w:id="27" w:name="_Toc89675133"/>
      <w:bookmarkStart w:id="28" w:name="_Toc55379224"/>
      <w:bookmarkStart w:id="29" w:name="_Toc250565211"/>
      <w:r>
        <w:rPr>
          <w:rFonts w:hint="eastAsia"/>
          <w:color w:val="auto"/>
          <w:highlight w:val="none"/>
        </w:rPr>
        <w:t>本次比选公告同时在《重庆市公共资源交易网（www.cqggzy.com）》《重庆三峡银行官网（https://www.ccqtgb.com）》和《中国招标投标公共服务平台（http://www.cebpubservice.com）》上发布。</w:t>
      </w:r>
    </w:p>
    <w:p w14:paraId="0F85D7BA">
      <w:pPr>
        <w:pStyle w:val="3"/>
        <w:outlineLvl w:val="1"/>
        <w:rPr>
          <w:rFonts w:ascii="Times New Roman" w:hAnsi="Times New Roman"/>
          <w:color w:val="auto"/>
          <w:highlight w:val="none"/>
        </w:rPr>
      </w:pPr>
      <w:r>
        <w:rPr>
          <w:rFonts w:hint="eastAsia" w:ascii="Times New Roman" w:hAnsi="Times New Roman"/>
          <w:color w:val="auto"/>
          <w:highlight w:val="none"/>
        </w:rPr>
        <w:t>7. 联系方式</w:t>
      </w:r>
      <w:bookmarkEnd w:id="26"/>
      <w:bookmarkEnd w:id="27"/>
      <w:bookmarkEnd w:id="28"/>
      <w:bookmarkEnd w:id="29"/>
    </w:p>
    <w:p w14:paraId="6CA215A8">
      <w:pPr>
        <w:ind w:firstLine="480"/>
        <w:rPr>
          <w:rFonts w:ascii="Times New Roman" w:hAnsi="Times New Roman"/>
          <w:color w:val="auto"/>
          <w:highlight w:val="none"/>
        </w:rPr>
      </w:pPr>
    </w:p>
    <w:p w14:paraId="0AA0C480">
      <w:pPr>
        <w:ind w:firstLine="480"/>
        <w:rPr>
          <w:rFonts w:ascii="Times New Roman" w:hAnsi="Times New Roman"/>
          <w:color w:val="auto"/>
          <w:highlight w:val="none"/>
        </w:rPr>
      </w:pPr>
    </w:p>
    <w:tbl>
      <w:tblPr>
        <w:tblStyle w:val="21"/>
        <w:tblW w:w="0" w:type="auto"/>
        <w:tblInd w:w="0" w:type="dxa"/>
        <w:tblLayout w:type="fixed"/>
        <w:tblCellMar>
          <w:top w:w="0" w:type="dxa"/>
          <w:left w:w="108" w:type="dxa"/>
          <w:bottom w:w="0" w:type="dxa"/>
          <w:right w:w="108" w:type="dxa"/>
        </w:tblCellMar>
      </w:tblPr>
      <w:tblGrid>
        <w:gridCol w:w="3090"/>
        <w:gridCol w:w="5333"/>
      </w:tblGrid>
      <w:tr w14:paraId="27E9B2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B4101AB">
            <w:pPr>
              <w:ind w:firstLine="0" w:firstLineChars="0"/>
              <w:jc w:val="left"/>
              <w:rPr>
                <w:color w:val="auto"/>
                <w:highlight w:val="none"/>
              </w:rPr>
            </w:pPr>
            <w:r>
              <w:rPr>
                <w:rFonts w:hint="eastAsia"/>
                <w:color w:val="auto"/>
                <w:highlight w:val="none"/>
              </w:rPr>
              <w:t>7.1 项目需求咨询</w:t>
            </w:r>
          </w:p>
        </w:tc>
      </w:tr>
      <w:tr w14:paraId="3C440BA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B708C05">
            <w:pPr>
              <w:ind w:firstLine="0" w:firstLineChars="0"/>
              <w:jc w:val="left"/>
              <w:rPr>
                <w:rFonts w:cs="宋体"/>
                <w:color w:val="auto"/>
                <w:szCs w:val="21"/>
                <w:highlight w:val="none"/>
              </w:rPr>
            </w:pPr>
            <w:r>
              <w:rPr>
                <w:rFonts w:hint="eastAsia"/>
                <w:color w:val="auto"/>
                <w:highlight w:val="none"/>
              </w:rPr>
              <w:t>项目联系人：</w:t>
            </w:r>
            <w:r>
              <w:rPr>
                <w:rFonts w:hint="eastAsia" w:ascii="Times New Roman" w:hAnsi="Times New Roman" w:cs="宋体"/>
                <w:color w:val="auto"/>
                <w:sz w:val="21"/>
                <w:szCs w:val="21"/>
                <w:highlight w:val="none"/>
                <w:lang w:eastAsia="zh-CN"/>
              </w:rPr>
              <w:t>邓海浪</w:t>
            </w:r>
          </w:p>
        </w:tc>
        <w:tc>
          <w:tcPr>
            <w:tcW w:w="5333" w:type="dxa"/>
            <w:tcBorders>
              <w:top w:val="nil"/>
              <w:left w:val="nil"/>
              <w:bottom w:val="nil"/>
              <w:right w:val="single" w:color="auto" w:sz="4" w:space="0"/>
            </w:tcBorders>
          </w:tcPr>
          <w:p w14:paraId="37B88145">
            <w:pPr>
              <w:ind w:firstLine="0" w:firstLineChars="0"/>
              <w:jc w:val="left"/>
              <w:rPr>
                <w:rFonts w:cs="宋体"/>
                <w:color w:val="auto"/>
                <w:szCs w:val="21"/>
                <w:highlight w:val="none"/>
              </w:rPr>
            </w:pPr>
            <w:r>
              <w:rPr>
                <w:rFonts w:hint="eastAsia"/>
                <w:color w:val="auto"/>
                <w:highlight w:val="none"/>
              </w:rPr>
              <w:t>联系方式：</w:t>
            </w:r>
            <w:r>
              <w:rPr>
                <w:rFonts w:hint="eastAsia" w:ascii="Times New Roman" w:hAnsi="Times New Roman" w:cs="宋体"/>
                <w:color w:val="auto"/>
                <w:sz w:val="21"/>
                <w:szCs w:val="21"/>
                <w:highlight w:val="none"/>
                <w:lang w:val="en-US" w:eastAsia="zh-CN"/>
              </w:rPr>
              <w:t>18580025012</w:t>
            </w:r>
          </w:p>
        </w:tc>
      </w:tr>
      <w:tr w14:paraId="615F574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012D6">
            <w:pPr>
              <w:ind w:firstLine="0" w:firstLineChars="0"/>
              <w:jc w:val="left"/>
              <w:rPr>
                <w:color w:val="auto"/>
                <w:highlight w:val="none"/>
              </w:rPr>
            </w:pPr>
          </w:p>
        </w:tc>
      </w:tr>
      <w:tr w14:paraId="5FA2C40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55B0D">
            <w:pPr>
              <w:ind w:firstLine="0" w:firstLineChars="0"/>
              <w:jc w:val="left"/>
              <w:rPr>
                <w:color w:val="auto"/>
                <w:highlight w:val="none"/>
              </w:rPr>
            </w:pPr>
            <w:r>
              <w:rPr>
                <w:rFonts w:hint="eastAsia"/>
                <w:color w:val="auto"/>
                <w:highlight w:val="none"/>
              </w:rPr>
              <w:t>7.2 项目流程咨询</w:t>
            </w:r>
          </w:p>
        </w:tc>
      </w:tr>
      <w:tr w14:paraId="06DE5F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475D99">
            <w:pPr>
              <w:ind w:firstLine="0" w:firstLineChars="0"/>
              <w:jc w:val="left"/>
              <w:rPr>
                <w:color w:val="auto"/>
                <w:highlight w:val="none"/>
              </w:rPr>
            </w:pPr>
            <w:r>
              <w:rPr>
                <w:rFonts w:hint="eastAsia"/>
                <w:color w:val="auto"/>
                <w:highlight w:val="none"/>
              </w:rPr>
              <w:t>平台服务机构：重庆联合产权交易所集团股份有限公司</w:t>
            </w:r>
          </w:p>
        </w:tc>
      </w:tr>
      <w:tr w14:paraId="0243050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BF9A5C0">
            <w:pPr>
              <w:ind w:firstLine="0" w:firstLineChars="0"/>
              <w:jc w:val="left"/>
              <w:rPr>
                <w:rFonts w:cs="宋体"/>
                <w:color w:val="auto"/>
                <w:szCs w:val="21"/>
                <w:highlight w:val="none"/>
              </w:rPr>
            </w:pPr>
            <w:r>
              <w:rPr>
                <w:rFonts w:hint="eastAsia"/>
                <w:color w:val="auto"/>
                <w:highlight w:val="none"/>
              </w:rPr>
              <w:t>平台联系人：</w:t>
            </w:r>
            <w:r>
              <w:rPr>
                <w:rFonts w:hint="eastAsia"/>
                <w:color w:val="auto"/>
                <w:highlight w:val="none"/>
                <w:lang w:val="en-US" w:eastAsia="zh-CN"/>
              </w:rPr>
              <w:t>张</w:t>
            </w:r>
            <w:r>
              <w:rPr>
                <w:rFonts w:hint="eastAsia"/>
                <w:color w:val="auto"/>
                <w:highlight w:val="none"/>
              </w:rPr>
              <w:t>老师</w:t>
            </w:r>
          </w:p>
        </w:tc>
        <w:tc>
          <w:tcPr>
            <w:tcW w:w="5333" w:type="dxa"/>
            <w:tcBorders>
              <w:top w:val="nil"/>
              <w:left w:val="nil"/>
              <w:bottom w:val="nil"/>
              <w:right w:val="single" w:color="auto" w:sz="4" w:space="0"/>
            </w:tcBorders>
          </w:tcPr>
          <w:p w14:paraId="53586C63">
            <w:pPr>
              <w:ind w:firstLine="0" w:firstLineChars="0"/>
              <w:jc w:val="left"/>
              <w:rPr>
                <w:rFonts w:cs="宋体"/>
                <w:color w:val="auto"/>
                <w:szCs w:val="21"/>
                <w:highlight w:val="none"/>
              </w:rPr>
            </w:pPr>
            <w:r>
              <w:rPr>
                <w:rFonts w:hint="eastAsia"/>
                <w:color w:val="auto"/>
                <w:highlight w:val="none"/>
              </w:rPr>
              <w:t>联系方式：023-63621694</w:t>
            </w:r>
          </w:p>
        </w:tc>
      </w:tr>
      <w:tr w14:paraId="6CB587E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453F3">
            <w:pPr>
              <w:ind w:firstLine="0" w:firstLineChars="0"/>
              <w:jc w:val="left"/>
              <w:rPr>
                <w:color w:val="auto"/>
                <w:highlight w:val="none"/>
              </w:rPr>
            </w:pPr>
          </w:p>
        </w:tc>
      </w:tr>
      <w:tr w14:paraId="0ECE1BD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2B14EA">
            <w:pPr>
              <w:ind w:firstLine="0" w:firstLineChars="0"/>
              <w:jc w:val="left"/>
              <w:rPr>
                <w:color w:val="auto"/>
                <w:highlight w:val="none"/>
              </w:rPr>
            </w:pPr>
            <w:r>
              <w:rPr>
                <w:rFonts w:hint="eastAsia"/>
                <w:color w:val="auto"/>
                <w:highlight w:val="none"/>
              </w:rPr>
              <w:t>7.3 比选人联系方式</w:t>
            </w:r>
          </w:p>
        </w:tc>
      </w:tr>
      <w:tr w14:paraId="37F11A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40DED5B">
            <w:pPr>
              <w:ind w:firstLine="0" w:firstLineChars="0"/>
              <w:jc w:val="left"/>
              <w:rPr>
                <w:rFonts w:cs="宋体"/>
                <w:color w:val="auto"/>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75577A05">
            <w:pPr>
              <w:ind w:firstLine="0" w:firstLineChars="0"/>
              <w:jc w:val="left"/>
              <w:rPr>
                <w:rFonts w:cs="宋体"/>
                <w:color w:val="auto"/>
                <w:szCs w:val="21"/>
                <w:highlight w:val="none"/>
              </w:rPr>
            </w:pPr>
            <w:r>
              <w:rPr>
                <w:rFonts w:hint="eastAsia"/>
                <w:color w:val="auto"/>
                <w:highlight w:val="none"/>
              </w:rPr>
              <w:t>联系方式：023-88890395</w:t>
            </w:r>
          </w:p>
        </w:tc>
      </w:tr>
      <w:tr w14:paraId="17B20D6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78C2D49">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6F7DBD25">
      <w:pPr>
        <w:ind w:firstLine="480"/>
        <w:rPr>
          <w:rFonts w:ascii="Times New Roman" w:hAnsi="Times New Roman"/>
          <w:color w:val="auto"/>
          <w:highlight w:val="none"/>
        </w:rPr>
      </w:pPr>
    </w:p>
    <w:p w14:paraId="107E919F">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7AE331B4">
      <w:pPr>
        <w:ind w:firstLine="480"/>
        <w:jc w:val="right"/>
        <w:outlineLvl w:val="0"/>
        <w:rPr>
          <w:rFonts w:ascii="Times New Roman" w:hAnsi="Times New Roman"/>
          <w:color w:val="auto"/>
          <w:highlight w:val="none"/>
        </w:rPr>
      </w:pPr>
      <w:bookmarkStart w:id="30" w:name="_Toc28654"/>
      <w:bookmarkStart w:id="31" w:name="_Toc8874"/>
      <w:bookmarkStart w:id="32" w:name="_Toc7587"/>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11</w:t>
      </w:r>
      <w:r>
        <w:rPr>
          <w:rFonts w:hint="eastAsia" w:ascii="Times New Roman" w:hAnsi="Times New Roman"/>
          <w:color w:val="auto"/>
          <w:highlight w:val="none"/>
        </w:rPr>
        <w:t>月</w:t>
      </w:r>
      <w:r>
        <w:rPr>
          <w:rFonts w:hint="eastAsia"/>
          <w:color w:val="auto"/>
          <w:highlight w:val="none"/>
          <w:lang w:val="en-US" w:eastAsia="zh-CN"/>
        </w:rPr>
        <w:t>12</w:t>
      </w:r>
      <w:bookmarkStart w:id="326" w:name="_GoBack"/>
      <w:bookmarkEnd w:id="326"/>
      <w:r>
        <w:rPr>
          <w:rFonts w:hint="eastAsia" w:ascii="Times New Roman" w:hAnsi="Times New Roman"/>
          <w:color w:val="auto"/>
          <w:highlight w:val="none"/>
        </w:rPr>
        <w:t>日</w:t>
      </w:r>
      <w:bookmarkEnd w:id="30"/>
      <w:bookmarkEnd w:id="31"/>
      <w:bookmarkEnd w:id="32"/>
    </w:p>
    <w:p w14:paraId="77265043">
      <w:pPr>
        <w:ind w:firstLine="480"/>
        <w:rPr>
          <w:rFonts w:ascii="Times New Roman" w:hAnsi="Times New Roman"/>
          <w:color w:val="auto"/>
          <w:highlight w:val="none"/>
        </w:rPr>
      </w:pPr>
      <w:r>
        <w:rPr>
          <w:rFonts w:ascii="Times New Roman" w:hAnsi="Times New Roman"/>
          <w:color w:val="auto"/>
          <w:highlight w:val="none"/>
        </w:rPr>
        <w:br w:type="page"/>
      </w:r>
      <w:bookmarkStart w:id="33" w:name="_Toc303066033"/>
      <w:bookmarkStart w:id="34" w:name="_Toc89675159"/>
    </w:p>
    <w:p w14:paraId="7CE216A1">
      <w:pPr>
        <w:ind w:firstLine="0" w:firstLineChars="0"/>
        <w:rPr>
          <w:rFonts w:ascii="Times New Roman" w:hAnsi="Times New Roman"/>
          <w:color w:val="auto"/>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p>
    <w:p w14:paraId="168C6524">
      <w:pPr>
        <w:pStyle w:val="2"/>
        <w:rPr>
          <w:rFonts w:ascii="Times New Roman" w:hAnsi="Times New Roman"/>
          <w:color w:val="auto"/>
          <w:highlight w:val="none"/>
        </w:rPr>
      </w:pPr>
      <w:bookmarkStart w:id="35" w:name="_Toc23880"/>
      <w:r>
        <w:rPr>
          <w:rFonts w:hint="eastAsia" w:ascii="Times New Roman" w:hAnsi="Times New Roman"/>
          <w:color w:val="auto"/>
          <w:highlight w:val="none"/>
        </w:rPr>
        <w:t>第二章 参选人须知</w:t>
      </w:r>
      <w:bookmarkEnd w:id="33"/>
      <w:bookmarkEnd w:id="34"/>
      <w:bookmarkEnd w:id="35"/>
    </w:p>
    <w:p w14:paraId="7D7E5FB4">
      <w:pPr>
        <w:pStyle w:val="3"/>
        <w:rPr>
          <w:rFonts w:ascii="Times New Roman" w:hAnsi="Times New Roman"/>
          <w:color w:val="auto"/>
          <w:highlight w:val="none"/>
        </w:rPr>
      </w:pPr>
      <w:bookmarkStart w:id="36" w:name="_Toc89675160"/>
      <w:r>
        <w:rPr>
          <w:rFonts w:hint="eastAsia" w:ascii="Times New Roman" w:hAnsi="Times New Roman"/>
          <w:color w:val="auto"/>
          <w:highlight w:val="none"/>
        </w:rPr>
        <w:t>1. 项目信息</w:t>
      </w:r>
    </w:p>
    <w:p w14:paraId="0CBC334D">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7E139E41">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2D921927">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0A65C7DA">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lang w:val="en-US" w:eastAsia="zh-CN"/>
        </w:rPr>
        <w:t>460,000元整</w:t>
      </w:r>
      <w:r>
        <w:rPr>
          <w:rFonts w:hint="eastAsia" w:ascii="Times New Roman" w:hAnsi="Times New Roman"/>
          <w:color w:val="auto"/>
          <w:highlight w:val="none"/>
        </w:rPr>
        <w:t>（人民币大写：</w:t>
      </w:r>
      <w:r>
        <w:rPr>
          <w:rFonts w:hint="eastAsia" w:ascii="Times New Roman" w:hAnsi="Times New Roman"/>
          <w:color w:val="auto"/>
          <w:highlight w:val="none"/>
          <w:u w:val="single"/>
          <w:lang w:eastAsia="zh-CN"/>
        </w:rPr>
        <w:t>肆拾陆万元整</w:t>
      </w:r>
      <w:r>
        <w:rPr>
          <w:rFonts w:hint="eastAsia" w:ascii="Times New Roman" w:hAnsi="Times New Roman"/>
          <w:color w:val="auto"/>
          <w:highlight w:val="none"/>
        </w:rPr>
        <w:t>）。</w:t>
      </w:r>
    </w:p>
    <w:p w14:paraId="122A53AA">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6"/>
    <w:p w14:paraId="2CECCB18">
      <w:pPr>
        <w:ind w:firstLine="480"/>
        <w:rPr>
          <w:rFonts w:ascii="Times New Roman" w:hAnsi="Times New Roman"/>
          <w:color w:val="auto"/>
          <w:highlight w:val="none"/>
        </w:rPr>
      </w:pPr>
      <w:bookmarkStart w:id="37" w:name="_Toc89675161"/>
      <w:r>
        <w:rPr>
          <w:rFonts w:hint="eastAsia" w:ascii="Times New Roman" w:hAnsi="Times New Roman"/>
          <w:color w:val="auto"/>
          <w:highlight w:val="none"/>
          <w:lang w:val="en-US" w:eastAsia="zh-CN"/>
        </w:rPr>
        <w:t>2024年度，</w:t>
      </w:r>
      <w:r>
        <w:rPr>
          <w:rFonts w:hint="eastAsia" w:ascii="Times New Roman" w:hAnsi="Times New Roman"/>
          <w:color w:val="auto"/>
          <w:highlight w:val="none"/>
        </w:rPr>
        <w:t>为满足</w:t>
      </w:r>
      <w:r>
        <w:rPr>
          <w:rFonts w:hint="eastAsia" w:ascii="Times New Roman" w:hAnsi="Times New Roman"/>
          <w:color w:val="auto"/>
          <w:highlight w:val="none"/>
          <w:lang w:eastAsia="zh-CN"/>
        </w:rPr>
        <w:t>移动作业</w:t>
      </w:r>
      <w:r>
        <w:rPr>
          <w:rFonts w:hint="eastAsia" w:ascii="Times New Roman" w:hAnsi="Times New Roman"/>
          <w:color w:val="auto"/>
          <w:highlight w:val="none"/>
        </w:rPr>
        <w:t>业务发展需要，</w:t>
      </w:r>
      <w:r>
        <w:rPr>
          <w:rFonts w:hint="eastAsia" w:ascii="Times New Roman" w:hAnsi="Times New Roman"/>
          <w:color w:val="auto"/>
          <w:highlight w:val="none"/>
          <w:lang w:eastAsia="zh-CN"/>
        </w:rPr>
        <w:t>首先，系统需</w:t>
      </w:r>
      <w:r>
        <w:rPr>
          <w:rFonts w:hint="eastAsia" w:ascii="Times New Roman" w:hAnsi="Times New Roman"/>
          <w:color w:val="auto"/>
          <w:highlight w:val="none"/>
        </w:rPr>
        <w:t>新增人脸识别登录/授权、现场对公开户功能，</w:t>
      </w:r>
      <w:r>
        <w:rPr>
          <w:rFonts w:hint="eastAsia" w:ascii="Times New Roman" w:hAnsi="Times New Roman"/>
          <w:color w:val="auto"/>
          <w:highlight w:val="none"/>
          <w:lang w:eastAsia="zh-CN"/>
        </w:rPr>
        <w:t>并</w:t>
      </w:r>
      <w:r>
        <w:rPr>
          <w:rFonts w:hint="eastAsia" w:ascii="Times New Roman" w:hAnsi="Times New Roman"/>
          <w:color w:val="auto"/>
          <w:highlight w:val="none"/>
        </w:rPr>
        <w:t>对现有业务功能进一步完善和持续优化</w:t>
      </w:r>
      <w:r>
        <w:rPr>
          <w:rFonts w:hint="eastAsia" w:ascii="Times New Roman" w:hAnsi="Times New Roman"/>
          <w:color w:val="auto"/>
          <w:highlight w:val="none"/>
          <w:lang w:eastAsia="zh-CN"/>
        </w:rPr>
        <w:t>。其次，</w:t>
      </w:r>
      <w:r>
        <w:rPr>
          <w:rFonts w:hint="eastAsia" w:ascii="Times New Roman" w:hAnsi="Times New Roman"/>
          <w:color w:val="auto"/>
          <w:highlight w:val="none"/>
        </w:rPr>
        <w:t>为提升用户体验，</w:t>
      </w:r>
      <w:r>
        <w:rPr>
          <w:rFonts w:hint="eastAsia" w:ascii="Times New Roman" w:hAnsi="Times New Roman"/>
          <w:color w:val="auto"/>
          <w:highlight w:val="none"/>
          <w:lang w:eastAsia="zh-CN"/>
        </w:rPr>
        <w:t>将</w:t>
      </w:r>
      <w:r>
        <w:rPr>
          <w:rFonts w:hint="eastAsia" w:ascii="Times New Roman" w:hAnsi="Times New Roman"/>
          <w:color w:val="auto"/>
          <w:highlight w:val="none"/>
        </w:rPr>
        <w:t>移动信贷网络接入方式由VPN升级为互联网，并增加访问控制</w:t>
      </w:r>
      <w:r>
        <w:rPr>
          <w:rFonts w:hint="eastAsia" w:ascii="Times New Roman" w:hAnsi="Times New Roman"/>
          <w:color w:val="auto"/>
          <w:highlight w:val="none"/>
          <w:lang w:eastAsia="zh-CN"/>
        </w:rPr>
        <w:t>，集成</w:t>
      </w:r>
      <w:r>
        <w:rPr>
          <w:rFonts w:hint="eastAsia" w:ascii="Times New Roman" w:hAnsi="Times New Roman"/>
          <w:color w:val="auto"/>
          <w:highlight w:val="none"/>
          <w:lang w:val="en-US" w:eastAsia="zh-CN"/>
        </w:rPr>
        <w:t>OCRSDK</w:t>
      </w:r>
      <w:r>
        <w:rPr>
          <w:rFonts w:hint="eastAsia" w:ascii="Times New Roman" w:hAnsi="Times New Roman"/>
          <w:color w:val="auto"/>
          <w:highlight w:val="none"/>
        </w:rPr>
        <w:t>等进行改造，同时系统也需</w:t>
      </w:r>
      <w:r>
        <w:rPr>
          <w:rFonts w:hint="eastAsia" w:ascii="Times New Roman" w:hAnsi="Times New Roman"/>
          <w:color w:val="auto"/>
          <w:highlight w:val="none"/>
          <w:lang w:eastAsia="zh-CN"/>
        </w:rPr>
        <w:t>根据行内安全要求</w:t>
      </w:r>
      <w:r>
        <w:rPr>
          <w:rFonts w:hint="eastAsia" w:ascii="Times New Roman" w:hAnsi="Times New Roman"/>
          <w:color w:val="auto"/>
          <w:highlight w:val="none"/>
        </w:rPr>
        <w:t>进行升级。</w:t>
      </w:r>
    </w:p>
    <w:p w14:paraId="558E5403">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51FFD6DD">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eastAsia="zh-CN"/>
        </w:rPr>
        <w:t>通过对移动作业管理系统进行优化，实现现场对公开户以及多样化的登录和授权，并推动业务功能持续性建设</w:t>
      </w:r>
      <w:r>
        <w:rPr>
          <w:rFonts w:hint="eastAsia" w:ascii="Times New Roman" w:hAnsi="Times New Roman"/>
          <w:color w:val="auto"/>
          <w:highlight w:val="none"/>
        </w:rPr>
        <w:t>。</w:t>
      </w:r>
      <w:r>
        <w:rPr>
          <w:rFonts w:hint="eastAsia" w:ascii="Times New Roman" w:hAnsi="Times New Roman"/>
          <w:color w:val="auto"/>
          <w:highlight w:val="none"/>
          <w:lang w:eastAsia="zh-CN"/>
        </w:rPr>
        <w:t>同时，通过本次优化项目需实现移动信贷的互联网改造，</w:t>
      </w:r>
      <w:r>
        <w:rPr>
          <w:rFonts w:hint="eastAsia" w:ascii="Times New Roman" w:hAnsi="Times New Roman"/>
          <w:color w:val="auto"/>
          <w:highlight w:val="none"/>
          <w:lang w:val="en-US" w:eastAsia="zh-CN"/>
        </w:rPr>
        <w:t>OCR适配等，进一步提升操作员和客户的体验，并且满足监管和行内的安全要求。</w:t>
      </w:r>
    </w:p>
    <w:p w14:paraId="3E1C8D3D">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7"/>
    </w:p>
    <w:p w14:paraId="44641607">
      <w:pPr>
        <w:ind w:firstLine="480"/>
        <w:outlineLvl w:val="2"/>
        <w:rPr>
          <w:rFonts w:ascii="Times New Roman" w:hAnsi="Times New Roman"/>
          <w:color w:val="auto"/>
          <w:highlight w:val="none"/>
        </w:rPr>
      </w:pPr>
      <w:r>
        <w:rPr>
          <w:rFonts w:hint="eastAsia" w:ascii="Times New Roman" w:hAnsi="Times New Roman"/>
          <w:color w:val="auto"/>
          <w:highlight w:val="none"/>
        </w:rPr>
        <w:t>2.1 合格参选人条件</w:t>
      </w:r>
    </w:p>
    <w:p w14:paraId="0754EEC4">
      <w:pPr>
        <w:ind w:firstLine="480"/>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4ADBDABD">
      <w:pPr>
        <w:ind w:firstLine="480"/>
        <w:outlineLvl w:val="2"/>
        <w:rPr>
          <w:rFonts w:ascii="Times New Roman" w:hAnsi="Times New Roman"/>
          <w:color w:val="auto"/>
          <w:highlight w:val="none"/>
        </w:rPr>
      </w:pPr>
      <w:r>
        <w:rPr>
          <w:rFonts w:hint="eastAsia" w:ascii="Times New Roman" w:hAnsi="Times New Roman"/>
          <w:color w:val="auto"/>
          <w:highlight w:val="none"/>
        </w:rPr>
        <w:t>2.2 参选人的风险</w:t>
      </w:r>
    </w:p>
    <w:p w14:paraId="5FD7169C">
      <w:pPr>
        <w:ind w:firstLine="480"/>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67DB5460">
      <w:pPr>
        <w:pStyle w:val="3"/>
        <w:rPr>
          <w:rFonts w:ascii="Times New Roman" w:hAnsi="Times New Roman"/>
          <w:color w:val="auto"/>
          <w:highlight w:val="none"/>
        </w:rPr>
      </w:pPr>
      <w:bookmarkStart w:id="38" w:name="_Toc89675162"/>
      <w:r>
        <w:rPr>
          <w:rFonts w:hint="eastAsia" w:ascii="Times New Roman" w:hAnsi="Times New Roman"/>
          <w:color w:val="auto"/>
          <w:highlight w:val="none"/>
        </w:rPr>
        <w:t>3. 比选文件</w:t>
      </w:r>
      <w:bookmarkEnd w:id="38"/>
    </w:p>
    <w:p w14:paraId="21557E97">
      <w:pPr>
        <w:ind w:firstLine="480"/>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5E757F95">
      <w:pPr>
        <w:ind w:firstLine="480"/>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52CA866D">
      <w:pPr>
        <w:pStyle w:val="3"/>
        <w:rPr>
          <w:rFonts w:ascii="Times New Roman" w:hAnsi="Times New Roman"/>
          <w:color w:val="auto"/>
          <w:highlight w:val="none"/>
        </w:rPr>
      </w:pPr>
      <w:bookmarkStart w:id="39"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9"/>
    </w:p>
    <w:p w14:paraId="57AD8BB9">
      <w:pPr>
        <w:ind w:firstLine="480"/>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4FCE71E7">
      <w:pPr>
        <w:pStyle w:val="4"/>
        <w:ind w:firstLine="482"/>
        <w:rPr>
          <w:rFonts w:ascii="Times New Roman" w:hAnsi="Times New Roman"/>
          <w:color w:val="auto"/>
          <w:highlight w:val="none"/>
        </w:rPr>
      </w:pPr>
      <w:r>
        <w:rPr>
          <w:rFonts w:hint="eastAsia" w:ascii="Times New Roman" w:hAnsi="Times New Roman"/>
          <w:color w:val="auto"/>
          <w:highlight w:val="none"/>
        </w:rPr>
        <w:t>4.1 参选文件组成</w:t>
      </w:r>
    </w:p>
    <w:p w14:paraId="66C5080A">
      <w:pPr>
        <w:ind w:firstLine="480"/>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215F3B8F">
      <w:pPr>
        <w:pStyle w:val="4"/>
        <w:ind w:firstLine="482"/>
        <w:rPr>
          <w:rFonts w:ascii="Times New Roman" w:hAnsi="Times New Roman"/>
          <w:color w:val="auto"/>
          <w:highlight w:val="none"/>
        </w:rPr>
      </w:pPr>
      <w:r>
        <w:rPr>
          <w:rFonts w:hint="eastAsia" w:ascii="Times New Roman" w:hAnsi="Times New Roman"/>
          <w:color w:val="auto"/>
          <w:highlight w:val="none"/>
        </w:rPr>
        <w:t>4.2 联合参选</w:t>
      </w:r>
    </w:p>
    <w:p w14:paraId="6AF991ED">
      <w:pPr>
        <w:ind w:firstLine="480"/>
        <w:rPr>
          <w:rFonts w:ascii="Times New Roman" w:hAnsi="Times New Roman"/>
          <w:color w:val="auto"/>
          <w:highlight w:val="none"/>
        </w:rPr>
      </w:pPr>
      <w:r>
        <w:rPr>
          <w:rFonts w:hint="eastAsia" w:ascii="Times New Roman" w:hAnsi="Times New Roman"/>
          <w:color w:val="auto"/>
          <w:highlight w:val="none"/>
        </w:rPr>
        <w:t>本比选项目不接受联合参选</w:t>
      </w:r>
    </w:p>
    <w:p w14:paraId="3037E978">
      <w:pPr>
        <w:pStyle w:val="4"/>
        <w:ind w:firstLine="482"/>
        <w:rPr>
          <w:rFonts w:ascii="Times New Roman" w:hAnsi="Times New Roman"/>
          <w:color w:val="auto"/>
          <w:highlight w:val="none"/>
        </w:rPr>
      </w:pPr>
      <w:r>
        <w:rPr>
          <w:rFonts w:hint="eastAsia" w:ascii="Times New Roman" w:hAnsi="Times New Roman"/>
          <w:color w:val="auto"/>
          <w:highlight w:val="none"/>
        </w:rPr>
        <w:t>4.3 参选有效期</w:t>
      </w:r>
    </w:p>
    <w:p w14:paraId="6AF7F122">
      <w:pPr>
        <w:ind w:firstLine="480"/>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6BB70C0">
      <w:pPr>
        <w:pStyle w:val="4"/>
        <w:ind w:firstLine="482"/>
        <w:rPr>
          <w:rFonts w:ascii="Times New Roman" w:hAnsi="Times New Roman"/>
          <w:color w:val="auto"/>
          <w:highlight w:val="none"/>
        </w:rPr>
      </w:pPr>
      <w:r>
        <w:rPr>
          <w:rFonts w:hint="eastAsia" w:ascii="Times New Roman" w:hAnsi="Times New Roman"/>
          <w:color w:val="auto"/>
          <w:highlight w:val="none"/>
        </w:rPr>
        <w:t>4.4 参选保证金</w:t>
      </w:r>
    </w:p>
    <w:p w14:paraId="5C9E1D70">
      <w:pPr>
        <w:ind w:firstLine="480"/>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2F270EB7">
      <w:pPr>
        <w:ind w:firstLine="480"/>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4277690F">
      <w:pPr>
        <w:ind w:firstLine="480"/>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202D92AB">
      <w:pPr>
        <w:ind w:firstLine="480"/>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3C2FFC9F">
      <w:pPr>
        <w:ind w:firstLine="480"/>
        <w:rPr>
          <w:rFonts w:ascii="Times New Roman" w:hAnsi="Times New Roman"/>
          <w:color w:val="auto"/>
          <w:highlight w:val="none"/>
        </w:rPr>
      </w:pPr>
      <w:r>
        <w:rPr>
          <w:rFonts w:hint="eastAsia" w:ascii="Times New Roman" w:hAnsi="Times New Roman"/>
          <w:color w:val="auto"/>
          <w:highlight w:val="none"/>
        </w:rPr>
        <w:t>4.4.5 参选保证金的退还：</w:t>
      </w:r>
    </w:p>
    <w:p w14:paraId="0E24779D">
      <w:pPr>
        <w:ind w:firstLine="480"/>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C1BBA53">
      <w:pPr>
        <w:ind w:firstLine="480"/>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7E227ABF">
      <w:pPr>
        <w:ind w:firstLine="480"/>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6C3C9EE4">
      <w:pPr>
        <w:ind w:firstLine="480"/>
        <w:outlineLvl w:val="3"/>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59A4F7B2">
      <w:pPr>
        <w:ind w:firstLine="480"/>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0F57E666">
      <w:pPr>
        <w:ind w:firstLine="480"/>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7B608F65">
      <w:pPr>
        <w:ind w:firstLine="480"/>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729523DA">
      <w:pPr>
        <w:ind w:firstLine="480"/>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5CDFC43B">
      <w:pPr>
        <w:ind w:firstLine="480"/>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077A5F79">
      <w:pPr>
        <w:ind w:firstLine="480"/>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36C0C778">
      <w:pPr>
        <w:pStyle w:val="4"/>
        <w:ind w:firstLine="482"/>
        <w:rPr>
          <w:rFonts w:ascii="Times New Roman" w:hAnsi="Times New Roman"/>
          <w:color w:val="auto"/>
          <w:highlight w:val="none"/>
        </w:rPr>
      </w:pPr>
      <w:r>
        <w:rPr>
          <w:rFonts w:hint="eastAsia" w:ascii="Times New Roman" w:hAnsi="Times New Roman"/>
          <w:color w:val="auto"/>
          <w:highlight w:val="none"/>
        </w:rPr>
        <w:t>4.5 参选文件的份数和签署</w:t>
      </w:r>
    </w:p>
    <w:p w14:paraId="4E909A30">
      <w:pPr>
        <w:bidi w:val="0"/>
        <w:rPr>
          <w:rFonts w:hint="eastAsia"/>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4A42BA3B">
      <w:pPr>
        <w:ind w:firstLine="480"/>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0D9567F2">
      <w:pPr>
        <w:ind w:firstLine="480"/>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08BCD932">
      <w:pPr>
        <w:ind w:firstLine="480"/>
        <w:outlineLvl w:val="3"/>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0016B280">
      <w:pPr>
        <w:pStyle w:val="4"/>
        <w:ind w:firstLine="482"/>
        <w:rPr>
          <w:rFonts w:ascii="Times New Roman" w:hAnsi="Times New Roman"/>
          <w:color w:val="auto"/>
          <w:highlight w:val="none"/>
        </w:rPr>
      </w:pPr>
      <w:r>
        <w:rPr>
          <w:rFonts w:hint="eastAsia" w:ascii="Times New Roman" w:hAnsi="Times New Roman"/>
          <w:color w:val="auto"/>
          <w:highlight w:val="none"/>
        </w:rPr>
        <w:t>4.6 参选文件的密封与标记</w:t>
      </w:r>
    </w:p>
    <w:p w14:paraId="08E9748F">
      <w:pPr>
        <w:ind w:firstLine="480"/>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4CEFF1E0">
      <w:pPr>
        <w:ind w:firstLine="480"/>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4F6E3704">
      <w:pPr>
        <w:pStyle w:val="4"/>
        <w:ind w:firstLine="482"/>
        <w:rPr>
          <w:rFonts w:ascii="Times New Roman" w:hAnsi="Times New Roman"/>
          <w:color w:val="auto"/>
          <w:highlight w:val="none"/>
        </w:rPr>
      </w:pPr>
      <w:r>
        <w:rPr>
          <w:rFonts w:hint="eastAsia" w:ascii="Times New Roman" w:hAnsi="Times New Roman"/>
          <w:color w:val="auto"/>
          <w:highlight w:val="none"/>
        </w:rPr>
        <w:t>4.7 参选报价</w:t>
      </w:r>
    </w:p>
    <w:p w14:paraId="0987D9D5">
      <w:pPr>
        <w:ind w:firstLine="480"/>
        <w:outlineLvl w:val="3"/>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5CAE2DB3">
      <w:pPr>
        <w:ind w:firstLine="480"/>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7659EEEE">
      <w:pPr>
        <w:ind w:firstLine="480"/>
        <w:rPr>
          <w:rFonts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11A6BE5B">
      <w:pPr>
        <w:pStyle w:val="4"/>
        <w:ind w:firstLine="482"/>
        <w:rPr>
          <w:rFonts w:ascii="Times New Roman" w:hAnsi="Times New Roman"/>
          <w:color w:val="auto"/>
          <w:highlight w:val="none"/>
        </w:rPr>
      </w:pPr>
      <w:r>
        <w:rPr>
          <w:rFonts w:hint="eastAsia" w:ascii="Times New Roman" w:hAnsi="Times New Roman"/>
          <w:color w:val="auto"/>
          <w:highlight w:val="none"/>
        </w:rPr>
        <w:t>4.8 修正错误</w:t>
      </w:r>
    </w:p>
    <w:p w14:paraId="57F2DB21">
      <w:pPr>
        <w:ind w:firstLine="480"/>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53844FF1">
      <w:pPr>
        <w:ind w:firstLine="480"/>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32E65EC7">
      <w:pPr>
        <w:ind w:firstLine="480"/>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6CF7D38F">
      <w:pPr>
        <w:ind w:firstLine="480"/>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4DCCA8CE">
      <w:pPr>
        <w:ind w:firstLine="480"/>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6F5E6EF2">
      <w:pPr>
        <w:ind w:firstLine="480"/>
        <w:outlineLvl w:val="3"/>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5BF161A8">
      <w:pPr>
        <w:ind w:firstLine="480"/>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4BA64E00">
      <w:pPr>
        <w:pStyle w:val="3"/>
        <w:rPr>
          <w:rFonts w:ascii="Times New Roman" w:hAnsi="Times New Roman"/>
          <w:color w:val="auto"/>
          <w:highlight w:val="none"/>
        </w:rPr>
      </w:pPr>
      <w:bookmarkStart w:id="40" w:name="_Toc89675166"/>
      <w:r>
        <w:rPr>
          <w:rFonts w:hint="eastAsia" w:ascii="Times New Roman" w:hAnsi="Times New Roman"/>
          <w:color w:val="auto"/>
          <w:highlight w:val="none"/>
        </w:rPr>
        <w:t>5. 比选程序</w:t>
      </w:r>
    </w:p>
    <w:p w14:paraId="59452477">
      <w:pPr>
        <w:ind w:firstLine="480"/>
        <w:rPr>
          <w:rFonts w:ascii="Times New Roman" w:hAnsi="Times New Roman"/>
          <w:color w:val="auto"/>
          <w:highlight w:val="none"/>
        </w:rPr>
      </w:pPr>
      <w:r>
        <w:rPr>
          <w:rFonts w:hint="eastAsia" w:ascii="Times New Roman" w:hAnsi="Times New Roman"/>
          <w:color w:val="auto"/>
          <w:highlight w:val="none"/>
        </w:rPr>
        <w:t>主持人按下列程序进行比选：</w:t>
      </w:r>
    </w:p>
    <w:p w14:paraId="045D12E6">
      <w:pPr>
        <w:ind w:firstLine="480"/>
        <w:rPr>
          <w:rFonts w:ascii="Times New Roman" w:hAnsi="Times New Roman"/>
          <w:color w:val="auto"/>
          <w:highlight w:val="none"/>
        </w:rPr>
      </w:pPr>
      <w:r>
        <w:rPr>
          <w:rFonts w:hint="eastAsia" w:ascii="Times New Roman" w:hAnsi="Times New Roman"/>
          <w:color w:val="auto"/>
          <w:highlight w:val="none"/>
        </w:rPr>
        <w:t>5.1 宣布比选纪律；</w:t>
      </w:r>
    </w:p>
    <w:p w14:paraId="1296E134">
      <w:pPr>
        <w:ind w:firstLine="480"/>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6FD0CB80">
      <w:pPr>
        <w:ind w:firstLine="480"/>
        <w:rPr>
          <w:rFonts w:ascii="Times New Roman" w:hAnsi="Times New Roman"/>
          <w:color w:val="auto"/>
          <w:highlight w:val="none"/>
        </w:rPr>
      </w:pPr>
      <w:r>
        <w:rPr>
          <w:rFonts w:hint="eastAsia" w:ascii="Times New Roman" w:hAnsi="Times New Roman"/>
          <w:color w:val="auto"/>
          <w:highlight w:val="none"/>
        </w:rPr>
        <w:t>5.3 公布在</w:t>
      </w:r>
      <w:r>
        <w:rPr>
          <w:rFonts w:hint="eastAsia"/>
          <w:color w:val="auto"/>
          <w:highlight w:val="none"/>
          <w:lang w:val="en-US" w:eastAsia="zh-CN"/>
        </w:rPr>
        <w:t>参选</w:t>
      </w:r>
      <w:r>
        <w:rPr>
          <w:rFonts w:hint="eastAsia" w:ascii="Times New Roman" w:hAnsi="Times New Roman"/>
          <w:color w:val="auto"/>
          <w:highlight w:val="none"/>
        </w:rPr>
        <w:t>截止时间前递交参选文件的参选人名称，并点名确认参选人是否派人到场；</w:t>
      </w:r>
    </w:p>
    <w:p w14:paraId="44E6AFE7">
      <w:pPr>
        <w:ind w:firstLine="480"/>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04E6952E">
      <w:pPr>
        <w:ind w:firstLine="480"/>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4E7B61B8">
      <w:pPr>
        <w:ind w:firstLine="480"/>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49C4172A">
      <w:pPr>
        <w:ind w:firstLine="480"/>
        <w:rPr>
          <w:rFonts w:ascii="Times New Roman" w:hAnsi="Times New Roman"/>
          <w:color w:val="auto"/>
          <w:highlight w:val="none"/>
        </w:rPr>
      </w:pPr>
      <w:r>
        <w:rPr>
          <w:rFonts w:hint="eastAsia" w:ascii="Times New Roman" w:hAnsi="Times New Roman"/>
          <w:color w:val="auto"/>
          <w:highlight w:val="none"/>
        </w:rPr>
        <w:t>5.7 开启参选文件；</w:t>
      </w:r>
    </w:p>
    <w:p w14:paraId="0E5E8BD7">
      <w:pPr>
        <w:ind w:firstLine="480"/>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71B4FDBE">
      <w:pPr>
        <w:ind w:firstLine="480"/>
        <w:outlineLvl w:val="2"/>
        <w:rPr>
          <w:rFonts w:ascii="Times New Roman" w:hAnsi="Times New Roman"/>
          <w:color w:val="auto"/>
          <w:highlight w:val="none"/>
        </w:rPr>
      </w:pPr>
      <w:r>
        <w:rPr>
          <w:rFonts w:hint="eastAsia" w:ascii="Times New Roman" w:hAnsi="Times New Roman"/>
          <w:color w:val="auto"/>
          <w:highlight w:val="none"/>
        </w:rPr>
        <w:t>5.9 比选结束。</w:t>
      </w:r>
    </w:p>
    <w:p w14:paraId="5A60313B">
      <w:pPr>
        <w:pStyle w:val="3"/>
        <w:rPr>
          <w:rFonts w:ascii="Times New Roman" w:hAnsi="Times New Roman"/>
          <w:color w:val="auto"/>
          <w:highlight w:val="none"/>
        </w:rPr>
      </w:pPr>
      <w:r>
        <w:rPr>
          <w:rFonts w:hint="eastAsia" w:ascii="Times New Roman" w:hAnsi="Times New Roman"/>
          <w:color w:val="auto"/>
          <w:highlight w:val="none"/>
        </w:rPr>
        <w:t>6. 评审</w:t>
      </w:r>
    </w:p>
    <w:p w14:paraId="191BB616">
      <w:pPr>
        <w:ind w:firstLine="480"/>
        <w:rPr>
          <w:rFonts w:ascii="Times New Roman" w:hAnsi="Times New Roman"/>
          <w:color w:val="auto"/>
          <w:highlight w:val="none"/>
        </w:rPr>
      </w:pPr>
      <w:r>
        <w:rPr>
          <w:rFonts w:hint="eastAsia" w:ascii="Times New Roman" w:hAnsi="Times New Roman"/>
          <w:color w:val="auto"/>
          <w:highlight w:val="none"/>
        </w:rPr>
        <w:t>见第四章内容。</w:t>
      </w:r>
    </w:p>
    <w:p w14:paraId="671AB6A3">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40"/>
    </w:p>
    <w:p w14:paraId="49C22209">
      <w:pPr>
        <w:ind w:firstLine="480"/>
        <w:outlineLvl w:val="2"/>
        <w:rPr>
          <w:rFonts w:ascii="Times New Roman" w:hAnsi="Times New Roman"/>
          <w:color w:val="auto"/>
          <w:highlight w:val="none"/>
        </w:rPr>
      </w:pPr>
      <w:r>
        <w:rPr>
          <w:rFonts w:hint="eastAsia" w:ascii="Times New Roman" w:hAnsi="Times New Roman"/>
          <w:color w:val="auto"/>
          <w:highlight w:val="none"/>
        </w:rPr>
        <w:t>7.1 定选原则</w:t>
      </w:r>
    </w:p>
    <w:p w14:paraId="74C18C44">
      <w:pPr>
        <w:ind w:firstLine="480"/>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248F170D">
      <w:pPr>
        <w:ind w:firstLine="480"/>
        <w:outlineLvl w:val="2"/>
        <w:rPr>
          <w:rFonts w:ascii="Times New Roman" w:hAnsi="Times New Roman"/>
          <w:color w:val="auto"/>
          <w:highlight w:val="none"/>
        </w:rPr>
      </w:pPr>
      <w:r>
        <w:rPr>
          <w:rFonts w:hint="eastAsia" w:ascii="Times New Roman" w:hAnsi="Times New Roman"/>
          <w:color w:val="auto"/>
          <w:highlight w:val="none"/>
        </w:rPr>
        <w:t>7.2 不承诺最低价格中选。</w:t>
      </w:r>
    </w:p>
    <w:p w14:paraId="37D0B74E">
      <w:pPr>
        <w:ind w:firstLine="480"/>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4584941">
      <w:pPr>
        <w:pStyle w:val="3"/>
        <w:rPr>
          <w:rFonts w:ascii="Times New Roman" w:hAnsi="Times New Roman"/>
          <w:color w:val="auto"/>
          <w:highlight w:val="none"/>
        </w:rPr>
      </w:pPr>
      <w:bookmarkStart w:id="41" w:name="_Toc12245"/>
      <w:bookmarkStart w:id="42" w:name="_Toc89675168"/>
      <w:r>
        <w:rPr>
          <w:rFonts w:hint="eastAsia" w:ascii="Times New Roman" w:hAnsi="Times New Roman"/>
          <w:color w:val="auto"/>
          <w:highlight w:val="none"/>
        </w:rPr>
        <w:t>8. 签订合同</w:t>
      </w:r>
      <w:bookmarkEnd w:id="41"/>
      <w:bookmarkEnd w:id="42"/>
    </w:p>
    <w:p w14:paraId="3BE47A2C">
      <w:pPr>
        <w:ind w:firstLine="480"/>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933C082">
      <w:pPr>
        <w:ind w:firstLine="480"/>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3E61EC17">
      <w:pPr>
        <w:ind w:firstLine="480"/>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0896F2DB">
      <w:pPr>
        <w:ind w:firstLine="480"/>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27E40358">
      <w:pPr>
        <w:ind w:firstLine="480"/>
        <w:outlineLvl w:val="2"/>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0720211D">
      <w:pPr>
        <w:pStyle w:val="3"/>
        <w:rPr>
          <w:rFonts w:ascii="Times New Roman" w:hAnsi="Times New Roman"/>
          <w:color w:val="auto"/>
          <w:highlight w:val="none"/>
        </w:rPr>
      </w:pPr>
      <w:r>
        <w:rPr>
          <w:rFonts w:hint="eastAsia" w:ascii="Times New Roman" w:hAnsi="Times New Roman"/>
          <w:color w:val="auto"/>
          <w:highlight w:val="none"/>
        </w:rPr>
        <w:t>9. 纪律与要求</w:t>
      </w:r>
    </w:p>
    <w:p w14:paraId="7F67C78B">
      <w:pPr>
        <w:ind w:firstLine="480"/>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59B6003">
      <w:pPr>
        <w:ind w:firstLine="480"/>
        <w:outlineLvl w:val="2"/>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393DE8EB">
      <w:pPr>
        <w:ind w:firstLine="480"/>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32E5AABC">
      <w:pPr>
        <w:ind w:firstLine="480"/>
        <w:rPr>
          <w:rFonts w:ascii="Times New Roman" w:hAnsi="Times New Roman"/>
          <w:color w:val="auto"/>
          <w:highlight w:val="none"/>
        </w:rPr>
      </w:pPr>
      <w:r>
        <w:rPr>
          <w:rFonts w:hint="eastAsia" w:ascii="Times New Roman" w:hAnsi="Times New Roman"/>
          <w:color w:val="auto"/>
          <w:highlight w:val="none"/>
        </w:rPr>
        <w:t>9.1.2 参选人之间约定中选人；</w:t>
      </w:r>
    </w:p>
    <w:p w14:paraId="06A1EAC6">
      <w:pPr>
        <w:ind w:firstLine="480"/>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5A7C1782">
      <w:pPr>
        <w:ind w:firstLine="480"/>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5B1A94C0">
      <w:pPr>
        <w:ind w:firstLine="480"/>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68F1C456">
      <w:pPr>
        <w:ind w:firstLine="480"/>
        <w:outlineLvl w:val="2"/>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4EF3EB2C">
      <w:pPr>
        <w:ind w:firstLine="480"/>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2EB39D24">
      <w:pPr>
        <w:ind w:firstLine="480"/>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693DD0C5">
      <w:pPr>
        <w:ind w:firstLine="480"/>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2CA48AC0">
      <w:pPr>
        <w:ind w:firstLine="480"/>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474036ED">
      <w:pPr>
        <w:ind w:firstLine="480"/>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3AD1125E">
      <w:pPr>
        <w:ind w:firstLine="480"/>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31CE59F1">
      <w:pPr>
        <w:ind w:firstLine="480"/>
        <w:outlineLvl w:val="2"/>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426DB567">
      <w:pPr>
        <w:ind w:firstLine="480"/>
        <w:rPr>
          <w:rFonts w:ascii="Times New Roman" w:hAnsi="Times New Roman"/>
          <w:color w:val="auto"/>
          <w:highlight w:val="none"/>
        </w:rPr>
      </w:pPr>
      <w:r>
        <w:rPr>
          <w:rFonts w:hint="eastAsia" w:ascii="Times New Roman" w:hAnsi="Times New Roman"/>
          <w:color w:val="auto"/>
          <w:highlight w:val="none"/>
        </w:rPr>
        <w:t>9.4.1 使用伪造、变造的许可证件；</w:t>
      </w:r>
    </w:p>
    <w:p w14:paraId="70FEAB7C">
      <w:pPr>
        <w:ind w:firstLine="480"/>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2FF0E8FE">
      <w:pPr>
        <w:ind w:firstLine="480"/>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6B39104E">
      <w:pPr>
        <w:ind w:firstLine="480"/>
        <w:rPr>
          <w:rFonts w:ascii="Times New Roman" w:hAnsi="Times New Roman"/>
          <w:color w:val="auto"/>
          <w:highlight w:val="none"/>
        </w:rPr>
      </w:pPr>
      <w:r>
        <w:rPr>
          <w:rFonts w:hint="eastAsia" w:ascii="Times New Roman" w:hAnsi="Times New Roman"/>
          <w:color w:val="auto"/>
          <w:highlight w:val="none"/>
        </w:rPr>
        <w:t>9.4.4 提供虚假的信用状况；</w:t>
      </w:r>
    </w:p>
    <w:p w14:paraId="72206741">
      <w:pPr>
        <w:ind w:firstLine="480"/>
        <w:rPr>
          <w:rFonts w:ascii="Times New Roman" w:hAnsi="Times New Roman"/>
          <w:color w:val="auto"/>
          <w:highlight w:val="none"/>
        </w:rPr>
      </w:pPr>
      <w:r>
        <w:rPr>
          <w:rFonts w:hint="eastAsia" w:ascii="Times New Roman" w:hAnsi="Times New Roman"/>
          <w:color w:val="auto"/>
          <w:highlight w:val="none"/>
        </w:rPr>
        <w:t>9.4.5 其它弄虚作假的行为。</w:t>
      </w:r>
    </w:p>
    <w:p w14:paraId="05D8C5FA">
      <w:pPr>
        <w:ind w:firstLine="480"/>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7C1D0E2D">
      <w:pPr>
        <w:pStyle w:val="3"/>
        <w:rPr>
          <w:rFonts w:ascii="Times New Roman" w:hAnsi="Times New Roman"/>
          <w:color w:val="auto"/>
          <w:highlight w:val="none"/>
        </w:rPr>
      </w:pPr>
      <w:bookmarkStart w:id="43" w:name="_Toc89675169"/>
      <w:r>
        <w:rPr>
          <w:rFonts w:hint="eastAsia" w:ascii="Times New Roman" w:hAnsi="Times New Roman"/>
          <w:color w:val="auto"/>
          <w:highlight w:val="none"/>
        </w:rPr>
        <w:t>10. 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6E45C275">
      <w:pPr>
        <w:ind w:firstLine="480"/>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06579DF">
      <w:pPr>
        <w:ind w:firstLine="480"/>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7A0540C5">
      <w:pPr>
        <w:ind w:firstLine="480"/>
        <w:rPr>
          <w:rFonts w:ascii="Times New Roman" w:hAnsi="Times New Roman"/>
          <w:color w:val="auto"/>
          <w:highlight w:val="none"/>
        </w:rPr>
      </w:pPr>
      <w:r>
        <w:rPr>
          <w:rFonts w:hint="eastAsia" w:ascii="Times New Roman" w:hAnsi="Times New Roman"/>
          <w:color w:val="auto"/>
          <w:highlight w:val="none"/>
        </w:rPr>
        <w:t>采购投诉邮箱：</w:t>
      </w:r>
      <w:bookmarkStart w:id="44"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4"/>
    </w:p>
    <w:p w14:paraId="43ABB149">
      <w:pPr>
        <w:pStyle w:val="3"/>
        <w:rPr>
          <w:rFonts w:ascii="Times New Roman" w:hAnsi="Times New Roman"/>
          <w:color w:val="auto"/>
          <w:highlight w:val="none"/>
        </w:rPr>
      </w:pPr>
      <w:bookmarkStart w:id="45" w:name="_Toc440628924"/>
      <w:bookmarkStart w:id="46" w:name="_Toc89675157"/>
      <w:bookmarkStart w:id="47" w:name="_Toc15059431"/>
      <w:bookmarkStart w:id="48" w:name="_Toc275199618"/>
      <w:bookmarkStart w:id="49" w:name="_Toc11439"/>
      <w:r>
        <w:rPr>
          <w:rFonts w:hint="eastAsia" w:ascii="Times New Roman" w:hAnsi="Times New Roman"/>
          <w:color w:val="auto"/>
          <w:highlight w:val="none"/>
        </w:rPr>
        <w:t>11. 无效参选条款</w:t>
      </w:r>
      <w:bookmarkEnd w:id="45"/>
      <w:bookmarkEnd w:id="46"/>
      <w:bookmarkEnd w:id="47"/>
      <w:bookmarkEnd w:id="48"/>
      <w:bookmarkEnd w:id="49"/>
    </w:p>
    <w:p w14:paraId="73222370">
      <w:pPr>
        <w:ind w:firstLine="480"/>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6A70A2E0">
      <w:pPr>
        <w:ind w:firstLine="480"/>
        <w:outlineLvl w:val="2"/>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6E83830E">
      <w:pPr>
        <w:ind w:firstLine="480"/>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737D349F">
      <w:pPr>
        <w:ind w:firstLine="480"/>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3A0BAFEC">
      <w:pPr>
        <w:ind w:firstLine="480"/>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332082DD">
      <w:pPr>
        <w:ind w:firstLine="480"/>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61B43E3C">
      <w:pPr>
        <w:ind w:firstLine="480"/>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647632CA">
      <w:pPr>
        <w:ind w:firstLine="480"/>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218B30A2">
      <w:pPr>
        <w:ind w:firstLine="480"/>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23CF8EEC">
      <w:pPr>
        <w:ind w:firstLine="480"/>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02C20881">
      <w:pPr>
        <w:ind w:firstLine="480"/>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04F596E3">
      <w:pPr>
        <w:ind w:firstLine="480"/>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6790A339">
      <w:pPr>
        <w:ind w:firstLine="480"/>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513927DE">
      <w:pPr>
        <w:ind w:firstLine="480"/>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0FECCABA">
      <w:pPr>
        <w:ind w:firstLine="480"/>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2BE2CBFF">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18AC966A">
      <w:pPr>
        <w:snapToGrid w:val="0"/>
        <w:ind w:firstLine="480"/>
        <w:rPr>
          <w:rFonts w:ascii="Times New Roman" w:hAnsi="Times New Roman"/>
          <w:color w:val="auto"/>
          <w:highlight w:val="none"/>
        </w:rPr>
      </w:pPr>
      <w:r>
        <w:rPr>
          <w:rFonts w:hint="eastAsia" w:ascii="Times New Roman" w:hAnsi="Times New Roman"/>
          <w:color w:val="auto"/>
          <w:highlight w:val="none"/>
        </w:rPr>
        <w:t>出现以下情形本次比选失败：</w:t>
      </w:r>
    </w:p>
    <w:p w14:paraId="50CAEA86">
      <w:pPr>
        <w:snapToGrid w:val="0"/>
        <w:ind w:firstLine="480"/>
        <w:rPr>
          <w:rFonts w:ascii="Times New Roman" w:hAnsi="Times New Roman"/>
          <w:color w:val="auto"/>
          <w:highlight w:val="none"/>
        </w:rPr>
      </w:pPr>
      <w:r>
        <w:rPr>
          <w:rFonts w:hint="eastAsia" w:ascii="Times New Roman" w:hAnsi="Times New Roman"/>
          <w:color w:val="auto"/>
          <w:highlight w:val="none"/>
        </w:rPr>
        <w:t xml:space="preserve">12.1 </w:t>
      </w:r>
      <w:r>
        <w:rPr>
          <w:rFonts w:hint="eastAsia"/>
          <w:color w:val="auto"/>
          <w:highlight w:val="none"/>
          <w:lang w:val="en-US" w:eastAsia="zh-CN"/>
        </w:rPr>
        <w:t>参选</w:t>
      </w:r>
      <w:r>
        <w:rPr>
          <w:rFonts w:hint="eastAsia" w:ascii="Times New Roman" w:hAnsi="Times New Roman"/>
          <w:color w:val="auto"/>
          <w:highlight w:val="none"/>
        </w:rPr>
        <w:t>截止时间止，参选人少于2个的。</w:t>
      </w:r>
    </w:p>
    <w:p w14:paraId="2598B62D">
      <w:pPr>
        <w:ind w:firstLine="480"/>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4EE463C1">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3"/>
    </w:p>
    <w:p w14:paraId="0286147B">
      <w:pPr>
        <w:ind w:firstLine="480"/>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6C08901B">
      <w:pPr>
        <w:ind w:firstLine="480"/>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71E74182">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571C5E8E">
      <w:pPr>
        <w:ind w:firstLine="480"/>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26CD634D">
      <w:pPr>
        <w:ind w:firstLine="480"/>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color w:val="auto"/>
          <w:highlight w:val="none"/>
          <w:u w:val="single"/>
          <w:lang w:val="en-US" w:eastAsia="zh-CN"/>
        </w:rPr>
        <w:t>8000.00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2495176E">
      <w:pPr>
        <w:widowControl/>
        <w:ind w:firstLine="480"/>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3C61819E">
      <w:pPr>
        <w:pStyle w:val="2"/>
        <w:rPr>
          <w:rFonts w:ascii="Times New Roman" w:hAnsi="Times New Roman"/>
          <w:color w:val="auto"/>
          <w:highlight w:val="none"/>
        </w:rPr>
      </w:pPr>
      <w:bookmarkStart w:id="50" w:name="_Toc10311"/>
      <w:r>
        <w:rPr>
          <w:rFonts w:hint="eastAsia" w:ascii="Times New Roman" w:hAnsi="Times New Roman"/>
          <w:color w:val="auto"/>
          <w:highlight w:val="none"/>
        </w:rPr>
        <w:t>第三章 项目要求</w:t>
      </w:r>
      <w:bookmarkEnd w:id="50"/>
    </w:p>
    <w:p w14:paraId="2A8B0CF5">
      <w:pPr>
        <w:snapToGrid w:val="0"/>
        <w:spacing w:line="360" w:lineRule="auto"/>
        <w:ind w:firstLine="480"/>
        <w:rPr>
          <w:rFonts w:ascii="Times New Roman" w:hAnsi="Times New Roman" w:cs="宋体"/>
          <w:snapToGrid w:val="0"/>
          <w:color w:val="auto"/>
          <w:kern w:val="0"/>
          <w:szCs w:val="24"/>
          <w:highlight w:val="none"/>
        </w:rPr>
      </w:pPr>
    </w:p>
    <w:p w14:paraId="2043BC3B">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业务需求</w:t>
      </w:r>
    </w:p>
    <w:p w14:paraId="0C7FD1FE">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移动作业管理系统是基于上海屹通信息科技发展有限公司的移动展业平台（</w:t>
      </w:r>
      <w:r>
        <w:rPr>
          <w:rFonts w:hint="eastAsia" w:ascii="Times New Roman" w:hAnsi="Times New Roman"/>
          <w:color w:val="auto"/>
          <w:highlight w:val="none"/>
          <w:lang w:val="en-US" w:eastAsia="zh-CN"/>
        </w:rPr>
        <w:t>ARES框架</w:t>
      </w:r>
      <w:r>
        <w:rPr>
          <w:rFonts w:hint="eastAsia" w:ascii="Times New Roman" w:hAnsi="Times New Roman"/>
          <w:color w:val="auto"/>
          <w:highlight w:val="none"/>
          <w:lang w:eastAsia="zh-CN"/>
        </w:rPr>
        <w:t>）进行建设，本次需求均基于原系统进行优化改造，需求如下：</w:t>
      </w:r>
    </w:p>
    <w:p w14:paraId="71517434">
      <w:pPr>
        <w:ind w:firstLine="480"/>
        <w:rPr>
          <w:rFonts w:hint="eastAsia" w:ascii="Times New Roman" w:hAnsi="Times New Roman"/>
          <w:color w:val="auto"/>
          <w:highlight w:val="none"/>
        </w:rPr>
      </w:pPr>
      <w:r>
        <w:rPr>
          <w:rFonts w:hint="eastAsia" w:ascii="Times New Roman" w:hAnsi="Times New Roman"/>
          <w:color w:val="auto"/>
          <w:highlight w:val="none"/>
        </w:rPr>
        <w:t>一</w:t>
      </w:r>
      <w:r>
        <w:rPr>
          <w:rFonts w:hint="eastAsia" w:ascii="Times New Roman" w:hAnsi="Times New Roman"/>
          <w:color w:val="auto"/>
          <w:highlight w:val="none"/>
          <w:lang w:eastAsia="zh-CN"/>
        </w:rPr>
        <w:t>、</w:t>
      </w:r>
      <w:r>
        <w:rPr>
          <w:rFonts w:hint="eastAsia" w:ascii="Times New Roman" w:hAnsi="Times New Roman"/>
          <w:color w:val="auto"/>
          <w:highlight w:val="none"/>
        </w:rPr>
        <w:t>增加人脸识别登录和授权。多样化工作人员登录和授权方式，在客户端新增登录活体检测；同时对接人力资源、能力中心和人脸识别等系统进行影像数据获取以及对人脸登录和授权接口进行开发。</w:t>
      </w:r>
    </w:p>
    <w:p w14:paraId="0302CEC6">
      <w:pPr>
        <w:ind w:firstLine="480"/>
        <w:rPr>
          <w:rFonts w:hint="eastAsia" w:ascii="Times New Roman" w:hAnsi="Times New Roman"/>
          <w:color w:val="auto"/>
          <w:highlight w:val="none"/>
        </w:rPr>
      </w:pPr>
      <w:r>
        <w:rPr>
          <w:rFonts w:hint="eastAsia" w:ascii="Times New Roman" w:hAnsi="Times New Roman"/>
          <w:color w:val="auto"/>
          <w:highlight w:val="none"/>
        </w:rPr>
        <w:t>二</w:t>
      </w:r>
      <w:r>
        <w:rPr>
          <w:rFonts w:hint="eastAsia" w:ascii="Times New Roman" w:hAnsi="Times New Roman"/>
          <w:color w:val="auto"/>
          <w:highlight w:val="none"/>
          <w:lang w:eastAsia="zh-CN"/>
        </w:rPr>
        <w:t>、</w:t>
      </w:r>
      <w:r>
        <w:rPr>
          <w:rFonts w:hint="eastAsia" w:ascii="Times New Roman" w:hAnsi="Times New Roman"/>
          <w:color w:val="auto"/>
          <w:highlight w:val="none"/>
        </w:rPr>
        <w:t>实现现场对公开户。涉及现场开立对公结算账户，已线上预约相关资料获取以及客户信息建立、账户开户、非柜面限额/短信提醒/回单机等业务签约；业务要素的三方比对，影像资料、法人意愿视频的采集（上传），经办人及法人的在线身份核查，黑名单系统等行内风险控制系统接入。对上述相关的对公客户和同业客户接口进行改造，对数据收集以及授权渠道相关内容进行开发。</w:t>
      </w:r>
    </w:p>
    <w:p w14:paraId="005640A4">
      <w:pPr>
        <w:ind w:firstLine="480"/>
        <w:rPr>
          <w:rFonts w:hint="eastAsia" w:ascii="Times New Roman" w:hAnsi="Times New Roman"/>
          <w:color w:val="auto"/>
          <w:highlight w:val="none"/>
        </w:rPr>
      </w:pPr>
      <w:r>
        <w:rPr>
          <w:rFonts w:hint="eastAsia" w:ascii="Times New Roman" w:hAnsi="Times New Roman"/>
          <w:color w:val="auto"/>
          <w:highlight w:val="none"/>
        </w:rPr>
        <w:t>三</w:t>
      </w:r>
      <w:r>
        <w:rPr>
          <w:rFonts w:hint="eastAsia" w:ascii="Times New Roman" w:hAnsi="Times New Roman"/>
          <w:color w:val="auto"/>
          <w:highlight w:val="none"/>
          <w:lang w:eastAsia="zh-CN"/>
        </w:rPr>
        <w:t>、</w:t>
      </w:r>
      <w:r>
        <w:rPr>
          <w:rFonts w:hint="eastAsia" w:ascii="Times New Roman" w:hAnsi="Times New Roman"/>
          <w:color w:val="auto"/>
          <w:highlight w:val="none"/>
        </w:rPr>
        <w:t>完善基础业务功能。在开卡、激活、签约中新增安全锁和动账短信起点金额设置，以及调整消费限额规则。</w:t>
      </w:r>
    </w:p>
    <w:p w14:paraId="515E5B6E">
      <w:pPr>
        <w:ind w:firstLine="480"/>
        <w:rPr>
          <w:rFonts w:hint="eastAsia" w:ascii="Times New Roman" w:hAnsi="Times New Roman"/>
          <w:color w:val="auto"/>
          <w:highlight w:val="none"/>
        </w:rPr>
      </w:pPr>
      <w:r>
        <w:rPr>
          <w:rFonts w:hint="eastAsia" w:ascii="Times New Roman" w:hAnsi="Times New Roman"/>
          <w:color w:val="auto"/>
          <w:highlight w:val="none"/>
          <w:lang w:eastAsia="zh-CN"/>
        </w:rPr>
        <w:t>四、</w:t>
      </w:r>
      <w:r>
        <w:rPr>
          <w:rFonts w:hint="eastAsia" w:ascii="Times New Roman" w:hAnsi="Times New Roman"/>
          <w:color w:val="auto"/>
          <w:highlight w:val="none"/>
        </w:rPr>
        <w:t>对移动信贷网络接入方式由VPN接入升级为互联网接入</w:t>
      </w:r>
      <w:r>
        <w:rPr>
          <w:rFonts w:hint="eastAsia" w:ascii="Times New Roman" w:hAnsi="Times New Roman"/>
          <w:color w:val="auto"/>
          <w:highlight w:val="none"/>
          <w:lang w:eastAsia="zh-CN"/>
        </w:rPr>
        <w:t>、并增加访问控制，集成新版</w:t>
      </w:r>
      <w:r>
        <w:rPr>
          <w:rFonts w:hint="eastAsia" w:ascii="Times New Roman" w:hAnsi="Times New Roman"/>
          <w:color w:val="auto"/>
          <w:highlight w:val="none"/>
          <w:lang w:val="en-US" w:eastAsia="zh-CN"/>
        </w:rPr>
        <w:t>OCRSDK</w:t>
      </w:r>
      <w:r>
        <w:rPr>
          <w:rFonts w:hint="eastAsia" w:ascii="Times New Roman" w:hAnsi="Times New Roman"/>
          <w:color w:val="auto"/>
          <w:highlight w:val="none"/>
        </w:rPr>
        <w:t>等内容。</w:t>
      </w:r>
    </w:p>
    <w:p w14:paraId="0AE36914">
      <w:pPr>
        <w:ind w:firstLine="480"/>
        <w:rPr>
          <w:rFonts w:ascii="Times New Roman" w:hAnsi="Times New Roman"/>
          <w:color w:val="auto"/>
          <w:highlight w:val="none"/>
        </w:rPr>
      </w:pPr>
      <w:r>
        <w:rPr>
          <w:rFonts w:hint="eastAsia" w:ascii="Times New Roman" w:hAnsi="Times New Roman"/>
          <w:color w:val="auto"/>
          <w:highlight w:val="none"/>
          <w:lang w:eastAsia="zh-CN"/>
        </w:rPr>
        <w:t>五、</w:t>
      </w:r>
      <w:r>
        <w:rPr>
          <w:rFonts w:hint="eastAsia" w:ascii="Times New Roman" w:hAnsi="Times New Roman"/>
          <w:color w:val="auto"/>
          <w:highlight w:val="none"/>
        </w:rPr>
        <w:t>移动作业作</w:t>
      </w:r>
      <w:r>
        <w:rPr>
          <w:rFonts w:hint="eastAsia" w:ascii="Times New Roman" w:hAnsi="Times New Roman"/>
          <w:color w:val="auto"/>
          <w:highlight w:val="none"/>
          <w:lang w:eastAsia="zh-CN"/>
        </w:rPr>
        <w:t>管理系统</w:t>
      </w:r>
      <w:r>
        <w:rPr>
          <w:rFonts w:hint="eastAsia" w:ascii="Times New Roman" w:hAnsi="Times New Roman"/>
          <w:color w:val="auto"/>
          <w:highlight w:val="none"/>
        </w:rPr>
        <w:t>为互联网系统，需配合多轮安全测试并</w:t>
      </w:r>
      <w:r>
        <w:rPr>
          <w:rFonts w:hint="eastAsia" w:ascii="Times New Roman" w:hAnsi="Times New Roman"/>
          <w:color w:val="auto"/>
          <w:highlight w:val="none"/>
          <w:lang w:eastAsia="zh-CN"/>
        </w:rPr>
        <w:t>进行安全升级相关改造</w:t>
      </w:r>
      <w:r>
        <w:rPr>
          <w:rFonts w:hint="eastAsia" w:ascii="Times New Roman" w:hAnsi="Times New Roman"/>
          <w:color w:val="auto"/>
          <w:highlight w:val="none"/>
        </w:rPr>
        <w:t>。</w:t>
      </w:r>
    </w:p>
    <w:p w14:paraId="5C47FE0D">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技术要求</w:t>
      </w:r>
    </w:p>
    <w:p w14:paraId="7F1021E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p>
    <w:p w14:paraId="6551AAE3">
      <w:pPr>
        <w:ind w:firstLine="480"/>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6813D95C">
      <w:pPr>
        <w:ind w:firstLine="480"/>
        <w:rPr>
          <w:rFonts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集成性：系统建设需充分考虑与其它系统的集成，能快速与比选人其它业务和管理系统的集成。</w:t>
      </w:r>
    </w:p>
    <w:p w14:paraId="7F57D3F0">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276DC72E">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3 可扩展性：支持业务和系统的可扩展，支持行业应用可扩展，具有向后兼容的能力。</w:t>
      </w:r>
    </w:p>
    <w:p w14:paraId="3C689906">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4 稳定性：系统要确保系统平稳运行，支持7×24小时连续运行，满足高峰处理的需要。</w:t>
      </w:r>
    </w:p>
    <w:p w14:paraId="27F9B555">
      <w:pPr>
        <w:ind w:firstLine="480"/>
        <w:outlineLvl w:val="3"/>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5 安全性：</w:t>
      </w:r>
    </w:p>
    <w:p w14:paraId="3C78D3C2">
      <w:pPr>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6E7F648">
      <w:pPr>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3776384B">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1C47A5D1">
      <w:pPr>
        <w:ind w:firstLine="480"/>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FFE1EE3">
      <w:pPr>
        <w:ind w:firstLine="480"/>
        <w:outlineLvl w:val="3"/>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8 可维护性：系统可维护，运行成本可控。</w:t>
      </w:r>
    </w:p>
    <w:p w14:paraId="08BD37C7">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2.2 用户体验要求</w:t>
      </w:r>
    </w:p>
    <w:p w14:paraId="2F88550B">
      <w:pPr>
        <w:ind w:firstLine="480"/>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37754C16">
      <w:pPr>
        <w:ind w:firstLine="480"/>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E7E4B8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p>
    <w:p w14:paraId="4132E93A">
      <w:pPr>
        <w:ind w:firstLine="480"/>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2DF8E088">
      <w:pPr>
        <w:ind w:firstLine="480"/>
        <w:rPr>
          <w:rFonts w:ascii="Times New Roman" w:hAnsi="Times New Roman"/>
          <w:color w:val="auto"/>
          <w:szCs w:val="24"/>
          <w:highlight w:val="none"/>
        </w:rPr>
      </w:pPr>
      <w:r>
        <w:rPr>
          <w:rFonts w:hint="eastAsia" w:ascii="Times New Roman" w:hAnsi="Times New Roman"/>
          <w:color w:val="auto"/>
          <w:szCs w:val="24"/>
          <w:highlight w:val="none"/>
        </w:rPr>
        <w:t>2）系统技术架构合理，数据结构合理，避免数据冗余，具有良好的扩展性、维护性和稳定性。如服务限流机制、服务降级机制等服务管控机制的应用，保障系统稳定运行。</w:t>
      </w:r>
    </w:p>
    <w:p w14:paraId="1AAD7B14">
      <w:pPr>
        <w:ind w:firstLine="480"/>
        <w:rPr>
          <w:rFonts w:ascii="Times New Roman" w:hAnsi="Times New Roman"/>
          <w:color w:val="auto"/>
          <w:szCs w:val="24"/>
          <w:highlight w:val="none"/>
        </w:rPr>
      </w:pPr>
      <w:r>
        <w:rPr>
          <w:rFonts w:hint="eastAsia" w:ascii="Times New Roman" w:hAnsi="Times New Roman"/>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D3824BE">
      <w:pPr>
        <w:ind w:firstLine="480"/>
        <w:rPr>
          <w:rFonts w:ascii="Times New Roman" w:hAnsi="Times New Roman"/>
          <w:color w:val="auto"/>
          <w:szCs w:val="24"/>
          <w:highlight w:val="none"/>
        </w:rPr>
      </w:pPr>
      <w:r>
        <w:rPr>
          <w:rFonts w:hint="eastAsia" w:ascii="Times New Roman" w:hAnsi="Times New Roman"/>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1CA87286">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5）系统支持域名部署。</w:t>
      </w:r>
    </w:p>
    <w:p w14:paraId="4C85782A">
      <w:pPr>
        <w:pStyle w:val="4"/>
        <w:ind w:firstLine="482"/>
        <w:rPr>
          <w:rFonts w:ascii="Times New Roman" w:hAnsi="Times New Roman"/>
          <w:color w:val="auto"/>
          <w:szCs w:val="24"/>
          <w:highlight w:val="none"/>
        </w:rPr>
      </w:pPr>
      <w:r>
        <w:rPr>
          <w:rFonts w:ascii="Times New Roman" w:hAnsi="Times New Roman"/>
          <w:color w:val="auto"/>
          <w:szCs w:val="24"/>
          <w:highlight w:val="none"/>
        </w:rPr>
        <w:t xml:space="preserve">2.4 </w:t>
      </w:r>
      <w:r>
        <w:rPr>
          <w:rFonts w:hint="eastAsia" w:ascii="Times New Roman" w:hAnsi="Times New Roman"/>
          <w:color w:val="auto"/>
          <w:szCs w:val="24"/>
          <w:highlight w:val="none"/>
        </w:rPr>
        <w:t>系统性能要求</w:t>
      </w:r>
    </w:p>
    <w:p w14:paraId="5BDD2333">
      <w:pPr>
        <w:ind w:firstLine="480"/>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64FB1929">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2）系统必须提供平台级的负载均衡和容错能力；</w:t>
      </w:r>
    </w:p>
    <w:p w14:paraId="35AF2968">
      <w:pPr>
        <w:ind w:firstLine="480"/>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4E0AD995">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4）可用率：系统总体平均可用率在99.99%以上。</w:t>
      </w:r>
    </w:p>
    <w:p w14:paraId="029D1C97">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p>
    <w:p w14:paraId="21A6C0FC">
      <w:pPr>
        <w:ind w:firstLine="480"/>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4D039D0B">
      <w:pPr>
        <w:ind w:firstLine="480"/>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5968BC97">
      <w:pPr>
        <w:ind w:firstLine="480"/>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0D48A1AE">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3）容灾备份：支持各种容灾的软硬件设备的使用等。</w:t>
      </w:r>
    </w:p>
    <w:p w14:paraId="756C17F5">
      <w:pPr>
        <w:ind w:firstLine="480"/>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1F7DA882">
      <w:pPr>
        <w:ind w:firstLine="480"/>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37924B76">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64221471">
      <w:pPr>
        <w:ind w:firstLine="480"/>
        <w:rPr>
          <w:rFonts w:hint="eastAsia"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229AF87D">
      <w:pPr>
        <w:rPr>
          <w:rFonts w:ascii="Times New Roman" w:hAnsi="Times New Roman" w:cs="Times New Roman"/>
          <w:color w:val="auto"/>
          <w:szCs w:val="24"/>
          <w:highlight w:val="none"/>
        </w:rPr>
      </w:pPr>
      <w:r>
        <w:rPr>
          <w:rFonts w:ascii="Times New Roman" w:hAnsi="Times New Roman" w:cs="Times New Roman"/>
          <w:color w:val="auto"/>
          <w:szCs w:val="24"/>
          <w:highlight w:val="none"/>
        </w:rPr>
        <w:t>具体如下表所示：</w:t>
      </w:r>
    </w:p>
    <w:tbl>
      <w:tblPr>
        <w:tblStyle w:val="21"/>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
        <w:gridCol w:w="826"/>
        <w:gridCol w:w="6869"/>
      </w:tblGrid>
      <w:tr w14:paraId="5D8E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7ABCDF19">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类别</w:t>
            </w:r>
          </w:p>
        </w:tc>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55404C1D">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子类</w:t>
            </w:r>
          </w:p>
        </w:tc>
        <w:tc>
          <w:tcPr>
            <w:tcW w:w="6869"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0477EEC8">
            <w:pPr>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安全需求</w:t>
            </w:r>
          </w:p>
        </w:tc>
      </w:tr>
      <w:tr w14:paraId="580A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326CFD8">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身份认证</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811E838">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口令安全策略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FBB0E2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应用系统应具有口令复杂度限制功能，并在设置密码、修改密码、重置密码的时候进行密码复杂度校验：</w:t>
            </w:r>
          </w:p>
          <w:p w14:paraId="56A14EF3">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（1）口令复杂度要求：长度8位及以上，至少包含大写，小写字母，数字，特殊字符中的三种或三种以上；</w:t>
            </w:r>
          </w:p>
          <w:p w14:paraId="76EB1B2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（2）不能使用和用户名相同的密码；</w:t>
            </w:r>
          </w:p>
          <w:p w14:paraId="528C64C8">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（3）避免使用默认口令，如果使用，应在用户首次登录时，强制用户修改密码。</w:t>
            </w:r>
          </w:p>
          <w:p w14:paraId="48F47010">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（4）系统各用户应根据使用场景定期更改密码，设置密码更新周期频率（最长不超过90天）。</w:t>
            </w:r>
          </w:p>
        </w:tc>
      </w:tr>
      <w:tr w14:paraId="7F34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33A664">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22C77F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口令加密传输</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AAA192F">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用户口令在传输过程中需进行加密，建议使用md5加盐(随机数)、sha2、pbkdf2等方式进行加密传输，禁止直接使用明文传输，禁止直接使用MD5、sha1等弱加密方式。</w:t>
            </w:r>
          </w:p>
        </w:tc>
      </w:tr>
      <w:tr w14:paraId="7640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CDC0A3">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A6C454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防暴力猜解</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63E88E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身份认证时，应防止暴力猜解账号口令：</w:t>
            </w:r>
          </w:p>
          <w:p w14:paraId="2158DBA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（1）在登录认证失败时给出通用的错误提示（如“账号或密码错误”），不能透露用户ID是否存在等信息。</w:t>
            </w:r>
          </w:p>
          <w:p w14:paraId="61411D73">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rPr>
              <w:t>（2）记录尝试次数，当超过阈值时（例如五次），限制访问（限制IP或锁定用户，锁定时间及解锁方式自行确定）。</w:t>
            </w:r>
          </w:p>
          <w:p w14:paraId="24CC672E">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（3）使用图片验证码防止暴力破解。</w:t>
            </w:r>
          </w:p>
        </w:tc>
      </w:tr>
      <w:tr w14:paraId="6BAF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82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5E7073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4A7B537">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03546D0">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禁止将账号口令等敏感信息明文或简单编码存放在Cookie中。</w:t>
            </w:r>
          </w:p>
        </w:tc>
      </w:tr>
      <w:tr w14:paraId="0A54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4D80EDB">
            <w:pPr>
              <w:jc w:val="center"/>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访问控制</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BA1B66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未授权访问</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C9F5B83">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应建立安全的访问控制机制，禁止未登录用户访问用户登录后的资源、页面或URL。</w:t>
            </w:r>
          </w:p>
        </w:tc>
      </w:tr>
      <w:tr w14:paraId="362F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2DBC66">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F66840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防水平越权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A696EEB">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77AB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550B84">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8B83593">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防垂直越权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5AC7D91">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（1）授予不同账户为完成各自承担任务所需的最小权限，应严格限制默认账户或预设账户的权限，禁止将所有权限集中在某一预设账户上。</w:t>
            </w:r>
          </w:p>
          <w:p w14:paraId="4B5430C1">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（2）在为用户授权时，服务器端按照权限规则对权限进行校验，互斥的权限不能共存于一人。如操作和审核权限。</w:t>
            </w:r>
          </w:p>
          <w:p w14:paraId="7FC2B6EC">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（3）在重要操作（如账号增删改、授权、业务操作、业务审批）时，系统应在服务器端对当前用户的权限进行校验，防止垂直越权。</w:t>
            </w:r>
          </w:p>
        </w:tc>
      </w:tr>
      <w:tr w14:paraId="3731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63A577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CE6321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防sql注入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F5BF02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应用系统应具有统一的防SQL注入机制：</w:t>
            </w:r>
          </w:p>
          <w:p w14:paraId="0AB3071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（1）防SQL注入输入校验，至少校验以下危险字符：select、 where、 from、and、or、union等。</w:t>
            </w:r>
          </w:p>
          <w:p w14:paraId="663CAC24">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（2）应使用存储过程或参数化查询，避免使用字符串拼接SQL语句，防止SQL注入。</w:t>
            </w:r>
          </w:p>
        </w:tc>
      </w:tr>
      <w:tr w14:paraId="398E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2DBCD9">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50221EA">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防跨站</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107A970">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应用系统应具有统一的防XSS跨站校验攻击机制：</w:t>
            </w:r>
          </w:p>
          <w:p w14:paraId="4BC260F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（1）防跨站输入校验，至少应校验以下危险字符：&lt;&gt; " ' % ( ) &amp; + \ \' \"，prompt，script， alert等。</w:t>
            </w:r>
          </w:p>
          <w:p w14:paraId="13E35516">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（2）防跨站输出编码，如果数据是输出到HTML中则进行Html输出编码，如果数据是输出到javascript代码中进行拼接，则进行javascript输出编码。</w:t>
            </w:r>
          </w:p>
          <w:p w14:paraId="32C44AAE">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（3）设置cookie的HttpOnly属性，能够有效防止XSS攻击。</w:t>
            </w:r>
          </w:p>
        </w:tc>
      </w:tr>
      <w:tr w14:paraId="5396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F17B5EE">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文件上传</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DEB3972">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防止任意文件上传</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89E403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应对上传文件进行以下处理，防止任意文件上传：</w:t>
            </w:r>
          </w:p>
          <w:p w14:paraId="5CB042E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（1）使用白名单方式控制上传文件的类型。服务器端应对上传文件的大小、扩展名、类型（报头信息）进行校验，防止任意文件上传。</w:t>
            </w:r>
          </w:p>
          <w:p w14:paraId="014D1F0E">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（2）文件应尽量保存在文件服务器或web目录外部，避免通过web应用直接访问上传的文件。</w:t>
            </w:r>
          </w:p>
          <w:p w14:paraId="06AD914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（3）应控制文件上传目录的权限，禁止运行权限。</w:t>
            </w:r>
          </w:p>
          <w:p w14:paraId="352D432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（4）应对上传文件进行重命名。</w:t>
            </w:r>
          </w:p>
        </w:tc>
      </w:tr>
      <w:tr w14:paraId="5E04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E0A6A5">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094435A">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239177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应对上传文件中的所有参数字段（如文件名称、文件类型、其他信息等）进行输入校验，防止注入、跨站等漏洞。</w:t>
            </w:r>
          </w:p>
        </w:tc>
      </w:tr>
      <w:tr w14:paraId="09D2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BEEE7DE">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数据安全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32408C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口令加密存储</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E4342C9">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用户口令在存储过程中需进行加密，建议使用md5加盐(随机数)、sha2、pbkdf2等方式进行加密存储，禁止直接使用明文存储，禁止直接使用MD5、sha1等弱加密方式。</w:t>
            </w:r>
          </w:p>
        </w:tc>
      </w:tr>
      <w:tr w14:paraId="06CC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40B9C9D">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D67A9C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多余信息返回</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CC50855">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对服务器返回的参数做严格的限制，保证不是功能必须的参数不在返回的参数中，防止多余信息引起的数据泄露。</w:t>
            </w:r>
          </w:p>
        </w:tc>
      </w:tr>
      <w:tr w14:paraId="2D34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97FD6E">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917873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敏感信息显示要求</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67849C2">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避免在html页面、js文件、客户端等前端上直接显示绝对路径、内网IP地址、账号口令等敏感信息。如：</w:t>
            </w:r>
          </w:p>
          <w:p w14:paraId="265088C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http://XX.XX.XX.XX/index.js;</w:t>
            </w:r>
          </w:p>
          <w:p w14:paraId="5BA6CF3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/var/www/html;</w:t>
            </w:r>
          </w:p>
          <w:p w14:paraId="296E946C">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user=admin,pass=admin;</w:t>
            </w:r>
          </w:p>
        </w:tc>
      </w:tr>
      <w:tr w14:paraId="445A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D01299">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8B1FD23">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敏感数据脱敏</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0A9AC77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敏感数据在显示时，应进行脱敏处理，如：</w:t>
            </w:r>
          </w:p>
          <w:p w14:paraId="56D4C92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姓名：张三脱敏为*三</w:t>
            </w:r>
          </w:p>
          <w:p w14:paraId="7337BA45">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身份证号：1002**********1237</w:t>
            </w:r>
          </w:p>
          <w:p w14:paraId="169EE46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手机号：186****0781</w:t>
            </w:r>
          </w:p>
          <w:p w14:paraId="2F9D9D9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银行卡号：623078*********4846</w:t>
            </w:r>
          </w:p>
          <w:p w14:paraId="23FCE055">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住址：****3单元302</w:t>
            </w:r>
          </w:p>
        </w:tc>
      </w:tr>
      <w:tr w14:paraId="3AA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433F50F">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系统容错</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17E22A1">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统一错误处理</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E57BF48">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应用系统应有统一错误处理功能，有效屏蔽系统技术错误信息，不将系统产生的错误信息（如中间件信息、数据库信息）直接反馈给客户端，提升用户体验，防止信息泄露。</w:t>
            </w:r>
          </w:p>
        </w:tc>
      </w:tr>
      <w:tr w14:paraId="1F2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B7D1219">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框架安全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CDC1C1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第三方组件或框架</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4D776F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组件和中间件是导致漏洞的重要原因，使用时需遵守如下要求：</w:t>
            </w:r>
          </w:p>
          <w:p w14:paraId="5C16DEC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1.使用的版本需是官方正常维护的版本，如不是最新版本，需更新当前版本的安全补丁或升级；</w:t>
            </w:r>
          </w:p>
          <w:p w14:paraId="63642B9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2.对使用的组件进行安全认证或限制源IP访问，避免造成未授权访问漏洞，如mongoDB、redis、Memcached、JBOSS、VNC、Zookeeper、Rsync、ElasticSearch、Hadoop、Kibana、Confluence、Jenkins、spring boot等；</w:t>
            </w:r>
          </w:p>
          <w:p w14:paraId="598DBCDF">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3.登录各组件的默认口令需进行修改，修改要求参照口令安全策略，如JBOSS、Tomcat、ActiveMQ等；</w:t>
            </w:r>
          </w:p>
        </w:tc>
      </w:tr>
    </w:tbl>
    <w:p w14:paraId="2EA4BACA">
      <w:pPr>
        <w:ind w:firstLine="480"/>
        <w:rPr>
          <w:rFonts w:hint="eastAsia" w:ascii="Times New Roman" w:hAnsi="Times New Roman"/>
          <w:color w:val="auto"/>
          <w:szCs w:val="24"/>
          <w:highlight w:val="none"/>
        </w:rPr>
      </w:pPr>
      <w:r>
        <w:rPr>
          <w:rFonts w:hint="eastAsia" w:ascii="Times New Roman" w:hAnsi="Times New Roman"/>
          <w:color w:val="auto"/>
          <w:szCs w:val="24"/>
          <w:highlight w:val="none"/>
          <w:lang w:val="en-US" w:eastAsia="zh-CN"/>
        </w:rPr>
        <w:t>8）</w:t>
      </w:r>
      <w:r>
        <w:rPr>
          <w:rFonts w:hint="eastAsia"/>
          <w:color w:val="auto"/>
          <w:highlight w:val="none"/>
        </w:rPr>
        <w:t>系统开发必须满足重庆三峡银行软件研发项目安全需求基线要求</w:t>
      </w:r>
      <w:r>
        <w:rPr>
          <w:rFonts w:hint="eastAsia"/>
          <w:color w:val="auto"/>
          <w:highlight w:val="none"/>
          <w:lang w:eastAsia="zh-CN"/>
        </w:rPr>
        <w:t>。</w:t>
      </w:r>
    </w:p>
    <w:p w14:paraId="4600A27A">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p>
    <w:p w14:paraId="65BA82D8">
      <w:pPr>
        <w:ind w:firstLine="480"/>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1）系统要求支持主流操作系统、数据库和通讯中间件，对软、硬件平台具有良好的可扩展能力，支持跨平台客制化开发。</w:t>
      </w:r>
    </w:p>
    <w:p w14:paraId="6B137022">
      <w:pPr>
        <w:ind w:firstLine="480"/>
        <w:rPr>
          <w:rFonts w:ascii="Times New Roman" w:hAnsi="Times New Roman"/>
          <w:color w:val="auto"/>
          <w:szCs w:val="24"/>
          <w:highlight w:val="none"/>
        </w:rPr>
      </w:pPr>
      <w:r>
        <w:rPr>
          <w:rFonts w:hint="eastAsia" w:ascii="Times New Roman" w:hAnsi="Times New Roman"/>
          <w:color w:val="auto"/>
          <w:szCs w:val="24"/>
          <w:highlight w:val="none"/>
        </w:rPr>
        <w:t>2）支持交易数据导入、模型参数维护、计量、会计核算、报表模块对于新产品的支持，系统容易改进、扩展和升级。</w:t>
      </w:r>
    </w:p>
    <w:p w14:paraId="40640E6E">
      <w:pPr>
        <w:ind w:firstLine="480"/>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130D063E">
      <w:pPr>
        <w:ind w:firstLine="480"/>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6CB5C7EF">
      <w:pPr>
        <w:ind w:firstLine="480"/>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29BC24E2">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p>
    <w:p w14:paraId="5DB89D65">
      <w:pPr>
        <w:ind w:firstLine="480"/>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5C656FA5">
      <w:pPr>
        <w:ind w:firstLine="480"/>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7FE6C0A8">
      <w:pPr>
        <w:ind w:firstLine="480"/>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408AA789">
      <w:pPr>
        <w:ind w:firstLine="480"/>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542F395F">
      <w:pPr>
        <w:ind w:firstLine="480"/>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4425B15E">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p>
    <w:p w14:paraId="1E8759B8">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1 运维要求</w:t>
      </w:r>
    </w:p>
    <w:p w14:paraId="2809750A">
      <w:pPr>
        <w:ind w:firstLine="480"/>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75B0D345">
      <w:pPr>
        <w:ind w:firstLine="480"/>
        <w:rPr>
          <w:rFonts w:ascii="Times New Roman" w:hAnsi="Times New Roman"/>
          <w:color w:val="auto"/>
          <w:szCs w:val="24"/>
          <w:highlight w:val="none"/>
        </w:rPr>
      </w:pPr>
      <w:r>
        <w:rPr>
          <w:rFonts w:hint="eastAsia" w:ascii="Times New Roman" w:hAnsi="Times New Roman"/>
          <w:color w:val="auto"/>
          <w:szCs w:val="24"/>
          <w:highlight w:val="none"/>
        </w:rPr>
        <w:t>2） 提供应用系统之间逻辑独立、启停服务时系统间不相互影响的部署方案（十分重要），保障系统的7*24小时运行；</w:t>
      </w:r>
    </w:p>
    <w:p w14:paraId="342B3B88">
      <w:pPr>
        <w:ind w:firstLine="480"/>
        <w:rPr>
          <w:rFonts w:ascii="Times New Roman" w:hAnsi="Times New Roman"/>
          <w:color w:val="auto"/>
          <w:szCs w:val="24"/>
          <w:highlight w:val="none"/>
        </w:rPr>
      </w:pPr>
      <w:r>
        <w:rPr>
          <w:rFonts w:hint="eastAsia" w:ascii="Times New Roman" w:hAnsi="Times New Roman"/>
          <w:color w:val="auto"/>
          <w:szCs w:val="24"/>
          <w:highlight w:val="none"/>
        </w:rPr>
        <w:t>3）提供系统资源运行情况实时监控报告；提供系统出现异常预警报告；提供系统运行情况报表等。</w:t>
      </w:r>
    </w:p>
    <w:p w14:paraId="67B0C08B">
      <w:pPr>
        <w:ind w:firstLine="480"/>
        <w:rPr>
          <w:rFonts w:ascii="Times New Roman" w:hAnsi="Times New Roman"/>
          <w:color w:val="auto"/>
          <w:szCs w:val="24"/>
          <w:highlight w:val="none"/>
        </w:rPr>
      </w:pPr>
      <w:r>
        <w:rPr>
          <w:rFonts w:hint="eastAsia" w:ascii="Times New Roman" w:hAnsi="Times New Roman"/>
          <w:color w:val="auto"/>
          <w:szCs w:val="24"/>
          <w:highlight w:val="none"/>
        </w:rPr>
        <w:t>4）涉及重大生产故障，需15分钟内响应，30分钟内提供临时解决方案并能恢复生产服务，并安排响应的技术专家进行技术支持。</w:t>
      </w:r>
    </w:p>
    <w:p w14:paraId="0D185CD2">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2 日志要求</w:t>
      </w:r>
    </w:p>
    <w:p w14:paraId="71A3768A">
      <w:pPr>
        <w:ind w:firstLine="480"/>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7417B028">
      <w:pPr>
        <w:ind w:firstLine="480"/>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76F4A0EC">
      <w:pPr>
        <w:ind w:firstLine="480"/>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57FF9548">
      <w:pPr>
        <w:ind w:firstLine="480"/>
        <w:outlineLvl w:val="4"/>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395F48D7">
      <w:pPr>
        <w:ind w:firstLine="480"/>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1474137A">
      <w:pPr>
        <w:ind w:firstLine="480"/>
        <w:outlineLvl w:val="3"/>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3 自动监控指标</w:t>
      </w:r>
    </w:p>
    <w:p w14:paraId="10FD1D72">
      <w:pPr>
        <w:ind w:firstLine="480"/>
        <w:outlineLvl w:val="4"/>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295F0413">
      <w:pPr>
        <w:ind w:firstLine="480"/>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12348AC7">
      <w:pPr>
        <w:ind w:firstLine="480"/>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249D569B">
      <w:pPr>
        <w:ind w:firstLine="480"/>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2777BF06">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p>
    <w:p w14:paraId="0C126947">
      <w:pPr>
        <w:ind w:firstLine="480"/>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C9E4C7A">
      <w:pPr>
        <w:ind w:firstLine="480"/>
        <w:rPr>
          <w:rFonts w:ascii="Times New Roman" w:hAnsi="Times New Roman"/>
          <w:color w:val="auto"/>
          <w:szCs w:val="24"/>
          <w:highlight w:val="none"/>
        </w:rPr>
      </w:pPr>
      <w:r>
        <w:rPr>
          <w:rFonts w:hint="eastAsia" w:ascii="Times New Roman" w:hAnsi="Times New Roman"/>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229AA607">
      <w:pPr>
        <w:ind w:firstLine="480"/>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业务处理符合国家法律、法规和有关政策规定。数据标准要满足银监会及人民银行相关管理办法及标准化的要求。</w:t>
      </w:r>
    </w:p>
    <w:p w14:paraId="166813A6">
      <w:pPr>
        <w:pStyle w:val="4"/>
        <w:ind w:firstLine="482"/>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.10 </w:t>
      </w:r>
      <w:r>
        <w:rPr>
          <w:rFonts w:hint="eastAsia" w:ascii="Times New Roman" w:hAnsi="Times New Roman"/>
          <w:color w:val="auto"/>
          <w:szCs w:val="24"/>
          <w:highlight w:val="none"/>
        </w:rPr>
        <w:t>其他技术要求</w:t>
      </w:r>
    </w:p>
    <w:p w14:paraId="48C1560D">
      <w:pPr>
        <w:ind w:firstLine="480"/>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333C888D">
      <w:pPr>
        <w:ind w:firstLine="480"/>
        <w:rPr>
          <w:rFonts w:ascii="Times New Roman" w:hAnsi="Times New Roman"/>
          <w:color w:val="auto"/>
          <w:szCs w:val="24"/>
          <w:highlight w:val="none"/>
        </w:rPr>
      </w:pPr>
      <w:r>
        <w:rPr>
          <w:rFonts w:hint="eastAsia" w:ascii="Times New Roman" w:hAnsi="Times New Roman"/>
          <w:color w:val="auto"/>
          <w:szCs w:val="24"/>
          <w:highlight w:val="none"/>
        </w:rPr>
        <w:t>2）操作系统、数据库和中间件满足以下要求：服务端操作系统支持Linux（RHEL 7.</w:t>
      </w:r>
      <w:r>
        <w:rPr>
          <w:rFonts w:ascii="Times New Roman" w:hAnsi="Times New Roman"/>
          <w:color w:val="auto"/>
          <w:szCs w:val="24"/>
          <w:highlight w:val="none"/>
        </w:rPr>
        <w:t>9</w:t>
      </w:r>
      <w:r>
        <w:rPr>
          <w:rFonts w:hint="eastAsia" w:ascii="Times New Roman" w:hAnsi="Times New Roman"/>
          <w:color w:val="auto"/>
          <w:szCs w:val="24"/>
          <w:highlight w:val="none"/>
        </w:rPr>
        <w:t>），支持Oracle（19C）数据库（支持rac），支持Weblogic（12.2.1.</w:t>
      </w:r>
      <w:r>
        <w:rPr>
          <w:rFonts w:ascii="Times New Roman" w:hAnsi="Times New Roman"/>
          <w:color w:val="auto"/>
          <w:szCs w:val="24"/>
          <w:highlight w:val="none"/>
        </w:rPr>
        <w:t>4</w:t>
      </w:r>
      <w:r>
        <w:rPr>
          <w:rFonts w:hint="eastAsia" w:ascii="Times New Roman" w:hAnsi="Times New Roman"/>
          <w:color w:val="auto"/>
          <w:szCs w:val="24"/>
          <w:highlight w:val="none"/>
        </w:rPr>
        <w:t>及以上）中间件及Tomcat中间件。</w:t>
      </w:r>
    </w:p>
    <w:p w14:paraId="083F3631">
      <w:pPr>
        <w:ind w:firstLine="480"/>
        <w:rPr>
          <w:rFonts w:ascii="Times New Roman" w:hAnsi="Times New Roman"/>
          <w:color w:val="auto"/>
          <w:szCs w:val="24"/>
          <w:highlight w:val="none"/>
        </w:rPr>
      </w:pPr>
      <w:r>
        <w:rPr>
          <w:rFonts w:hint="eastAsia" w:ascii="Times New Roman" w:hAnsi="Times New Roman"/>
          <w:color w:val="auto"/>
          <w:szCs w:val="24"/>
          <w:highlight w:val="none"/>
        </w:rPr>
        <w:t>3）必须支持Windows全系操作系统，即WinXP/Win7/Win8/Win10，支持谷歌、360、IE6及以上版本浏览器使用。</w:t>
      </w:r>
    </w:p>
    <w:p w14:paraId="667D583E">
      <w:pPr>
        <w:ind w:firstLine="480"/>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4833BC46">
      <w:pPr>
        <w:ind w:firstLine="480"/>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69C4E887">
      <w:pPr>
        <w:ind w:firstLine="480"/>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688725F4">
      <w:pPr>
        <w:ind w:firstLine="480"/>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）系统开发需要符合我行开发规范和整体框架要求。</w:t>
      </w:r>
    </w:p>
    <w:p w14:paraId="5AE0E956">
      <w:pPr>
        <w:ind w:firstLine="480"/>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489CF9D2">
      <w:pPr>
        <w:ind w:firstLine="480"/>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259F68C3">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）参选人需提供完善的数据备份方案及备份机制。</w:t>
      </w:r>
    </w:p>
    <w:p w14:paraId="522BC515">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）技术RTO（恢复时间目标）：X</w:t>
      </w:r>
      <w:r>
        <w:rPr>
          <w:rFonts w:ascii="Times New Roman" w:hAnsi="Times New Roman"/>
          <w:color w:val="auto"/>
          <w:szCs w:val="24"/>
          <w:highlight w:val="none"/>
        </w:rPr>
        <w:t>X</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XX</w:t>
      </w:r>
      <w:r>
        <w:rPr>
          <w:rFonts w:hint="eastAsia" w:ascii="Times New Roman" w:hAnsi="Times New Roman"/>
          <w:color w:val="auto"/>
          <w:szCs w:val="24"/>
          <w:highlight w:val="none"/>
        </w:rPr>
        <w:t>小时。</w:t>
      </w:r>
    </w:p>
    <w:p w14:paraId="10982A31">
      <w:pPr>
        <w:ind w:firstLine="480"/>
        <w:outlineLvl w:val="3"/>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3D30692D">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65F8D736">
      <w:pPr>
        <w:ind w:firstLine="480"/>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）系统在集群部署共享文件访问时使用对象存储（不得使用NAS）。</w:t>
      </w:r>
    </w:p>
    <w:p w14:paraId="2BDCB0B4">
      <w:pPr>
        <w:ind w:firstLine="480"/>
        <w:outlineLvl w:val="3"/>
        <w:rPr>
          <w:rFonts w:hint="eastAsia"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5</w:t>
      </w:r>
      <w:r>
        <w:rPr>
          <w:rFonts w:hint="eastAsia" w:ascii="Times New Roman" w:hAnsi="Times New Roman"/>
          <w:color w:val="auto"/>
          <w:szCs w:val="24"/>
          <w:highlight w:val="none"/>
        </w:rPr>
        <w:t>）满足国家保密标准及要求。</w:t>
      </w:r>
    </w:p>
    <w:p w14:paraId="085531FB">
      <w:pPr>
        <w:ind w:firstLine="480"/>
        <w:rPr>
          <w:rFonts w:hint="eastAsia" w:ascii="Times New Roman" w:hAnsi="Times New Roman"/>
          <w:color w:val="auto"/>
          <w:szCs w:val="24"/>
          <w:highlight w:val="none"/>
        </w:rPr>
      </w:pPr>
      <w:r>
        <w:rPr>
          <w:rFonts w:hint="eastAsia" w:ascii="Times New Roman" w:hAnsi="Times New Roman"/>
          <w:color w:val="auto"/>
          <w:szCs w:val="24"/>
          <w:highlight w:val="none"/>
          <w:lang w:val="en-US" w:eastAsia="zh-CN"/>
        </w:rPr>
        <w:t>16）</w:t>
      </w:r>
      <w:r>
        <w:rPr>
          <w:rFonts w:hint="eastAsia" w:ascii="Times New Roman" w:hAnsi="Times New Roman" w:cs="Times New Roman"/>
          <w:color w:val="auto"/>
          <w:szCs w:val="24"/>
          <w:highlight w:val="none"/>
          <w:lang w:val="en-US" w:eastAsia="zh-CN"/>
        </w:rPr>
        <w:t>系统所使用技术需满足监管或行内安全要求，并对不符合安全标准的内容进行维护。</w:t>
      </w:r>
    </w:p>
    <w:p w14:paraId="1337CDAE">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测试要求</w:t>
      </w:r>
    </w:p>
    <w:p w14:paraId="479C2F22">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w:t>
      </w:r>
      <w:r>
        <w:rPr>
          <w:rFonts w:ascii="Times New Roman" w:hAnsi="Times New Roman"/>
          <w:color w:val="auto"/>
          <w:szCs w:val="24"/>
          <w:highlight w:val="none"/>
        </w:rPr>
        <w:t>参选人应负责系统的单元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5DA8E24B">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w:t>
      </w:r>
      <w:r>
        <w:rPr>
          <w:rFonts w:ascii="Times New Roman" w:hAnsi="Times New Roman"/>
          <w:color w:val="auto"/>
          <w:szCs w:val="24"/>
          <w:highlight w:val="none"/>
        </w:rPr>
        <w:t>参选人应提供专职的性能测试负责人及性能测试人员进行系统的性能测试，提交满足系统性能指标的性能测试报告。</w:t>
      </w:r>
    </w:p>
    <w:p w14:paraId="5A0243E4">
      <w:pPr>
        <w:spacing w:line="360" w:lineRule="auto"/>
        <w:ind w:firstLine="480"/>
        <w:rPr>
          <w:rFonts w:ascii="Times New Roman" w:hAnsi="Times New Roman"/>
          <w:color w:val="auto"/>
          <w:szCs w:val="24"/>
          <w:highlight w:val="none"/>
        </w:rPr>
      </w:pPr>
      <w:r>
        <w:rPr>
          <w:rFonts w:ascii="Times New Roman" w:hAnsi="Times New Roman"/>
          <w:color w:val="auto"/>
          <w:szCs w:val="24"/>
          <w:highlight w:val="none"/>
        </w:rPr>
        <w:t>3</w:t>
      </w:r>
      <w:r>
        <w:rPr>
          <w:rFonts w:hint="eastAsia" w:ascii="Times New Roman" w:hAnsi="Times New Roman"/>
          <w:color w:val="auto"/>
          <w:szCs w:val="24"/>
          <w:highlight w:val="none"/>
        </w:rPr>
        <w:t>）</w:t>
      </w:r>
      <w:r>
        <w:rPr>
          <w:rFonts w:ascii="Times New Roman" w:hAnsi="Times New Roman"/>
          <w:color w:val="auto"/>
          <w:szCs w:val="24"/>
          <w:highlight w:val="none"/>
        </w:rPr>
        <w:t>参选人应指派专职的测试项目经理及项目成员进行系统测试，参照</w:t>
      </w:r>
      <w:r>
        <w:rPr>
          <w:rFonts w:hint="eastAsia" w:ascii="Times New Roman" w:hAnsi="Times New Roman"/>
          <w:color w:val="auto"/>
          <w:szCs w:val="24"/>
          <w:highlight w:val="none"/>
        </w:rPr>
        <w:t>比选人</w:t>
      </w:r>
      <w:r>
        <w:rPr>
          <w:rFonts w:ascii="Times New Roman" w:hAnsi="Times New Roman"/>
          <w:color w:val="auto"/>
          <w:szCs w:val="24"/>
          <w:highlight w:val="none"/>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4D8FD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221B892">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系统测试准入准出标准</w:t>
            </w:r>
          </w:p>
        </w:tc>
      </w:tr>
      <w:tr w14:paraId="435A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B045A6A">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一、系统测试准入标准</w:t>
            </w:r>
          </w:p>
        </w:tc>
      </w:tr>
      <w:tr w14:paraId="73E8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F5ECF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阶段</w:t>
            </w:r>
          </w:p>
        </w:tc>
        <w:tc>
          <w:tcPr>
            <w:tcW w:w="6889" w:type="dxa"/>
            <w:shd w:val="clear" w:color="auto" w:fill="auto"/>
            <w:vAlign w:val="center"/>
          </w:tcPr>
          <w:p w14:paraId="568E4B70">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准入条件</w:t>
            </w:r>
          </w:p>
        </w:tc>
      </w:tr>
      <w:tr w14:paraId="38AC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1334DC0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计划阶段</w:t>
            </w:r>
          </w:p>
        </w:tc>
        <w:tc>
          <w:tcPr>
            <w:tcW w:w="6889" w:type="dxa"/>
            <w:shd w:val="clear" w:color="auto" w:fill="auto"/>
            <w:vAlign w:val="center"/>
          </w:tcPr>
          <w:p w14:paraId="6517CF3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开发项目在立项之初应提交纸质测试服务申请单给测试负责人</w:t>
            </w:r>
          </w:p>
        </w:tc>
      </w:tr>
      <w:tr w14:paraId="66195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C6FF6B5">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369CC31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开发项目整体项目计划必须包含系统测试计划或系统测试计划时间</w:t>
            </w:r>
          </w:p>
        </w:tc>
      </w:tr>
      <w:tr w14:paraId="4975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C288280">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23ECF65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测试方要求的需求说明书及相关说明书已经通过评审，并形成终稿；文档包括但不限于：业务需求、需求说明书、系统原型、概要设计（可选）、用户手册（可选）</w:t>
            </w:r>
          </w:p>
        </w:tc>
      </w:tr>
      <w:tr w14:paraId="1D5E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51EEBDA">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0ED9674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变更影响范围是否提供</w:t>
            </w:r>
          </w:p>
        </w:tc>
      </w:tr>
      <w:tr w14:paraId="2C31A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E85C972">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执行阶段</w:t>
            </w:r>
          </w:p>
        </w:tc>
        <w:tc>
          <w:tcPr>
            <w:tcW w:w="6889" w:type="dxa"/>
            <w:shd w:val="clear" w:color="auto" w:fill="auto"/>
            <w:vAlign w:val="center"/>
          </w:tcPr>
          <w:p w14:paraId="513540C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2886D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5765078">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3173804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系统测试案例准备就绪（案例密度为35条/每功能点）</w:t>
            </w:r>
          </w:p>
        </w:tc>
      </w:tr>
      <w:tr w14:paraId="0B284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B9E68DC">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207E0D2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测试环境准备就绪</w:t>
            </w:r>
          </w:p>
        </w:tc>
      </w:tr>
      <w:tr w14:paraId="1CE79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8621F8F">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008AFE4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测试版本能够成功部署到测试环境。（如果测试和开发处于同一环境，则在系统测试开始前应该按照开发提交的版本重新部署）</w:t>
            </w:r>
          </w:p>
        </w:tc>
      </w:tr>
      <w:tr w14:paraId="5FDE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881D801">
            <w:pPr>
              <w:spacing w:line="240" w:lineRule="auto"/>
              <w:ind w:firstLine="0" w:firstLineChars="0"/>
              <w:rPr>
                <w:rFonts w:ascii="Times New Roman" w:hAnsi="Times New Roman"/>
                <w:color w:val="auto"/>
                <w:highlight w:val="none"/>
              </w:rPr>
            </w:pPr>
          </w:p>
        </w:tc>
        <w:tc>
          <w:tcPr>
            <w:tcW w:w="6889" w:type="dxa"/>
            <w:shd w:val="clear" w:color="auto" w:fill="auto"/>
            <w:vAlign w:val="center"/>
          </w:tcPr>
          <w:p w14:paraId="63BF2B5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冒烟测试达到通过标准（冒烟测试案例通过率大于90%，有效缺陷率不高于10%）</w:t>
            </w:r>
          </w:p>
        </w:tc>
      </w:tr>
      <w:tr w14:paraId="7390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73CC5B8">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二、暂停/继续标准：满足下列之一的条件并由项目组审核同意，测试可以暂停</w:t>
            </w:r>
          </w:p>
        </w:tc>
      </w:tr>
      <w:tr w14:paraId="50956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1E8C84F">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1FD4E83A">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暂停条件</w:t>
            </w:r>
          </w:p>
        </w:tc>
      </w:tr>
      <w:tr w14:paraId="565F3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149EC9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6D5B6B3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由于程序、环境原因导致测试无法进行</w:t>
            </w:r>
          </w:p>
        </w:tc>
      </w:tr>
      <w:tr w14:paraId="5D355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7A7D501">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0E0CD1D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项目暂停，已无测试必要</w:t>
            </w:r>
          </w:p>
        </w:tc>
      </w:tr>
      <w:tr w14:paraId="7055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911B4E">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3</w:t>
            </w:r>
          </w:p>
        </w:tc>
        <w:tc>
          <w:tcPr>
            <w:tcW w:w="6889" w:type="dxa"/>
            <w:shd w:val="clear" w:color="auto" w:fill="auto"/>
            <w:vAlign w:val="center"/>
          </w:tcPr>
          <w:p w14:paraId="20035DA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测试需求稳定指数小于70%，则暂停测试执行</w:t>
            </w:r>
          </w:p>
        </w:tc>
      </w:tr>
      <w:tr w14:paraId="1A14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9FB4BB">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4</w:t>
            </w:r>
          </w:p>
        </w:tc>
        <w:tc>
          <w:tcPr>
            <w:tcW w:w="6889" w:type="dxa"/>
            <w:shd w:val="clear" w:color="auto" w:fill="auto"/>
            <w:vAlign w:val="center"/>
          </w:tcPr>
          <w:p w14:paraId="546A13A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每个里程碑节点或执行轮次案例执行通过率低于60%，则暂停测试执行</w:t>
            </w:r>
          </w:p>
        </w:tc>
      </w:tr>
      <w:tr w14:paraId="0EAD8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86B6859">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5</w:t>
            </w:r>
          </w:p>
        </w:tc>
        <w:tc>
          <w:tcPr>
            <w:tcW w:w="6889" w:type="dxa"/>
            <w:shd w:val="clear" w:color="auto" w:fill="auto"/>
            <w:vAlign w:val="center"/>
          </w:tcPr>
          <w:p w14:paraId="6C7CACA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每个里程碑节点或执行轮次缺陷解决率低于50%，则暂停测试执行</w:t>
            </w:r>
          </w:p>
        </w:tc>
      </w:tr>
      <w:tr w14:paraId="370A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C1AFFDB">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6</w:t>
            </w:r>
          </w:p>
        </w:tc>
        <w:tc>
          <w:tcPr>
            <w:tcW w:w="6889" w:type="dxa"/>
            <w:shd w:val="clear" w:color="auto" w:fill="auto"/>
            <w:vAlign w:val="center"/>
          </w:tcPr>
          <w:p w14:paraId="429DEF2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每个里程碑节点或执行轮次缺陷的案例命中率大于25%，则暂停测试执行</w:t>
            </w:r>
          </w:p>
        </w:tc>
      </w:tr>
      <w:tr w14:paraId="5E3F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CA26E3">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7</w:t>
            </w:r>
          </w:p>
        </w:tc>
        <w:tc>
          <w:tcPr>
            <w:tcW w:w="6889" w:type="dxa"/>
            <w:shd w:val="clear" w:color="auto" w:fill="auto"/>
            <w:vAlign w:val="center"/>
          </w:tcPr>
          <w:p w14:paraId="70AA735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每个里程碑节点或执行轮次严重以上缺陷占比大于35%，则暂停测试执行</w:t>
            </w:r>
          </w:p>
        </w:tc>
      </w:tr>
      <w:tr w14:paraId="328A7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04C0593">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8</w:t>
            </w:r>
          </w:p>
        </w:tc>
        <w:tc>
          <w:tcPr>
            <w:tcW w:w="6889" w:type="dxa"/>
            <w:shd w:val="clear" w:color="auto" w:fill="auto"/>
            <w:vAlign w:val="center"/>
          </w:tcPr>
          <w:p w14:paraId="6A53221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测试环境、测试数据、测试人员等等测试必备条件不再具备或发生变化导致测试不能进行，则暂停测试执行</w:t>
            </w:r>
          </w:p>
        </w:tc>
      </w:tr>
      <w:tr w14:paraId="20B9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F875B31">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9</w:t>
            </w:r>
          </w:p>
        </w:tc>
        <w:tc>
          <w:tcPr>
            <w:tcW w:w="6889" w:type="dxa"/>
            <w:shd w:val="clear" w:color="auto" w:fill="auto"/>
            <w:vAlign w:val="center"/>
          </w:tcPr>
          <w:p w14:paraId="52389AE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项目组确定的可以暂停的其他条件</w:t>
            </w:r>
          </w:p>
        </w:tc>
      </w:tr>
      <w:tr w14:paraId="647B7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44256C3">
            <w:pPr>
              <w:spacing w:line="240" w:lineRule="auto"/>
              <w:ind w:firstLine="0" w:firstLineChars="0"/>
              <w:jc w:val="center"/>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val="en-US" w:eastAsia="zh-CN"/>
              </w:rPr>
              <w:t>10</w:t>
            </w:r>
          </w:p>
        </w:tc>
        <w:tc>
          <w:tcPr>
            <w:tcW w:w="6889" w:type="dxa"/>
            <w:shd w:val="clear" w:color="auto" w:fill="auto"/>
            <w:vAlign w:val="center"/>
          </w:tcPr>
          <w:p w14:paraId="3027F17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恢复以上的条件并由项目组审核同意，测试可以继续</w:t>
            </w:r>
          </w:p>
        </w:tc>
      </w:tr>
      <w:tr w14:paraId="5DF9D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66499B0">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三、系统测试准出标准：同时满足以下条件，系统测试完成</w:t>
            </w:r>
          </w:p>
        </w:tc>
      </w:tr>
      <w:tr w14:paraId="4CBB6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B47CBF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41FC19DD">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准出条件</w:t>
            </w:r>
          </w:p>
        </w:tc>
      </w:tr>
      <w:tr w14:paraId="0BD0A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1E01E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1685722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测试需求覆盖率达到100%，测试案例覆盖度100%</w:t>
            </w:r>
          </w:p>
        </w:tc>
      </w:tr>
      <w:tr w14:paraId="4A2C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E38B40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49873E2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测试案例执行率达到100%，测试通过率95%</w:t>
            </w:r>
          </w:p>
        </w:tc>
      </w:tr>
      <w:tr w14:paraId="4E2A4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BD38B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3</w:t>
            </w:r>
          </w:p>
        </w:tc>
        <w:tc>
          <w:tcPr>
            <w:tcW w:w="6889" w:type="dxa"/>
            <w:shd w:val="clear" w:color="auto" w:fill="auto"/>
            <w:vAlign w:val="center"/>
          </w:tcPr>
          <w:p w14:paraId="3FDF931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缺陷修复率达到95%</w:t>
            </w:r>
          </w:p>
        </w:tc>
      </w:tr>
      <w:tr w14:paraId="56470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F99238F">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889" w:type="dxa"/>
            <w:shd w:val="clear" w:color="auto" w:fill="auto"/>
            <w:vAlign w:val="center"/>
          </w:tcPr>
          <w:p w14:paraId="23FE2A7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致命缺陷、严重缺陷解决率达到100%</w:t>
            </w:r>
          </w:p>
        </w:tc>
      </w:tr>
      <w:tr w14:paraId="041BE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09EA9D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889" w:type="dxa"/>
            <w:shd w:val="clear" w:color="auto" w:fill="auto"/>
            <w:vAlign w:val="center"/>
          </w:tcPr>
          <w:p w14:paraId="62EB260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一般缺陷、微小缺陷解决率达到90%以上，建议缺陷解决率达到80%以上，且未解决缺陷得项目组认可</w:t>
            </w:r>
          </w:p>
        </w:tc>
      </w:tr>
      <w:tr w14:paraId="6B34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76210CC">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889" w:type="dxa"/>
            <w:shd w:val="clear" w:color="auto" w:fill="auto"/>
            <w:vAlign w:val="center"/>
          </w:tcPr>
          <w:p w14:paraId="598E4E8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提交系统测试报告及通过评审</w:t>
            </w:r>
          </w:p>
        </w:tc>
      </w:tr>
      <w:tr w14:paraId="2F42E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A8550CA">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四、测试指标公式附录</w:t>
            </w:r>
          </w:p>
        </w:tc>
      </w:tr>
      <w:tr w14:paraId="397F3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BD0A42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TPI</w:t>
            </w:r>
          </w:p>
        </w:tc>
        <w:tc>
          <w:tcPr>
            <w:tcW w:w="6889" w:type="dxa"/>
            <w:shd w:val="clear" w:color="auto" w:fill="auto"/>
            <w:vAlign w:val="center"/>
          </w:tcPr>
          <w:p w14:paraId="76EF05E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公式</w:t>
            </w:r>
          </w:p>
        </w:tc>
      </w:tr>
      <w:tr w14:paraId="25AAC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099ECF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w:t>
            </w:r>
          </w:p>
        </w:tc>
        <w:tc>
          <w:tcPr>
            <w:tcW w:w="6889" w:type="dxa"/>
            <w:shd w:val="clear" w:color="auto" w:fill="auto"/>
            <w:vAlign w:val="center"/>
          </w:tcPr>
          <w:p w14:paraId="06E992B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测试需求覆盖点/软件需求功能点</w:t>
            </w:r>
          </w:p>
        </w:tc>
      </w:tr>
      <w:tr w14:paraId="2102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679CD4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有效案例总数</w:t>
            </w:r>
          </w:p>
        </w:tc>
        <w:tc>
          <w:tcPr>
            <w:tcW w:w="6889" w:type="dxa"/>
            <w:shd w:val="clear" w:color="auto" w:fill="auto"/>
            <w:vAlign w:val="center"/>
          </w:tcPr>
          <w:p w14:paraId="7D0C7F6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案例总数-无效案例总数</w:t>
            </w:r>
          </w:p>
        </w:tc>
      </w:tr>
      <w:tr w14:paraId="6A34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FB3CD7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w:t>
            </w:r>
          </w:p>
        </w:tc>
        <w:tc>
          <w:tcPr>
            <w:tcW w:w="6889" w:type="dxa"/>
            <w:shd w:val="clear" w:color="auto" w:fill="auto"/>
            <w:vAlign w:val="center"/>
          </w:tcPr>
          <w:p w14:paraId="5717551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缺陷总数-无效缺陷总数-伪缺陷总数</w:t>
            </w:r>
          </w:p>
        </w:tc>
      </w:tr>
      <w:tr w14:paraId="545D3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4006D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w:t>
            </w:r>
          </w:p>
        </w:tc>
        <w:tc>
          <w:tcPr>
            <w:tcW w:w="6889" w:type="dxa"/>
            <w:shd w:val="clear" w:color="auto" w:fill="auto"/>
            <w:vAlign w:val="center"/>
          </w:tcPr>
          <w:p w14:paraId="3C30F4D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严重及致命缺陷总数-无效的严重及致命缺陷总数</w:t>
            </w:r>
          </w:p>
        </w:tc>
      </w:tr>
      <w:tr w14:paraId="19D91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707143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案例执行率</w:t>
            </w:r>
          </w:p>
        </w:tc>
        <w:tc>
          <w:tcPr>
            <w:tcW w:w="6889" w:type="dxa"/>
            <w:shd w:val="clear" w:color="auto" w:fill="auto"/>
            <w:vAlign w:val="center"/>
          </w:tcPr>
          <w:p w14:paraId="0CABBA6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每轮执行案例数/每轮计划执行的案例个数</w:t>
            </w:r>
          </w:p>
        </w:tc>
      </w:tr>
      <w:tr w14:paraId="3A560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3B54C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需求稳定指数</w:t>
            </w:r>
          </w:p>
        </w:tc>
        <w:tc>
          <w:tcPr>
            <w:tcW w:w="6889" w:type="dxa"/>
            <w:shd w:val="clear" w:color="auto" w:fill="auto"/>
            <w:vAlign w:val="center"/>
          </w:tcPr>
          <w:p w14:paraId="3986165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（测试需求分析中规则数量-业务需求因素引起变更的测试需求规则数-开发因素引起变更的测试需求规则数）/测试需求分析中规则数量</w:t>
            </w:r>
          </w:p>
        </w:tc>
      </w:tr>
      <w:tr w14:paraId="0D8C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ADE65E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案例执行通过率</w:t>
            </w:r>
          </w:p>
        </w:tc>
        <w:tc>
          <w:tcPr>
            <w:tcW w:w="6889" w:type="dxa"/>
            <w:shd w:val="clear" w:color="auto" w:fill="auto"/>
            <w:vAlign w:val="center"/>
          </w:tcPr>
          <w:p w14:paraId="47423F4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每轮执行通过的案例个数/每轮执行案例数</w:t>
            </w:r>
          </w:p>
        </w:tc>
      </w:tr>
      <w:tr w14:paraId="0B29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8011B7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缺陷的案例命中率</w:t>
            </w:r>
          </w:p>
        </w:tc>
        <w:tc>
          <w:tcPr>
            <w:tcW w:w="6889" w:type="dxa"/>
            <w:shd w:val="clear" w:color="auto" w:fill="auto"/>
            <w:vAlign w:val="bottom"/>
          </w:tcPr>
          <w:p w14:paraId="5F92DED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有效缺陷总数/有效案例总数</w:t>
            </w:r>
          </w:p>
        </w:tc>
      </w:tr>
      <w:tr w14:paraId="66A01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14CA60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严重以上缺陷占比</w:t>
            </w:r>
          </w:p>
        </w:tc>
        <w:tc>
          <w:tcPr>
            <w:tcW w:w="6889" w:type="dxa"/>
            <w:shd w:val="clear" w:color="auto" w:fill="auto"/>
            <w:vAlign w:val="bottom"/>
          </w:tcPr>
          <w:p w14:paraId="71537DF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严重以上缺陷总数/有效缺陷总数</w:t>
            </w:r>
          </w:p>
        </w:tc>
      </w:tr>
      <w:tr w14:paraId="6ECF8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22A2F74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缺陷解决率</w:t>
            </w:r>
          </w:p>
        </w:tc>
        <w:tc>
          <w:tcPr>
            <w:tcW w:w="6889" w:type="dxa"/>
            <w:shd w:val="clear" w:color="auto" w:fill="auto"/>
            <w:vAlign w:val="bottom"/>
          </w:tcPr>
          <w:p w14:paraId="48B797C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关闭缺陷总数/有效缺陷总数</w:t>
            </w:r>
          </w:p>
        </w:tc>
      </w:tr>
    </w:tbl>
    <w:p w14:paraId="79273F4E">
      <w:pPr>
        <w:ind w:firstLine="480"/>
        <w:rPr>
          <w:rFonts w:ascii="Times New Roman" w:hAnsi="Times New Roman"/>
          <w:color w:val="auto"/>
          <w:highlight w:val="none"/>
        </w:rPr>
      </w:pPr>
    </w:p>
    <w:p w14:paraId="697895B1">
      <w:pPr>
        <w:pStyle w:val="3"/>
        <w:numPr>
          <w:ilvl w:val="0"/>
          <w:numId w:val="1"/>
        </w:numPr>
        <w:rPr>
          <w:rFonts w:ascii="Times New Roman" w:hAnsi="Times New Roman"/>
          <w:color w:val="auto"/>
          <w:highlight w:val="none"/>
        </w:rPr>
      </w:pPr>
      <w:r>
        <w:rPr>
          <w:rFonts w:hint="eastAsia" w:ascii="Times New Roman" w:hAnsi="Times New Roman" w:cs="Cambria"/>
          <w:bCs w:val="0"/>
          <w:color w:val="auto"/>
          <w:highlight w:val="none"/>
        </w:rPr>
        <w:t>人员要求</w:t>
      </w:r>
    </w:p>
    <w:p w14:paraId="20040297">
      <w:pPr>
        <w:snapToGrid w:val="0"/>
        <w:spacing w:line="360" w:lineRule="auto"/>
        <w:ind w:firstLine="480"/>
        <w:rPr>
          <w:rFonts w:ascii="Times New Roman" w:hAnsi="Times New Roman" w:cs="Cambria"/>
          <w:b/>
          <w:color w:val="auto"/>
          <w:szCs w:val="24"/>
          <w:highlight w:val="none"/>
        </w:rPr>
      </w:pPr>
      <w:bookmarkStart w:id="51" w:name="_Toc89675142"/>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参选</w:t>
      </w:r>
      <w:r>
        <w:rPr>
          <w:rFonts w:hint="eastAsia" w:ascii="Times New Roman" w:hAnsi="Times New Roman"/>
          <w:color w:val="auto"/>
          <w:highlight w:val="none"/>
        </w:rPr>
        <w:t>人应承诺未征得我行书面同意的情况下不得更换项目成员。</w:t>
      </w:r>
      <w:bookmarkEnd w:id="51"/>
    </w:p>
    <w:p w14:paraId="32BB991B">
      <w:pPr>
        <w:snapToGrid w:val="0"/>
        <w:spacing w:line="360" w:lineRule="auto"/>
        <w:ind w:firstLine="480"/>
        <w:rPr>
          <w:rFonts w:hint="eastAsia" w:ascii="Times New Roman" w:hAnsi="Times New Roman" w:eastAsia="宋体"/>
          <w:color w:val="auto"/>
          <w:highlight w:val="none"/>
          <w:lang w:eastAsia="zh-CN"/>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rPr>
        <w:t>参选人</w:t>
      </w:r>
      <w:r>
        <w:rPr>
          <w:rFonts w:hint="eastAsia" w:ascii="Times New Roman" w:hAnsi="Times New Roman"/>
          <w:snapToGrid w:val="0"/>
          <w:color w:val="auto"/>
          <w:kern w:val="0"/>
          <w:szCs w:val="28"/>
          <w:highlight w:val="none"/>
        </w:rPr>
        <w:t>单位员工，</w:t>
      </w:r>
      <w:r>
        <w:rPr>
          <w:rFonts w:hint="eastAsia" w:ascii="Times New Roman" w:hAnsi="Times New Roman"/>
          <w:b/>
          <w:color w:val="auto"/>
          <w:highlight w:val="none"/>
        </w:rPr>
        <w:t>参选人</w:t>
      </w:r>
      <w:r>
        <w:rPr>
          <w:rFonts w:hint="eastAsia" w:ascii="Times New Roman" w:hAnsi="Times New Roman"/>
          <w:b/>
          <w:snapToGrid w:val="0"/>
          <w:color w:val="auto"/>
          <w:kern w:val="0"/>
          <w:szCs w:val="28"/>
          <w:highlight w:val="none"/>
        </w:rPr>
        <w:t>项目组成员须提供近半年公司为其缴纳社保的证明材料，不得外包其他单位员工。（员工</w:t>
      </w:r>
      <w:r>
        <w:rPr>
          <w:rFonts w:ascii="Times New Roman" w:hAnsi="Times New Roman"/>
          <w:b/>
          <w:snapToGrid w:val="0"/>
          <w:color w:val="auto"/>
          <w:kern w:val="0"/>
          <w:szCs w:val="28"/>
          <w:highlight w:val="none"/>
        </w:rPr>
        <w:t>参保单位为参选人或委托第三方公司代缴，均认定有效；若员工社保委托第三方公司代缴，需提供代缴材料证明</w:t>
      </w:r>
      <w:r>
        <w:rPr>
          <w:rFonts w:hint="eastAsia" w:ascii="Times New Roman" w:hAnsi="Times New Roman"/>
          <w:b/>
          <w:snapToGrid w:val="0"/>
          <w:color w:val="auto"/>
          <w:kern w:val="0"/>
          <w:szCs w:val="28"/>
          <w:highlight w:val="none"/>
        </w:rPr>
        <w:t>与</w:t>
      </w:r>
      <w:r>
        <w:rPr>
          <w:rFonts w:ascii="Times New Roman" w:hAnsi="Times New Roman"/>
          <w:b/>
          <w:snapToGrid w:val="0"/>
          <w:color w:val="auto"/>
          <w:kern w:val="0"/>
          <w:szCs w:val="28"/>
          <w:highlight w:val="none"/>
        </w:rPr>
        <w:t>第三方签订的合同或协议</w:t>
      </w:r>
      <w:r>
        <w:rPr>
          <w:rFonts w:hint="eastAsia" w:ascii="Times New Roman" w:hAnsi="Times New Roman"/>
          <w:b/>
          <w:snapToGrid w:val="0"/>
          <w:color w:val="auto"/>
          <w:kern w:val="0"/>
          <w:szCs w:val="28"/>
          <w:highlight w:val="none"/>
        </w:rPr>
        <w:t>。总公司</w:t>
      </w:r>
      <w:r>
        <w:rPr>
          <w:rFonts w:ascii="Times New Roman" w:hAnsi="Times New Roman"/>
          <w:b/>
          <w:snapToGrid w:val="0"/>
          <w:color w:val="auto"/>
          <w:kern w:val="0"/>
          <w:szCs w:val="28"/>
          <w:highlight w:val="none"/>
        </w:rPr>
        <w:t>参选的，分公司员工可计算入内</w:t>
      </w:r>
      <w:r>
        <w:rPr>
          <w:rFonts w:hint="eastAsia" w:ascii="Times New Roman" w:hAnsi="Times New Roman"/>
          <w:b/>
          <w:snapToGrid w:val="0"/>
          <w:color w:val="auto"/>
          <w:kern w:val="0"/>
          <w:szCs w:val="28"/>
          <w:highlight w:val="none"/>
        </w:rPr>
        <w:t>，</w:t>
      </w:r>
      <w:r>
        <w:rPr>
          <w:rFonts w:ascii="Times New Roman" w:hAnsi="Times New Roman"/>
          <w:b/>
          <w:snapToGrid w:val="0"/>
          <w:color w:val="auto"/>
          <w:kern w:val="0"/>
          <w:szCs w:val="28"/>
          <w:highlight w:val="none"/>
        </w:rPr>
        <w:t>子公司不计算入内</w:t>
      </w:r>
      <w:r>
        <w:rPr>
          <w:rFonts w:hint="eastAsia" w:ascii="Times New Roman" w:hAnsi="Times New Roman"/>
          <w:b/>
          <w:snapToGrid w:val="0"/>
          <w:color w:val="auto"/>
          <w:kern w:val="0"/>
          <w:szCs w:val="28"/>
          <w:highlight w:val="none"/>
        </w:rPr>
        <w:t>。分支机构</w:t>
      </w:r>
      <w:r>
        <w:rPr>
          <w:rFonts w:ascii="Times New Roman" w:hAnsi="Times New Roman"/>
          <w:b/>
          <w:snapToGrid w:val="0"/>
          <w:color w:val="auto"/>
          <w:kern w:val="0"/>
          <w:szCs w:val="28"/>
          <w:highlight w:val="none"/>
        </w:rPr>
        <w:t>参选的，总公司人员不计算入内</w:t>
      </w:r>
      <w:r>
        <w:rPr>
          <w:rFonts w:hint="eastAsia" w:ascii="Times New Roman" w:hAnsi="Times New Roman"/>
          <w:b/>
          <w:snapToGrid w:val="0"/>
          <w:color w:val="auto"/>
          <w:kern w:val="0"/>
          <w:szCs w:val="28"/>
          <w:highlight w:val="none"/>
        </w:rPr>
        <w:t>。）</w:t>
      </w:r>
      <w:r>
        <w:rPr>
          <w:rFonts w:hint="eastAsia"/>
          <w:b/>
          <w:snapToGrid w:val="0"/>
          <w:color w:val="auto"/>
          <w:kern w:val="0"/>
          <w:szCs w:val="28"/>
          <w:highlight w:val="none"/>
          <w:lang w:eastAsia="zh-CN"/>
        </w:rPr>
        <w:t>【</w:t>
      </w:r>
      <w:r>
        <w:rPr>
          <w:rFonts w:hint="eastAsia"/>
          <w:b/>
          <w:snapToGrid w:val="0"/>
          <w:color w:val="auto"/>
          <w:kern w:val="0"/>
          <w:szCs w:val="28"/>
          <w:highlight w:val="none"/>
          <w:lang w:val="en-US" w:eastAsia="zh-CN"/>
        </w:rPr>
        <w:t>提供</w:t>
      </w:r>
      <w:r>
        <w:rPr>
          <w:rFonts w:hint="eastAsia" w:ascii="Times New Roman" w:hAnsi="Times New Roman"/>
          <w:b/>
          <w:snapToGrid w:val="0"/>
          <w:color w:val="auto"/>
          <w:kern w:val="0"/>
          <w:szCs w:val="28"/>
          <w:highlight w:val="none"/>
        </w:rPr>
        <w:t>近半年社保缴纳证明材料</w:t>
      </w:r>
      <w:r>
        <w:rPr>
          <w:rFonts w:hint="eastAsia"/>
          <w:b/>
          <w:snapToGrid w:val="0"/>
          <w:color w:val="auto"/>
          <w:kern w:val="0"/>
          <w:szCs w:val="28"/>
          <w:highlight w:val="none"/>
          <w:lang w:eastAsia="zh-CN"/>
        </w:rPr>
        <w:t>】</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D6B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AB79342">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584E017">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主导过三个以上同类项目和具有五年以上项目经理工作经验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7C1D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73D17B1">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4577609A">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主导完成过三个以上同类项目的需求分析、设计，</w:t>
            </w:r>
            <w:r>
              <w:rPr>
                <w:rFonts w:hint="eastAsia" w:ascii="Times New Roman" w:hAnsi="Times New Roman"/>
                <w:color w:val="auto"/>
                <w:highlight w:val="none"/>
              </w:rPr>
              <w:t>熟悉银行业务流程和相关法律法规，能够辅助比选人完成业务流程梳理、整合以及创新，善于表达，具有良好的沟通技巧和能力。</w:t>
            </w:r>
          </w:p>
        </w:tc>
      </w:tr>
      <w:tr w14:paraId="0C97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8FBBA40">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2EA8B05B">
            <w:pPr>
              <w:snapToGrid w:val="0"/>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主导过三个以上同类项目和七年以上相关工作经历</w:t>
            </w:r>
            <w:r>
              <w:rPr>
                <w:rFonts w:hint="eastAsia" w:ascii="Times New Roman" w:hAnsi="Times New Roman"/>
                <w:color w:val="auto"/>
                <w:highlight w:val="none"/>
              </w:rPr>
              <w:t>，并且熟悉SOA、分布式架构以及主流开发框架。</w:t>
            </w:r>
          </w:p>
        </w:tc>
      </w:tr>
      <w:tr w14:paraId="1C73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7080BF4">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503C5642">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至少二年开发经验，开发组长须有至少五年开发经验，且均有银行相关系统的项目实施经历。</w:t>
            </w:r>
          </w:p>
        </w:tc>
      </w:tr>
      <w:tr w14:paraId="08B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818C8CA">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0C71244">
            <w:pPr>
              <w:snapToGrid w:val="0"/>
              <w:spacing w:line="240" w:lineRule="auto"/>
              <w:ind w:firstLine="0" w:firstLineChars="0"/>
              <w:rPr>
                <w:rFonts w:ascii="Times New Roman" w:hAnsi="Times New Roman"/>
                <w:snapToGrid w:val="0"/>
                <w:color w:val="auto"/>
                <w:kern w:val="0"/>
                <w:highlight w:val="none"/>
              </w:rPr>
            </w:pPr>
            <w:r>
              <w:rPr>
                <w:rFonts w:hint="eastAsia" w:ascii="Times New Roman" w:hAnsi="Times New Roman"/>
                <w:color w:val="auto"/>
                <w:highlight w:val="none"/>
              </w:rPr>
              <w:t>具有两年以上银行相关系统测试经验，</w:t>
            </w:r>
            <w:r>
              <w:rPr>
                <w:rFonts w:hint="eastAsia" w:ascii="Times New Roman" w:hAnsi="Times New Roman" w:cs="Cambria"/>
                <w:color w:val="auto"/>
                <w:kern w:val="0"/>
                <w:highlight w:val="none"/>
              </w:rPr>
              <w:t>项目测试经理主导完成过二个以上同类项目的系统测试工作</w:t>
            </w:r>
            <w:r>
              <w:rPr>
                <w:rFonts w:hint="eastAsia" w:ascii="Times New Roman" w:hAnsi="Times New Roman"/>
                <w:color w:val="auto"/>
                <w:highlight w:val="none"/>
              </w:rPr>
              <w:t>，且具有三年以上银行相关系统测试经验。</w:t>
            </w:r>
          </w:p>
        </w:tc>
      </w:tr>
    </w:tbl>
    <w:p w14:paraId="314B9FEC">
      <w:pPr>
        <w:pStyle w:val="3"/>
        <w:numPr>
          <w:ilvl w:val="0"/>
          <w:numId w:val="0"/>
        </w:numPr>
        <w:ind w:firstLine="0"/>
        <w:rPr>
          <w:rFonts w:hint="eastAsia" w:ascii="Times New Roman" w:hAnsi="Times New Roman" w:cs="Cambria Math"/>
          <w:b w:val="0"/>
          <w:bCs w:val="0"/>
          <w:snapToGrid/>
          <w:color w:val="auto"/>
          <w:kern w:val="2"/>
          <w:szCs w:val="20"/>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cs="Cambria Math"/>
          <w:b w:val="0"/>
          <w:bCs w:val="0"/>
          <w:snapToGrid/>
          <w:color w:val="auto"/>
          <w:kern w:val="2"/>
          <w:szCs w:val="20"/>
          <w:highlight w:val="none"/>
          <w:lang w:val="en-US" w:eastAsia="zh-CN"/>
        </w:rPr>
        <w:t>参选人项目成员应具</w:t>
      </w:r>
      <w:r>
        <w:rPr>
          <w:rFonts w:hint="eastAsia" w:ascii="Times New Roman" w:hAnsi="Times New Roman" w:cs="Cambria Math"/>
          <w:b w:val="0"/>
          <w:bCs w:val="0"/>
          <w:snapToGrid/>
          <w:color w:val="auto"/>
          <w:kern w:val="2"/>
          <w:szCs w:val="20"/>
          <w:highlight w:val="none"/>
        </w:rPr>
        <w:t>备</w:t>
      </w:r>
      <w:r>
        <w:rPr>
          <w:rFonts w:hint="eastAsia" w:ascii="Times New Roman" w:hAnsi="Times New Roman" w:cs="Cambria Math"/>
          <w:b w:val="0"/>
          <w:bCs w:val="0"/>
          <w:snapToGrid/>
          <w:color w:val="auto"/>
          <w:kern w:val="2"/>
          <w:szCs w:val="20"/>
          <w:highlight w:val="none"/>
          <w:lang w:val="en-US" w:eastAsia="zh-CN"/>
        </w:rPr>
        <w:t>上述</w:t>
      </w:r>
      <w:r>
        <w:rPr>
          <w:rFonts w:hint="eastAsia" w:ascii="Times New Roman" w:hAnsi="Times New Roman" w:cs="Cambria Math"/>
          <w:b w:val="0"/>
          <w:bCs w:val="0"/>
          <w:snapToGrid/>
          <w:color w:val="auto"/>
          <w:kern w:val="2"/>
          <w:szCs w:val="20"/>
          <w:highlight w:val="none"/>
        </w:rPr>
        <w:t>资质</w:t>
      </w:r>
      <w:r>
        <w:rPr>
          <w:rFonts w:hint="eastAsia" w:ascii="Times New Roman" w:hAnsi="Times New Roman" w:cs="Cambria Math"/>
          <w:b w:val="0"/>
          <w:bCs w:val="0"/>
          <w:snapToGrid/>
          <w:color w:val="auto"/>
          <w:kern w:val="2"/>
          <w:szCs w:val="20"/>
          <w:highlight w:val="none"/>
          <w:lang w:eastAsia="zh-CN"/>
        </w:rPr>
        <w:t>，</w:t>
      </w:r>
      <w:r>
        <w:rPr>
          <w:rFonts w:hint="eastAsia" w:ascii="Times New Roman" w:hAnsi="Times New Roman" w:cs="Cambria Math"/>
          <w:b w:val="0"/>
          <w:bCs w:val="0"/>
          <w:snapToGrid/>
          <w:color w:val="auto"/>
          <w:kern w:val="2"/>
          <w:szCs w:val="20"/>
          <w:highlight w:val="none"/>
        </w:rPr>
        <w:t>比选人将对所提供的人员进行审核，达不到</w:t>
      </w:r>
      <w:r>
        <w:rPr>
          <w:rFonts w:hint="eastAsia" w:ascii="Times New Roman" w:hAnsi="Times New Roman" w:cs="Cambria Math"/>
          <w:b w:val="0"/>
          <w:bCs w:val="0"/>
          <w:snapToGrid/>
          <w:color w:val="auto"/>
          <w:kern w:val="2"/>
          <w:szCs w:val="20"/>
          <w:highlight w:val="none"/>
          <w:lang w:val="en-US" w:eastAsia="zh-CN"/>
        </w:rPr>
        <w:t>比选人</w:t>
      </w:r>
      <w:r>
        <w:rPr>
          <w:rFonts w:hint="eastAsia" w:ascii="Times New Roman" w:hAnsi="Times New Roman" w:cs="Cambria Math"/>
          <w:b w:val="0"/>
          <w:bCs w:val="0"/>
          <w:snapToGrid/>
          <w:color w:val="auto"/>
          <w:kern w:val="2"/>
          <w:szCs w:val="20"/>
          <w:highlight w:val="none"/>
        </w:rPr>
        <w:t>要求的将要求替换。项目经理及骨干成员须参加比选人组织的面试，面试人员在合同签订时不得进行更换。</w:t>
      </w:r>
    </w:p>
    <w:p w14:paraId="6C3BF2D8">
      <w:pPr>
        <w:ind w:firstLine="480"/>
        <w:outlineLvl w:val="2"/>
        <w:rPr>
          <w:rFonts w:ascii="Times New Roman" w:hAnsi="Times New Roman"/>
          <w:color w:val="auto"/>
          <w:szCs w:val="24"/>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项目组成员若有违约违规行为将由参选人承担责任。</w:t>
      </w:r>
    </w:p>
    <w:p w14:paraId="1095DCFC">
      <w:pPr>
        <w:ind w:firstLine="480"/>
        <w:rPr>
          <w:rFonts w:hint="eastAsia" w:ascii="Times New Roman" w:hAnsi="Times New Roman" w:eastAsia="宋体"/>
          <w:color w:val="auto"/>
          <w:szCs w:val="24"/>
          <w:highlight w:val="none"/>
          <w:lang w:eastAsia="zh-CN"/>
        </w:rPr>
      </w:pPr>
      <w:r>
        <w:rPr>
          <w:rFonts w:hint="eastAsia"/>
          <w:color w:val="auto"/>
          <w:szCs w:val="24"/>
          <w:highlight w:val="none"/>
          <w:lang w:eastAsia="zh-CN"/>
        </w:rPr>
        <w:t>【</w:t>
      </w:r>
      <w:r>
        <w:rPr>
          <w:rFonts w:hint="eastAsia" w:ascii="Times New Roman" w:hAnsi="Times New Roman"/>
          <w:snapToGrid w:val="0"/>
          <w:color w:val="auto"/>
          <w:kern w:val="0"/>
          <w:highlight w:val="none"/>
        </w:rPr>
        <w:t>提供</w:t>
      </w:r>
      <w:r>
        <w:rPr>
          <w:rFonts w:hint="eastAsia"/>
          <w:snapToGrid w:val="0"/>
          <w:color w:val="auto"/>
          <w:kern w:val="0"/>
          <w:highlight w:val="none"/>
          <w:lang w:val="en-US" w:eastAsia="zh-CN"/>
        </w:rPr>
        <w:t>项目成员</w:t>
      </w:r>
      <w:r>
        <w:rPr>
          <w:rFonts w:hint="eastAsia" w:ascii="Times New Roman" w:hAnsi="Times New Roman"/>
          <w:snapToGrid w:val="0"/>
          <w:color w:val="auto"/>
          <w:kern w:val="0"/>
          <w:highlight w:val="none"/>
        </w:rPr>
        <w:t>简历信息</w:t>
      </w:r>
      <w:r>
        <w:rPr>
          <w:rFonts w:hint="eastAsia"/>
          <w:color w:val="auto"/>
          <w:szCs w:val="24"/>
          <w:highlight w:val="none"/>
          <w:lang w:eastAsia="zh-CN"/>
        </w:rPr>
        <w:t>】</w:t>
      </w:r>
    </w:p>
    <w:p w14:paraId="720293D6">
      <w:pPr>
        <w:pStyle w:val="3"/>
        <w:numPr>
          <w:ilvl w:val="0"/>
          <w:numId w:val="1"/>
        </w:numPr>
        <w:rPr>
          <w:rFonts w:ascii="Times New Roman" w:hAnsi="Times New Roman"/>
          <w:color w:val="auto"/>
          <w:highlight w:val="none"/>
        </w:rPr>
      </w:pPr>
      <w:bookmarkStart w:id="52" w:name="_Toc89675144"/>
      <w:bookmarkStart w:id="53" w:name="_Toc15059418"/>
      <w:r>
        <w:rPr>
          <w:rFonts w:hint="eastAsia" w:ascii="Times New Roman" w:hAnsi="Times New Roman"/>
          <w:color w:val="auto"/>
          <w:highlight w:val="none"/>
        </w:rPr>
        <w:t>项目实施要求</w:t>
      </w:r>
    </w:p>
    <w:p w14:paraId="2470C92E">
      <w:pPr>
        <w:ind w:firstLine="480"/>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在本项目实施周期内，如遇到原系统功能与需求不符，需要及时调整实施方案，满足比选人的要求，并征得比选人同意方可变更。</w:t>
      </w:r>
    </w:p>
    <w:p w14:paraId="65C2C28F">
      <w:pPr>
        <w:ind w:firstLine="480"/>
        <w:rPr>
          <w:rFonts w:ascii="Times New Roman" w:hAnsi="Times New Roman"/>
          <w:color w:val="auto"/>
          <w:highlight w:val="none"/>
        </w:rPr>
      </w:pPr>
      <w:r>
        <w:rPr>
          <w:rFonts w:hint="eastAsia" w:ascii="Times New Roman" w:hAnsi="Times New Roman"/>
          <w:color w:val="auto"/>
          <w:highlight w:val="none"/>
        </w:rPr>
        <w:t>参选人在项目实施过程中，需按照比选人项目管理规范提供相应文档（所有提交文档必须为中文）。</w:t>
      </w:r>
    </w:p>
    <w:p w14:paraId="29D036F8">
      <w:pPr>
        <w:ind w:firstLine="480"/>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本项目为现场开发，原则上不允许远程开发模式，除非得到比选人的明确认可和授权。</w:t>
      </w:r>
    </w:p>
    <w:p w14:paraId="0D1F4392">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项目源代码要求</w:t>
      </w:r>
    </w:p>
    <w:p w14:paraId="45C4A101">
      <w:pPr>
        <w:ind w:firstLine="480"/>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。针对共有部分，比选人拥有在比选人及其分支机构使用及后续开发的权利，参选人拥有在其公司和其他组织范围内使用的权利，但参选人使用时不得侵犯比选人利益。</w:t>
      </w:r>
    </w:p>
    <w:p w14:paraId="6F5B1CF6">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交付周期、地点</w:t>
      </w:r>
      <w:bookmarkEnd w:id="52"/>
      <w:bookmarkEnd w:id="53"/>
    </w:p>
    <w:p w14:paraId="0CF6545D">
      <w:pPr>
        <w:pStyle w:val="4"/>
        <w:ind w:firstLine="482"/>
        <w:rPr>
          <w:rFonts w:ascii="Times New Roman" w:hAnsi="Times New Roman"/>
          <w:color w:val="auto"/>
          <w:highlight w:val="none"/>
        </w:rPr>
      </w:pPr>
      <w:bookmarkStart w:id="54" w:name="_Toc89675146"/>
      <w:bookmarkStart w:id="55" w:name="_Toc15059420"/>
      <w:bookmarkStart w:id="56" w:name="_Toc440628915"/>
      <w:bookmarkStart w:id="57" w:name="_Toc1125"/>
      <w:bookmarkStart w:id="58" w:name="_Toc432254881"/>
      <w:bookmarkStart w:id="59" w:name="_Toc387826347"/>
      <w:r>
        <w:rPr>
          <w:rFonts w:ascii="Times New Roman" w:hAnsi="Times New Roman"/>
          <w:color w:val="auto"/>
          <w:highlight w:val="none"/>
        </w:rPr>
        <w:t>7</w:t>
      </w:r>
      <w:r>
        <w:rPr>
          <w:rFonts w:hint="eastAsia" w:ascii="Times New Roman" w:hAnsi="Times New Roman"/>
          <w:color w:val="auto"/>
          <w:highlight w:val="none"/>
        </w:rPr>
        <w:t>.1 交付时间</w:t>
      </w:r>
    </w:p>
    <w:p w14:paraId="1B8819BB">
      <w:pPr>
        <w:ind w:firstLine="480"/>
        <w:rPr>
          <w:rFonts w:ascii="Times New Roman" w:hAnsi="Times New Roman"/>
          <w:color w:val="auto"/>
          <w:highlight w:val="none"/>
        </w:rPr>
      </w:pPr>
      <w:r>
        <w:rPr>
          <w:rFonts w:hint="eastAsia" w:ascii="Times New Roman" w:hAnsi="Times New Roman"/>
          <w:color w:val="auto"/>
          <w:highlight w:val="none"/>
          <w:lang w:eastAsia="zh-CN"/>
        </w:rPr>
        <w:t>需在合同签订后</w:t>
      </w:r>
      <w:r>
        <w:rPr>
          <w:rFonts w:hint="eastAsia" w:ascii="Times New Roman" w:hAnsi="Times New Roman"/>
          <w:color w:val="auto"/>
          <w:highlight w:val="none"/>
          <w:lang w:val="en-US" w:eastAsia="zh-CN"/>
        </w:rPr>
        <w:t>4个月内完成上线和交付</w:t>
      </w:r>
      <w:r>
        <w:rPr>
          <w:rFonts w:hint="eastAsia" w:ascii="Times New Roman" w:hAnsi="Times New Roman"/>
          <w:color w:val="auto"/>
          <w:highlight w:val="none"/>
        </w:rPr>
        <w:t>。</w:t>
      </w:r>
    </w:p>
    <w:p w14:paraId="3496F4E4">
      <w:pPr>
        <w:pStyle w:val="4"/>
        <w:ind w:firstLine="482"/>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.2 实施及交付地点</w:t>
      </w:r>
    </w:p>
    <w:p w14:paraId="1E845AD5">
      <w:pPr>
        <w:ind w:firstLine="480"/>
        <w:rPr>
          <w:rFonts w:ascii="Times New Roman" w:hAnsi="Times New Roman"/>
          <w:color w:val="auto"/>
          <w:highlight w:val="none"/>
        </w:rPr>
      </w:pPr>
      <w:r>
        <w:rPr>
          <w:rFonts w:hint="eastAsia" w:ascii="Times New Roman" w:hAnsi="Times New Roman"/>
          <w:color w:val="auto"/>
          <w:highlight w:val="none"/>
        </w:rPr>
        <w:t>比选人指定地点。</w:t>
      </w:r>
    </w:p>
    <w:p w14:paraId="27AADDF3">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验收测试</w:t>
      </w:r>
    </w:p>
    <w:p w14:paraId="17F39062">
      <w:pPr>
        <w:ind w:firstLine="480"/>
        <w:rPr>
          <w:rFonts w:ascii="Times New Roman" w:hAnsi="Times New Roman"/>
          <w:color w:val="auto"/>
          <w:highlight w:val="none"/>
        </w:rPr>
      </w:pPr>
      <w:r>
        <w:rPr>
          <w:rFonts w:hint="eastAsia" w:ascii="Times New Roman" w:hAnsi="Times New Roman"/>
          <w:color w:val="auto"/>
          <w:highlight w:val="none"/>
        </w:rPr>
        <w:t>如下供参考。</w:t>
      </w:r>
    </w:p>
    <w:p w14:paraId="08377A96">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p>
    <w:p w14:paraId="439BD90F">
      <w:pPr>
        <w:ind w:firstLine="480"/>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055E9D6A">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p>
    <w:p w14:paraId="13DF5CCC">
      <w:pPr>
        <w:ind w:firstLine="480"/>
        <w:rPr>
          <w:rFonts w:ascii="Times New Roman" w:hAnsi="Times New Roman"/>
          <w:color w:val="auto"/>
          <w:highlight w:val="none"/>
        </w:rPr>
      </w:pPr>
      <w:r>
        <w:rPr>
          <w:rFonts w:hint="eastAsia" w:ascii="Times New Roman" w:hAnsi="Times New Roman"/>
          <w:color w:val="auto"/>
          <w:highlight w:val="none"/>
        </w:rPr>
        <w:t>1）验收测试小组由比选人、中选人等有关人员组成，负责对项目建设进行验收测试。</w:t>
      </w:r>
    </w:p>
    <w:p w14:paraId="69E8E32B">
      <w:pPr>
        <w:ind w:firstLine="480"/>
        <w:rPr>
          <w:rFonts w:ascii="Times New Roman" w:hAnsi="Times New Roman"/>
          <w:color w:val="auto"/>
          <w:highlight w:val="none"/>
        </w:rPr>
      </w:pPr>
      <w:r>
        <w:rPr>
          <w:rFonts w:hint="eastAsia" w:ascii="Times New Roman" w:hAnsi="Times New Roman"/>
          <w:color w:val="auto"/>
          <w:highlight w:val="none"/>
        </w:rPr>
        <w:t>2）中选人编制测试手册，经验收小组确认后，由验收小组负责验收测试。</w:t>
      </w:r>
    </w:p>
    <w:p w14:paraId="7C83C9CC">
      <w:pPr>
        <w:ind w:firstLine="480"/>
        <w:rPr>
          <w:rFonts w:ascii="Times New Roman" w:hAnsi="Times New Roman"/>
          <w:color w:val="auto"/>
          <w:highlight w:val="none"/>
        </w:rPr>
      </w:pPr>
      <w:r>
        <w:rPr>
          <w:rFonts w:hint="eastAsia" w:ascii="Times New Roman" w:hAnsi="Times New Roman"/>
          <w:color w:val="auto"/>
          <w:highlight w:val="none"/>
        </w:rPr>
        <w:t>3）在验收测试过程中，出现严重缺陷或质量问题时，验收小组可以决定暂停所有测试，直至缺陷和问题得到纠正。</w:t>
      </w:r>
    </w:p>
    <w:p w14:paraId="2BEE4400">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p>
    <w:p w14:paraId="472C9933">
      <w:pPr>
        <w:ind w:firstLine="480"/>
        <w:rPr>
          <w:rFonts w:ascii="Times New Roman" w:hAnsi="Times New Roman"/>
          <w:color w:val="auto"/>
          <w:highlight w:val="none"/>
        </w:rPr>
      </w:pPr>
      <w:r>
        <w:rPr>
          <w:rFonts w:hint="eastAsia" w:ascii="Times New Roman" w:hAnsi="Times New Roman"/>
          <w:color w:val="auto"/>
          <w:highlight w:val="none"/>
        </w:rPr>
        <w:t>1）对各功能模块进行测试；</w:t>
      </w:r>
    </w:p>
    <w:p w14:paraId="47F65FF9">
      <w:pPr>
        <w:ind w:firstLine="480"/>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3B784433">
      <w:pPr>
        <w:ind w:firstLine="480"/>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56933F14">
      <w:pPr>
        <w:ind w:firstLine="480"/>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643A9283">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p>
    <w:p w14:paraId="0476FD59">
      <w:pPr>
        <w:ind w:firstLine="480"/>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36C2A63F">
      <w:pPr>
        <w:ind w:firstLine="480"/>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4F3EE997">
      <w:pPr>
        <w:ind w:firstLine="480"/>
        <w:rPr>
          <w:rFonts w:ascii="Times New Roman" w:hAnsi="Times New Roman"/>
          <w:color w:val="auto"/>
          <w:highlight w:val="none"/>
        </w:rPr>
      </w:pPr>
      <w:r>
        <w:rPr>
          <w:rFonts w:hint="eastAsia" w:ascii="Times New Roman" w:hAnsi="Times New Roman"/>
          <w:color w:val="auto"/>
          <w:highlight w:val="none"/>
        </w:rPr>
        <w:t>•合格：部分功能和质量不能满足比选人的要求，但中选人（集成商）采取了改正措施，使测试结果达到预期目的。</w:t>
      </w:r>
    </w:p>
    <w:p w14:paraId="6BD3D9E7">
      <w:pPr>
        <w:ind w:firstLine="480"/>
        <w:rPr>
          <w:rFonts w:ascii="Times New Roman" w:hAnsi="Times New Roman"/>
          <w:color w:val="auto"/>
          <w:highlight w:val="none"/>
        </w:rPr>
      </w:pPr>
      <w:r>
        <w:rPr>
          <w:rFonts w:hint="eastAsia" w:ascii="Times New Roman" w:hAnsi="Times New Roman"/>
          <w:color w:val="auto"/>
          <w:highlight w:val="none"/>
        </w:rPr>
        <w:t>•不合格：功能和质量不能满足比选人的要求。</w:t>
      </w:r>
    </w:p>
    <w:p w14:paraId="50973C1C">
      <w:pPr>
        <w:pStyle w:val="3"/>
        <w:numPr>
          <w:ilvl w:val="0"/>
          <w:numId w:val="1"/>
        </w:numPr>
        <w:rPr>
          <w:color w:val="auto"/>
          <w:kern w:val="0"/>
          <w:highlight w:val="none"/>
        </w:rPr>
      </w:pPr>
      <w:r>
        <w:rPr>
          <w:rFonts w:hint="eastAsia"/>
          <w:color w:val="auto"/>
          <w:kern w:val="0"/>
          <w:highlight w:val="none"/>
        </w:rPr>
        <w:t>售后服务和支持</w:t>
      </w:r>
    </w:p>
    <w:p w14:paraId="37A99602">
      <w:pPr>
        <w:ind w:firstLine="480"/>
        <w:rPr>
          <w:rFonts w:ascii="Times New Roman" w:hAnsi="Times New Roman"/>
          <w:color w:val="auto"/>
          <w:highlight w:val="none"/>
        </w:rPr>
      </w:pPr>
      <w:r>
        <w:rPr>
          <w:rFonts w:hint="eastAsia" w:ascii="Times New Roman" w:hAnsi="Times New Roman"/>
          <w:color w:val="auto"/>
          <w:highlight w:val="none"/>
        </w:rPr>
        <w:t>服务和支持的范围：</w:t>
      </w:r>
    </w:p>
    <w:p w14:paraId="50241BDC">
      <w:pPr>
        <w:ind w:firstLine="480"/>
        <w:rPr>
          <w:rFonts w:ascii="Times New Roman" w:hAnsi="Times New Roman"/>
          <w:color w:val="auto"/>
          <w:highlight w:val="none"/>
        </w:rPr>
      </w:pPr>
      <w:r>
        <w:rPr>
          <w:rFonts w:hint="eastAsia" w:ascii="Times New Roman" w:hAnsi="Times New Roman"/>
          <w:color w:val="auto"/>
          <w:highlight w:val="none"/>
        </w:rPr>
        <w:t>•系统的安装、部署和调试；</w:t>
      </w:r>
    </w:p>
    <w:p w14:paraId="4E6E138E">
      <w:pPr>
        <w:ind w:firstLine="480"/>
        <w:rPr>
          <w:rFonts w:ascii="Times New Roman" w:hAnsi="Times New Roman"/>
          <w:color w:val="auto"/>
          <w:highlight w:val="none"/>
        </w:rPr>
      </w:pPr>
      <w:r>
        <w:rPr>
          <w:rFonts w:hint="eastAsia" w:ascii="Times New Roman" w:hAnsi="Times New Roman"/>
          <w:color w:val="auto"/>
          <w:highlight w:val="none"/>
        </w:rPr>
        <w:t>•项目的验收测试；</w:t>
      </w:r>
    </w:p>
    <w:p w14:paraId="5CA1B3C6">
      <w:pPr>
        <w:ind w:firstLine="480"/>
        <w:rPr>
          <w:rFonts w:hint="eastAsia"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6836E122">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rPr>
        <w:t>•</w:t>
      </w:r>
      <w:r>
        <w:rPr>
          <w:rFonts w:hint="eastAsia" w:ascii="Times New Roman" w:hAnsi="Times New Roman"/>
          <w:color w:val="auto"/>
          <w:highlight w:val="none"/>
          <w:lang w:eastAsia="zh-CN"/>
        </w:rPr>
        <w:t>维保范围包括原系统（移动作业管理系统）的原有部分和本项目新增内容的部分，即整个“移动作业管理系统”所有内容。</w:t>
      </w:r>
    </w:p>
    <w:p w14:paraId="750796AF">
      <w:pPr>
        <w:ind w:firstLine="480"/>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353BAF68">
      <w:pPr>
        <w:ind w:firstLine="480"/>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•项目上线后两年内，针对本项目的完善性需求以及监管提出的安全性需求，中选人需免费进行开发。</w:t>
      </w:r>
    </w:p>
    <w:p w14:paraId="46C5E6D5">
      <w:pPr>
        <w:ind w:firstLine="480"/>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5B7A1B33">
      <w:pPr>
        <w:ind w:firstLine="480"/>
        <w:rPr>
          <w:rFonts w:ascii="Times New Roman" w:hAnsi="Times New Roman"/>
          <w:color w:val="auto"/>
          <w:highlight w:val="none"/>
        </w:rPr>
      </w:pPr>
      <w:r>
        <w:rPr>
          <w:rFonts w:hint="eastAsia" w:ascii="Times New Roman" w:hAnsi="Times New Roman"/>
          <w:color w:val="auto"/>
          <w:highlight w:val="none"/>
        </w:rPr>
        <w:t>•</w:t>
      </w:r>
      <w:bookmarkStart w:id="60" w:name="_Hlk22733819"/>
      <w:r>
        <w:rPr>
          <w:rFonts w:hint="eastAsia" w:ascii="Times New Roman" w:hAnsi="Times New Roman"/>
          <w:color w:val="auto"/>
          <w:highlight w:val="none"/>
        </w:rPr>
        <w:t>维保期</w:t>
      </w:r>
      <w:bookmarkEnd w:id="60"/>
      <w:r>
        <w:rPr>
          <w:rFonts w:hint="eastAsia" w:ascii="Times New Roman" w:hAnsi="Times New Roman"/>
          <w:color w:val="auto"/>
          <w:highlight w:val="none"/>
        </w:rPr>
        <w:t>以年度计算，</w:t>
      </w:r>
      <w:r>
        <w:rPr>
          <w:rFonts w:ascii="Times New Roman" w:hAnsi="Times New Roman"/>
          <w:color w:val="auto"/>
          <w:highlight w:val="none"/>
        </w:rPr>
        <w:t>应至少提供</w:t>
      </w:r>
      <w:r>
        <w:rPr>
          <w:rFonts w:hint="eastAsia" w:ascii="Times New Roman" w:hAnsi="Times New Roman"/>
          <w:color w:val="auto"/>
          <w:highlight w:val="none"/>
          <w:lang w:val="en-US" w:eastAsia="zh-CN"/>
        </w:rPr>
        <w:t>1</w:t>
      </w:r>
      <w:r>
        <w:rPr>
          <w:rFonts w:hint="eastAsia" w:ascii="Times New Roman" w:hAnsi="Times New Roman"/>
          <w:color w:val="auto"/>
          <w:highlight w:val="none"/>
        </w:rPr>
        <w:t>年</w:t>
      </w:r>
      <w:r>
        <w:rPr>
          <w:rFonts w:hint="eastAsia"/>
          <w:color w:val="auto"/>
          <w:highlight w:val="none"/>
          <w:lang w:val="en-US" w:eastAsia="zh-CN"/>
        </w:rPr>
        <w:t>免费</w:t>
      </w:r>
      <w:r>
        <w:rPr>
          <w:rFonts w:ascii="Times New Roman" w:hAnsi="Times New Roman"/>
          <w:color w:val="auto"/>
          <w:highlight w:val="none"/>
        </w:rPr>
        <w:t>维保</w:t>
      </w:r>
      <w:r>
        <w:rPr>
          <w:rFonts w:hint="eastAsia" w:ascii="Times New Roman" w:hAnsi="Times New Roman"/>
          <w:color w:val="auto"/>
          <w:highlight w:val="none"/>
        </w:rPr>
        <w:t>，</w:t>
      </w:r>
      <w:r>
        <w:rPr>
          <w:rFonts w:hint="eastAsia"/>
          <w:color w:val="auto"/>
          <w:highlight w:val="none"/>
          <w:lang w:val="en-US" w:eastAsia="zh-CN"/>
        </w:rPr>
        <w:t>免费</w:t>
      </w:r>
      <w:r>
        <w:rPr>
          <w:rFonts w:hint="eastAsia" w:ascii="Times New Roman" w:hAnsi="Times New Roman"/>
          <w:color w:val="auto"/>
          <w:highlight w:val="none"/>
        </w:rPr>
        <w:t>维保期起始日为验收后次日，</w:t>
      </w:r>
      <w:r>
        <w:rPr>
          <w:rFonts w:hint="eastAsia"/>
          <w:color w:val="auto"/>
          <w:highlight w:val="none"/>
          <w:lang w:val="en-US" w:eastAsia="zh-CN"/>
        </w:rPr>
        <w:t>免费</w:t>
      </w:r>
      <w:r>
        <w:rPr>
          <w:rFonts w:hint="eastAsia" w:ascii="Times New Roman" w:hAnsi="Times New Roman"/>
          <w:color w:val="auto"/>
          <w:highlight w:val="none"/>
        </w:rPr>
        <w:t>维保期结束日需延期至到期当年的6月30日或12月31日中较近日期（即</w:t>
      </w:r>
      <w:r>
        <w:rPr>
          <w:rFonts w:hint="eastAsia"/>
          <w:color w:val="auto"/>
          <w:highlight w:val="none"/>
          <w:lang w:val="en-US" w:eastAsia="zh-CN"/>
        </w:rPr>
        <w:t>免费</w:t>
      </w:r>
      <w:r>
        <w:rPr>
          <w:rFonts w:hint="eastAsia" w:ascii="Times New Roman" w:hAnsi="Times New Roman"/>
          <w:color w:val="auto"/>
          <w:highlight w:val="none"/>
        </w:rPr>
        <w:t>维保延期最长不超过半年）。</w:t>
      </w:r>
    </w:p>
    <w:p w14:paraId="22E5E6DB">
      <w:pPr>
        <w:ind w:firstLine="480"/>
        <w:rPr>
          <w:rFonts w:ascii="Times New Roman" w:hAnsi="Times New Roman"/>
          <w:color w:val="auto"/>
          <w:highlight w:val="none"/>
        </w:rPr>
      </w:pPr>
      <w:r>
        <w:rPr>
          <w:rFonts w:hint="eastAsia" w:ascii="Times New Roman" w:hAnsi="Times New Roman"/>
          <w:color w:val="auto"/>
          <w:highlight w:val="none"/>
        </w:rPr>
        <w:t>•参选人在参选文件中详细说明在系统</w:t>
      </w:r>
      <w:r>
        <w:rPr>
          <w:rFonts w:hint="eastAsia"/>
          <w:color w:val="auto"/>
          <w:highlight w:val="none"/>
          <w:lang w:val="en-US" w:eastAsia="zh-CN"/>
        </w:rPr>
        <w:t>免费</w:t>
      </w:r>
      <w:r>
        <w:rPr>
          <w:rFonts w:hint="eastAsia" w:ascii="Times New Roman" w:hAnsi="Times New Roman"/>
          <w:color w:val="auto"/>
          <w:highlight w:val="none"/>
        </w:rPr>
        <w:t>维保期的具体服务内容，系统</w:t>
      </w:r>
      <w:r>
        <w:rPr>
          <w:rFonts w:hint="eastAsia"/>
          <w:color w:val="auto"/>
          <w:highlight w:val="none"/>
          <w:lang w:val="en-US" w:eastAsia="zh-CN"/>
        </w:rPr>
        <w:t>免费</w:t>
      </w:r>
      <w:r>
        <w:rPr>
          <w:rFonts w:hint="eastAsia" w:ascii="Times New Roman" w:hAnsi="Times New Roman"/>
          <w:color w:val="auto"/>
          <w:highlight w:val="none"/>
        </w:rPr>
        <w:t>维保期过后有偿维保的内容、价格及收取方式，若按开发量评估收取，应说明每人/月价格；</w:t>
      </w:r>
    </w:p>
    <w:p w14:paraId="1F77665C">
      <w:pPr>
        <w:ind w:firstLine="480"/>
        <w:rPr>
          <w:rFonts w:hint="eastAsia" w:ascii="Times New Roman" w:hAnsi="Times New Roman"/>
          <w:color w:val="auto"/>
          <w:highlight w:val="none"/>
        </w:rPr>
      </w:pPr>
      <w:r>
        <w:rPr>
          <w:rFonts w:hint="eastAsia" w:ascii="Times New Roman" w:hAnsi="Times New Roman"/>
          <w:color w:val="auto"/>
          <w:highlight w:val="none"/>
        </w:rPr>
        <w:t>参选人在参选文件中需对以上相关内容中进行阐述并作出相应承诺。</w:t>
      </w:r>
    </w:p>
    <w:p w14:paraId="4EA90383">
      <w:pPr>
        <w:pStyle w:val="3"/>
        <w:numPr>
          <w:ilvl w:val="0"/>
          <w:numId w:val="1"/>
        </w:numPr>
        <w:outlineLvl w:val="2"/>
        <w:rPr>
          <w:rFonts w:ascii="Times New Roman" w:hAnsi="Times New Roman"/>
          <w:color w:val="auto"/>
          <w:highlight w:val="none"/>
        </w:rPr>
      </w:pPr>
      <w:r>
        <w:rPr>
          <w:rFonts w:hint="eastAsia"/>
          <w:color w:val="auto"/>
          <w:kern w:val="0"/>
          <w:highlight w:val="none"/>
        </w:rPr>
        <w:t>系统维保费用</w:t>
      </w:r>
    </w:p>
    <w:p w14:paraId="43B9158B">
      <w:pPr>
        <w:ind w:firstLine="480"/>
        <w:rPr>
          <w:rFonts w:ascii="Times New Roman" w:hAnsi="Times New Roman"/>
          <w:color w:val="auto"/>
          <w:highlight w:val="none"/>
        </w:rPr>
      </w:pPr>
      <w:r>
        <w:rPr>
          <w:rFonts w:hint="eastAsia"/>
          <w:color w:val="auto"/>
          <w:highlight w:val="none"/>
          <w:lang w:val="en-US" w:eastAsia="zh-CN"/>
        </w:rPr>
        <w:t>免费</w:t>
      </w:r>
      <w:r>
        <w:rPr>
          <w:rFonts w:hint="eastAsia" w:ascii="Times New Roman" w:hAnsi="Times New Roman"/>
          <w:color w:val="auto"/>
          <w:highlight w:val="none"/>
        </w:rPr>
        <w:t>维护期满后，每年维护费用不高于</w:t>
      </w:r>
      <w:r>
        <w:rPr>
          <w:rFonts w:hint="eastAsia" w:ascii="Times New Roman" w:hAnsi="Times New Roman"/>
          <w:color w:val="auto"/>
          <w:highlight w:val="none"/>
          <w:lang w:val="en-US" w:eastAsia="zh-CN"/>
        </w:rPr>
        <w:t>8.8万元</w:t>
      </w:r>
      <w:r>
        <w:rPr>
          <w:rFonts w:hint="eastAsia" w:ascii="Times New Roman" w:hAnsi="Times New Roman"/>
          <w:color w:val="auto"/>
          <w:highlight w:val="none"/>
        </w:rPr>
        <w:t>，且每年系统升级改造工作量</w:t>
      </w:r>
      <w:r>
        <w:rPr>
          <w:rFonts w:hint="eastAsia" w:ascii="Times New Roman" w:hAnsi="Times New Roman"/>
          <w:color w:val="auto"/>
          <w:highlight w:val="none"/>
          <w:lang w:val="en-US" w:eastAsia="zh-CN"/>
        </w:rPr>
        <w:t>2</w:t>
      </w:r>
      <w:r>
        <w:rPr>
          <w:rFonts w:hint="eastAsia" w:ascii="Times New Roman" w:hAnsi="Times New Roman"/>
          <w:color w:val="auto"/>
          <w:highlight w:val="none"/>
        </w:rPr>
        <w:t>个人</w:t>
      </w:r>
      <w:r>
        <w:rPr>
          <w:rFonts w:hint="eastAsia"/>
          <w:color w:val="auto"/>
          <w:highlight w:val="none"/>
          <w:lang w:val="en-US" w:eastAsia="zh-CN"/>
        </w:rPr>
        <w:t>/</w:t>
      </w:r>
      <w:r>
        <w:rPr>
          <w:rFonts w:hint="eastAsia" w:ascii="Times New Roman" w:hAnsi="Times New Roman"/>
          <w:color w:val="auto"/>
          <w:highlight w:val="none"/>
        </w:rPr>
        <w:t>月内不收费，具体维保费用以合同约定为准。</w:t>
      </w:r>
    </w:p>
    <w:p w14:paraId="0BEF32D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文档和培训</w:t>
      </w:r>
    </w:p>
    <w:p w14:paraId="3716589A">
      <w:pPr>
        <w:pStyle w:val="4"/>
        <w:ind w:firstLine="482"/>
        <w:rPr>
          <w:rFonts w:ascii="Times New Roman" w:hAnsi="Times New Roman"/>
          <w:color w:val="auto"/>
          <w:szCs w:val="20"/>
          <w:highlight w:val="none"/>
        </w:rPr>
      </w:pPr>
      <w:r>
        <w:rPr>
          <w:rFonts w:hint="eastAsia" w:ascii="Times New Roman" w:hAnsi="Times New Roman"/>
          <w:color w:val="auto"/>
          <w:highlight w:val="none"/>
        </w:rPr>
        <w:t>1</w:t>
      </w:r>
      <w:r>
        <w:rPr>
          <w:rFonts w:ascii="Times New Roman" w:hAnsi="Times New Roman"/>
          <w:color w:val="auto"/>
          <w:highlight w:val="none"/>
        </w:rPr>
        <w:t xml:space="preserve">1.1 </w:t>
      </w:r>
      <w:r>
        <w:rPr>
          <w:rFonts w:hint="eastAsia" w:ascii="Times New Roman" w:hAnsi="Times New Roman"/>
          <w:color w:val="auto"/>
          <w:szCs w:val="20"/>
          <w:highlight w:val="none"/>
        </w:rPr>
        <w:t>文档</w:t>
      </w:r>
    </w:p>
    <w:p w14:paraId="3A9F4477">
      <w:pPr>
        <w:ind w:firstLine="480"/>
        <w:outlineLvl w:val="3"/>
        <w:rPr>
          <w:rFonts w:ascii="Times New Roman" w:hAnsi="Times New Roman"/>
          <w:color w:val="auto"/>
          <w:highlight w:val="none"/>
        </w:rPr>
      </w:pPr>
      <w:r>
        <w:rPr>
          <w:rFonts w:hint="eastAsia" w:ascii="Times New Roman" w:hAnsi="Times New Roman"/>
          <w:color w:val="auto"/>
          <w:highlight w:val="none"/>
        </w:rPr>
        <w:t>1）文档范围</w:t>
      </w:r>
    </w:p>
    <w:p w14:paraId="1C78054E">
      <w:pPr>
        <w:ind w:firstLine="480"/>
        <w:rPr>
          <w:rFonts w:ascii="Times New Roman" w:hAnsi="Times New Roman"/>
          <w:color w:val="auto"/>
          <w:highlight w:val="none"/>
        </w:rPr>
      </w:pPr>
      <w:r>
        <w:rPr>
          <w:rFonts w:hint="eastAsia" w:ascii="Times New Roman" w:hAnsi="Times New Roman"/>
          <w:color w:val="auto"/>
          <w:highlight w:val="none"/>
        </w:rPr>
        <w:t>包括中选人收集整理的系统建设中所形成的全部文字记载、录音和照片等，项目验收后由中选人向比选人提供。</w:t>
      </w:r>
    </w:p>
    <w:p w14:paraId="2E70FE30">
      <w:pPr>
        <w:ind w:firstLine="480"/>
        <w:outlineLvl w:val="3"/>
        <w:rPr>
          <w:rFonts w:ascii="Times New Roman" w:hAnsi="Times New Roman"/>
          <w:color w:val="auto"/>
          <w:highlight w:val="none"/>
        </w:rPr>
      </w:pPr>
      <w:r>
        <w:rPr>
          <w:rFonts w:hint="eastAsia" w:ascii="Times New Roman" w:hAnsi="Times New Roman"/>
          <w:color w:val="auto"/>
          <w:highlight w:val="none"/>
        </w:rPr>
        <w:t>2）文档内容</w:t>
      </w:r>
    </w:p>
    <w:p w14:paraId="142FD28F">
      <w:pPr>
        <w:ind w:firstLine="480"/>
        <w:rPr>
          <w:rFonts w:ascii="Times New Roman" w:hAnsi="Times New Roman"/>
          <w:color w:val="auto"/>
          <w:highlight w:val="none"/>
        </w:rPr>
      </w:pPr>
      <w:r>
        <w:rPr>
          <w:rFonts w:hint="eastAsia" w:ascii="Times New Roman" w:hAnsi="Times New Roman"/>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21C4E104">
      <w:pPr>
        <w:ind w:firstLine="480"/>
        <w:outlineLvl w:val="3"/>
        <w:rPr>
          <w:rFonts w:ascii="Times New Roman" w:hAnsi="Times New Roman"/>
          <w:color w:val="auto"/>
          <w:highlight w:val="none"/>
        </w:rPr>
      </w:pPr>
      <w:r>
        <w:rPr>
          <w:rFonts w:hint="eastAsia" w:ascii="Times New Roman" w:hAnsi="Times New Roman"/>
          <w:color w:val="auto"/>
          <w:highlight w:val="none"/>
        </w:rPr>
        <w:t xml:space="preserve">3）要求 </w:t>
      </w:r>
    </w:p>
    <w:p w14:paraId="269EDC3A">
      <w:pPr>
        <w:ind w:firstLine="480"/>
        <w:rPr>
          <w:rFonts w:ascii="Times New Roman" w:hAnsi="Times New Roman"/>
          <w:color w:val="auto"/>
          <w:highlight w:val="none"/>
        </w:rPr>
      </w:pPr>
      <w:r>
        <w:rPr>
          <w:rFonts w:hint="eastAsia" w:ascii="Times New Roman" w:hAnsi="Times New Roman"/>
          <w:color w:val="auto"/>
          <w:highlight w:val="none"/>
        </w:rPr>
        <w:t>参选人提供的文档要保持完整性和准确性。所有文档都采用简体中文（第三方产品出厂文件除外）。</w:t>
      </w:r>
    </w:p>
    <w:p w14:paraId="6ACECD46">
      <w:pPr>
        <w:pStyle w:val="4"/>
        <w:ind w:firstLine="482"/>
        <w:rPr>
          <w:rFonts w:ascii="Times New Roman" w:hAnsi="Times New Roman"/>
          <w:color w:val="auto"/>
          <w:szCs w:val="20"/>
          <w:highlight w:val="none"/>
        </w:rPr>
      </w:pPr>
      <w:r>
        <w:rPr>
          <w:rFonts w:hint="eastAsia" w:ascii="Times New Roman" w:hAnsi="Times New Roman"/>
          <w:color w:val="auto"/>
          <w:szCs w:val="20"/>
          <w:highlight w:val="none"/>
        </w:rPr>
        <w:t>1</w:t>
      </w:r>
      <w:r>
        <w:rPr>
          <w:rFonts w:ascii="Times New Roman" w:hAnsi="Times New Roman"/>
          <w:color w:val="auto"/>
          <w:szCs w:val="20"/>
          <w:highlight w:val="none"/>
        </w:rPr>
        <w:t xml:space="preserve">1.2 </w:t>
      </w:r>
      <w:r>
        <w:rPr>
          <w:rFonts w:hint="eastAsia" w:ascii="Times New Roman" w:hAnsi="Times New Roman"/>
          <w:color w:val="auto"/>
          <w:szCs w:val="20"/>
          <w:highlight w:val="none"/>
        </w:rPr>
        <w:t>培训</w:t>
      </w:r>
    </w:p>
    <w:p w14:paraId="0B54BEEC">
      <w:pPr>
        <w:ind w:firstLine="480"/>
        <w:outlineLvl w:val="3"/>
        <w:rPr>
          <w:rFonts w:ascii="Times New Roman" w:hAnsi="Times New Roman"/>
          <w:color w:val="auto"/>
          <w:highlight w:val="none"/>
        </w:rPr>
      </w:pPr>
      <w:r>
        <w:rPr>
          <w:rFonts w:hint="eastAsia" w:ascii="Times New Roman" w:hAnsi="Times New Roman"/>
          <w:color w:val="auto"/>
          <w:highlight w:val="none"/>
        </w:rPr>
        <w:t>1）培训人员</w:t>
      </w:r>
    </w:p>
    <w:p w14:paraId="4620442C">
      <w:pPr>
        <w:ind w:firstLine="480"/>
        <w:rPr>
          <w:rFonts w:ascii="Times New Roman" w:hAnsi="Times New Roman"/>
          <w:color w:val="auto"/>
          <w:highlight w:val="none"/>
        </w:rPr>
      </w:pPr>
      <w:r>
        <w:rPr>
          <w:rFonts w:hint="eastAsia" w:ascii="Times New Roman" w:hAnsi="Times New Roman"/>
          <w:color w:val="auto"/>
          <w:highlight w:val="none"/>
        </w:rPr>
        <w:t>中选人应对下列人员进行相应的技术培训：</w:t>
      </w:r>
    </w:p>
    <w:p w14:paraId="2FCED7A1">
      <w:pPr>
        <w:ind w:firstLine="480"/>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79FB2ED9">
      <w:pPr>
        <w:ind w:firstLine="480"/>
        <w:outlineLvl w:val="3"/>
        <w:rPr>
          <w:rFonts w:ascii="Times New Roman" w:hAnsi="Times New Roman"/>
          <w:color w:val="auto"/>
          <w:highlight w:val="none"/>
        </w:rPr>
      </w:pPr>
      <w:r>
        <w:rPr>
          <w:rFonts w:hint="eastAsia" w:ascii="Times New Roman" w:hAnsi="Times New Roman"/>
          <w:color w:val="auto"/>
          <w:highlight w:val="none"/>
        </w:rPr>
        <w:t>2）要求</w:t>
      </w:r>
    </w:p>
    <w:p w14:paraId="1FCEA3B9">
      <w:pPr>
        <w:ind w:firstLine="480"/>
        <w:rPr>
          <w:rFonts w:ascii="Times New Roman" w:hAnsi="Times New Roman"/>
          <w:color w:val="auto"/>
          <w:highlight w:val="none"/>
        </w:rPr>
      </w:pPr>
      <w:r>
        <w:rPr>
          <w:rFonts w:hint="eastAsia" w:ascii="Times New Roman" w:hAnsi="Times New Roman"/>
          <w:color w:val="auto"/>
          <w:highlight w:val="none"/>
        </w:rPr>
        <w:t>对所有的培训，参选人除提供完备的书面教材外，还应提交培训方案和计划。</w:t>
      </w:r>
    </w:p>
    <w:p w14:paraId="5826320F">
      <w:pPr>
        <w:ind w:firstLine="480"/>
        <w:rPr>
          <w:rFonts w:hint="eastAsia" w:ascii="Times New Roman" w:hAnsi="Times New Roman"/>
          <w:color w:val="auto"/>
          <w:highlight w:val="none"/>
        </w:rPr>
      </w:pPr>
      <w:r>
        <w:rPr>
          <w:rFonts w:hint="eastAsia" w:ascii="Times New Roman" w:hAnsi="Times New Roman"/>
          <w:color w:val="auto"/>
          <w:highlight w:val="none"/>
        </w:rPr>
        <w:t>比选人要求所有的培训在比选人指定地点进行。</w:t>
      </w:r>
    </w:p>
    <w:p w14:paraId="4711E964">
      <w:pPr>
        <w:pStyle w:val="10"/>
        <w:ind w:firstLine="0" w:firstLineChars="0"/>
        <w:rPr>
          <w:color w:val="auto"/>
          <w:highlight w:val="none"/>
        </w:rPr>
      </w:pPr>
      <w:r>
        <w:rPr>
          <w:rFonts w:hint="eastAsia"/>
          <w:color w:val="auto"/>
          <w:highlight w:val="none"/>
          <w:lang w:eastAsia="zh-CN"/>
        </w:rPr>
        <w:t>【</w:t>
      </w:r>
      <w:r>
        <w:rPr>
          <w:rFonts w:hint="eastAsia"/>
          <w:color w:val="auto"/>
          <w:highlight w:val="none"/>
          <w:lang w:val="en-US" w:eastAsia="zh-CN"/>
        </w:rPr>
        <w:t>提供售后服务及培训方案</w:t>
      </w:r>
      <w:r>
        <w:rPr>
          <w:rFonts w:hint="eastAsia"/>
          <w:color w:val="auto"/>
          <w:highlight w:val="none"/>
          <w:lang w:eastAsia="zh-CN"/>
        </w:rPr>
        <w:t>】</w:t>
      </w:r>
    </w:p>
    <w:p w14:paraId="045AF51E">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服务连续性预案</w:t>
      </w:r>
    </w:p>
    <w:p w14:paraId="500506ED">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53F3B9E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项目实施方案</w:t>
      </w:r>
    </w:p>
    <w:p w14:paraId="1572784A">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4"/>
    <w:bookmarkEnd w:id="55"/>
    <w:p w14:paraId="74DA3DB1">
      <w:pPr>
        <w:pStyle w:val="3"/>
        <w:numPr>
          <w:ilvl w:val="0"/>
          <w:numId w:val="1"/>
        </w:numPr>
        <w:rPr>
          <w:rFonts w:ascii="Times New Roman" w:hAnsi="Times New Roman"/>
          <w:color w:val="auto"/>
          <w:highlight w:val="none"/>
        </w:rPr>
      </w:pPr>
      <w:bookmarkStart w:id="61" w:name="_Toc89675148"/>
      <w:bookmarkStart w:id="62" w:name="_Toc15059422"/>
      <w:r>
        <w:rPr>
          <w:rFonts w:hint="eastAsia" w:ascii="Times New Roman" w:hAnsi="Times New Roman"/>
          <w:color w:val="auto"/>
          <w:highlight w:val="none"/>
        </w:rPr>
        <w:t>付款方式</w:t>
      </w:r>
      <w:bookmarkEnd w:id="61"/>
      <w:bookmarkEnd w:id="62"/>
    </w:p>
    <w:p w14:paraId="136CC584">
      <w:pPr>
        <w:ind w:firstLine="480"/>
        <w:rPr>
          <w:rFonts w:hint="eastAsia" w:ascii="Times New Roman" w:hAnsi="Times New Roman"/>
          <w:color w:val="auto"/>
          <w:highlight w:val="none"/>
        </w:rPr>
      </w:pPr>
      <w:r>
        <w:rPr>
          <w:rFonts w:hint="eastAsia" w:ascii="Times New Roman" w:hAnsi="Times New Roman"/>
          <w:color w:val="auto"/>
          <w:highlight w:val="none"/>
        </w:rPr>
        <w:t>本合同实施款项采用分期付款：</w:t>
      </w:r>
    </w:p>
    <w:p w14:paraId="5A72BB77">
      <w:pPr>
        <w:ind w:firstLine="480"/>
        <w:rPr>
          <w:rFonts w:hint="eastAsia"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.1项目安装、调试并投入试运行后,甲方向乙方支付合同总额的60％。</w:t>
      </w:r>
    </w:p>
    <w:p w14:paraId="3BCB0C97">
      <w:pPr>
        <w:ind w:firstLine="480"/>
        <w:rPr>
          <w:rFonts w:hint="eastAsia"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.2项目正式验收合格后, 甲方依据《服务水平协议（SLA）》对乙方服务质量作出评价，评价合格后，甲方向乙方支付合同总价的30％，否则按《服务水平协议（SLA）》进行相应金额扣除。</w:t>
      </w:r>
    </w:p>
    <w:p w14:paraId="5AB53827">
      <w:pPr>
        <w:ind w:firstLine="480"/>
        <w:rPr>
          <w:rFonts w:ascii="Times New Roman" w:hAnsi="Times New Roman"/>
          <w:color w:val="auto"/>
          <w:highlight w:val="none"/>
        </w:rPr>
      </w:pPr>
      <w:r>
        <w:rPr>
          <w:rFonts w:hint="eastAsia" w:ascii="Times New Roman" w:hAnsi="Times New Roman"/>
          <w:color w:val="auto"/>
          <w:highlight w:val="none"/>
        </w:rPr>
        <w:t>1</w:t>
      </w:r>
      <w:r>
        <w:rPr>
          <w:rFonts w:hint="eastAsia"/>
          <w:color w:val="auto"/>
          <w:highlight w:val="none"/>
          <w:lang w:val="en-US" w:eastAsia="zh-CN"/>
        </w:rPr>
        <w:t>4</w:t>
      </w:r>
      <w:r>
        <w:rPr>
          <w:rFonts w:hint="eastAsia" w:ascii="Times New Roman" w:hAnsi="Times New Roman"/>
          <w:color w:val="auto"/>
          <w:highlight w:val="none"/>
        </w:rPr>
        <w:t>.3</w:t>
      </w:r>
      <w:r>
        <w:rPr>
          <w:rFonts w:hint="eastAsia"/>
          <w:color w:val="auto"/>
          <w:highlight w:val="none"/>
          <w:lang w:val="en-US" w:eastAsia="zh-CN"/>
        </w:rPr>
        <w:t>项目</w:t>
      </w:r>
      <w:r>
        <w:rPr>
          <w:rFonts w:hint="eastAsia" w:ascii="Times New Roman" w:hAnsi="Times New Roman"/>
          <w:color w:val="auto"/>
          <w:highlight w:val="none"/>
        </w:rPr>
        <w:t>维护到期后，甲方依据《服务水平协议（SLA）》对乙方服务质量作出评价，评价合格后，甲方向乙方支付合同总额的全部余款</w:t>
      </w:r>
      <w:r>
        <w:rPr>
          <w:rFonts w:hint="eastAsia"/>
          <w:color w:val="auto"/>
          <w:highlight w:val="none"/>
          <w:lang w:eastAsia="zh-CN"/>
        </w:rPr>
        <w:t>，</w:t>
      </w:r>
      <w:r>
        <w:rPr>
          <w:rFonts w:hint="eastAsia" w:ascii="宋体" w:eastAsia="宋体"/>
          <w:color w:val="auto"/>
          <w:spacing w:val="0"/>
          <w:highlight w:val="none"/>
        </w:rPr>
        <w:t>否则按《服务水平协议（SLA）》进行相应金额扣除（1</w:t>
      </w:r>
      <w:r>
        <w:rPr>
          <w:rFonts w:hint="eastAsia" w:ascii="宋体" w:eastAsia="宋体"/>
          <w:color w:val="auto"/>
          <w:spacing w:val="0"/>
          <w:highlight w:val="none"/>
          <w:lang w:val="en-US" w:eastAsia="zh-CN"/>
        </w:rPr>
        <w:t>4</w:t>
      </w:r>
      <w:r>
        <w:rPr>
          <w:rFonts w:hint="eastAsia" w:ascii="宋体" w:eastAsia="宋体"/>
          <w:color w:val="auto"/>
          <w:spacing w:val="0"/>
          <w:highlight w:val="none"/>
        </w:rPr>
        <w:t>.2中已扣除部分，本条不重复扣减）</w:t>
      </w:r>
      <w:r>
        <w:rPr>
          <w:rFonts w:hint="eastAsia" w:ascii="Times New Roman" w:hAnsi="Times New Roman"/>
          <w:color w:val="auto"/>
          <w:highlight w:val="none"/>
        </w:rPr>
        <w:t>。</w:t>
      </w:r>
    </w:p>
    <w:p w14:paraId="649F60B5">
      <w:pPr>
        <w:pStyle w:val="3"/>
        <w:numPr>
          <w:ilvl w:val="0"/>
          <w:numId w:val="1"/>
        </w:numPr>
        <w:rPr>
          <w:rFonts w:ascii="Times New Roman" w:hAnsi="Times New Roman"/>
          <w:color w:val="auto"/>
          <w:highlight w:val="none"/>
        </w:rPr>
      </w:pPr>
      <w:bookmarkStart w:id="63" w:name="_Toc89675150"/>
      <w:bookmarkStart w:id="64" w:name="_Toc15059424"/>
      <w:r>
        <w:rPr>
          <w:rFonts w:hint="eastAsia" w:ascii="Times New Roman" w:hAnsi="Times New Roman"/>
          <w:color w:val="auto"/>
          <w:highlight w:val="none"/>
        </w:rPr>
        <w:t>保密条款</w:t>
      </w:r>
      <w:bookmarkEnd w:id="56"/>
      <w:bookmarkEnd w:id="57"/>
      <w:bookmarkEnd w:id="58"/>
      <w:bookmarkEnd w:id="59"/>
      <w:bookmarkEnd w:id="63"/>
      <w:bookmarkEnd w:id="64"/>
    </w:p>
    <w:p w14:paraId="4E1478BB">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5</w:t>
      </w:r>
      <w:r>
        <w:rPr>
          <w:rFonts w:hint="eastAsia" w:ascii="Times New Roman" w:hAnsi="Times New Roman"/>
          <w:color w:val="auto"/>
          <w:highlight w:val="none"/>
        </w:rPr>
        <w:t>.1 保密范围</w:t>
      </w:r>
    </w:p>
    <w:p w14:paraId="3AEA3AF0">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09543027">
      <w:pPr>
        <w:pStyle w:val="4"/>
        <w:ind w:firstLine="482"/>
        <w:rPr>
          <w:rFonts w:ascii="Times New Roman" w:hAnsi="Times New Roman"/>
          <w:color w:val="auto"/>
          <w:highlight w:val="none"/>
        </w:rPr>
      </w:pPr>
      <w:r>
        <w:rPr>
          <w:rFonts w:ascii="Times New Roman" w:hAnsi="Times New Roman"/>
          <w:color w:val="auto"/>
          <w:highlight w:val="none"/>
        </w:rPr>
        <w:t>15</w:t>
      </w:r>
      <w:r>
        <w:rPr>
          <w:rFonts w:hint="eastAsia" w:ascii="Times New Roman" w:hAnsi="Times New Roman"/>
          <w:color w:val="auto"/>
          <w:highlight w:val="none"/>
        </w:rPr>
        <w:t>.2 保密责任</w:t>
      </w:r>
    </w:p>
    <w:p w14:paraId="2B1E3EF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08A1A2B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报价要求</w:t>
      </w:r>
    </w:p>
    <w:p w14:paraId="007BC326">
      <w:pPr>
        <w:ind w:firstLine="480"/>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参选人应严格按照《参选文件格式》的“报价一览表”和“分项报价明细表”的格式认真填写。</w:t>
      </w:r>
    </w:p>
    <w:p w14:paraId="61FFCA05">
      <w:pPr>
        <w:pStyle w:val="3"/>
        <w:numPr>
          <w:ilvl w:val="0"/>
          <w:numId w:val="1"/>
        </w:numPr>
        <w:rPr>
          <w:rFonts w:ascii="Times New Roman" w:hAnsi="Times New Roman"/>
          <w:color w:val="auto"/>
          <w:highlight w:val="none"/>
        </w:rPr>
      </w:pPr>
      <w:bookmarkStart w:id="65" w:name="_Toc15059426"/>
      <w:bookmarkStart w:id="66" w:name="_Toc89675152"/>
      <w:r>
        <w:rPr>
          <w:rFonts w:hint="eastAsia" w:ascii="Times New Roman" w:hAnsi="Times New Roman"/>
          <w:color w:val="auto"/>
          <w:highlight w:val="none"/>
        </w:rPr>
        <w:t>知识产权</w:t>
      </w:r>
      <w:bookmarkEnd w:id="65"/>
      <w:bookmarkEnd w:id="66"/>
    </w:p>
    <w:p w14:paraId="19CACB47">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C711C88">
      <w:pPr>
        <w:ind w:firstLine="480"/>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9F51E48">
      <w:pPr>
        <w:pStyle w:val="3"/>
        <w:numPr>
          <w:ilvl w:val="0"/>
          <w:numId w:val="1"/>
        </w:numPr>
        <w:rPr>
          <w:rFonts w:ascii="Times New Roman" w:hAnsi="Times New Roman"/>
          <w:color w:val="auto"/>
          <w:highlight w:val="none"/>
        </w:rPr>
      </w:pPr>
      <w:bookmarkStart w:id="67" w:name="_Toc15059427"/>
      <w:bookmarkStart w:id="68" w:name="_Toc89675153"/>
      <w:r>
        <w:rPr>
          <w:rFonts w:hint="eastAsia" w:ascii="Times New Roman" w:hAnsi="Times New Roman"/>
          <w:color w:val="auto"/>
          <w:highlight w:val="none"/>
        </w:rPr>
        <w:t>其他</w:t>
      </w:r>
      <w:bookmarkEnd w:id="67"/>
      <w:bookmarkEnd w:id="68"/>
    </w:p>
    <w:p w14:paraId="5B2535A4">
      <w:pPr>
        <w:ind w:firstLine="480"/>
        <w:rPr>
          <w:rFonts w:hint="eastAsia"/>
          <w:color w:val="auto"/>
          <w:highlight w:val="none"/>
        </w:rPr>
      </w:pPr>
      <w:r>
        <w:rPr>
          <w:rFonts w:hint="eastAsia" w:ascii="Times New Roman" w:hAnsi="Times New Roman"/>
          <w:color w:val="auto"/>
          <w:highlight w:val="none"/>
          <w:lang w:val="en-US" w:eastAsia="zh-CN"/>
        </w:rPr>
        <w:t>18.1</w:t>
      </w:r>
      <w:r>
        <w:rPr>
          <w:rFonts w:hint="eastAsia"/>
          <w:color w:val="auto"/>
          <w:highlight w:val="none"/>
        </w:rPr>
        <w:t>参选人必须在响应承诺函中对本章内容做出整体性响应和承诺，承诺内容必须达到本章及比选文件其他条款的要求。</w:t>
      </w:r>
    </w:p>
    <w:p w14:paraId="2B7717C4">
      <w:pPr>
        <w:rPr>
          <w:rFonts w:ascii="Times New Roman" w:hAnsi="Times New Roman" w:cs="Times New Roman"/>
          <w:color w:val="auto"/>
          <w:highlight w:val="none"/>
        </w:rPr>
      </w:pPr>
      <w:r>
        <w:rPr>
          <w:rFonts w:hint="eastAsia" w:ascii="Times New Roman" w:hAnsi="Times New Roman"/>
          <w:color w:val="auto"/>
          <w:highlight w:val="none"/>
          <w:lang w:val="en-US" w:eastAsia="zh-CN"/>
        </w:rPr>
        <w:t>18.2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3A29140B">
      <w:pPr>
        <w:rPr>
          <w:rFonts w:ascii="Times New Roman" w:hAnsi="Times New Roman"/>
          <w:color w:val="auto"/>
          <w:highlight w:val="none"/>
        </w:rPr>
      </w:pPr>
      <w:r>
        <w:rPr>
          <w:rFonts w:hint="eastAsia" w:ascii="Times New Roman" w:hAnsi="Times New Roman"/>
          <w:color w:val="auto"/>
          <w:highlight w:val="none"/>
          <w:lang w:val="en-US" w:eastAsia="zh-CN"/>
        </w:rPr>
        <w:t>18.3</w:t>
      </w:r>
      <w:r>
        <w:rPr>
          <w:rFonts w:hint="eastAsia" w:ascii="Times New Roman" w:hAnsi="Times New Roman"/>
          <w:color w:val="auto"/>
          <w:highlight w:val="none"/>
        </w:rPr>
        <w:t>其他未尽事宜由供需双方在合同中详细约定。</w:t>
      </w:r>
    </w:p>
    <w:p w14:paraId="7BFB9E75">
      <w:pPr>
        <w:snapToGrid w:val="0"/>
        <w:spacing w:line="360" w:lineRule="auto"/>
        <w:ind w:firstLine="480"/>
        <w:rPr>
          <w:rFonts w:ascii="Times New Roman" w:hAnsi="Times New Roman" w:cs="宋体"/>
          <w:snapToGrid w:val="0"/>
          <w:color w:val="auto"/>
          <w:kern w:val="0"/>
          <w:szCs w:val="24"/>
          <w:highlight w:val="none"/>
        </w:rPr>
      </w:pPr>
    </w:p>
    <w:p w14:paraId="12FA6380">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4614670A">
      <w:pPr>
        <w:pStyle w:val="2"/>
        <w:rPr>
          <w:rFonts w:ascii="Times New Roman" w:hAnsi="Times New Roman"/>
          <w:color w:val="auto"/>
          <w:highlight w:val="none"/>
        </w:rPr>
      </w:pPr>
      <w:bookmarkStart w:id="69" w:name="_Toc29189"/>
      <w:bookmarkStart w:id="70" w:name="_Toc5905"/>
      <w:r>
        <w:rPr>
          <w:rFonts w:hint="eastAsia" w:ascii="Times New Roman" w:hAnsi="Times New Roman"/>
          <w:color w:val="auto"/>
          <w:highlight w:val="none"/>
        </w:rPr>
        <w:t>第四章 评审办法（综合评估法）</w:t>
      </w:r>
      <w:bookmarkEnd w:id="69"/>
      <w:bookmarkEnd w:id="70"/>
    </w:p>
    <w:p w14:paraId="7B00BCB2">
      <w:pPr>
        <w:ind w:firstLine="482"/>
        <w:rPr>
          <w:rFonts w:ascii="Times New Roman" w:hAnsi="Times New Roman"/>
          <w:b/>
          <w:bCs/>
          <w:color w:val="auto"/>
          <w:highlight w:val="none"/>
        </w:rPr>
      </w:pPr>
      <w:bookmarkStart w:id="71" w:name="_Toc14810"/>
      <w:bookmarkStart w:id="72" w:name="_Toc11471"/>
      <w:bookmarkStart w:id="73" w:name="_Toc27076"/>
      <w:bookmarkStart w:id="74" w:name="_Toc2028"/>
      <w:r>
        <w:rPr>
          <w:rFonts w:hint="eastAsia" w:ascii="Times New Roman" w:hAnsi="Times New Roman"/>
          <w:b/>
          <w:bCs/>
          <w:color w:val="auto"/>
          <w:highlight w:val="none"/>
        </w:rPr>
        <w:t>评审办法前附表</w:t>
      </w:r>
      <w:bookmarkEnd w:id="71"/>
      <w:bookmarkEnd w:id="72"/>
      <w:bookmarkEnd w:id="73"/>
      <w:bookmarkEnd w:id="74"/>
    </w:p>
    <w:p w14:paraId="333649C6">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378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7A4D454">
            <w:pPr>
              <w:spacing w:line="360" w:lineRule="auto"/>
              <w:ind w:firstLine="0" w:firstLineChars="0"/>
              <w:jc w:val="center"/>
              <w:rPr>
                <w:rFonts w:ascii="Times New Roman" w:hAnsi="Times New Roman" w:cs="宋体"/>
                <w:b/>
                <w:color w:val="auto"/>
                <w:kern w:val="0"/>
                <w:sz w:val="21"/>
                <w:szCs w:val="21"/>
                <w:highlight w:val="none"/>
              </w:rPr>
            </w:pPr>
            <w:bookmarkStart w:id="75" w:name="CQZH1_07"/>
            <w:r>
              <w:rPr>
                <w:rFonts w:hint="eastAsia" w:ascii="Times New Roman" w:hAnsi="Times New Roman" w:cs="宋体"/>
                <w:b/>
                <w:color w:val="auto"/>
                <w:kern w:val="0"/>
                <w:sz w:val="21"/>
                <w:szCs w:val="21"/>
                <w:highlight w:val="none"/>
              </w:rPr>
              <w:t>条款号</w:t>
            </w:r>
          </w:p>
        </w:tc>
        <w:tc>
          <w:tcPr>
            <w:tcW w:w="1482" w:type="dxa"/>
            <w:vAlign w:val="center"/>
          </w:tcPr>
          <w:p w14:paraId="5A23EEDB">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52000D48">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068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A0DCD15">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vAlign w:val="center"/>
          </w:tcPr>
          <w:p w14:paraId="7A8D786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14:paraId="5DD653C1">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w:t>
            </w:r>
            <w:r>
              <w:rPr>
                <w:rFonts w:hint="eastAsia" w:ascii="Times New Roman" w:hAnsi="Times New Roman" w:cs="Times New Roman"/>
                <w:color w:val="auto"/>
                <w:kern w:val="0"/>
                <w:sz w:val="21"/>
                <w:szCs w:val="24"/>
                <w:highlight w:val="none"/>
              </w:rPr>
              <w:t>参选报价也相等的，由评审委员会按照</w:t>
            </w:r>
            <w:r>
              <w:rPr>
                <w:rFonts w:hint="eastAsia" w:ascii="Times New Roman" w:hAnsi="Times New Roman" w:cs="Times New Roman"/>
                <w:color w:val="auto"/>
                <w:kern w:val="0"/>
                <w:sz w:val="21"/>
                <w:szCs w:val="24"/>
                <w:highlight w:val="none"/>
                <w:lang w:eastAsia="zh-CN"/>
              </w:rPr>
              <w:t>原系统</w:t>
            </w:r>
            <w:r>
              <w:rPr>
                <w:rFonts w:ascii="Times New Roman" w:hAnsi="Times New Roman" w:cs="Times New Roman"/>
                <w:color w:val="auto"/>
                <w:kern w:val="0"/>
                <w:sz w:val="21"/>
                <w:szCs w:val="24"/>
                <w:highlight w:val="none"/>
              </w:rPr>
              <w:t>实施案例和</w:t>
            </w:r>
            <w:r>
              <w:rPr>
                <w:rFonts w:hint="eastAsia" w:ascii="Times New Roman" w:hAnsi="Times New Roman" w:cs="Times New Roman"/>
                <w:color w:val="auto"/>
                <w:kern w:val="0"/>
                <w:sz w:val="21"/>
                <w:szCs w:val="24"/>
                <w:highlight w:val="none"/>
                <w:lang w:eastAsia="zh-CN"/>
              </w:rPr>
              <w:t>同业同类型</w:t>
            </w:r>
            <w:r>
              <w:rPr>
                <w:rFonts w:ascii="Times New Roman" w:hAnsi="Times New Roman" w:cs="Times New Roman"/>
                <w:color w:val="auto"/>
                <w:kern w:val="0"/>
                <w:sz w:val="21"/>
                <w:szCs w:val="24"/>
                <w:highlight w:val="none"/>
              </w:rPr>
              <w:t>实施</w:t>
            </w:r>
            <w:r>
              <w:rPr>
                <w:rFonts w:hint="eastAsia" w:ascii="Times New Roman" w:hAnsi="Times New Roman" w:cs="Times New Roman"/>
                <w:color w:val="auto"/>
                <w:kern w:val="0"/>
                <w:sz w:val="21"/>
                <w:szCs w:val="24"/>
                <w:highlight w:val="none"/>
                <w:lang w:eastAsia="zh-CN"/>
              </w:rPr>
              <w:t>案例</w:t>
            </w:r>
            <w:r>
              <w:rPr>
                <w:rFonts w:ascii="Times New Roman" w:hAnsi="Times New Roman" w:cs="Times New Roman"/>
                <w:color w:val="auto"/>
                <w:kern w:val="0"/>
                <w:sz w:val="21"/>
                <w:szCs w:val="24"/>
                <w:highlight w:val="none"/>
              </w:rPr>
              <w:t>情况得分</w:t>
            </w:r>
            <w:r>
              <w:rPr>
                <w:rFonts w:hint="eastAsia" w:cs="Times New Roman"/>
                <w:color w:val="auto"/>
                <w:kern w:val="0"/>
                <w:sz w:val="21"/>
                <w:szCs w:val="24"/>
                <w:highlight w:val="none"/>
                <w:lang w:val="en-US" w:eastAsia="zh-CN"/>
              </w:rPr>
              <w:t>高的</w:t>
            </w:r>
            <w:r>
              <w:rPr>
                <w:rFonts w:hint="eastAsia" w:ascii="Times New Roman" w:hAnsi="Times New Roman" w:cs="Times New Roman"/>
                <w:color w:val="auto"/>
                <w:kern w:val="0"/>
                <w:sz w:val="21"/>
                <w:szCs w:val="24"/>
                <w:highlight w:val="none"/>
              </w:rPr>
              <w:t>原则排序。</w:t>
            </w:r>
          </w:p>
        </w:tc>
      </w:tr>
      <w:tr w14:paraId="7DEB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3E9A384">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vAlign w:val="center"/>
          </w:tcPr>
          <w:p w14:paraId="40ACC7A2">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vAlign w:val="center"/>
          </w:tcPr>
          <w:p w14:paraId="53C6F834">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3CA0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9092197">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vAlign w:val="center"/>
          </w:tcPr>
          <w:p w14:paraId="7F086EA2">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vAlign w:val="center"/>
          </w:tcPr>
          <w:p w14:paraId="024CD56C">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4ECB4BE0">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3242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54FE2B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vAlign w:val="center"/>
          </w:tcPr>
          <w:p w14:paraId="5FEDDF2B">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vAlign w:val="center"/>
          </w:tcPr>
          <w:p w14:paraId="25C06DD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5492A3D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7BB6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F1C160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56D0F2D5">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4FABC11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726A00E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1D48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13A5FD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3A5C789D">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15EE61B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0F68DA8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74B7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FE3D8F">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50FF79E3">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6812AEC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69EF3A1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1DC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572AF91">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43EF4C3A">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1AE0D98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1D954A7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15B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A5BFF25">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3631CDB3">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635DA41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1933D1D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4DF2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35A3FA9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vAlign w:val="center"/>
          </w:tcPr>
          <w:p w14:paraId="08CF7143">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vAlign w:val="center"/>
          </w:tcPr>
          <w:p w14:paraId="30199B7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46DF743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1D57195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cs="宋体"/>
                <w:color w:val="auto"/>
                <w:kern w:val="0"/>
                <w:sz w:val="21"/>
                <w:szCs w:val="21"/>
                <w:highlight w:val="none"/>
                <w:lang w:val="en-US" w:eastAsia="zh-CN"/>
              </w:rPr>
              <w:t>资料</w:t>
            </w:r>
            <w:r>
              <w:rPr>
                <w:rFonts w:ascii="Times New Roman" w:hAnsi="Times New Roman" w:cs="宋体"/>
                <w:color w:val="auto"/>
                <w:kern w:val="0"/>
                <w:sz w:val="21"/>
                <w:szCs w:val="21"/>
                <w:highlight w:val="none"/>
              </w:rPr>
              <w:t>，内容齐全、无遗漏。</w:t>
            </w:r>
          </w:p>
        </w:tc>
      </w:tr>
      <w:tr w14:paraId="7E81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9EB9B2D">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092AD76">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488F4F6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5CCDE9F8">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412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090379">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2422DD1">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486484F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1F75937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3EA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6091563">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27D51003">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DD0F4E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6F8FB9AE">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4E99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BFFD701">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07A69B42">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68C9B67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2654A81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6B5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FA3D7E">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0E8FB68B">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CCD7F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4DFA50C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7A4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03527BEB">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vAlign w:val="center"/>
          </w:tcPr>
          <w:p w14:paraId="0B66E4A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vAlign w:val="center"/>
          </w:tcPr>
          <w:p w14:paraId="3D9899DD">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3DCDB3B2">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5476" w:type="dxa"/>
            <w:vAlign w:val="center"/>
          </w:tcPr>
          <w:p w14:paraId="29339414">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eastAsia="zh-CN"/>
              </w:rPr>
              <w:t>参选报价（不含税报价）评分规则（</w:t>
            </w:r>
            <w:r>
              <w:rPr>
                <w:rFonts w:hint="eastAsia" w:ascii="Times New Roman" w:hAnsi="Times New Roman" w:cs="宋体"/>
                <w:color w:val="auto"/>
                <w:kern w:val="0"/>
                <w:sz w:val="21"/>
                <w:szCs w:val="21"/>
                <w:highlight w:val="none"/>
                <w:lang w:val="en-US" w:eastAsia="zh-CN"/>
              </w:rPr>
              <w:t>60分</w:t>
            </w:r>
            <w:r>
              <w:rPr>
                <w:rFonts w:hint="eastAsia" w:ascii="Times New Roman" w:hAnsi="Times New Roman" w:cs="宋体"/>
                <w:color w:val="auto"/>
                <w:kern w:val="0"/>
                <w:sz w:val="21"/>
                <w:szCs w:val="21"/>
                <w:highlight w:val="none"/>
                <w:lang w:eastAsia="zh-CN"/>
              </w:rPr>
              <w:t>）</w:t>
            </w:r>
          </w:p>
          <w:p w14:paraId="0322527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color w:val="auto"/>
                <w:highlight w:val="none"/>
              </w:rPr>
              <w:t xml:space="preserve"> </w:t>
            </w:r>
            <w:r>
              <w:rPr>
                <w:rFonts w:hint="eastAsia" w:ascii="Times New Roman" w:hAnsi="Times New Roman" w:cs="宋体"/>
                <w:color w:val="auto"/>
                <w:kern w:val="0"/>
                <w:sz w:val="21"/>
                <w:szCs w:val="21"/>
                <w:highlight w:val="none"/>
              </w:rPr>
              <w:t>以各有效报价（不含税报价）之和的平均价格作为评标基准价，基准分为</w:t>
            </w:r>
            <w:r>
              <w:rPr>
                <w:rFonts w:hint="eastAsia" w:ascii="Times New Roman" w:hAnsi="Times New Roman" w:cs="宋体"/>
                <w:color w:val="auto"/>
                <w:kern w:val="0"/>
                <w:sz w:val="21"/>
                <w:szCs w:val="21"/>
                <w:highlight w:val="none"/>
                <w:lang w:val="en-US" w:eastAsia="zh-CN"/>
              </w:rPr>
              <w:t>6</w:t>
            </w:r>
            <w:r>
              <w:rPr>
                <w:rFonts w:hint="eastAsia" w:ascii="Times New Roman" w:hAnsi="Times New Roman" w:cs="宋体"/>
                <w:color w:val="auto"/>
                <w:kern w:val="0"/>
                <w:sz w:val="21"/>
                <w:szCs w:val="21"/>
                <w:highlight w:val="none"/>
              </w:rPr>
              <w:t>0分；</w:t>
            </w:r>
          </w:p>
          <w:p w14:paraId="39BEA29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3C9E74C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color w:val="auto"/>
                <w:highlight w:val="none"/>
              </w:rPr>
              <w:t xml:space="preserve"> </w:t>
            </w:r>
            <w:r>
              <w:rPr>
                <w:rFonts w:hint="eastAsia" w:ascii="Times New Roman" w:hAnsi="Times New Roman" w:cs="宋体"/>
                <w:color w:val="auto"/>
                <w:kern w:val="0"/>
                <w:sz w:val="21"/>
                <w:szCs w:val="21"/>
                <w:highlight w:val="none"/>
              </w:rPr>
              <w:t>报价向上每偏离基准价的1%扣1分；向下偏离基准价10%以内的，不扣分；向下偏离基准价超过10%的，在向下偏离基准价10%的基础上，向下偏离每多超过1%扣0.5分，扣完为止，不足1%的不予扣减。</w:t>
            </w:r>
          </w:p>
        </w:tc>
      </w:tr>
      <w:tr w14:paraId="6651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9A8BF6B">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0F54FC4C">
            <w:pPr>
              <w:spacing w:line="360" w:lineRule="auto"/>
              <w:ind w:firstLine="0" w:firstLineChars="0"/>
              <w:rPr>
                <w:rFonts w:ascii="Times New Roman" w:hAnsi="Times New Roman" w:cs="宋体"/>
                <w:color w:val="auto"/>
                <w:kern w:val="0"/>
                <w:sz w:val="21"/>
                <w:szCs w:val="21"/>
                <w:highlight w:val="none"/>
              </w:rPr>
            </w:pPr>
          </w:p>
        </w:tc>
        <w:tc>
          <w:tcPr>
            <w:tcW w:w="1686" w:type="dxa"/>
            <w:gridSpan w:val="2"/>
            <w:vMerge w:val="continue"/>
            <w:vAlign w:val="center"/>
          </w:tcPr>
          <w:p w14:paraId="6E8890D6">
            <w:pPr>
              <w:tabs>
                <w:tab w:val="left" w:pos="1875"/>
              </w:tabs>
              <w:spacing w:line="360" w:lineRule="auto"/>
              <w:ind w:firstLine="0" w:firstLineChars="0"/>
              <w:jc w:val="center"/>
              <w:rPr>
                <w:rFonts w:ascii="Times New Roman" w:hAnsi="Times New Roman" w:cs="宋体"/>
                <w:color w:val="auto"/>
                <w:kern w:val="0"/>
                <w:sz w:val="21"/>
                <w:szCs w:val="21"/>
                <w:highlight w:val="none"/>
              </w:rPr>
            </w:pPr>
          </w:p>
        </w:tc>
        <w:tc>
          <w:tcPr>
            <w:tcW w:w="5476" w:type="dxa"/>
            <w:vAlign w:val="center"/>
          </w:tcPr>
          <w:p w14:paraId="02194456">
            <w:pPr>
              <w:spacing w:line="360" w:lineRule="auto"/>
              <w:ind w:firstLine="0" w:firstLineChars="0"/>
              <w:jc w:val="left"/>
              <w:rPr>
                <w:rFonts w:hint="eastAsia" w:ascii="Times New Roman" w:hAnsi="Times New Roman" w:cs="宋体"/>
                <w:color w:val="auto"/>
                <w:kern w:val="0"/>
                <w:sz w:val="21"/>
                <w:szCs w:val="21"/>
                <w:highlight w:val="none"/>
                <w:lang w:eastAsia="zh-CN"/>
              </w:rPr>
            </w:pPr>
            <w:r>
              <w:rPr>
                <w:rFonts w:hint="eastAsia" w:ascii="Times New Roman" w:hAnsi="Times New Roman" w:cs="宋体"/>
                <w:color w:val="auto"/>
                <w:kern w:val="0"/>
                <w:sz w:val="21"/>
                <w:szCs w:val="21"/>
                <w:highlight w:val="none"/>
              </w:rPr>
              <w:t>商务部分评分规则</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color w:val="auto"/>
                <w:kern w:val="0"/>
                <w:sz w:val="21"/>
                <w:szCs w:val="21"/>
                <w:highlight w:val="none"/>
                <w:lang w:val="en-US" w:eastAsia="zh-CN"/>
              </w:rPr>
              <w:t>40分</w:t>
            </w:r>
            <w:r>
              <w:rPr>
                <w:rFonts w:hint="eastAsia" w:ascii="Times New Roman" w:hAnsi="Times New Roman" w:cs="宋体"/>
                <w:color w:val="auto"/>
                <w:kern w:val="0"/>
                <w:sz w:val="21"/>
                <w:szCs w:val="21"/>
                <w:highlight w:val="none"/>
                <w:lang w:eastAsia="zh-CN"/>
              </w:rPr>
              <w:t>）</w:t>
            </w:r>
          </w:p>
          <w:p w14:paraId="0CA5381B">
            <w:pPr>
              <w:numPr>
                <w:ilvl w:val="0"/>
                <w:numId w:val="0"/>
              </w:numPr>
              <w:spacing w:line="360" w:lineRule="auto"/>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1.原系统实施案例（12分）</w:t>
            </w:r>
          </w:p>
          <w:p w14:paraId="4D41BCD9">
            <w:pPr>
              <w:numPr>
                <w:ilvl w:val="0"/>
                <w:numId w:val="0"/>
              </w:numPr>
              <w:spacing w:line="360" w:lineRule="auto"/>
              <w:jc w:val="left"/>
              <w:rPr>
                <w:rFonts w:hint="eastAsia"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在提供的国内同类型有效案例中</w:t>
            </w:r>
            <w:r>
              <w:rPr>
                <w:rFonts w:ascii="Times New Roman" w:hAnsi="Times New Roman" w:cs="Times New Roman"/>
                <w:color w:val="auto"/>
                <w:kern w:val="0"/>
                <w:sz w:val="21"/>
                <w:szCs w:val="21"/>
                <w:highlight w:val="none"/>
              </w:rPr>
              <w:t>，有基于</w:t>
            </w:r>
            <w:r>
              <w:rPr>
                <w:rFonts w:hint="eastAsia" w:ascii="Times New Roman" w:hAnsi="Times New Roman" w:cs="Times New Roman"/>
                <w:color w:val="auto"/>
                <w:kern w:val="0"/>
                <w:sz w:val="21"/>
                <w:szCs w:val="21"/>
                <w:highlight w:val="none"/>
                <w:lang w:eastAsia="zh-CN"/>
              </w:rPr>
              <w:t>上海屹通信息科技发展有限公司的移动展业平台（</w:t>
            </w:r>
            <w:r>
              <w:rPr>
                <w:rFonts w:hint="eastAsia" w:ascii="Times New Roman" w:hAnsi="Times New Roman" w:cs="Times New Roman"/>
                <w:color w:val="auto"/>
                <w:kern w:val="0"/>
                <w:sz w:val="21"/>
                <w:szCs w:val="21"/>
                <w:highlight w:val="none"/>
                <w:lang w:val="en-US" w:eastAsia="zh-CN"/>
              </w:rPr>
              <w:t>Ares框架</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完成升级改造的实施</w:t>
            </w:r>
            <w:r>
              <w:rPr>
                <w:rFonts w:ascii="Times New Roman" w:hAnsi="Times New Roman" w:cs="Times New Roman"/>
                <w:color w:val="auto"/>
                <w:kern w:val="0"/>
                <w:sz w:val="21"/>
                <w:szCs w:val="21"/>
                <w:highlight w:val="none"/>
              </w:rPr>
              <w:t>案例</w:t>
            </w:r>
            <w:r>
              <w:rPr>
                <w:rFonts w:hint="eastAsia" w:ascii="Times New Roman" w:hAnsi="Times New Roman" w:cs="Times New Roman"/>
                <w:color w:val="auto"/>
                <w:kern w:val="0"/>
                <w:sz w:val="21"/>
                <w:szCs w:val="21"/>
                <w:highlight w:val="none"/>
              </w:rPr>
              <w:t>，每1个得</w:t>
            </w:r>
            <w:r>
              <w:rPr>
                <w:rFonts w:hint="eastAsia" w:ascii="Times New Roman" w:hAnsi="Times New Roman" w:cs="Times New Roman"/>
                <w:color w:val="auto"/>
                <w:kern w:val="0"/>
                <w:sz w:val="21"/>
                <w:szCs w:val="21"/>
                <w:highlight w:val="none"/>
                <w:lang w:val="en-US" w:eastAsia="zh-CN"/>
              </w:rPr>
              <w:t>2</w:t>
            </w:r>
            <w:r>
              <w:rPr>
                <w:rFonts w:hint="eastAsia" w:ascii="Times New Roman" w:hAnsi="Times New Roman" w:cs="Times New Roman"/>
                <w:color w:val="auto"/>
                <w:kern w:val="0"/>
                <w:sz w:val="21"/>
                <w:szCs w:val="21"/>
                <w:highlight w:val="none"/>
              </w:rPr>
              <w:t>分，满分</w:t>
            </w:r>
            <w:r>
              <w:rPr>
                <w:rFonts w:hint="eastAsia" w:ascii="Times New Roman" w:hAnsi="Times New Roman" w:cs="Times New Roman"/>
                <w:color w:val="auto"/>
                <w:kern w:val="0"/>
                <w:sz w:val="21"/>
                <w:szCs w:val="21"/>
                <w:highlight w:val="none"/>
                <w:lang w:val="en-US" w:eastAsia="zh-CN"/>
              </w:rPr>
              <w:t>12</w:t>
            </w:r>
            <w:r>
              <w:rPr>
                <w:rFonts w:hint="eastAsia" w:ascii="Times New Roman" w:hAnsi="Times New Roman" w:cs="Times New Roman"/>
                <w:color w:val="auto"/>
                <w:kern w:val="0"/>
                <w:sz w:val="21"/>
                <w:szCs w:val="21"/>
                <w:highlight w:val="none"/>
              </w:rPr>
              <w:t>分。</w:t>
            </w:r>
          </w:p>
          <w:p w14:paraId="353B757C">
            <w:pPr>
              <w:numPr>
                <w:ilvl w:val="0"/>
                <w:numId w:val="0"/>
              </w:numPr>
              <w:spacing w:line="360" w:lineRule="auto"/>
              <w:jc w:val="left"/>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特别说明：不包含满足资格审核的5个案例。</w:t>
            </w:r>
          </w:p>
          <w:p w14:paraId="0582B2E5">
            <w:pPr>
              <w:numPr>
                <w:ilvl w:val="0"/>
                <w:numId w:val="0"/>
              </w:numPr>
              <w:spacing w:line="360" w:lineRule="auto"/>
              <w:jc w:val="left"/>
              <w:rPr>
                <w:rFonts w:hint="eastAsia"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w:t>
            </w:r>
            <w:r>
              <w:rPr>
                <w:rFonts w:hint="eastAsia" w:ascii="宋体"/>
                <w:color w:val="auto"/>
                <w:sz w:val="21"/>
                <w:szCs w:val="21"/>
                <w:highlight w:val="none"/>
              </w:rPr>
              <w:t>同业同类型实施案例</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15分</w:t>
            </w:r>
            <w:r>
              <w:rPr>
                <w:rFonts w:hint="eastAsia" w:ascii="宋体"/>
                <w:color w:val="auto"/>
                <w:sz w:val="21"/>
                <w:szCs w:val="21"/>
                <w:highlight w:val="none"/>
                <w:lang w:eastAsia="zh-CN"/>
              </w:rPr>
              <w:t>）</w:t>
            </w:r>
          </w:p>
          <w:p w14:paraId="25926EF0">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2021年1月1日至今（以合同签订时间为准），在5个国内同类型有效案例基础上:</w:t>
            </w:r>
          </w:p>
          <w:p w14:paraId="77290900">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(1)每多1个国内实施同类型项目案例的，得0.5分，满分</w:t>
            </w:r>
          </w:p>
          <w:p w14:paraId="3C10DE65">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6分</w:t>
            </w:r>
          </w:p>
          <w:p w14:paraId="5AEDD6E1">
            <w:pPr>
              <w:numPr>
                <w:ilvl w:val="0"/>
                <w:numId w:val="2"/>
              </w:num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每多1个国有大型商业银行及全国性股份制商业银行同类型项目案例的，得1分，满分3分</w:t>
            </w:r>
          </w:p>
          <w:p w14:paraId="58EA5CD8">
            <w:pPr>
              <w:numPr>
                <w:ilvl w:val="0"/>
                <w:numId w:val="2"/>
              </w:num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w:t>
            </w:r>
            <w:r>
              <w:rPr>
                <w:rFonts w:hint="eastAsia" w:cs="宋体"/>
                <w:color w:val="auto"/>
                <w:kern w:val="0"/>
                <w:sz w:val="21"/>
                <w:szCs w:val="21"/>
                <w:highlight w:val="none"/>
                <w:lang w:val="en-US" w:eastAsia="zh-CN"/>
              </w:rPr>
              <w:t>3</w:t>
            </w:r>
            <w:r>
              <w:rPr>
                <w:rFonts w:hint="eastAsia" w:ascii="Times New Roman" w:hAnsi="Times New Roman" w:cs="宋体"/>
                <w:color w:val="auto"/>
                <w:kern w:val="0"/>
                <w:sz w:val="21"/>
                <w:szCs w:val="21"/>
                <w:highlight w:val="none"/>
                <w:lang w:val="en-US" w:eastAsia="zh-CN"/>
              </w:rPr>
              <w:t>)每多1个地方性商业银行(包含农商、农信)同类型项目案例的，得1分，满分6分。</w:t>
            </w:r>
          </w:p>
          <w:p w14:paraId="4754D6CB">
            <w:pPr>
              <w:spacing w:line="360" w:lineRule="auto"/>
              <w:ind w:firstLine="0" w:firstLineChars="0"/>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特别说明：3个分项评分不累加，即符合条件的案例仅在一个分项中计分，最终得分不超过</w:t>
            </w:r>
            <w:r>
              <w:rPr>
                <w:rFonts w:hint="eastAsia" w:ascii="Times New Roman" w:hAnsi="Times New Roman" w:cs="宋体"/>
                <w:color w:val="auto"/>
                <w:kern w:val="0"/>
                <w:sz w:val="21"/>
                <w:szCs w:val="21"/>
                <w:highlight w:val="none"/>
                <w:lang w:val="en-US" w:eastAsia="zh-CN"/>
              </w:rPr>
              <w:t>15</w:t>
            </w:r>
            <w:r>
              <w:rPr>
                <w:rFonts w:hint="eastAsia" w:ascii="Times New Roman" w:hAnsi="Times New Roman" w:cs="宋体"/>
                <w:color w:val="auto"/>
                <w:kern w:val="0"/>
                <w:sz w:val="21"/>
                <w:szCs w:val="21"/>
                <w:highlight w:val="none"/>
              </w:rPr>
              <w:t>分。</w:t>
            </w:r>
          </w:p>
          <w:p w14:paraId="22228E03">
            <w:pPr>
              <w:spacing w:line="360" w:lineRule="auto"/>
              <w:ind w:firstLine="0" w:firstLineChars="0"/>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3.</w:t>
            </w:r>
            <w:r>
              <w:rPr>
                <w:rFonts w:ascii="Times New Roman" w:hAnsi="Times New Roman" w:cs="Times New Roman"/>
                <w:color w:val="auto"/>
                <w:kern w:val="0"/>
                <w:sz w:val="21"/>
                <w:szCs w:val="21"/>
                <w:highlight w:val="none"/>
              </w:rPr>
              <w:t>项目实施方案（</w:t>
            </w:r>
            <w:r>
              <w:rPr>
                <w:rFonts w:hint="eastAsia" w:ascii="Times New Roman" w:hAnsi="Times New Roman" w:cs="Times New Roman"/>
                <w:color w:val="auto"/>
                <w:kern w:val="0"/>
                <w:sz w:val="21"/>
                <w:szCs w:val="21"/>
                <w:highlight w:val="none"/>
              </w:rPr>
              <w:t>5</w:t>
            </w:r>
            <w:r>
              <w:rPr>
                <w:rFonts w:ascii="Times New Roman" w:hAnsi="Times New Roman" w:cs="Times New Roman"/>
                <w:color w:val="auto"/>
                <w:kern w:val="0"/>
                <w:sz w:val="21"/>
                <w:szCs w:val="21"/>
                <w:highlight w:val="none"/>
              </w:rPr>
              <w:t>分）</w:t>
            </w:r>
          </w:p>
          <w:p w14:paraId="578F33AD">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参选人所提供的实施方案完整、详细，实施步骤、计划明确，符合项目建设要求，可行性强（</w:t>
            </w:r>
            <w:r>
              <w:rPr>
                <w:rFonts w:hint="eastAsia" w:ascii="Times New Roman" w:hAnsi="Times New Roman" w:cs="Times New Roman"/>
                <w:color w:val="auto"/>
                <w:kern w:val="0"/>
                <w:sz w:val="21"/>
                <w:szCs w:val="21"/>
                <w:highlight w:val="none"/>
              </w:rPr>
              <w:t>4-5</w:t>
            </w:r>
            <w:r>
              <w:rPr>
                <w:rFonts w:ascii="Times New Roman" w:hAnsi="Times New Roman" w:cs="Times New Roman"/>
                <w:color w:val="auto"/>
                <w:kern w:val="0"/>
                <w:sz w:val="21"/>
                <w:szCs w:val="21"/>
                <w:highlight w:val="none"/>
              </w:rPr>
              <w:t>分）。</w:t>
            </w:r>
          </w:p>
          <w:p w14:paraId="0ED82064">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参选人所提供的实施方案较完整，实施步骤、计划较明确，基本符合项目建设要求，可行性一般（</w:t>
            </w:r>
            <w:r>
              <w:rPr>
                <w:rFonts w:hint="eastAsia" w:ascii="Times New Roman" w:hAnsi="Times New Roman" w:cs="Times New Roman"/>
                <w:color w:val="auto"/>
                <w:kern w:val="0"/>
                <w:sz w:val="21"/>
                <w:szCs w:val="21"/>
                <w:highlight w:val="none"/>
              </w:rPr>
              <w:t>2-3</w:t>
            </w:r>
            <w:r>
              <w:rPr>
                <w:rFonts w:ascii="Times New Roman" w:hAnsi="Times New Roman" w:cs="Times New Roman"/>
                <w:color w:val="auto"/>
                <w:kern w:val="0"/>
                <w:sz w:val="21"/>
                <w:szCs w:val="21"/>
                <w:highlight w:val="none"/>
              </w:rPr>
              <w:t>分）。</w:t>
            </w:r>
          </w:p>
          <w:p w14:paraId="7E3CE8E4">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参选人所提供的实施方案不够完整，实施计划不够明确，可行性弱（</w:t>
            </w:r>
            <w:r>
              <w:rPr>
                <w:rFonts w:hint="eastAsia" w:ascii="Times New Roman" w:hAnsi="Times New Roman" w:cs="Times New Roman"/>
                <w:color w:val="auto"/>
                <w:kern w:val="0"/>
                <w:sz w:val="21"/>
                <w:szCs w:val="21"/>
                <w:highlight w:val="none"/>
              </w:rPr>
              <w:t>0-1</w:t>
            </w:r>
            <w:r>
              <w:rPr>
                <w:rFonts w:ascii="Times New Roman" w:hAnsi="Times New Roman" w:cs="Times New Roman"/>
                <w:color w:val="auto"/>
                <w:kern w:val="0"/>
                <w:sz w:val="21"/>
                <w:szCs w:val="21"/>
                <w:highlight w:val="none"/>
              </w:rPr>
              <w:t>分）。</w:t>
            </w:r>
          </w:p>
          <w:p w14:paraId="1505AE08">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注：参选人应提供详细且可行的实施方案与进度计划安排，内容包含：实施方案、实施阶段、实施范围内容、人员安排、实施工期等。</w:t>
            </w:r>
          </w:p>
          <w:p w14:paraId="4FC1B08E">
            <w:pPr>
              <w:spacing w:line="360" w:lineRule="auto"/>
              <w:ind w:firstLine="0" w:firstLineChars="0"/>
              <w:jc w:val="left"/>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rPr>
              <w:t>.实施团队要求（</w:t>
            </w:r>
            <w:r>
              <w:rPr>
                <w:rFonts w:hint="eastAsia" w:ascii="Times New Roman" w:hAnsi="Times New Roman" w:cs="Times New Roman"/>
                <w:color w:val="auto"/>
                <w:kern w:val="0"/>
                <w:sz w:val="21"/>
                <w:szCs w:val="21"/>
                <w:highlight w:val="none"/>
                <w:lang w:val="en-US" w:eastAsia="zh-CN"/>
              </w:rPr>
              <w:t>8</w:t>
            </w:r>
            <w:r>
              <w:rPr>
                <w:rFonts w:hint="eastAsia" w:ascii="Times New Roman" w:hAnsi="Times New Roman" w:cs="Times New Roman"/>
                <w:color w:val="auto"/>
                <w:kern w:val="0"/>
                <w:sz w:val="21"/>
                <w:szCs w:val="21"/>
                <w:highlight w:val="none"/>
              </w:rPr>
              <w:t>分）</w:t>
            </w:r>
          </w:p>
          <w:p w14:paraId="30A73482">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（1）项目</w:t>
            </w:r>
            <w:r>
              <w:rPr>
                <w:rFonts w:hint="eastAsia" w:ascii="Times New Roman" w:hAnsi="Times New Roman" w:cs="Times New Roman"/>
                <w:color w:val="auto"/>
                <w:kern w:val="0"/>
                <w:sz w:val="21"/>
                <w:szCs w:val="21"/>
                <w:highlight w:val="none"/>
              </w:rPr>
              <w:t>成员</w:t>
            </w:r>
            <w:r>
              <w:rPr>
                <w:rFonts w:hint="eastAsia" w:ascii="宋体" w:cs="宋体"/>
                <w:color w:val="auto"/>
                <w:kern w:val="0"/>
                <w:sz w:val="21"/>
                <w:szCs w:val="21"/>
                <w:highlight w:val="none"/>
              </w:rPr>
              <w:t>具有5年（含）以上同类型系统项目从业经验，5个及以上银行同类型系统实施经验</w:t>
            </w:r>
            <w:r>
              <w:rPr>
                <w:rFonts w:ascii="Times New Roman" w:hAnsi="Times New Roman" w:cs="Times New Roman"/>
                <w:color w:val="auto"/>
                <w:kern w:val="0"/>
                <w:sz w:val="21"/>
                <w:szCs w:val="21"/>
                <w:highlight w:val="none"/>
              </w:rPr>
              <w:t>，</w:t>
            </w:r>
            <w:r>
              <w:rPr>
                <w:rFonts w:hint="eastAsia" w:ascii="宋体" w:cs="宋体"/>
                <w:color w:val="auto"/>
                <w:kern w:val="0"/>
                <w:sz w:val="21"/>
                <w:szCs w:val="21"/>
                <w:highlight w:val="none"/>
              </w:rPr>
              <w:t>具备银行同类型系统体系化知识。</w:t>
            </w:r>
            <w:r>
              <w:rPr>
                <w:rFonts w:ascii="Times New Roman" w:hAnsi="Times New Roman" w:cs="Times New Roman"/>
                <w:color w:val="auto"/>
                <w:kern w:val="0"/>
                <w:sz w:val="21"/>
                <w:szCs w:val="21"/>
                <w:highlight w:val="none"/>
              </w:rPr>
              <w:t>3名（含）以上得</w:t>
            </w:r>
            <w:r>
              <w:rPr>
                <w:rFonts w:hint="eastAsia" w:ascii="Times New Roman" w:hAnsi="Times New Roman" w:cs="Times New Roman"/>
                <w:color w:val="auto"/>
                <w:kern w:val="0"/>
                <w:sz w:val="21"/>
                <w:szCs w:val="21"/>
                <w:highlight w:val="none"/>
                <w:lang w:val="en-US" w:eastAsia="zh-CN"/>
              </w:rPr>
              <w:t>4</w:t>
            </w:r>
            <w:r>
              <w:rPr>
                <w:rFonts w:ascii="Times New Roman" w:hAnsi="Times New Roman" w:cs="Times New Roman"/>
                <w:color w:val="auto"/>
                <w:kern w:val="0"/>
                <w:sz w:val="21"/>
                <w:szCs w:val="21"/>
                <w:highlight w:val="none"/>
              </w:rPr>
              <w:t>分，2名</w:t>
            </w:r>
            <w:r>
              <w:rPr>
                <w:rFonts w:hint="eastAsia" w:ascii="Times New Roman" w:hAnsi="Times New Roman" w:cs="Times New Roman"/>
                <w:color w:val="auto"/>
                <w:kern w:val="0"/>
                <w:sz w:val="21"/>
                <w:szCs w:val="21"/>
                <w:highlight w:val="none"/>
              </w:rPr>
              <w:t>得</w:t>
            </w:r>
            <w:r>
              <w:rPr>
                <w:rFonts w:hint="eastAsia" w:ascii="Times New Roman" w:hAnsi="Times New Roman" w:cs="Times New Roman"/>
                <w:color w:val="auto"/>
                <w:kern w:val="0"/>
                <w:sz w:val="21"/>
                <w:szCs w:val="21"/>
                <w:highlight w:val="none"/>
                <w:lang w:val="en-US" w:eastAsia="zh-CN"/>
              </w:rPr>
              <w:t>2</w:t>
            </w:r>
            <w:r>
              <w:rPr>
                <w:rFonts w:ascii="Times New Roman" w:hAnsi="Times New Roman" w:cs="Times New Roman"/>
                <w:color w:val="auto"/>
                <w:kern w:val="0"/>
                <w:sz w:val="21"/>
                <w:szCs w:val="21"/>
                <w:highlight w:val="none"/>
              </w:rPr>
              <w:t>分，1名得</w:t>
            </w:r>
            <w:r>
              <w:rPr>
                <w:rFonts w:hint="eastAsia" w:ascii="Times New Roman" w:hAnsi="Times New Roman" w:cs="Times New Roman"/>
                <w:color w:val="auto"/>
                <w:kern w:val="0"/>
                <w:sz w:val="21"/>
                <w:szCs w:val="21"/>
                <w:highlight w:val="none"/>
                <w:lang w:val="en-US" w:eastAsia="zh-CN"/>
              </w:rPr>
              <w:t>1</w:t>
            </w:r>
            <w:r>
              <w:rPr>
                <w:rFonts w:ascii="Times New Roman" w:hAnsi="Times New Roman" w:cs="Times New Roman"/>
                <w:color w:val="auto"/>
                <w:kern w:val="0"/>
                <w:sz w:val="21"/>
                <w:szCs w:val="21"/>
                <w:highlight w:val="none"/>
              </w:rPr>
              <w:t>分，低于1名不得分。</w:t>
            </w:r>
          </w:p>
          <w:p w14:paraId="7D4CC6CA">
            <w:pPr>
              <w:spacing w:line="360" w:lineRule="auto"/>
              <w:ind w:firstLine="0" w:firstLineChars="0"/>
              <w:rPr>
                <w:rFonts w:hint="default" w:ascii="Times New Roman" w:hAnsi="Times New Roman" w:cs="Times New Roman"/>
                <w:color w:val="auto"/>
                <w:kern w:val="0"/>
                <w:sz w:val="21"/>
                <w:szCs w:val="21"/>
                <w:highlight w:val="none"/>
                <w:lang w:val="en-US" w:eastAsia="zh-CN"/>
              </w:rPr>
            </w:pPr>
            <w:r>
              <w:rPr>
                <w:rFonts w:ascii="Times New Roman" w:hAnsi="Times New Roman" w:cs="Times New Roman"/>
                <w:color w:val="auto"/>
                <w:kern w:val="0"/>
                <w:sz w:val="21"/>
                <w:szCs w:val="21"/>
                <w:highlight w:val="none"/>
              </w:rPr>
              <w:t>（2）项目组成员曾在比选人现场实施过项目，熟悉比选人内部各关联系统交互流程，3名（含）以上得</w:t>
            </w:r>
            <w:r>
              <w:rPr>
                <w:rFonts w:hint="eastAsia" w:ascii="Times New Roman" w:hAnsi="Times New Roman" w:cs="Times New Roman"/>
                <w:color w:val="auto"/>
                <w:kern w:val="0"/>
                <w:sz w:val="21"/>
                <w:szCs w:val="21"/>
                <w:highlight w:val="none"/>
                <w:lang w:val="en-US" w:eastAsia="zh-CN"/>
              </w:rPr>
              <w:t>4</w:t>
            </w:r>
            <w:r>
              <w:rPr>
                <w:rFonts w:ascii="Times New Roman" w:hAnsi="Times New Roman" w:cs="Times New Roman"/>
                <w:color w:val="auto"/>
                <w:kern w:val="0"/>
                <w:sz w:val="21"/>
                <w:szCs w:val="21"/>
                <w:highlight w:val="none"/>
              </w:rPr>
              <w:t>分，2名</w:t>
            </w:r>
            <w:r>
              <w:rPr>
                <w:rFonts w:hint="eastAsia" w:ascii="Times New Roman" w:hAnsi="Times New Roman" w:cs="Times New Roman"/>
                <w:color w:val="auto"/>
                <w:kern w:val="0"/>
                <w:sz w:val="21"/>
                <w:szCs w:val="21"/>
                <w:highlight w:val="none"/>
              </w:rPr>
              <w:t>得2</w:t>
            </w:r>
            <w:r>
              <w:rPr>
                <w:rFonts w:ascii="Times New Roman" w:hAnsi="Times New Roman" w:cs="Times New Roman"/>
                <w:color w:val="auto"/>
                <w:kern w:val="0"/>
                <w:sz w:val="21"/>
                <w:szCs w:val="21"/>
                <w:highlight w:val="none"/>
              </w:rPr>
              <w:t>分，1名得</w:t>
            </w:r>
            <w:r>
              <w:rPr>
                <w:rFonts w:hint="eastAsia" w:ascii="Times New Roman" w:hAnsi="Times New Roman" w:cs="Times New Roman"/>
                <w:color w:val="auto"/>
                <w:kern w:val="0"/>
                <w:sz w:val="21"/>
                <w:szCs w:val="21"/>
                <w:highlight w:val="none"/>
              </w:rPr>
              <w:t>1分</w:t>
            </w:r>
            <w:r>
              <w:rPr>
                <w:rFonts w:ascii="Times New Roman" w:hAnsi="Times New Roman" w:cs="Times New Roman"/>
                <w:color w:val="auto"/>
                <w:kern w:val="0"/>
                <w:sz w:val="21"/>
                <w:szCs w:val="21"/>
                <w:highlight w:val="none"/>
              </w:rPr>
              <w:t>，低于1名不得分。</w:t>
            </w:r>
          </w:p>
          <w:p w14:paraId="7B84FEBF">
            <w:pPr>
              <w:spacing w:line="360" w:lineRule="auto"/>
              <w:ind w:firstLine="0" w:firstLineChars="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评审依据：</w:t>
            </w:r>
          </w:p>
          <w:p w14:paraId="15317DA1">
            <w:pPr>
              <w:spacing w:line="360" w:lineRule="auto"/>
              <w:ind w:firstLine="0" w:firstLineChars="0"/>
              <w:jc w:val="left"/>
              <w:rPr>
                <w:rFonts w:ascii="Times New Roman" w:hAnsi="Times New Roman" w:cs="Times New Roman"/>
                <w:bCs/>
                <w:color w:val="auto"/>
                <w:kern w:val="0"/>
                <w:sz w:val="21"/>
                <w:szCs w:val="21"/>
                <w:highlight w:val="none"/>
              </w:rPr>
            </w:pPr>
            <w:r>
              <w:rPr>
                <w:rFonts w:hint="eastAsia" w:cs="Times New Roman"/>
                <w:color w:val="auto"/>
                <w:kern w:val="0"/>
                <w:sz w:val="21"/>
                <w:szCs w:val="21"/>
                <w:highlight w:val="none"/>
                <w:lang w:val="en-US" w:eastAsia="zh-CN"/>
              </w:rPr>
              <w:t>1.</w:t>
            </w:r>
            <w:r>
              <w:rPr>
                <w:rFonts w:ascii="Times New Roman" w:hAnsi="Times New Roman" w:cs="Times New Roman"/>
                <w:color w:val="auto"/>
                <w:kern w:val="0"/>
                <w:sz w:val="21"/>
                <w:szCs w:val="21"/>
                <w:highlight w:val="none"/>
              </w:rPr>
              <w:t>提供案例合同关键页复印件。合同关键页包括</w:t>
            </w:r>
            <w:r>
              <w:rPr>
                <w:rFonts w:ascii="Times New Roman" w:hAnsi="Times New Roman" w:cs="Times New Roman"/>
                <w:bCs/>
                <w:color w:val="auto"/>
                <w:kern w:val="0"/>
                <w:sz w:val="21"/>
                <w:szCs w:val="21"/>
                <w:highlight w:val="none"/>
              </w:rPr>
              <w:t>甲乙双方名称、双方印章、项目/产品的名称、合同/中标通知书签订时间、需求内容页等。</w:t>
            </w:r>
          </w:p>
          <w:p w14:paraId="6926B700">
            <w:pPr>
              <w:numPr>
                <w:ilvl w:val="-1"/>
                <w:numId w:val="0"/>
              </w:numPr>
              <w:spacing w:line="360" w:lineRule="auto"/>
              <w:ind w:firstLine="0" w:firstLineChars="0"/>
              <w:jc w:val="left"/>
              <w:rPr>
                <w:rFonts w:hint="eastAsia" w:cs="Times New Roman"/>
                <w:bCs/>
                <w:color w:val="auto"/>
                <w:kern w:val="0"/>
                <w:sz w:val="21"/>
                <w:szCs w:val="21"/>
                <w:highlight w:val="none"/>
                <w:lang w:eastAsia="zh-CN"/>
              </w:rPr>
            </w:pPr>
            <w:r>
              <w:rPr>
                <w:rFonts w:hint="eastAsia" w:cs="Times New Roman"/>
                <w:color w:val="auto"/>
                <w:kern w:val="0"/>
                <w:sz w:val="21"/>
                <w:szCs w:val="21"/>
                <w:highlight w:val="none"/>
                <w:lang w:val="en-US" w:eastAsia="zh-CN"/>
              </w:rPr>
              <w:t>2.提供</w:t>
            </w:r>
            <w:r>
              <w:rPr>
                <w:rFonts w:ascii="Times New Roman" w:hAnsi="Times New Roman" w:cs="Times New Roman"/>
                <w:bCs/>
                <w:color w:val="auto"/>
                <w:kern w:val="0"/>
                <w:sz w:val="21"/>
                <w:szCs w:val="21"/>
                <w:highlight w:val="none"/>
              </w:rPr>
              <w:t>合同对应的发票</w:t>
            </w:r>
            <w:r>
              <w:rPr>
                <w:rFonts w:hint="eastAsia" w:cs="Times New Roman"/>
                <w:bCs/>
                <w:color w:val="auto"/>
                <w:kern w:val="0"/>
                <w:sz w:val="21"/>
                <w:szCs w:val="21"/>
                <w:highlight w:val="none"/>
                <w:lang w:eastAsia="zh-CN"/>
              </w:rPr>
              <w:t>，</w:t>
            </w:r>
            <w:r>
              <w:rPr>
                <w:rFonts w:ascii="Times New Roman" w:hAnsi="Times New Roman" w:cs="Times New Roman"/>
                <w:bCs/>
                <w:color w:val="auto"/>
                <w:kern w:val="0"/>
                <w:sz w:val="21"/>
                <w:szCs w:val="21"/>
                <w:highlight w:val="none"/>
              </w:rPr>
              <w:t>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w:t>
            </w:r>
            <w:r>
              <w:rPr>
                <w:rFonts w:hint="eastAsia" w:cs="Times New Roman"/>
                <w:bCs/>
                <w:color w:val="auto"/>
                <w:kern w:val="0"/>
                <w:sz w:val="21"/>
                <w:szCs w:val="21"/>
                <w:highlight w:val="none"/>
                <w:lang w:eastAsia="zh-CN"/>
              </w:rPr>
              <w:t>。</w:t>
            </w:r>
          </w:p>
          <w:p w14:paraId="3D4AD5E6">
            <w:pPr>
              <w:numPr>
                <w:ilvl w:val="-1"/>
                <w:numId w:val="0"/>
              </w:numPr>
              <w:spacing w:line="360" w:lineRule="auto"/>
              <w:ind w:firstLine="0" w:firstLineChars="0"/>
              <w:jc w:val="left"/>
              <w:rPr>
                <w:rFonts w:hint="eastAsia" w:ascii="Times New Roman" w:hAnsi="Times New Roman" w:eastAsia="宋体" w:cs="宋体"/>
                <w:color w:val="auto"/>
                <w:kern w:val="0"/>
                <w:sz w:val="21"/>
                <w:szCs w:val="21"/>
                <w:highlight w:val="none"/>
                <w:lang w:eastAsia="zh-CN"/>
              </w:rPr>
            </w:pPr>
            <w:r>
              <w:rPr>
                <w:rFonts w:hint="eastAsia" w:cs="Times New Roman"/>
                <w:bCs/>
                <w:color w:val="auto"/>
                <w:kern w:val="0"/>
                <w:sz w:val="21"/>
                <w:szCs w:val="21"/>
                <w:highlight w:val="none"/>
                <w:lang w:val="en-US" w:eastAsia="zh-CN"/>
              </w:rPr>
              <w:t>3.</w:t>
            </w:r>
            <w:r>
              <w:rPr>
                <w:rFonts w:ascii="Times New Roman" w:hAnsi="Times New Roman" w:cs="Times New Roman"/>
                <w:bCs/>
                <w:color w:val="auto"/>
                <w:kern w:val="0"/>
                <w:sz w:val="21"/>
                <w:szCs w:val="21"/>
                <w:highlight w:val="none"/>
              </w:rPr>
              <w:t>以上证明文件若采购人存疑，参选人需提供原件备查，参选文件中须附相关证明文件复印件并逐页加盖公章，案例证明需提供甲方联系方式</w:t>
            </w:r>
            <w:r>
              <w:rPr>
                <w:rFonts w:hint="default" w:ascii="Times New Roman" w:hAnsi="Times New Roman" w:cs="Times New Roman"/>
                <w:bCs/>
                <w:color w:val="auto"/>
                <w:kern w:val="0"/>
                <w:sz w:val="21"/>
                <w:szCs w:val="21"/>
                <w:highlight w:val="none"/>
                <w:lang w:eastAsia="zh-CN"/>
              </w:rPr>
              <w:t>备查</w:t>
            </w:r>
            <w:r>
              <w:rPr>
                <w:rFonts w:hint="eastAsia" w:ascii="Times New Roman" w:hAnsi="Times New Roman" w:cs="Times New Roman"/>
                <w:bCs/>
                <w:color w:val="auto"/>
                <w:kern w:val="0"/>
                <w:sz w:val="21"/>
                <w:szCs w:val="21"/>
                <w:highlight w:val="none"/>
                <w:lang w:eastAsia="zh-CN"/>
              </w:rPr>
              <w:t>。</w:t>
            </w:r>
          </w:p>
        </w:tc>
      </w:tr>
      <w:tr w14:paraId="7113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72E1CB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vAlign w:val="center"/>
          </w:tcPr>
          <w:p w14:paraId="2313EFD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Pr>
          <w:p w14:paraId="2F940753">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1.初步评审前，按本章第3.1.3项的规定对参选报价有算术性错误的进行算术性错误修正。</w:t>
            </w:r>
          </w:p>
          <w:p w14:paraId="356ABEB8">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2.初步评审合格的参选文件进行参选报价、商务部分的评分。</w:t>
            </w:r>
          </w:p>
          <w:p w14:paraId="356377C1">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3.根据综合得分由高至低进行排序，推荐1-3家合格的中选候选人。并依次为第一、二、三中选候选人。</w:t>
            </w:r>
          </w:p>
        </w:tc>
      </w:tr>
      <w:tr w14:paraId="3856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EE60369">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vAlign w:val="center"/>
          </w:tcPr>
          <w:p w14:paraId="272937D9">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vAlign w:val="center"/>
          </w:tcPr>
          <w:p w14:paraId="321228F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参选人得分=参选报价得分+商务部分得分</w:t>
            </w:r>
          </w:p>
        </w:tc>
      </w:tr>
      <w:bookmarkEnd w:id="75"/>
    </w:tbl>
    <w:p w14:paraId="3564EC7A">
      <w:pPr>
        <w:ind w:firstLine="420"/>
        <w:rPr>
          <w:rFonts w:ascii="Times New Roman" w:hAnsi="Times New Roman" w:cs="宋体"/>
          <w:snapToGrid w:val="0"/>
          <w:color w:val="auto"/>
          <w:sz w:val="21"/>
          <w:szCs w:val="21"/>
          <w:highlight w:val="none"/>
        </w:rPr>
      </w:pPr>
      <w:bookmarkStart w:id="76" w:name="_Toc21111"/>
      <w:bookmarkStart w:id="77" w:name="_Toc636"/>
      <w:r>
        <w:rPr>
          <w:rFonts w:hint="eastAsia" w:ascii="Times New Roman" w:hAnsi="Times New Roman" w:cs="宋体"/>
          <w:snapToGrid w:val="0"/>
          <w:color w:val="auto"/>
          <w:sz w:val="21"/>
          <w:szCs w:val="21"/>
          <w:highlight w:val="none"/>
        </w:rPr>
        <w:br w:type="page"/>
      </w:r>
    </w:p>
    <w:p w14:paraId="11981A8C">
      <w:pPr>
        <w:pStyle w:val="3"/>
        <w:rPr>
          <w:rFonts w:ascii="Times New Roman" w:hAnsi="Times New Roman"/>
          <w:color w:val="auto"/>
          <w:highlight w:val="none"/>
        </w:rPr>
      </w:pPr>
      <w:bookmarkStart w:id="78" w:name="_Toc27234"/>
      <w:bookmarkStart w:id="79" w:name="_Toc28684"/>
      <w:bookmarkStart w:id="80" w:name="_Toc18283"/>
      <w:r>
        <w:rPr>
          <w:rFonts w:hint="eastAsia" w:ascii="Times New Roman" w:hAnsi="Times New Roman"/>
          <w:color w:val="auto"/>
          <w:highlight w:val="none"/>
        </w:rPr>
        <w:t>1. 评审方法</w:t>
      </w:r>
      <w:bookmarkEnd w:id="76"/>
      <w:bookmarkEnd w:id="77"/>
      <w:bookmarkEnd w:id="78"/>
      <w:bookmarkEnd w:id="79"/>
      <w:bookmarkEnd w:id="80"/>
    </w:p>
    <w:p w14:paraId="13F98F0A">
      <w:pPr>
        <w:ind w:firstLine="480"/>
        <w:rPr>
          <w:rFonts w:ascii="Times New Roman" w:hAnsi="Times New Roman"/>
          <w:color w:val="auto"/>
          <w:highlight w:val="none"/>
        </w:rPr>
      </w:pPr>
      <w:bookmarkStart w:id="81" w:name="_Toc287620752"/>
      <w:bookmarkStart w:id="82" w:name="_Toc330569206"/>
      <w:bookmarkStart w:id="83" w:name="_Toc200513199"/>
      <w:bookmarkStart w:id="84" w:name="_Toc377115419"/>
      <w:bookmarkStart w:id="85" w:name="_Toc376114120"/>
      <w:bookmarkStart w:id="86" w:name="_Toc440022827"/>
      <w:bookmarkStart w:id="87" w:name="_Toc407195379"/>
      <w:bookmarkStart w:id="88" w:name="_Toc277082619"/>
      <w:bookmarkStart w:id="89" w:name="_Toc287607813"/>
      <w:bookmarkStart w:id="90" w:name="_Toc377067339"/>
      <w:bookmarkStart w:id="91" w:name="_Toc224103385"/>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756627C9">
      <w:pPr>
        <w:pStyle w:val="3"/>
        <w:rPr>
          <w:rFonts w:ascii="Times New Roman" w:hAnsi="Times New Roman"/>
          <w:color w:val="auto"/>
          <w:highlight w:val="none"/>
        </w:rPr>
      </w:pPr>
      <w:bookmarkStart w:id="92" w:name="_Toc27931"/>
      <w:bookmarkStart w:id="93" w:name="_Toc16716"/>
      <w:bookmarkStart w:id="94" w:name="_Toc765"/>
      <w:bookmarkStart w:id="95" w:name="_Toc5950"/>
      <w:bookmarkStart w:id="96" w:name="_Toc31615"/>
      <w:bookmarkStart w:id="97" w:name="_Toc444155968"/>
      <w:bookmarkStart w:id="98" w:name="_Toc2274"/>
      <w:bookmarkStart w:id="99" w:name="_Toc27406"/>
      <w:bookmarkStart w:id="100" w:name="_Toc23969"/>
      <w:r>
        <w:rPr>
          <w:rFonts w:hint="eastAsia" w:ascii="Times New Roman" w:hAnsi="Times New Roman"/>
          <w:color w:val="auto"/>
          <w:highlight w:val="none"/>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E4F0B">
      <w:pPr>
        <w:pStyle w:val="4"/>
        <w:ind w:firstLine="482"/>
        <w:rPr>
          <w:rFonts w:ascii="Times New Roman" w:hAnsi="Times New Roman"/>
          <w:color w:val="auto"/>
          <w:highlight w:val="none"/>
        </w:rPr>
      </w:pPr>
      <w:bookmarkStart w:id="101" w:name="_Toc11839"/>
      <w:bookmarkStart w:id="102" w:name="_Toc200513200"/>
      <w:bookmarkStart w:id="103" w:name="_Toc21593"/>
      <w:bookmarkStart w:id="104" w:name="_Toc444155969"/>
      <w:bookmarkStart w:id="105" w:name="_Toc287620753"/>
      <w:bookmarkStart w:id="106" w:name="_Toc16537"/>
      <w:bookmarkStart w:id="107" w:name="_Toc376114121"/>
      <w:bookmarkStart w:id="108" w:name="_Toc277082620"/>
      <w:bookmarkStart w:id="109" w:name="_Toc287607814"/>
      <w:bookmarkStart w:id="110" w:name="_Toc1358"/>
      <w:bookmarkStart w:id="111" w:name="_Toc224103386"/>
      <w:bookmarkStart w:id="112" w:name="_Toc10533"/>
      <w:bookmarkStart w:id="113" w:name="_Toc330569207"/>
      <w:bookmarkStart w:id="114" w:name="_Toc23425"/>
      <w:bookmarkStart w:id="115" w:name="_Toc377115420"/>
      <w:bookmarkStart w:id="116" w:name="_Toc7584"/>
      <w:bookmarkStart w:id="117" w:name="_Toc407195380"/>
      <w:bookmarkStart w:id="118" w:name="_Toc377067340"/>
      <w:bookmarkStart w:id="119" w:name="_Toc440022828"/>
      <w:r>
        <w:rPr>
          <w:rFonts w:hint="eastAsia" w:ascii="Times New Roman" w:hAnsi="Times New Roman"/>
          <w:color w:val="auto"/>
          <w:highlight w:val="none"/>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0DC5235">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63CEA920">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430AA49E">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7D9B7441">
      <w:pPr>
        <w:pStyle w:val="4"/>
        <w:ind w:firstLine="482"/>
        <w:rPr>
          <w:rFonts w:ascii="Times New Roman" w:hAnsi="Times New Roman"/>
          <w:color w:val="auto"/>
          <w:highlight w:val="none"/>
        </w:rPr>
      </w:pPr>
      <w:bookmarkStart w:id="120" w:name="_Toc2340"/>
      <w:bookmarkStart w:id="121" w:name="_Toc9090"/>
      <w:bookmarkStart w:id="122" w:name="_Toc377115421"/>
      <w:bookmarkStart w:id="123" w:name="_Toc287620754"/>
      <w:bookmarkStart w:id="124" w:name="_Toc440022829"/>
      <w:bookmarkStart w:id="125" w:name="_Toc444155970"/>
      <w:bookmarkStart w:id="126" w:name="_Toc407195381"/>
      <w:bookmarkStart w:id="127" w:name="_Toc6503"/>
      <w:bookmarkStart w:id="128" w:name="_Toc330569208"/>
      <w:bookmarkStart w:id="129" w:name="_Toc20840"/>
      <w:bookmarkStart w:id="130" w:name="_Toc200513201"/>
      <w:bookmarkStart w:id="131" w:name="_Toc377067341"/>
      <w:bookmarkStart w:id="132" w:name="_Toc1387"/>
      <w:bookmarkStart w:id="133" w:name="_Toc287607815"/>
      <w:bookmarkStart w:id="134" w:name="_Toc277082621"/>
      <w:bookmarkStart w:id="135" w:name="_Toc224103387"/>
      <w:bookmarkStart w:id="136" w:name="_Toc23296"/>
      <w:bookmarkStart w:id="137" w:name="_Toc25129"/>
      <w:bookmarkStart w:id="138" w:name="_Toc376114122"/>
      <w:r>
        <w:rPr>
          <w:rFonts w:hint="eastAsia" w:ascii="Times New Roman" w:hAnsi="Times New Roman"/>
          <w:color w:val="auto"/>
          <w:highlight w:val="none"/>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09C94E0">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762E23A5">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23ECA9B1">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49585786">
      <w:pPr>
        <w:ind w:firstLine="480"/>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5AF7EA89">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30D3DA51">
      <w:pPr>
        <w:pStyle w:val="3"/>
        <w:rPr>
          <w:rFonts w:ascii="Times New Roman" w:hAnsi="Times New Roman"/>
          <w:color w:val="auto"/>
          <w:highlight w:val="none"/>
        </w:rPr>
      </w:pPr>
      <w:bookmarkStart w:id="139" w:name="_Toc5546"/>
      <w:bookmarkStart w:id="140" w:name="_Toc330569209"/>
      <w:bookmarkStart w:id="141" w:name="_Toc407195382"/>
      <w:bookmarkStart w:id="142" w:name="_Toc14353"/>
      <w:bookmarkStart w:id="143" w:name="_Toc200513202"/>
      <w:bookmarkStart w:id="144" w:name="_Toc9488"/>
      <w:bookmarkStart w:id="145" w:name="_Toc8004"/>
      <w:bookmarkStart w:id="146" w:name="_Toc377115422"/>
      <w:bookmarkStart w:id="147" w:name="_Toc377067342"/>
      <w:bookmarkStart w:id="148" w:name="_Toc277082622"/>
      <w:bookmarkStart w:id="149" w:name="_Toc224103388"/>
      <w:bookmarkStart w:id="150" w:name="_Toc444155971"/>
      <w:bookmarkStart w:id="151" w:name="_Toc23633"/>
      <w:bookmarkStart w:id="152" w:name="_Toc12538"/>
      <w:bookmarkStart w:id="153" w:name="_Toc376114123"/>
      <w:bookmarkStart w:id="154" w:name="_Toc287620755"/>
      <w:bookmarkStart w:id="155" w:name="_Toc287607816"/>
      <w:bookmarkStart w:id="156" w:name="_Toc440022830"/>
      <w:bookmarkStart w:id="157" w:name="_Toc15132"/>
      <w:bookmarkStart w:id="158" w:name="_Toc2982"/>
      <w:r>
        <w:rPr>
          <w:rFonts w:hint="eastAsia" w:ascii="Times New Roman" w:hAnsi="Times New Roman"/>
          <w:color w:val="auto"/>
          <w:highlight w:val="none"/>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CF89C84">
      <w:pPr>
        <w:pStyle w:val="4"/>
        <w:ind w:firstLine="482"/>
        <w:rPr>
          <w:rFonts w:ascii="Times New Roman" w:hAnsi="Times New Roman"/>
          <w:color w:val="auto"/>
          <w:highlight w:val="none"/>
        </w:rPr>
      </w:pPr>
      <w:bookmarkStart w:id="159" w:name="_Toc5462"/>
      <w:bookmarkStart w:id="160" w:name="_Toc407195383"/>
      <w:bookmarkStart w:id="161" w:name="_Toc22279"/>
      <w:bookmarkStart w:id="162" w:name="_Toc330569210"/>
      <w:bookmarkStart w:id="163" w:name="_Toc6448"/>
      <w:bookmarkStart w:id="164" w:name="_Toc377115423"/>
      <w:bookmarkStart w:id="165" w:name="_Toc224103389"/>
      <w:bookmarkStart w:id="166" w:name="_Toc287607817"/>
      <w:bookmarkStart w:id="167" w:name="_Toc440022831"/>
      <w:bookmarkStart w:id="168" w:name="_Toc9683"/>
      <w:bookmarkStart w:id="169" w:name="_Toc377067343"/>
      <w:bookmarkStart w:id="170" w:name="_Toc277082623"/>
      <w:bookmarkStart w:id="171" w:name="_Toc32002"/>
      <w:bookmarkStart w:id="172" w:name="_Toc200513203"/>
      <w:bookmarkStart w:id="173" w:name="_Toc13851"/>
      <w:bookmarkStart w:id="174" w:name="_Toc376114124"/>
      <w:bookmarkStart w:id="175" w:name="_Toc19840"/>
      <w:bookmarkStart w:id="176" w:name="_Toc444155972"/>
      <w:bookmarkStart w:id="177" w:name="_Toc287620756"/>
      <w:r>
        <w:rPr>
          <w:rFonts w:hint="eastAsia" w:ascii="Times New Roman" w:hAnsi="Times New Roman"/>
          <w:color w:val="auto"/>
          <w:highlight w:val="none"/>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437DAE7">
      <w:pPr>
        <w:ind w:firstLine="480"/>
        <w:rPr>
          <w:rFonts w:ascii="Times New Roman" w:hAnsi="Times New Roman"/>
          <w:color w:val="auto"/>
          <w:highlight w:val="none"/>
        </w:rPr>
      </w:pPr>
      <w:bookmarkStart w:id="178" w:name="_Toc332380970"/>
      <w:bookmarkStart w:id="179" w:name="_Toc332028970"/>
      <w:bookmarkStart w:id="180" w:name="_Toc377067344"/>
      <w:bookmarkStart w:id="181" w:name="_Toc330569211"/>
      <w:bookmarkStart w:id="182" w:name="_Toc356243677"/>
      <w:bookmarkStart w:id="183" w:name="_Toc373264792"/>
      <w:bookmarkStart w:id="184" w:name="_Toc377115424"/>
      <w:bookmarkStart w:id="185" w:name="_Toc334002333"/>
      <w:bookmarkStart w:id="186" w:name="_Toc331232649"/>
      <w:bookmarkStart w:id="187" w:name="_Toc354387014"/>
      <w:bookmarkStart w:id="188" w:name="_Toc332015984"/>
      <w:bookmarkStart w:id="189" w:name="_Toc373172234"/>
      <w:bookmarkStart w:id="190" w:name="_Toc331232467"/>
      <w:bookmarkStart w:id="191" w:name="_Toc440022832"/>
      <w:bookmarkStart w:id="192" w:name="_Toc444155973"/>
      <w:bookmarkStart w:id="193" w:name="_Toc356484119"/>
      <w:bookmarkStart w:id="194" w:name="_Toc376114125"/>
      <w:bookmarkStart w:id="195" w:name="_Toc407195384"/>
      <w:bookmarkStart w:id="196" w:name="_Toc27164"/>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7A3D366">
      <w:pPr>
        <w:ind w:firstLine="480"/>
        <w:outlineLvl w:val="3"/>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488C4C08">
      <w:pPr>
        <w:ind w:firstLine="480"/>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799CA424">
      <w:pPr>
        <w:ind w:firstLine="480"/>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098E223D">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EF9AD04">
      <w:pPr>
        <w:ind w:firstLine="480"/>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0209F960">
      <w:pPr>
        <w:ind w:firstLine="480"/>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4ABA464C">
      <w:pPr>
        <w:pStyle w:val="4"/>
        <w:ind w:firstLine="482"/>
        <w:rPr>
          <w:rFonts w:ascii="Times New Roman" w:hAnsi="Times New Roman"/>
          <w:color w:val="auto"/>
          <w:highlight w:val="none"/>
        </w:rPr>
      </w:pPr>
      <w:bookmarkStart w:id="197" w:name="_Toc376114126"/>
      <w:bookmarkStart w:id="198" w:name="_Toc287607818"/>
      <w:bookmarkStart w:id="199" w:name="_Toc29925"/>
      <w:bookmarkStart w:id="200" w:name="_Toc19604"/>
      <w:bookmarkStart w:id="201" w:name="_Toc377067345"/>
      <w:bookmarkStart w:id="202" w:name="_Toc22246"/>
      <w:bookmarkStart w:id="203" w:name="_Toc10847"/>
      <w:bookmarkStart w:id="204" w:name="_Toc277082624"/>
      <w:bookmarkStart w:id="205" w:name="_Toc200513204"/>
      <w:bookmarkStart w:id="206" w:name="_Toc330569212"/>
      <w:bookmarkStart w:id="207" w:name="_Toc224103390"/>
      <w:bookmarkStart w:id="208" w:name="_Toc440022833"/>
      <w:bookmarkStart w:id="209" w:name="_Toc11246"/>
      <w:bookmarkStart w:id="210" w:name="_Toc407195385"/>
      <w:bookmarkStart w:id="211" w:name="_Toc22848"/>
      <w:bookmarkStart w:id="212" w:name="_Toc377115425"/>
      <w:bookmarkStart w:id="213" w:name="_Toc7832"/>
      <w:bookmarkStart w:id="214" w:name="_Toc444155974"/>
      <w:bookmarkStart w:id="215" w:name="_Toc287620757"/>
      <w:r>
        <w:rPr>
          <w:rFonts w:hint="eastAsia" w:ascii="Times New Roman" w:hAnsi="Times New Roman"/>
          <w:color w:val="auto"/>
          <w:highlight w:val="none"/>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799EB33">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46712FFF">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757E9543">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15DFE0EB">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2A09D470">
      <w:pPr>
        <w:ind w:firstLine="480"/>
        <w:outlineLvl w:val="3"/>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59EE76ED">
      <w:pPr>
        <w:pStyle w:val="4"/>
        <w:ind w:firstLine="482"/>
        <w:rPr>
          <w:rFonts w:ascii="Times New Roman" w:hAnsi="Times New Roman"/>
          <w:color w:val="auto"/>
          <w:highlight w:val="none"/>
        </w:rPr>
      </w:pPr>
      <w:bookmarkStart w:id="216" w:name="_Toc376114127"/>
      <w:bookmarkStart w:id="217" w:name="_Toc2542"/>
      <w:bookmarkStart w:id="218" w:name="_Toc440022834"/>
      <w:bookmarkStart w:id="219" w:name="_Toc224103391"/>
      <w:bookmarkStart w:id="220" w:name="_Toc277082625"/>
      <w:bookmarkStart w:id="221" w:name="_Toc407195386"/>
      <w:bookmarkStart w:id="222" w:name="_Toc20948"/>
      <w:bookmarkStart w:id="223" w:name="_Toc287607819"/>
      <w:bookmarkStart w:id="224" w:name="_Toc377115426"/>
      <w:bookmarkStart w:id="225" w:name="_Toc377067346"/>
      <w:bookmarkStart w:id="226" w:name="_Toc1080"/>
      <w:bookmarkStart w:id="227" w:name="_Toc287620758"/>
      <w:bookmarkStart w:id="228" w:name="_Toc444155975"/>
      <w:bookmarkStart w:id="229" w:name="_Toc330569213"/>
      <w:bookmarkStart w:id="230" w:name="_Toc18708"/>
      <w:bookmarkStart w:id="231" w:name="_Toc7176"/>
      <w:bookmarkStart w:id="232" w:name="_Toc200513205"/>
      <w:bookmarkStart w:id="233" w:name="_Toc32039"/>
      <w:bookmarkStart w:id="234" w:name="_Toc29261"/>
      <w:r>
        <w:rPr>
          <w:rFonts w:hint="eastAsia" w:ascii="Times New Roman" w:hAnsi="Times New Roman"/>
          <w:color w:val="auto"/>
          <w:highlight w:val="none"/>
        </w:rPr>
        <w:t>3.3 参选文件的澄清和补正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3EDBEC0">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8219544">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1B987777">
      <w:pPr>
        <w:ind w:firstLine="480"/>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06D2225B">
      <w:pPr>
        <w:pStyle w:val="4"/>
        <w:ind w:firstLine="482"/>
        <w:rPr>
          <w:rFonts w:ascii="Times New Roman" w:hAnsi="Times New Roman"/>
          <w:color w:val="auto"/>
          <w:highlight w:val="none"/>
        </w:rPr>
      </w:pPr>
      <w:bookmarkStart w:id="235" w:name="_Toc440022835"/>
      <w:bookmarkStart w:id="236" w:name="_Toc407195387"/>
      <w:bookmarkStart w:id="237" w:name="_Toc376114128"/>
      <w:bookmarkStart w:id="238" w:name="_Toc287620759"/>
      <w:bookmarkStart w:id="239" w:name="_Toc444155976"/>
      <w:bookmarkStart w:id="240" w:name="_Toc30672"/>
      <w:bookmarkStart w:id="241" w:name="_Toc6310"/>
      <w:bookmarkStart w:id="242" w:name="_Toc19054"/>
      <w:bookmarkStart w:id="243" w:name="_Toc31270"/>
      <w:bookmarkStart w:id="244" w:name="_Toc277082626"/>
      <w:bookmarkStart w:id="245" w:name="_Toc224103392"/>
      <w:bookmarkStart w:id="246" w:name="_Toc330569214"/>
      <w:bookmarkStart w:id="247" w:name="_Toc200513206"/>
      <w:bookmarkStart w:id="248" w:name="_Toc21450"/>
      <w:bookmarkStart w:id="249" w:name="_Toc14840"/>
      <w:bookmarkStart w:id="250" w:name="_Toc4814"/>
      <w:bookmarkStart w:id="251" w:name="_Toc287607820"/>
      <w:bookmarkStart w:id="252" w:name="_Toc377115427"/>
      <w:bookmarkStart w:id="253" w:name="_Toc377067347"/>
      <w:r>
        <w:rPr>
          <w:rFonts w:hint="eastAsia" w:ascii="Times New Roman" w:hAnsi="Times New Roman"/>
          <w:color w:val="auto"/>
          <w:highlight w:val="none"/>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670ED0D">
      <w:pPr>
        <w:ind w:firstLine="480"/>
        <w:outlineLvl w:val="3"/>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5EEF8AB5">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5B1403DC">
      <w:pPr>
        <w:ind w:firstLine="480"/>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41CC51C3">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7DFF8209">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F3939E3">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7C3B2DF0">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A33D419">
      <w:pPr>
        <w:ind w:firstLine="480"/>
        <w:rPr>
          <w:rFonts w:ascii="Times New Roman" w:hAnsi="Times New Roman"/>
          <w:color w:val="auto"/>
          <w:highlight w:val="none"/>
        </w:rPr>
      </w:pPr>
    </w:p>
    <w:p w14:paraId="0AED389E">
      <w:pPr>
        <w:ind w:firstLine="480"/>
        <w:rPr>
          <w:rFonts w:ascii="Times New Roman" w:hAnsi="Times New Roman"/>
          <w:color w:val="auto"/>
          <w:highlight w:val="none"/>
        </w:rPr>
      </w:pPr>
      <w:bookmarkStart w:id="254" w:name="_Toc150953074"/>
      <w:bookmarkStart w:id="255" w:name="_Toc89675170"/>
      <w:bookmarkStart w:id="256" w:name="_Toc303066034"/>
      <w:r>
        <w:rPr>
          <w:rFonts w:hint="eastAsia" w:ascii="Times New Roman" w:hAnsi="Times New Roman"/>
          <w:color w:val="auto"/>
          <w:highlight w:val="none"/>
        </w:rPr>
        <w:br w:type="page"/>
      </w:r>
    </w:p>
    <w:p w14:paraId="65778DAF">
      <w:pPr>
        <w:pStyle w:val="2"/>
        <w:rPr>
          <w:rFonts w:ascii="Times New Roman" w:hAnsi="Times New Roman"/>
          <w:color w:val="auto"/>
          <w:highlight w:val="none"/>
        </w:rPr>
      </w:pPr>
      <w:bookmarkStart w:id="257" w:name="_Toc142"/>
      <w:r>
        <w:rPr>
          <w:rFonts w:hint="eastAsia" w:ascii="Times New Roman" w:hAnsi="Times New Roman"/>
          <w:color w:val="auto"/>
          <w:highlight w:val="none"/>
        </w:rPr>
        <w:t>第五章 合同</w:t>
      </w:r>
      <w:r>
        <w:rPr>
          <w:rFonts w:ascii="Times New Roman" w:hAnsi="Times New Roman"/>
          <w:color w:val="auto"/>
          <w:highlight w:val="none"/>
        </w:rPr>
        <w:t>模板</w:t>
      </w:r>
      <w:bookmarkEnd w:id="254"/>
      <w:bookmarkEnd w:id="257"/>
    </w:p>
    <w:p w14:paraId="0D9D1CA8">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231DA0A0">
      <w:pPr>
        <w:spacing w:line="360" w:lineRule="auto"/>
        <w:jc w:val="right"/>
        <w:rPr>
          <w:rStyle w:val="24"/>
          <w:rFonts w:hint="eastAsia" w:ascii="宋体" w:eastAsia="宋体"/>
          <w:b w:val="0"/>
          <w:color w:val="auto"/>
          <w:spacing w:val="0"/>
          <w:sz w:val="28"/>
          <w:szCs w:val="28"/>
          <w:highlight w:val="none"/>
        </w:rPr>
      </w:pPr>
      <w:r>
        <w:rPr>
          <w:rFonts w:hint="eastAsia" w:ascii="Times New Roman" w:hAnsi="Times New Roman"/>
          <w:color w:val="auto"/>
          <w:highlight w:val="none"/>
        </w:rPr>
        <w:br w:type="page"/>
      </w:r>
      <w:r>
        <w:rPr>
          <w:rStyle w:val="24"/>
          <w:rFonts w:hint="eastAsia" w:ascii="宋体" w:eastAsia="宋体"/>
          <w:b w:val="0"/>
          <w:color w:val="auto"/>
          <w:spacing w:val="0"/>
          <w:sz w:val="28"/>
          <w:szCs w:val="28"/>
          <w:highlight w:val="none"/>
        </w:rPr>
        <w:t>编号：SXYH202</w:t>
      </w:r>
      <w:r>
        <w:rPr>
          <w:rStyle w:val="24"/>
          <w:rFonts w:hint="eastAsia" w:ascii="宋体" w:eastAsia="宋体"/>
          <w:b w:val="0"/>
          <w:color w:val="auto"/>
          <w:spacing w:val="0"/>
          <w:sz w:val="28"/>
          <w:szCs w:val="28"/>
          <w:highlight w:val="none"/>
          <w:lang w:val="en-US" w:eastAsia="zh-CN"/>
        </w:rPr>
        <w:t>4</w:t>
      </w:r>
      <w:r>
        <w:rPr>
          <w:rStyle w:val="24"/>
          <w:rFonts w:hint="eastAsia" w:ascii="宋体" w:eastAsia="宋体"/>
          <w:b w:val="0"/>
          <w:color w:val="auto"/>
          <w:spacing w:val="0"/>
          <w:sz w:val="28"/>
          <w:szCs w:val="28"/>
          <w:highlight w:val="none"/>
        </w:rPr>
        <w:t>0101018_______</w:t>
      </w:r>
    </w:p>
    <w:p w14:paraId="27698378">
      <w:pPr>
        <w:spacing w:line="360" w:lineRule="auto"/>
        <w:jc w:val="center"/>
        <w:rPr>
          <w:rStyle w:val="24"/>
          <w:rFonts w:hint="eastAsia"/>
          <w:color w:val="auto"/>
          <w:spacing w:val="0"/>
          <w:szCs w:val="21"/>
          <w:highlight w:val="none"/>
        </w:rPr>
      </w:pPr>
    </w:p>
    <w:p w14:paraId="3A2F37BA">
      <w:pPr>
        <w:spacing w:line="360" w:lineRule="auto"/>
        <w:jc w:val="center"/>
        <w:rPr>
          <w:rStyle w:val="24"/>
          <w:rFonts w:hint="eastAsia"/>
          <w:color w:val="auto"/>
          <w:spacing w:val="0"/>
          <w:szCs w:val="21"/>
          <w:highlight w:val="none"/>
        </w:rPr>
      </w:pPr>
    </w:p>
    <w:p w14:paraId="26B92553">
      <w:pPr>
        <w:spacing w:line="360" w:lineRule="auto"/>
        <w:jc w:val="center"/>
        <w:rPr>
          <w:rStyle w:val="24"/>
          <w:rFonts w:hint="eastAsia"/>
          <w:color w:val="auto"/>
          <w:spacing w:val="0"/>
          <w:szCs w:val="21"/>
          <w:highlight w:val="none"/>
        </w:rPr>
      </w:pPr>
    </w:p>
    <w:p w14:paraId="09D11979">
      <w:pPr>
        <w:spacing w:line="360" w:lineRule="auto"/>
        <w:jc w:val="center"/>
        <w:rPr>
          <w:rStyle w:val="24"/>
          <w:rFonts w:hint="eastAsia"/>
          <w:color w:val="auto"/>
          <w:spacing w:val="0"/>
          <w:szCs w:val="21"/>
          <w:highlight w:val="none"/>
        </w:rPr>
      </w:pPr>
    </w:p>
    <w:p w14:paraId="0E5328C6">
      <w:pPr>
        <w:spacing w:line="240" w:lineRule="auto"/>
        <w:ind w:right="75" w:rightChars="0" w:firstLine="0" w:firstLineChars="0"/>
        <w:jc w:val="center"/>
        <w:rPr>
          <w:rStyle w:val="24"/>
          <w:rFonts w:hint="eastAsia" w:ascii="宋体" w:eastAsia="宋体"/>
          <w:color w:val="auto"/>
          <w:spacing w:val="0"/>
          <w:sz w:val="52"/>
          <w:szCs w:val="52"/>
          <w:highlight w:val="none"/>
        </w:rPr>
      </w:pPr>
      <w:r>
        <w:rPr>
          <w:rStyle w:val="24"/>
          <w:rFonts w:hint="eastAsia" w:ascii="宋体" w:eastAsia="宋体"/>
          <w:color w:val="auto"/>
          <w:spacing w:val="0"/>
          <w:sz w:val="52"/>
          <w:szCs w:val="52"/>
          <w:highlight w:val="none"/>
        </w:rPr>
        <w:t>重庆三峡银行</w:t>
      </w:r>
    </w:p>
    <w:p w14:paraId="6DE6EB6A">
      <w:pPr>
        <w:spacing w:line="240" w:lineRule="auto"/>
        <w:ind w:right="0" w:rightChars="0" w:firstLine="0" w:firstLineChars="0"/>
        <w:jc w:val="center"/>
        <w:rPr>
          <w:rStyle w:val="24"/>
          <w:rFonts w:hint="eastAsia"/>
          <w:color w:val="auto"/>
          <w:spacing w:val="0"/>
          <w:sz w:val="36"/>
          <w:szCs w:val="21"/>
          <w:highlight w:val="none"/>
        </w:rPr>
      </w:pPr>
      <w:r>
        <w:rPr>
          <w:rStyle w:val="24"/>
          <w:rFonts w:hint="eastAsia" w:ascii="宋体" w:eastAsia="宋体"/>
          <w:color w:val="auto"/>
          <w:spacing w:val="0"/>
          <w:sz w:val="52"/>
          <w:szCs w:val="52"/>
          <w:highlight w:val="none"/>
          <w:lang w:eastAsia="zh-CN"/>
        </w:rPr>
        <w:t>移动作业管理</w:t>
      </w:r>
      <w:r>
        <w:rPr>
          <w:rStyle w:val="24"/>
          <w:rFonts w:hint="eastAsia" w:ascii="宋体" w:eastAsia="宋体"/>
          <w:color w:val="auto"/>
          <w:spacing w:val="0"/>
          <w:sz w:val="52"/>
          <w:szCs w:val="52"/>
          <w:highlight w:val="none"/>
        </w:rPr>
        <w:t>系统</w:t>
      </w:r>
      <w:r>
        <w:rPr>
          <w:rStyle w:val="24"/>
          <w:rFonts w:hint="eastAsia" w:ascii="宋体" w:eastAsia="宋体"/>
          <w:color w:val="auto"/>
          <w:spacing w:val="0"/>
          <w:sz w:val="52"/>
          <w:szCs w:val="52"/>
          <w:highlight w:val="none"/>
          <w:lang w:val="en-US" w:eastAsia="zh-CN"/>
        </w:rPr>
        <w:t>2024年度优化项目</w:t>
      </w:r>
      <w:r>
        <w:rPr>
          <w:rStyle w:val="24"/>
          <w:rFonts w:hint="eastAsia" w:ascii="宋体" w:eastAsia="宋体"/>
          <w:color w:val="auto"/>
          <w:spacing w:val="0"/>
          <w:sz w:val="52"/>
          <w:szCs w:val="52"/>
          <w:highlight w:val="none"/>
        </w:rPr>
        <w:t>外包开发合同</w:t>
      </w:r>
    </w:p>
    <w:p w14:paraId="7BB836BC">
      <w:pPr>
        <w:spacing w:line="360" w:lineRule="auto"/>
        <w:jc w:val="center"/>
        <w:rPr>
          <w:rStyle w:val="24"/>
          <w:rFonts w:hint="eastAsia"/>
          <w:color w:val="auto"/>
          <w:spacing w:val="0"/>
          <w:szCs w:val="21"/>
          <w:highlight w:val="none"/>
        </w:rPr>
      </w:pPr>
    </w:p>
    <w:p w14:paraId="5A2A2D5E">
      <w:pPr>
        <w:spacing w:line="360" w:lineRule="auto"/>
        <w:jc w:val="center"/>
        <w:rPr>
          <w:rStyle w:val="24"/>
          <w:rFonts w:hint="eastAsia"/>
          <w:color w:val="auto"/>
          <w:spacing w:val="0"/>
          <w:szCs w:val="21"/>
          <w:highlight w:val="none"/>
        </w:rPr>
      </w:pPr>
    </w:p>
    <w:p w14:paraId="3F19D3F1">
      <w:pPr>
        <w:spacing w:line="360" w:lineRule="auto"/>
        <w:jc w:val="center"/>
        <w:rPr>
          <w:rFonts w:hint="eastAsia"/>
          <w:b/>
          <w:bCs/>
          <w:color w:val="auto"/>
          <w:spacing w:val="0"/>
          <w:highlight w:val="none"/>
        </w:rPr>
      </w:pPr>
    </w:p>
    <w:p w14:paraId="440EAD11">
      <w:pPr>
        <w:spacing w:line="360" w:lineRule="auto"/>
        <w:jc w:val="center"/>
        <w:rPr>
          <w:rFonts w:hint="eastAsia"/>
          <w:b/>
          <w:bCs/>
          <w:color w:val="auto"/>
          <w:spacing w:val="0"/>
          <w:highlight w:val="none"/>
        </w:rPr>
      </w:pPr>
    </w:p>
    <w:p w14:paraId="36F78109">
      <w:pPr>
        <w:spacing w:line="360" w:lineRule="auto"/>
        <w:jc w:val="center"/>
        <w:rPr>
          <w:rFonts w:hint="eastAsia"/>
          <w:b/>
          <w:bCs/>
          <w:color w:val="auto"/>
          <w:spacing w:val="0"/>
          <w:highlight w:val="none"/>
        </w:rPr>
      </w:pPr>
    </w:p>
    <w:p w14:paraId="40F18ABE">
      <w:pPr>
        <w:spacing w:line="360" w:lineRule="auto"/>
        <w:rPr>
          <w:rFonts w:hint="eastAsia"/>
          <w:b/>
          <w:bCs/>
          <w:color w:val="auto"/>
          <w:spacing w:val="0"/>
          <w:highlight w:val="none"/>
        </w:rPr>
      </w:pPr>
    </w:p>
    <w:p w14:paraId="502927FD">
      <w:pPr>
        <w:spacing w:line="360" w:lineRule="auto"/>
        <w:jc w:val="center"/>
        <w:rPr>
          <w:rFonts w:hint="eastAsia"/>
          <w:b/>
          <w:bCs/>
          <w:color w:val="auto"/>
          <w:spacing w:val="0"/>
          <w:highlight w:val="none"/>
        </w:rPr>
      </w:pPr>
    </w:p>
    <w:p w14:paraId="1675C610">
      <w:pPr>
        <w:spacing w:line="360" w:lineRule="auto"/>
        <w:jc w:val="center"/>
        <w:rPr>
          <w:rFonts w:hint="eastAsia"/>
          <w:b/>
          <w:bCs/>
          <w:color w:val="auto"/>
          <w:spacing w:val="0"/>
          <w:highlight w:val="none"/>
        </w:rPr>
      </w:pPr>
    </w:p>
    <w:p w14:paraId="6DD2E930">
      <w:pPr>
        <w:spacing w:line="360" w:lineRule="auto"/>
        <w:jc w:val="center"/>
        <w:rPr>
          <w:rFonts w:hint="eastAsia"/>
          <w:b/>
          <w:bCs/>
          <w:color w:val="auto"/>
          <w:spacing w:val="0"/>
          <w:highlight w:val="none"/>
        </w:rPr>
      </w:pPr>
    </w:p>
    <w:p w14:paraId="2D51A2DC">
      <w:pPr>
        <w:spacing w:line="360" w:lineRule="auto"/>
        <w:ind w:left="840" w:firstLine="420"/>
        <w:outlineLvl w:val="1"/>
        <w:rPr>
          <w:rFonts w:hint="eastAsia" w:ascii="宋体" w:eastAsia="宋体"/>
          <w:b/>
          <w:bCs/>
          <w:color w:val="auto"/>
          <w:spacing w:val="0"/>
          <w:sz w:val="28"/>
          <w:highlight w:val="none"/>
        </w:rPr>
      </w:pPr>
      <w:r>
        <w:rPr>
          <w:rFonts w:hint="eastAsia" w:ascii="宋体" w:eastAsia="宋体"/>
          <w:b/>
          <w:bCs/>
          <w:color w:val="auto"/>
          <w:spacing w:val="0"/>
          <w:sz w:val="28"/>
          <w:highlight w:val="none"/>
        </w:rPr>
        <w:t>委托方（甲方）：重庆三峡银行股份有限公司</w:t>
      </w:r>
    </w:p>
    <w:p w14:paraId="25356AE8">
      <w:pPr>
        <w:spacing w:line="360" w:lineRule="auto"/>
        <w:ind w:left="840" w:firstLine="420"/>
        <w:rPr>
          <w:rFonts w:hint="eastAsia" w:ascii="宋体" w:eastAsia="宋体"/>
          <w:b/>
          <w:bCs/>
          <w:color w:val="auto"/>
          <w:spacing w:val="0"/>
          <w:sz w:val="28"/>
          <w:highlight w:val="none"/>
        </w:rPr>
      </w:pPr>
      <w:r>
        <w:rPr>
          <w:rFonts w:hint="eastAsia" w:ascii="宋体" w:eastAsia="宋体"/>
          <w:b/>
          <w:bCs/>
          <w:color w:val="auto"/>
          <w:spacing w:val="0"/>
          <w:sz w:val="28"/>
          <w:highlight w:val="none"/>
        </w:rPr>
        <w:t>受托方（乙方）：XXXXXXXXXXX</w:t>
      </w:r>
    </w:p>
    <w:p w14:paraId="46E20531">
      <w:pPr>
        <w:spacing w:line="360" w:lineRule="auto"/>
        <w:ind w:left="840" w:firstLine="420"/>
        <w:rPr>
          <w:rFonts w:hint="eastAsia" w:ascii="宋体" w:eastAsia="宋体"/>
          <w:b/>
          <w:color w:val="auto"/>
          <w:spacing w:val="0"/>
          <w:highlight w:val="none"/>
        </w:rPr>
      </w:pPr>
      <w:r>
        <w:rPr>
          <w:rFonts w:hint="eastAsia" w:ascii="宋体" w:eastAsia="宋体"/>
          <w:b/>
          <w:bCs/>
          <w:color w:val="auto"/>
          <w:spacing w:val="0"/>
          <w:sz w:val="28"/>
          <w:highlight w:val="none"/>
        </w:rPr>
        <w:t>签订地点</w:t>
      </w:r>
      <w:r>
        <w:rPr>
          <w:rFonts w:hint="eastAsia" w:ascii="宋体" w:eastAsia="宋体"/>
          <w:b/>
          <w:color w:val="auto"/>
          <w:spacing w:val="0"/>
          <w:sz w:val="28"/>
          <w:highlight w:val="none"/>
        </w:rPr>
        <w:t>：</w:t>
      </w:r>
    </w:p>
    <w:p w14:paraId="36E6965C">
      <w:pPr>
        <w:spacing w:line="360" w:lineRule="auto"/>
        <w:rPr>
          <w:rFonts w:hint="eastAsia"/>
          <w:b/>
          <w:color w:val="auto"/>
          <w:spacing w:val="0"/>
          <w:sz w:val="32"/>
          <w:highlight w:val="none"/>
        </w:rPr>
      </w:pPr>
    </w:p>
    <w:p w14:paraId="389DC16F">
      <w:pPr>
        <w:spacing w:line="360" w:lineRule="auto"/>
        <w:jc w:val="center"/>
        <w:rPr>
          <w:rFonts w:hint="eastAsia" w:ascii="宋体" w:eastAsia="宋体"/>
          <w:b/>
          <w:color w:val="auto"/>
          <w:spacing w:val="0"/>
          <w:sz w:val="32"/>
          <w:szCs w:val="32"/>
          <w:highlight w:val="none"/>
        </w:rPr>
      </w:pPr>
      <w:r>
        <w:rPr>
          <w:color w:val="auto"/>
          <w:spacing w:val="0"/>
          <w:highlight w:val="none"/>
        </w:rPr>
        <w:br w:type="page"/>
      </w:r>
      <w:r>
        <w:rPr>
          <w:rFonts w:hint="eastAsia" w:ascii="宋体" w:eastAsia="宋体"/>
          <w:b/>
          <w:color w:val="auto"/>
          <w:spacing w:val="0"/>
          <w:sz w:val="32"/>
          <w:szCs w:val="32"/>
          <w:highlight w:val="none"/>
        </w:rPr>
        <w:t>目    录</w:t>
      </w:r>
    </w:p>
    <w:p w14:paraId="63FBB75A">
      <w:pPr>
        <w:pStyle w:val="18"/>
        <w:tabs>
          <w:tab w:val="right" w:leader="dot" w:pos="8302"/>
        </w:tabs>
        <w:rPr>
          <w:rFonts w:hint="eastAsia" w:ascii="等线" w:eastAsia="等线"/>
          <w:color w:val="auto"/>
          <w:spacing w:val="0"/>
          <w:sz w:val="21"/>
          <w:szCs w:val="22"/>
          <w:highlight w:val="none"/>
        </w:rPr>
      </w:pPr>
      <w:r>
        <w:rPr>
          <w:rFonts w:hint="eastAsia" w:ascii="宋体" w:eastAsia="宋体"/>
          <w:color w:val="auto"/>
          <w:spacing w:val="0"/>
          <w:highlight w:val="none"/>
        </w:rPr>
        <w:fldChar w:fldCharType="begin"/>
      </w:r>
      <w:r>
        <w:rPr>
          <w:rFonts w:hint="eastAsia" w:ascii="宋体" w:eastAsia="宋体"/>
          <w:color w:val="auto"/>
          <w:spacing w:val="0"/>
          <w:highlight w:val="none"/>
        </w:rPr>
        <w:instrText xml:space="preserve"> TOC \o "1-3" \n \h \z \u </w:instrText>
      </w:r>
      <w:r>
        <w:rPr>
          <w:rFonts w:hint="eastAsia" w:ascii="宋体" w:eastAsia="宋体"/>
          <w:color w:val="auto"/>
          <w:spacing w:val="0"/>
          <w:highlight w:val="none"/>
        </w:rPr>
        <w:fldChar w:fldCharType="separate"/>
      </w: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第一条  定义</w:t>
      </w:r>
      <w:r>
        <w:rPr>
          <w:rStyle w:val="26"/>
          <w:color w:val="auto"/>
          <w:highlight w:val="none"/>
        </w:rPr>
        <w:fldChar w:fldCharType="end"/>
      </w:r>
    </w:p>
    <w:p w14:paraId="48BD7CD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第二条  外包开发内容</w:t>
      </w:r>
      <w:r>
        <w:rPr>
          <w:rStyle w:val="26"/>
          <w:color w:val="auto"/>
          <w:highlight w:val="none"/>
        </w:rPr>
        <w:fldChar w:fldCharType="end"/>
      </w:r>
    </w:p>
    <w:p w14:paraId="629ED24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"_Toc63757459"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第三条  项目履行的进度、期限、地点、地域、方式</w:t>
      </w:r>
      <w:r>
        <w:rPr>
          <w:rStyle w:val="26"/>
          <w:color w:val="auto"/>
          <w:highlight w:val="none"/>
        </w:rPr>
        <w:fldChar w:fldCharType="end"/>
      </w:r>
    </w:p>
    <w:p w14:paraId="6D8DA41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第四条  方案调整</w:t>
      </w:r>
      <w:r>
        <w:rPr>
          <w:rStyle w:val="26"/>
          <w:color w:val="auto"/>
          <w:highlight w:val="none"/>
        </w:rPr>
        <w:fldChar w:fldCharType="end"/>
      </w:r>
    </w:p>
    <w:p w14:paraId="1B23A91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"_Toc63757461"</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第五条  项目验收</w:t>
      </w:r>
      <w:r>
        <w:rPr>
          <w:rStyle w:val="26"/>
          <w:color w:val="auto"/>
          <w:highlight w:val="none"/>
        </w:rPr>
        <w:fldChar w:fldCharType="end"/>
      </w:r>
    </w:p>
    <w:p w14:paraId="2489FDBB">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"_Toc63757462"</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第六条  交付使用后维护期、系统完善和保修维护服务</w:t>
      </w:r>
      <w:r>
        <w:rPr>
          <w:rStyle w:val="26"/>
          <w:color w:val="auto"/>
          <w:highlight w:val="none"/>
        </w:rPr>
        <w:fldChar w:fldCharType="end"/>
      </w:r>
    </w:p>
    <w:p w14:paraId="0AD78027">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"_Toc63757463"</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第七条  技术辅导与培训</w:t>
      </w:r>
      <w:r>
        <w:rPr>
          <w:rStyle w:val="26"/>
          <w:color w:val="auto"/>
          <w:highlight w:val="none"/>
        </w:rPr>
        <w:fldChar w:fldCharType="end"/>
      </w:r>
    </w:p>
    <w:p w14:paraId="017E7D68">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"_Toc63757464"</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第八条  双方的权利、义务</w:t>
      </w:r>
      <w:r>
        <w:rPr>
          <w:rStyle w:val="26"/>
          <w:color w:val="auto"/>
          <w:highlight w:val="none"/>
        </w:rPr>
        <w:fldChar w:fldCharType="end"/>
      </w:r>
    </w:p>
    <w:p w14:paraId="3EC62C0C">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"_Toc63757465"</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第九条  乙方的声明与保证</w:t>
      </w:r>
      <w:r>
        <w:rPr>
          <w:rStyle w:val="26"/>
          <w:color w:val="auto"/>
          <w:highlight w:val="none"/>
        </w:rPr>
        <w:fldChar w:fldCharType="end"/>
      </w:r>
    </w:p>
    <w:p w14:paraId="08F7CA6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"_Toc63757466"</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第十条  知识产权</w:t>
      </w:r>
      <w:r>
        <w:rPr>
          <w:rStyle w:val="26"/>
          <w:color w:val="auto"/>
          <w:highlight w:val="none"/>
        </w:rPr>
        <w:fldChar w:fldCharType="end"/>
      </w:r>
    </w:p>
    <w:p w14:paraId="110F9C0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第十一条  第三方索赔</w:t>
      </w:r>
      <w:r>
        <w:rPr>
          <w:rStyle w:val="26"/>
          <w:color w:val="auto"/>
          <w:highlight w:val="none"/>
        </w:rPr>
        <w:fldChar w:fldCharType="end"/>
      </w:r>
    </w:p>
    <w:p w14:paraId="51E9203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第十二条  保密</w:t>
      </w:r>
      <w:r>
        <w:rPr>
          <w:rStyle w:val="26"/>
          <w:color w:val="auto"/>
          <w:highlight w:val="none"/>
        </w:rPr>
        <w:fldChar w:fldCharType="end"/>
      </w:r>
    </w:p>
    <w:p w14:paraId="510DA7F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"_Toc63757469"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第十三条  价</w:t>
      </w:r>
      <w:bookmarkStart w:id="258" w:name="_Hlt107490703"/>
      <w:r>
        <w:rPr>
          <w:rFonts w:hint="eastAsia" w:ascii="宋体" w:eastAsia="宋体"/>
          <w:b/>
          <w:color w:val="auto"/>
          <w:highlight w:val="none"/>
        </w:rPr>
        <w:t>格</w:t>
      </w:r>
      <w:bookmarkEnd w:id="258"/>
      <w:r>
        <w:rPr>
          <w:rFonts w:hint="eastAsia" w:ascii="宋体" w:eastAsia="宋体"/>
          <w:b/>
          <w:color w:val="auto"/>
          <w:highlight w:val="none"/>
        </w:rPr>
        <w:t>与支付</w:t>
      </w:r>
      <w:r>
        <w:rPr>
          <w:rStyle w:val="26"/>
          <w:color w:val="auto"/>
          <w:highlight w:val="none"/>
        </w:rPr>
        <w:fldChar w:fldCharType="end"/>
      </w:r>
    </w:p>
    <w:p w14:paraId="283FA2C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第十四条  风险责任的承担</w:t>
      </w:r>
      <w:r>
        <w:rPr>
          <w:rStyle w:val="26"/>
          <w:color w:val="auto"/>
          <w:highlight w:val="none"/>
        </w:rPr>
        <w:fldChar w:fldCharType="end"/>
      </w:r>
    </w:p>
    <w:p w14:paraId="1FF1F0DE">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"_Toc63757471"</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第十五条  违约与赔偿</w:t>
      </w:r>
      <w:r>
        <w:rPr>
          <w:rStyle w:val="26"/>
          <w:color w:val="auto"/>
          <w:highlight w:val="none"/>
        </w:rPr>
        <w:fldChar w:fldCharType="end"/>
      </w:r>
    </w:p>
    <w:p w14:paraId="3C03390A">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"_Toc63757472"</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第十六条  合同的解除</w:t>
      </w:r>
      <w:r>
        <w:rPr>
          <w:rStyle w:val="26"/>
          <w:color w:val="auto"/>
          <w:highlight w:val="none"/>
        </w:rPr>
        <w:fldChar w:fldCharType="end"/>
      </w:r>
    </w:p>
    <w:p w14:paraId="3358C4D0">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"_Toc63757473"</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第十七条  合同变更及转让</w:t>
      </w:r>
      <w:r>
        <w:rPr>
          <w:rStyle w:val="26"/>
          <w:color w:val="auto"/>
          <w:highlight w:val="none"/>
        </w:rPr>
        <w:fldChar w:fldCharType="end"/>
      </w:r>
    </w:p>
    <w:p w14:paraId="66F23C99">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"_Toc63757474"</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第十八条  争议解决</w:t>
      </w:r>
      <w:r>
        <w:rPr>
          <w:rStyle w:val="26"/>
          <w:color w:val="auto"/>
          <w:highlight w:val="none"/>
        </w:rPr>
        <w:fldChar w:fldCharType="end"/>
      </w:r>
    </w:p>
    <w:p w14:paraId="4F2D418B">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"_Toc63757475"</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第十九条 通知与送达</w:t>
      </w:r>
      <w:r>
        <w:rPr>
          <w:rStyle w:val="26"/>
          <w:color w:val="auto"/>
          <w:highlight w:val="none"/>
        </w:rPr>
        <w:fldChar w:fldCharType="end"/>
      </w:r>
    </w:p>
    <w:p w14:paraId="68E4D0C6">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"_Toc63757476"</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第二十条  合同生效</w:t>
      </w:r>
      <w:r>
        <w:rPr>
          <w:rStyle w:val="26"/>
          <w:color w:val="auto"/>
          <w:highlight w:val="none"/>
        </w:rPr>
        <w:fldChar w:fldCharType="end"/>
      </w:r>
    </w:p>
    <w:p w14:paraId="1F8B4175">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"_Toc63757477"</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第二十一条  不可抗力</w:t>
      </w:r>
      <w:r>
        <w:rPr>
          <w:rStyle w:val="26"/>
          <w:color w:val="auto"/>
          <w:highlight w:val="none"/>
        </w:rPr>
        <w:fldChar w:fldCharType="end"/>
      </w:r>
    </w:p>
    <w:p w14:paraId="73AB317F">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"_Toc63757478"</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第二十二条  反商业贿赂</w:t>
      </w:r>
      <w:r>
        <w:rPr>
          <w:rStyle w:val="26"/>
          <w:color w:val="auto"/>
          <w:highlight w:val="none"/>
        </w:rPr>
        <w:fldChar w:fldCharType="end"/>
      </w:r>
    </w:p>
    <w:p w14:paraId="26CC7DDD">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"_Toc63757479"</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第二十三条  附件</w:t>
      </w:r>
      <w:r>
        <w:rPr>
          <w:rStyle w:val="26"/>
          <w:color w:val="auto"/>
          <w:highlight w:val="none"/>
        </w:rPr>
        <w:fldChar w:fldCharType="end"/>
      </w:r>
    </w:p>
    <w:p w14:paraId="17236327">
      <w:pPr>
        <w:pStyle w:val="18"/>
        <w:tabs>
          <w:tab w:val="right" w:leader="dot" w:pos="8302"/>
        </w:tabs>
        <w:rPr>
          <w:rFonts w:hint="eastAsia" w:ascii="等线" w:eastAsia="等线"/>
          <w:color w:val="auto"/>
          <w:spacing w:val="0"/>
          <w:sz w:val="21"/>
          <w:szCs w:val="22"/>
          <w:highlight w:val="none"/>
        </w:rPr>
      </w:pPr>
      <w:r>
        <w:rPr>
          <w:rStyle w:val="26"/>
          <w:color w:val="auto"/>
          <w:highlight w:val="none"/>
        </w:rPr>
        <w:fldChar w:fldCharType="begin"/>
      </w:r>
      <w:r>
        <w:rPr>
          <w:rStyle w:val="26"/>
          <w:color w:val="auto"/>
          <w:highlight w:val="none"/>
        </w:rPr>
        <w:instrText xml:space="preserve"> </w:instrText>
      </w:r>
      <w:r>
        <w:rPr>
          <w:color w:val="auto"/>
          <w:highlight w:val="none"/>
        </w:rPr>
        <w:instrText xml:space="preserve">HYPERLINK \l "_Toc63757480"</w:instrText>
      </w:r>
      <w:r>
        <w:rPr>
          <w:rStyle w:val="26"/>
          <w:color w:val="auto"/>
          <w:highlight w:val="none"/>
        </w:rPr>
        <w:instrText xml:space="preserve"> </w:instrText>
      </w:r>
      <w:r>
        <w:rPr>
          <w:rStyle w:val="26"/>
          <w:color w:val="auto"/>
          <w:highlight w:val="none"/>
        </w:rPr>
        <w:fldChar w:fldCharType="separate"/>
      </w:r>
      <w:r>
        <w:rPr>
          <w:rFonts w:hint="eastAsia" w:ascii="宋体" w:eastAsia="宋体"/>
          <w:b/>
          <w:color w:val="auto"/>
          <w:highlight w:val="none"/>
        </w:rPr>
        <w:t>第二十四条  其他</w:t>
      </w:r>
      <w:r>
        <w:rPr>
          <w:rStyle w:val="26"/>
          <w:color w:val="auto"/>
          <w:highlight w:val="none"/>
        </w:rPr>
        <w:fldChar w:fldCharType="end"/>
      </w:r>
    </w:p>
    <w:p w14:paraId="43CB9077">
      <w:pPr>
        <w:pStyle w:val="18"/>
        <w:tabs>
          <w:tab w:val="right" w:leader="dot" w:pos="8302"/>
        </w:tabs>
        <w:spacing w:line="350" w:lineRule="auto"/>
        <w:rPr>
          <w:rFonts w:hint="eastAsia" w:ascii="宋体" w:eastAsia="宋体"/>
          <w:color w:val="auto"/>
          <w:spacing w:val="0"/>
          <w:highlight w:val="none"/>
        </w:rPr>
      </w:pPr>
      <w:r>
        <w:rPr>
          <w:rFonts w:hint="eastAsia" w:ascii="宋体" w:eastAsia="宋体"/>
          <w:color w:val="auto"/>
          <w:spacing w:val="0"/>
          <w:highlight w:val="none"/>
        </w:rPr>
        <w:fldChar w:fldCharType="end"/>
      </w:r>
    </w:p>
    <w:p w14:paraId="31B5B66B">
      <w:pPr>
        <w:spacing w:line="360" w:lineRule="auto"/>
        <w:rPr>
          <w:rFonts w:hint="eastAsia" w:ascii="宋体" w:eastAsia="宋体"/>
          <w:color w:val="auto"/>
          <w:spacing w:val="0"/>
          <w:highlight w:val="none"/>
        </w:rPr>
      </w:pPr>
    </w:p>
    <w:p w14:paraId="667BAEC7">
      <w:pPr>
        <w:spacing w:line="360" w:lineRule="auto"/>
        <w:rPr>
          <w:rFonts w:hint="eastAsia" w:ascii="宋体" w:eastAsia="宋体"/>
          <w:b/>
          <w:color w:val="auto"/>
          <w:spacing w:val="0"/>
          <w:highlight w:val="none"/>
          <w:u w:val="single"/>
        </w:rPr>
      </w:pPr>
      <w:r>
        <w:rPr>
          <w:rFonts w:hint="eastAsia" w:ascii="宋体" w:eastAsia="宋体"/>
          <w:color w:val="auto"/>
          <w:spacing w:val="0"/>
          <w:highlight w:val="none"/>
        </w:rPr>
        <w:br w:type="page"/>
      </w:r>
      <w:r>
        <w:rPr>
          <w:rFonts w:hint="eastAsia" w:ascii="宋体" w:eastAsia="宋体"/>
          <w:b/>
          <w:color w:val="auto"/>
          <w:spacing w:val="0"/>
          <w:highlight w:val="none"/>
        </w:rPr>
        <w:t>委托方: 重庆三峡银行股份有限公司（以下简称“甲方”）</w:t>
      </w:r>
    </w:p>
    <w:p w14:paraId="66034F6A">
      <w:pPr>
        <w:spacing w:line="360" w:lineRule="auto"/>
        <w:rPr>
          <w:rFonts w:hint="eastAsia" w:ascii="宋体" w:eastAsia="宋体"/>
          <w:color w:val="auto"/>
          <w:spacing w:val="0"/>
          <w:highlight w:val="none"/>
        </w:rPr>
      </w:pPr>
      <w:r>
        <w:rPr>
          <w:rFonts w:hint="eastAsia" w:ascii="宋体" w:eastAsia="宋体"/>
          <w:color w:val="auto"/>
          <w:spacing w:val="0"/>
          <w:highlight w:val="none"/>
        </w:rPr>
        <w:t>法定代表人：刘江桥</w:t>
      </w:r>
    </w:p>
    <w:p w14:paraId="64933023">
      <w:pPr>
        <w:spacing w:line="360" w:lineRule="auto"/>
        <w:rPr>
          <w:rFonts w:ascii="宋体" w:eastAsia="宋体"/>
          <w:color w:val="auto"/>
          <w:spacing w:val="0"/>
          <w:highlight w:val="none"/>
        </w:rPr>
      </w:pPr>
      <w:r>
        <w:rPr>
          <w:rFonts w:hint="eastAsia" w:ascii="宋体" w:eastAsia="宋体"/>
          <w:color w:val="auto"/>
          <w:spacing w:val="0"/>
          <w:highlight w:val="none"/>
        </w:rPr>
        <w:t>地址：</w:t>
      </w:r>
      <w:r>
        <w:rPr>
          <w:rFonts w:ascii="宋体" w:eastAsia="宋体"/>
          <w:color w:val="auto"/>
          <w:spacing w:val="0"/>
          <w:highlight w:val="none"/>
        </w:rPr>
        <w:t>重庆市渝北区嘉州路88号中渝国际都会4号写字楼</w:t>
      </w:r>
    </w:p>
    <w:p w14:paraId="0D0266B9">
      <w:pPr>
        <w:spacing w:line="360" w:lineRule="auto"/>
        <w:rPr>
          <w:rFonts w:ascii="宋体" w:eastAsia="宋体"/>
          <w:color w:val="auto"/>
          <w:spacing w:val="0"/>
          <w:highlight w:val="none"/>
        </w:rPr>
      </w:pPr>
      <w:r>
        <w:rPr>
          <w:rFonts w:hint="eastAsia" w:ascii="宋体" w:eastAsia="宋体"/>
          <w:color w:val="auto"/>
          <w:spacing w:val="0"/>
          <w:highlight w:val="none"/>
        </w:rPr>
        <w:t>邮政编码：</w:t>
      </w:r>
    </w:p>
    <w:p w14:paraId="2179AD64">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联系人： </w:t>
      </w:r>
    </w:p>
    <w:p w14:paraId="0651D573">
      <w:pPr>
        <w:spacing w:line="360" w:lineRule="auto"/>
        <w:rPr>
          <w:rFonts w:hint="eastAsia" w:ascii="宋体" w:eastAsia="宋体"/>
          <w:color w:val="auto"/>
          <w:spacing w:val="0"/>
          <w:highlight w:val="none"/>
        </w:rPr>
      </w:pPr>
      <w:r>
        <w:rPr>
          <w:rFonts w:hint="eastAsia" w:ascii="宋体" w:eastAsia="宋体"/>
          <w:color w:val="auto"/>
          <w:spacing w:val="0"/>
          <w:highlight w:val="none"/>
        </w:rPr>
        <w:t>电话：</w:t>
      </w:r>
    </w:p>
    <w:p w14:paraId="10FE6339">
      <w:pPr>
        <w:spacing w:line="360" w:lineRule="auto"/>
        <w:rPr>
          <w:rFonts w:hint="eastAsia" w:ascii="宋体" w:eastAsia="宋体"/>
          <w:color w:val="auto"/>
          <w:spacing w:val="0"/>
          <w:highlight w:val="none"/>
        </w:rPr>
      </w:pPr>
      <w:r>
        <w:rPr>
          <w:rFonts w:hint="eastAsia" w:ascii="宋体" w:eastAsia="宋体"/>
          <w:color w:val="auto"/>
          <w:spacing w:val="0"/>
          <w:highlight w:val="none"/>
        </w:rPr>
        <w:t>传真：</w:t>
      </w:r>
    </w:p>
    <w:p w14:paraId="6924A33B">
      <w:pPr>
        <w:spacing w:line="360" w:lineRule="auto"/>
        <w:rPr>
          <w:rFonts w:hint="eastAsia" w:ascii="宋体" w:eastAsia="宋体"/>
          <w:color w:val="auto"/>
          <w:spacing w:val="0"/>
          <w:highlight w:val="none"/>
        </w:rPr>
      </w:pPr>
      <w:r>
        <w:rPr>
          <w:rFonts w:hint="eastAsia" w:ascii="宋体" w:eastAsia="宋体"/>
          <w:color w:val="auto"/>
          <w:spacing w:val="0"/>
          <w:highlight w:val="none"/>
        </w:rPr>
        <w:t>电子邮箱：</w:t>
      </w:r>
    </w:p>
    <w:p w14:paraId="34BD332A">
      <w:pPr>
        <w:spacing w:line="360" w:lineRule="auto"/>
        <w:rPr>
          <w:rFonts w:hint="eastAsia" w:ascii="宋体" w:eastAsia="宋体"/>
          <w:color w:val="auto"/>
          <w:spacing w:val="0"/>
          <w:highlight w:val="none"/>
        </w:rPr>
      </w:pPr>
    </w:p>
    <w:p w14:paraId="1420790C">
      <w:pPr>
        <w:spacing w:line="360" w:lineRule="auto"/>
        <w:rPr>
          <w:rFonts w:hint="eastAsia" w:ascii="宋体" w:eastAsia="宋体"/>
          <w:b/>
          <w:color w:val="auto"/>
          <w:spacing w:val="0"/>
          <w:highlight w:val="none"/>
        </w:rPr>
      </w:pPr>
      <w:r>
        <w:rPr>
          <w:rFonts w:hint="eastAsia" w:ascii="宋体" w:eastAsia="宋体"/>
          <w:b/>
          <w:color w:val="auto"/>
          <w:spacing w:val="0"/>
          <w:highlight w:val="none"/>
        </w:rPr>
        <w:t>受托方：XXXXXXXXXXXXX（以下简称“乙方”）</w:t>
      </w:r>
    </w:p>
    <w:p w14:paraId="070CF1DB">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法定代表人： </w:t>
      </w:r>
    </w:p>
    <w:p w14:paraId="1B94B003">
      <w:pPr>
        <w:spacing w:line="360" w:lineRule="auto"/>
        <w:rPr>
          <w:rFonts w:hint="eastAsia" w:ascii="宋体" w:eastAsia="宋体"/>
          <w:color w:val="auto"/>
          <w:spacing w:val="0"/>
          <w:highlight w:val="none"/>
        </w:rPr>
      </w:pPr>
      <w:r>
        <w:rPr>
          <w:rFonts w:hint="eastAsia" w:ascii="宋体" w:eastAsia="宋体"/>
          <w:color w:val="auto"/>
          <w:spacing w:val="0"/>
          <w:highlight w:val="none"/>
        </w:rPr>
        <w:t>地址：</w:t>
      </w:r>
    </w:p>
    <w:p w14:paraId="33F539FB">
      <w:pPr>
        <w:spacing w:line="360" w:lineRule="auto"/>
        <w:rPr>
          <w:rFonts w:hint="eastAsia" w:ascii="宋体" w:eastAsia="宋体"/>
          <w:color w:val="auto"/>
          <w:spacing w:val="0"/>
          <w:highlight w:val="none"/>
        </w:rPr>
      </w:pPr>
      <w:r>
        <w:rPr>
          <w:rFonts w:hint="eastAsia" w:ascii="宋体" w:eastAsia="宋体"/>
          <w:color w:val="auto"/>
          <w:spacing w:val="0"/>
          <w:highlight w:val="none"/>
        </w:rPr>
        <w:t>邮政编码：</w:t>
      </w:r>
    </w:p>
    <w:p w14:paraId="37A8EF17">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开户银行： </w:t>
      </w:r>
    </w:p>
    <w:p w14:paraId="701AB2E3">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账号：  </w:t>
      </w:r>
    </w:p>
    <w:p w14:paraId="654B9722">
      <w:pPr>
        <w:spacing w:line="360" w:lineRule="auto"/>
        <w:rPr>
          <w:rFonts w:hint="eastAsia" w:ascii="宋体" w:eastAsia="宋体"/>
          <w:color w:val="auto"/>
          <w:spacing w:val="0"/>
          <w:highlight w:val="none"/>
        </w:rPr>
      </w:pPr>
      <w:r>
        <w:rPr>
          <w:rFonts w:hint="eastAsia" w:ascii="宋体" w:eastAsia="宋体"/>
          <w:color w:val="auto"/>
          <w:spacing w:val="0"/>
          <w:highlight w:val="none"/>
        </w:rPr>
        <w:t>税号：</w:t>
      </w:r>
    </w:p>
    <w:p w14:paraId="1BDF7FDC">
      <w:pPr>
        <w:spacing w:line="360" w:lineRule="auto"/>
        <w:rPr>
          <w:rFonts w:hint="eastAsia" w:ascii="宋体" w:eastAsia="宋体"/>
          <w:color w:val="auto"/>
          <w:spacing w:val="0"/>
          <w:highlight w:val="none"/>
        </w:rPr>
      </w:pPr>
      <w:r>
        <w:rPr>
          <w:rFonts w:hint="eastAsia" w:ascii="宋体" w:eastAsia="宋体"/>
          <w:color w:val="auto"/>
          <w:spacing w:val="0"/>
          <w:highlight w:val="none"/>
        </w:rPr>
        <w:t xml:space="preserve">联系人： </w:t>
      </w:r>
    </w:p>
    <w:p w14:paraId="1319BC15">
      <w:pPr>
        <w:spacing w:line="360" w:lineRule="auto"/>
        <w:rPr>
          <w:rFonts w:hint="eastAsia" w:ascii="宋体" w:eastAsia="宋体"/>
          <w:color w:val="auto"/>
          <w:spacing w:val="0"/>
          <w:highlight w:val="none"/>
        </w:rPr>
      </w:pPr>
      <w:r>
        <w:rPr>
          <w:rFonts w:hint="eastAsia" w:ascii="宋体" w:eastAsia="宋体"/>
          <w:color w:val="auto"/>
          <w:spacing w:val="0"/>
          <w:highlight w:val="none"/>
        </w:rPr>
        <w:t>电话：</w:t>
      </w:r>
    </w:p>
    <w:p w14:paraId="4949D124">
      <w:pPr>
        <w:spacing w:line="360" w:lineRule="auto"/>
        <w:rPr>
          <w:rFonts w:hint="eastAsia" w:ascii="宋体" w:eastAsia="宋体"/>
          <w:color w:val="auto"/>
          <w:spacing w:val="0"/>
          <w:highlight w:val="none"/>
        </w:rPr>
      </w:pPr>
      <w:r>
        <w:rPr>
          <w:rFonts w:hint="eastAsia" w:ascii="宋体" w:eastAsia="宋体"/>
          <w:color w:val="auto"/>
          <w:spacing w:val="0"/>
          <w:highlight w:val="none"/>
        </w:rPr>
        <w:t>手机：</w:t>
      </w:r>
    </w:p>
    <w:p w14:paraId="24151EBE">
      <w:pPr>
        <w:spacing w:line="360" w:lineRule="auto"/>
        <w:rPr>
          <w:rFonts w:hint="eastAsia" w:ascii="宋体" w:eastAsia="宋体"/>
          <w:color w:val="auto"/>
          <w:spacing w:val="0"/>
          <w:highlight w:val="none"/>
        </w:rPr>
      </w:pPr>
      <w:r>
        <w:rPr>
          <w:rFonts w:hint="eastAsia" w:ascii="宋体" w:eastAsia="宋体"/>
          <w:color w:val="auto"/>
          <w:spacing w:val="0"/>
          <w:highlight w:val="none"/>
        </w:rPr>
        <w:t>传真：</w:t>
      </w:r>
    </w:p>
    <w:p w14:paraId="6D45AADC">
      <w:pPr>
        <w:spacing w:line="360" w:lineRule="auto"/>
        <w:rPr>
          <w:rFonts w:hint="eastAsia" w:ascii="宋体" w:eastAsia="宋体"/>
          <w:color w:val="auto"/>
          <w:spacing w:val="0"/>
          <w:highlight w:val="none"/>
          <w:lang w:val="en-GB"/>
        </w:rPr>
      </w:pPr>
      <w:r>
        <w:rPr>
          <w:rFonts w:hint="eastAsia" w:ascii="宋体" w:eastAsia="宋体"/>
          <w:color w:val="auto"/>
          <w:spacing w:val="0"/>
          <w:highlight w:val="none"/>
        </w:rPr>
        <w:t>电子邮箱：</w:t>
      </w:r>
    </w:p>
    <w:p w14:paraId="747AFA2C">
      <w:pPr>
        <w:spacing w:line="360" w:lineRule="auto"/>
        <w:ind w:firstLine="420" w:firstLineChars="200"/>
        <w:rPr>
          <w:rFonts w:hint="eastAsia" w:ascii="宋体" w:eastAsia="宋体"/>
          <w:b/>
          <w:color w:val="auto"/>
          <w:spacing w:val="0"/>
          <w:highlight w:val="none"/>
        </w:rPr>
      </w:pPr>
      <w:r>
        <w:rPr>
          <w:rFonts w:hint="eastAsia" w:ascii="宋体" w:eastAsia="宋体"/>
          <w:color w:val="auto"/>
          <w:spacing w:val="0"/>
          <w:highlight w:val="none"/>
        </w:rPr>
        <w:br w:type="page"/>
      </w:r>
      <w:r>
        <w:rPr>
          <w:rFonts w:hint="eastAsia" w:ascii="宋体" w:eastAsia="宋体"/>
          <w:b/>
          <w:color w:val="auto"/>
          <w:spacing w:val="0"/>
          <w:highlight w:val="none"/>
        </w:rPr>
        <w:t>鉴于：</w:t>
      </w:r>
    </w:p>
    <w:p w14:paraId="2A4899E8">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eastAsia="宋体"/>
          <w:color w:val="auto"/>
          <w:spacing w:val="0"/>
          <w:highlight w:val="none"/>
        </w:rPr>
        <w:t>以资信守：</w:t>
      </w:r>
    </w:p>
    <w:p w14:paraId="7BFB3964">
      <w:pPr>
        <w:spacing w:line="360" w:lineRule="auto"/>
        <w:ind w:firstLine="428"/>
        <w:rPr>
          <w:rFonts w:hint="eastAsia" w:ascii="宋体" w:eastAsia="宋体"/>
          <w:color w:val="auto"/>
          <w:spacing w:val="0"/>
          <w:highlight w:val="none"/>
        </w:rPr>
      </w:pPr>
    </w:p>
    <w:p w14:paraId="33C9AD81">
      <w:pPr>
        <w:spacing w:line="360" w:lineRule="auto"/>
        <w:ind w:firstLine="413" w:firstLineChars="196"/>
        <w:outlineLvl w:val="1"/>
        <w:rPr>
          <w:rFonts w:hint="eastAsia" w:ascii="宋体" w:eastAsia="宋体"/>
          <w:b/>
          <w:color w:val="auto"/>
          <w:spacing w:val="0"/>
          <w:highlight w:val="none"/>
        </w:rPr>
      </w:pPr>
      <w:bookmarkStart w:id="259" w:name="_Toc63757457"/>
      <w:r>
        <w:rPr>
          <w:rFonts w:hint="eastAsia" w:ascii="宋体" w:eastAsia="宋体"/>
          <w:b/>
          <w:color w:val="auto"/>
          <w:spacing w:val="0"/>
          <w:highlight w:val="none"/>
        </w:rPr>
        <w:t>第一条  定义</w:t>
      </w:r>
      <w:bookmarkEnd w:id="259"/>
    </w:p>
    <w:p w14:paraId="682468A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在本合同中，除非有相反的表述，下列术语具有如下含义：</w:t>
      </w:r>
    </w:p>
    <w:p w14:paraId="11A0BBE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1.1“项目”系指乙方受甲方委托，单独为本合同目的依据合同附件一《工作（需求）说明书》的产品实施与数据迁移服务。</w:t>
      </w:r>
    </w:p>
    <w:p w14:paraId="3F2290E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1.2“客户化工作”指项目交付乙方后乙方对甲方的需求进行开发实施。</w:t>
      </w:r>
    </w:p>
    <w:p w14:paraId="3C42FA3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1.3“产品实施数据迁移”指乙方产品的安装配置和业务数据迁移服务。</w:t>
      </w:r>
    </w:p>
    <w:p w14:paraId="050A85C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1.4“</w:t>
      </w:r>
      <w:r>
        <w:rPr>
          <w:rFonts w:hint="eastAsia" w:ascii="宋体" w:eastAsia="宋体"/>
          <w:color w:val="auto"/>
          <w:spacing w:val="0"/>
          <w:highlight w:val="none"/>
          <w:lang w:val="en-GB"/>
        </w:rPr>
        <w:t>XXXXX系统</w:t>
      </w:r>
      <w:r>
        <w:rPr>
          <w:rFonts w:hint="eastAsia" w:ascii="宋体" w:eastAsia="宋体"/>
          <w:color w:val="auto"/>
          <w:spacing w:val="0"/>
          <w:highlight w:val="none"/>
        </w:rPr>
        <w:t>业务”指乙方提供给甲方的附件一中所涵盖的业务功能。</w:t>
      </w:r>
    </w:p>
    <w:p w14:paraId="2B486126">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1.5“缺陷逃逸率”：后一测试阶段测试期间发现的缺陷个数/（当前测试期间所发现的缺陷个数+后一测试期间发现的缺陷个数）。</w:t>
      </w:r>
    </w:p>
    <w:p w14:paraId="4F97BF5C">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1.6“试运行”：项目上线后进入试运行阶段，项目试运行至少3个月。在试运行期间，甲方随时将发现的逃逸的缺陷通知乙方，乙方在最快的时间内予以响应。</w:t>
      </w:r>
    </w:p>
    <w:p w14:paraId="1FA01B4F">
      <w:pPr>
        <w:spacing w:line="360" w:lineRule="auto"/>
        <w:ind w:left="-2" w:leftChars="-1" w:firstLine="420" w:firstLineChars="200"/>
        <w:outlineLvl w:val="2"/>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1.7“响应时间”：指乙方就甲方提出的问题予以答复的时间。</w:t>
      </w:r>
    </w:p>
    <w:p w14:paraId="5B59660F">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354B98E9">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379AB519">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048FDC7">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19E81FE">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3AFE49FF">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22D83132">
      <w:pPr>
        <w:spacing w:line="360" w:lineRule="auto"/>
        <w:ind w:left="-2" w:leftChars="-1" w:firstLine="420" w:firstLineChars="200"/>
        <w:rPr>
          <w:rFonts w:hint="eastAsia" w:ascii="宋体" w:eastAsia="宋体" w:cs="宋体"/>
          <w:color w:val="auto"/>
          <w:spacing w:val="0"/>
          <w:szCs w:val="24"/>
          <w:highlight w:val="none"/>
        </w:rPr>
      </w:pPr>
      <w:r>
        <w:rPr>
          <w:rFonts w:hint="eastAsia" w:ascii="宋体" w:eastAsia="宋体" w:cs="宋体"/>
          <w:color w:val="auto"/>
          <w:spacing w:val="0"/>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8ED61EF">
      <w:pPr>
        <w:spacing w:line="360" w:lineRule="auto"/>
        <w:ind w:left="-2" w:leftChars="-1" w:firstLine="420" w:firstLineChars="200"/>
        <w:outlineLvl w:val="2"/>
        <w:rPr>
          <w:rFonts w:hint="eastAsia" w:ascii="宋体" w:eastAsia="宋体"/>
          <w:color w:val="auto"/>
          <w:spacing w:val="0"/>
          <w:szCs w:val="24"/>
          <w:highlight w:val="none"/>
        </w:rPr>
      </w:pPr>
      <w:r>
        <w:rPr>
          <w:rFonts w:hint="eastAsia" w:ascii="宋体" w:eastAsia="宋体"/>
          <w:color w:val="auto"/>
          <w:spacing w:val="0"/>
          <w:szCs w:val="24"/>
          <w:highlight w:val="none"/>
        </w:rPr>
        <w:t>1.15“重大缺陷”：指严重缺陷和致命缺陷。</w:t>
      </w:r>
    </w:p>
    <w:p w14:paraId="353E1D83">
      <w:pPr>
        <w:spacing w:line="360" w:lineRule="auto"/>
        <w:ind w:left="560" w:hanging="560"/>
        <w:rPr>
          <w:rFonts w:hint="eastAsia" w:ascii="宋体" w:eastAsia="宋体"/>
          <w:color w:val="auto"/>
          <w:spacing w:val="0"/>
          <w:highlight w:val="none"/>
        </w:rPr>
      </w:pPr>
    </w:p>
    <w:p w14:paraId="1D320AB6">
      <w:pPr>
        <w:spacing w:line="360" w:lineRule="auto"/>
        <w:ind w:firstLine="413" w:firstLineChars="196"/>
        <w:outlineLvl w:val="1"/>
        <w:rPr>
          <w:rFonts w:hint="eastAsia" w:ascii="宋体" w:eastAsia="宋体"/>
          <w:b/>
          <w:color w:val="auto"/>
          <w:spacing w:val="0"/>
          <w:highlight w:val="none"/>
        </w:rPr>
      </w:pPr>
      <w:bookmarkStart w:id="260" w:name="_Toc63757458"/>
      <w:r>
        <w:rPr>
          <w:rFonts w:hint="eastAsia" w:ascii="宋体" w:eastAsia="宋体"/>
          <w:b/>
          <w:color w:val="auto"/>
          <w:spacing w:val="0"/>
          <w:highlight w:val="none"/>
        </w:rPr>
        <w:t xml:space="preserve">第二条  </w:t>
      </w:r>
      <w:bookmarkStart w:id="261" w:name="_Toc58337493"/>
      <w:r>
        <w:rPr>
          <w:rFonts w:hint="eastAsia" w:ascii="宋体" w:eastAsia="宋体"/>
          <w:b/>
          <w:color w:val="auto"/>
          <w:spacing w:val="0"/>
          <w:highlight w:val="none"/>
        </w:rPr>
        <w:t>外包开发内容</w:t>
      </w:r>
      <w:bookmarkEnd w:id="260"/>
      <w:bookmarkEnd w:id="261"/>
    </w:p>
    <w:p w14:paraId="6DA6AB90">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2.1本项目系由甲方委托乙方负责实施。</w:t>
      </w:r>
    </w:p>
    <w:p w14:paraId="6CCFAE16">
      <w:pPr>
        <w:spacing w:line="360" w:lineRule="auto"/>
        <w:ind w:firstLine="420" w:firstLineChars="200"/>
        <w:outlineLvl w:val="2"/>
        <w:rPr>
          <w:rFonts w:hint="eastAsia" w:ascii="宋体" w:eastAsia="宋体"/>
          <w:color w:val="auto"/>
          <w:spacing w:val="0"/>
          <w:highlight w:val="none"/>
        </w:rPr>
      </w:pPr>
      <w:bookmarkStart w:id="262" w:name="_Toc58337494"/>
      <w:r>
        <w:rPr>
          <w:rFonts w:hint="eastAsia" w:ascii="宋体" w:eastAsia="宋体"/>
          <w:color w:val="auto"/>
          <w:spacing w:val="0"/>
          <w:highlight w:val="none"/>
        </w:rPr>
        <w:t>2.2开发内容</w:t>
      </w:r>
      <w:bookmarkEnd w:id="262"/>
    </w:p>
    <w:p w14:paraId="5D76F9F0">
      <w:pPr>
        <w:numPr>
          <w:ilvl w:val="0"/>
          <w:numId w:val="3"/>
        </w:numPr>
        <w:spacing w:line="360" w:lineRule="auto"/>
        <w:ind w:firstLine="420" w:firstLineChars="200"/>
        <w:rPr>
          <w:rFonts w:hint="eastAsia" w:ascii="宋体" w:eastAsia="宋体"/>
          <w:color w:val="auto"/>
          <w:spacing w:val="0"/>
          <w:highlight w:val="none"/>
          <w:lang w:eastAsia="zh-CN"/>
        </w:rPr>
      </w:pPr>
      <w:r>
        <w:rPr>
          <w:rFonts w:hint="eastAsia" w:ascii="宋体" w:eastAsia="宋体"/>
          <w:color w:val="auto"/>
          <w:spacing w:val="0"/>
          <w:highlight w:val="none"/>
          <w:lang w:eastAsia="zh-CN"/>
        </w:rPr>
        <w:t>实现移动作业人脸识别登录和授权。</w:t>
      </w:r>
    </w:p>
    <w:p w14:paraId="64B403BF">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lang w:eastAsia="zh-CN"/>
        </w:rPr>
        <w:t>实现线上对公开户。</w:t>
      </w:r>
    </w:p>
    <w:p w14:paraId="1C1714EA">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在开卡、激活、签约中新增安全锁和动账短信起点金额设置，以及调整消费限额规则</w:t>
      </w:r>
      <w:r>
        <w:rPr>
          <w:rFonts w:hint="eastAsia" w:ascii="宋体" w:eastAsia="宋体"/>
          <w:color w:val="auto"/>
          <w:spacing w:val="0"/>
          <w:highlight w:val="none"/>
          <w:lang w:eastAsia="zh-CN"/>
        </w:rPr>
        <w:t>。</w:t>
      </w:r>
    </w:p>
    <w:p w14:paraId="509A0D5F">
      <w:pPr>
        <w:numPr>
          <w:ilvl w:val="0"/>
          <w:numId w:val="3"/>
        </w:num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移动信贷新增访问控制、将网络接入方式由VPN接入升级为互联网接入</w:t>
      </w:r>
      <w:r>
        <w:rPr>
          <w:rFonts w:hint="eastAsia" w:ascii="宋体" w:eastAsia="宋体"/>
          <w:color w:val="auto"/>
          <w:spacing w:val="0"/>
          <w:highlight w:val="none"/>
          <w:lang w:eastAsia="zh-CN"/>
        </w:rPr>
        <w:t>，新版</w:t>
      </w:r>
      <w:r>
        <w:rPr>
          <w:rFonts w:hint="eastAsia" w:ascii="宋体" w:eastAsia="宋体"/>
          <w:color w:val="auto"/>
          <w:spacing w:val="0"/>
          <w:highlight w:val="none"/>
          <w:lang w:val="en-US" w:eastAsia="zh-CN"/>
        </w:rPr>
        <w:t>OCRSDK集成</w:t>
      </w:r>
      <w:r>
        <w:rPr>
          <w:rFonts w:hint="eastAsia" w:ascii="宋体" w:eastAsia="宋体"/>
          <w:color w:val="auto"/>
          <w:spacing w:val="0"/>
          <w:highlight w:val="none"/>
          <w:lang w:eastAsia="zh-CN"/>
        </w:rPr>
        <w:t>。</w:t>
      </w:r>
    </w:p>
    <w:p w14:paraId="4EC6BC07">
      <w:pPr>
        <w:numPr>
          <w:ilvl w:val="0"/>
          <w:numId w:val="3"/>
        </w:num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lang w:eastAsia="zh-CN"/>
        </w:rPr>
        <w:t>配合短信平台切换进行改造，配合行内安全要求进行改造。</w:t>
      </w:r>
    </w:p>
    <w:p w14:paraId="26E48D76">
      <w:pPr>
        <w:numPr>
          <w:ilvl w:val="0"/>
          <w:numId w:val="0"/>
        </w:numPr>
        <w:spacing w:line="360" w:lineRule="auto"/>
        <w:rPr>
          <w:rFonts w:hint="eastAsia" w:ascii="宋体" w:eastAsia="宋体"/>
          <w:color w:val="auto"/>
          <w:spacing w:val="0"/>
          <w:highlight w:val="none"/>
        </w:rPr>
      </w:pPr>
      <w:r>
        <w:rPr>
          <w:rFonts w:hint="eastAsia" w:ascii="宋体" w:eastAsia="宋体"/>
          <w:color w:val="auto"/>
          <w:spacing w:val="0"/>
          <w:highlight w:val="none"/>
        </w:rPr>
        <w:t>详细内容见附件一。</w:t>
      </w:r>
    </w:p>
    <w:p w14:paraId="19616BB9">
      <w:pPr>
        <w:spacing w:line="360" w:lineRule="auto"/>
        <w:ind w:firstLine="420" w:firstLineChars="200"/>
        <w:outlineLvl w:val="2"/>
        <w:rPr>
          <w:rFonts w:hint="eastAsia" w:ascii="宋体" w:eastAsia="宋体"/>
          <w:color w:val="auto"/>
          <w:spacing w:val="0"/>
          <w:highlight w:val="none"/>
        </w:rPr>
      </w:pPr>
      <w:bookmarkStart w:id="263" w:name="_Toc58337495"/>
      <w:r>
        <w:rPr>
          <w:rFonts w:hint="eastAsia" w:ascii="宋体" w:eastAsia="宋体"/>
          <w:color w:val="auto"/>
          <w:spacing w:val="0"/>
          <w:highlight w:val="none"/>
        </w:rPr>
        <w:t>2.3技术指标和质量要求</w:t>
      </w:r>
      <w:bookmarkEnd w:id="263"/>
      <w:r>
        <w:rPr>
          <w:rFonts w:hint="eastAsia" w:ascii="宋体" w:eastAsia="宋体"/>
          <w:color w:val="auto"/>
          <w:spacing w:val="0"/>
          <w:highlight w:val="none"/>
        </w:rPr>
        <w:t>。</w:t>
      </w:r>
    </w:p>
    <w:p w14:paraId="2139DF63">
      <w:pPr>
        <w:snapToGrid w:val="0"/>
        <w:spacing w:line="600" w:lineRule="exact"/>
        <w:ind w:firstLine="420" w:firstLineChars="200"/>
        <w:rPr>
          <w:rFonts w:hint="eastAsia" w:ascii="宋体" w:eastAsia="宋体"/>
          <w:color w:val="auto"/>
          <w:spacing w:val="0"/>
          <w:highlight w:val="none"/>
        </w:rPr>
      </w:pPr>
      <w:r>
        <w:rPr>
          <w:rFonts w:hint="eastAsia" w:ascii="宋体" w:eastAsia="宋体"/>
          <w:color w:val="auto"/>
          <w:spacing w:val="0"/>
          <w:highlight w:val="none"/>
        </w:rPr>
        <w:t>见附件一、附件四。</w:t>
      </w:r>
    </w:p>
    <w:p w14:paraId="36D0036C">
      <w:pPr>
        <w:spacing w:line="360" w:lineRule="auto"/>
        <w:ind w:firstLine="420" w:firstLineChars="200"/>
        <w:outlineLvl w:val="2"/>
        <w:rPr>
          <w:rFonts w:hint="eastAsia" w:ascii="宋体" w:eastAsia="宋体"/>
          <w:color w:val="auto"/>
          <w:spacing w:val="0"/>
          <w:highlight w:val="none"/>
        </w:rPr>
      </w:pPr>
      <w:bookmarkStart w:id="264" w:name="_Toc58337496"/>
      <w:r>
        <w:rPr>
          <w:rFonts w:hint="eastAsia" w:ascii="宋体" w:eastAsia="宋体"/>
          <w:color w:val="auto"/>
          <w:spacing w:val="0"/>
          <w:highlight w:val="none"/>
        </w:rPr>
        <w:t>2.4应当遵循的标准和规范</w:t>
      </w:r>
      <w:bookmarkEnd w:id="264"/>
      <w:r>
        <w:rPr>
          <w:rFonts w:hint="eastAsia" w:ascii="宋体" w:eastAsia="宋体"/>
          <w:color w:val="auto"/>
          <w:spacing w:val="0"/>
          <w:highlight w:val="none"/>
        </w:rPr>
        <w:t>。</w:t>
      </w:r>
    </w:p>
    <w:p w14:paraId="5006CD1C">
      <w:pPr>
        <w:spacing w:line="360" w:lineRule="auto"/>
        <w:ind w:firstLine="420"/>
        <w:rPr>
          <w:rFonts w:hint="eastAsia" w:ascii="宋体" w:eastAsia="宋体"/>
          <w:color w:val="auto"/>
          <w:spacing w:val="0"/>
          <w:highlight w:val="none"/>
        </w:rPr>
      </w:pPr>
      <w:r>
        <w:rPr>
          <w:rFonts w:hint="eastAsia" w:ascii="宋体" w:eastAsia="宋体"/>
          <w:color w:val="auto"/>
          <w:spacing w:val="0"/>
          <w:highlight w:val="none"/>
        </w:rPr>
        <w:t>乙方交付的</w:t>
      </w:r>
      <w:r>
        <w:rPr>
          <w:rFonts w:hint="eastAsia" w:ascii="宋体" w:eastAsia="宋体"/>
          <w:color w:val="auto"/>
          <w:spacing w:val="0"/>
          <w:highlight w:val="none"/>
          <w:lang w:eastAsia="zh-CN"/>
        </w:rPr>
        <w:t>移动作业管理</w:t>
      </w:r>
      <w:r>
        <w:rPr>
          <w:rFonts w:hint="eastAsia" w:ascii="宋体" w:eastAsia="宋体"/>
          <w:color w:val="auto"/>
          <w:spacing w:val="0"/>
          <w:highlight w:val="none"/>
        </w:rPr>
        <w:t>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AA98BCC">
      <w:pPr>
        <w:spacing w:line="360" w:lineRule="auto"/>
        <w:ind w:firstLine="413" w:firstLineChars="196"/>
        <w:outlineLvl w:val="1"/>
        <w:rPr>
          <w:rFonts w:hint="eastAsia" w:ascii="宋体" w:eastAsia="宋体"/>
          <w:b/>
          <w:color w:val="auto"/>
          <w:spacing w:val="0"/>
          <w:highlight w:val="none"/>
        </w:rPr>
      </w:pPr>
      <w:bookmarkStart w:id="265" w:name="_Toc63757459"/>
      <w:r>
        <w:rPr>
          <w:rFonts w:hint="eastAsia" w:ascii="宋体" w:eastAsia="宋体"/>
          <w:b/>
          <w:color w:val="auto"/>
          <w:spacing w:val="0"/>
          <w:highlight w:val="none"/>
        </w:rPr>
        <w:t>第三条  项目履行的进度、期限、地点、地域、方式</w:t>
      </w:r>
      <w:bookmarkEnd w:id="265"/>
    </w:p>
    <w:p w14:paraId="17BD0E4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color w:val="auto"/>
          <w:spacing w:val="0"/>
          <w:kern w:val="0"/>
          <w:highlight w:val="none"/>
        </w:rPr>
        <w:t>替换人员技术水平或级别需不低于</w:t>
      </w:r>
      <w:r>
        <w:rPr>
          <w:rFonts w:hint="eastAsia" w:ascii="宋体" w:eastAsia="宋体"/>
          <w:color w:val="auto"/>
          <w:spacing w:val="0"/>
          <w:highlight w:val="none"/>
        </w:rPr>
        <w:t>被替换的人员</w:t>
      </w:r>
      <w:r>
        <w:rPr>
          <w:rFonts w:hint="eastAsia" w:ascii="宋体" w:eastAsia="宋体"/>
          <w:color w:val="auto"/>
          <w:spacing w:val="0"/>
          <w:kern w:val="0"/>
          <w:highlight w:val="none"/>
        </w:rPr>
        <w:t>水平或级别</w:t>
      </w:r>
      <w:r>
        <w:rPr>
          <w:rFonts w:hint="eastAsia" w:ascii="宋体" w:eastAsia="宋体"/>
          <w:color w:val="auto"/>
          <w:spacing w:val="0"/>
          <w:highlight w:val="none"/>
        </w:rPr>
        <w:t>，并需通过甲方考察并取得甲方同意，否则甲方有权要求更换。</w:t>
      </w:r>
    </w:p>
    <w:p w14:paraId="00809913">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3.2进度：乙方应严格按照3.3所列示的期限完成项目实施任务。</w:t>
      </w:r>
    </w:p>
    <w:p w14:paraId="2911E44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3.3期限：上线时间为  </w:t>
      </w:r>
      <w:r>
        <w:rPr>
          <w:rFonts w:hint="eastAsia" w:ascii="宋体" w:eastAsia="宋体"/>
          <w:color w:val="auto"/>
          <w:spacing w:val="0"/>
          <w:highlight w:val="none"/>
          <w:lang w:val="en-US" w:eastAsia="zh-CN"/>
        </w:rPr>
        <w:t>2025</w:t>
      </w:r>
      <w:r>
        <w:rPr>
          <w:rFonts w:hint="eastAsia" w:ascii="宋体" w:eastAsia="宋体"/>
          <w:color w:val="auto"/>
          <w:spacing w:val="0"/>
          <w:highlight w:val="none"/>
        </w:rPr>
        <w:t xml:space="preserve">  年  </w:t>
      </w:r>
      <w:r>
        <w:rPr>
          <w:rFonts w:hint="eastAsia" w:ascii="宋体" w:eastAsia="宋体"/>
          <w:color w:val="auto"/>
          <w:spacing w:val="0"/>
          <w:highlight w:val="none"/>
          <w:lang w:val="en-US" w:eastAsia="zh-CN"/>
        </w:rPr>
        <w:t>2</w:t>
      </w:r>
      <w:r>
        <w:rPr>
          <w:rFonts w:hint="eastAsia" w:ascii="宋体" w:eastAsia="宋体"/>
          <w:color w:val="auto"/>
          <w:spacing w:val="0"/>
          <w:highlight w:val="none"/>
        </w:rPr>
        <w:t xml:space="preserve">  月   </w:t>
      </w:r>
      <w:r>
        <w:rPr>
          <w:rFonts w:hint="eastAsia" w:ascii="宋体" w:eastAsia="宋体"/>
          <w:color w:val="auto"/>
          <w:spacing w:val="0"/>
          <w:highlight w:val="none"/>
          <w:lang w:val="en-US" w:eastAsia="zh-CN"/>
        </w:rPr>
        <w:t>15</w:t>
      </w:r>
      <w:r>
        <w:rPr>
          <w:rFonts w:hint="eastAsia" w:ascii="宋体" w:eastAsia="宋体"/>
          <w:color w:val="auto"/>
          <w:spacing w:val="0"/>
          <w:highlight w:val="none"/>
        </w:rPr>
        <w:t xml:space="preserve">  日前</w:t>
      </w:r>
    </w:p>
    <w:p w14:paraId="78FD997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3.4地点：乙方完成项目实施工作的地点为：</w:t>
      </w:r>
      <w:r>
        <w:rPr>
          <w:rFonts w:hint="eastAsia" w:ascii="宋体" w:eastAsia="宋体"/>
          <w:color w:val="auto"/>
          <w:spacing w:val="0"/>
          <w:highlight w:val="none"/>
          <w:u w:val="single"/>
        </w:rPr>
        <w:t>重庆</w:t>
      </w:r>
      <w:r>
        <w:rPr>
          <w:rFonts w:hint="eastAsia" w:ascii="宋体" w:eastAsia="宋体"/>
          <w:color w:val="auto"/>
          <w:spacing w:val="0"/>
          <w:highlight w:val="none"/>
        </w:rPr>
        <w:t>；【驻场】实施。</w:t>
      </w:r>
    </w:p>
    <w:p w14:paraId="182E29A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3.5地域：本项目适用机构所在地域包括： </w:t>
      </w:r>
      <w:r>
        <w:rPr>
          <w:rFonts w:hint="eastAsia" w:ascii="宋体" w:eastAsia="宋体"/>
          <w:color w:val="auto"/>
          <w:spacing w:val="0"/>
          <w:highlight w:val="none"/>
          <w:u w:val="single"/>
        </w:rPr>
        <w:t xml:space="preserve">重庆三峡银行总行各部门及辖内各经营机构 </w:t>
      </w:r>
      <w:r>
        <w:rPr>
          <w:rFonts w:hint="eastAsia" w:ascii="宋体" w:eastAsia="宋体"/>
          <w:color w:val="auto"/>
          <w:spacing w:val="0"/>
          <w:highlight w:val="none"/>
        </w:rPr>
        <w:t>。</w:t>
      </w:r>
    </w:p>
    <w:p w14:paraId="2B77EEA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3.6方式：</w:t>
      </w:r>
    </w:p>
    <w:p w14:paraId="72BA4C1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605AD32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1FDADBD2">
      <w:pPr>
        <w:spacing w:line="360" w:lineRule="auto"/>
        <w:ind w:left="945" w:leftChars="200" w:hanging="525" w:hangingChars="250"/>
        <w:rPr>
          <w:rFonts w:hint="eastAsia" w:ascii="宋体" w:eastAsia="宋体"/>
          <w:color w:val="auto"/>
          <w:spacing w:val="0"/>
          <w:highlight w:val="none"/>
        </w:rPr>
      </w:pPr>
    </w:p>
    <w:p w14:paraId="6DC5F27D">
      <w:pPr>
        <w:spacing w:line="360" w:lineRule="auto"/>
        <w:ind w:firstLine="413" w:firstLineChars="196"/>
        <w:outlineLvl w:val="1"/>
        <w:rPr>
          <w:rFonts w:hint="eastAsia"/>
          <w:color w:val="auto"/>
          <w:highlight w:val="none"/>
        </w:rPr>
      </w:pPr>
      <w:bookmarkStart w:id="266" w:name="_Toc63757460"/>
      <w:r>
        <w:rPr>
          <w:rFonts w:hint="eastAsia" w:ascii="宋体" w:eastAsia="宋体"/>
          <w:b/>
          <w:color w:val="auto"/>
          <w:spacing w:val="0"/>
          <w:highlight w:val="none"/>
        </w:rPr>
        <w:t>第四条  方案调整</w:t>
      </w:r>
      <w:bookmarkEnd w:id="266"/>
      <w:r>
        <w:rPr>
          <w:rFonts w:hint="eastAsia"/>
          <w:color w:val="auto"/>
          <w:highlight w:val="none"/>
        </w:rPr>
        <w:t xml:space="preserve"> </w:t>
      </w:r>
    </w:p>
    <w:p w14:paraId="279FB5AE">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4.1因甲方原因提出导致增加【 】∕人∕月以上工作量的需求变更，</w:t>
      </w:r>
      <w:r>
        <w:rPr>
          <w:rFonts w:hint="eastAsia" w:ascii="宋体" w:eastAsia="宋体"/>
          <w:color w:val="auto"/>
          <w:spacing w:val="0"/>
          <w:highlight w:val="none"/>
        </w:rPr>
        <w:t>须通知乙方并由乙方确认</w:t>
      </w:r>
      <w:r>
        <w:rPr>
          <w:rStyle w:val="47"/>
          <w:rFonts w:hint="eastAsia" w:ascii="宋体" w:eastAsia="宋体"/>
          <w:color w:val="auto"/>
          <w:spacing w:val="0"/>
          <w:kern w:val="0"/>
          <w:highlight w:val="none"/>
        </w:rPr>
        <w:t>，对此</w:t>
      </w:r>
      <w:r>
        <w:rPr>
          <w:rFonts w:hint="eastAsia" w:ascii="宋体" w:eastAsia="宋体"/>
          <w:color w:val="auto"/>
          <w:spacing w:val="0"/>
          <w:highlight w:val="none"/>
        </w:rPr>
        <w:t>变更给乙方带来的额外劳动部分甲乙双方协商解决，由此变更导致项目进度延期不构成违约。但4.2款确认的，由乙方原因引起的工作量，甲方无需承担任何费用。</w:t>
      </w:r>
    </w:p>
    <w:p w14:paraId="156C919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4.2 方案一经双方确认，任何一方有方案调整意见，均需与对方签字确认。</w:t>
      </w:r>
    </w:p>
    <w:p w14:paraId="53AFD476">
      <w:pPr>
        <w:spacing w:line="360" w:lineRule="auto"/>
        <w:ind w:left="420"/>
        <w:rPr>
          <w:rFonts w:hint="eastAsia" w:ascii="宋体" w:eastAsia="宋体"/>
          <w:color w:val="auto"/>
          <w:spacing w:val="0"/>
          <w:highlight w:val="none"/>
        </w:rPr>
      </w:pPr>
    </w:p>
    <w:p w14:paraId="5AA86FAC">
      <w:pPr>
        <w:spacing w:line="360" w:lineRule="auto"/>
        <w:ind w:firstLine="413" w:firstLineChars="196"/>
        <w:outlineLvl w:val="1"/>
        <w:rPr>
          <w:rFonts w:hint="eastAsia" w:ascii="宋体" w:eastAsia="宋体"/>
          <w:b/>
          <w:color w:val="auto"/>
          <w:spacing w:val="0"/>
          <w:highlight w:val="none"/>
        </w:rPr>
      </w:pPr>
      <w:bookmarkStart w:id="267" w:name="_Toc63757461"/>
      <w:r>
        <w:rPr>
          <w:rFonts w:hint="eastAsia" w:ascii="宋体" w:eastAsia="宋体"/>
          <w:b/>
          <w:color w:val="auto"/>
          <w:spacing w:val="0"/>
          <w:highlight w:val="none"/>
        </w:rPr>
        <w:t>第五条  项目验收</w:t>
      </w:r>
      <w:bookmarkEnd w:id="267"/>
    </w:p>
    <w:p w14:paraId="1D60B8DC">
      <w:pPr>
        <w:pStyle w:val="11"/>
        <w:spacing w:before="0" w:beforeLines="0" w:line="360" w:lineRule="auto"/>
        <w:ind w:left="0" w:leftChars="0"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color w:val="auto"/>
          <w:spacing w:val="0"/>
          <w:kern w:val="0"/>
          <w:highlight w:val="none"/>
        </w:rPr>
        <w:t>本合同中的产品出现的任何问题，乙方应及时解决，保证试运行期间的稳定运行，试运行期间若出现</w:t>
      </w:r>
      <w:r>
        <w:rPr>
          <w:rFonts w:hint="eastAsia" w:ascii="宋体" w:eastAsia="宋体" w:cs="宋体"/>
          <w:bCs/>
          <w:color w:val="auto"/>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color w:val="auto"/>
          <w:spacing w:val="0"/>
          <w:kern w:val="0"/>
          <w:highlight w:val="none"/>
        </w:rPr>
        <w:t>在符合甲方项目预期目标且试运行满</w:t>
      </w:r>
      <w:r>
        <w:rPr>
          <w:rFonts w:hint="eastAsia" w:ascii="宋体" w:eastAsia="宋体"/>
          <w:color w:val="auto"/>
          <w:spacing w:val="0"/>
          <w:kern w:val="0"/>
          <w:highlight w:val="none"/>
          <w:u w:val="single"/>
        </w:rPr>
        <w:t>三个月</w:t>
      </w:r>
      <w:r>
        <w:rPr>
          <w:rFonts w:hint="eastAsia" w:ascii="宋体" w:eastAsia="宋体"/>
          <w:color w:val="auto"/>
          <w:spacing w:val="0"/>
          <w:kern w:val="0"/>
          <w:highlight w:val="none"/>
        </w:rPr>
        <w:t>后，由甲方按照合同约定进行正式验收，验收通过后签署验收表或验收报告。</w:t>
      </w:r>
    </w:p>
    <w:p w14:paraId="4C78E7FC">
      <w:pPr>
        <w:pStyle w:val="11"/>
        <w:spacing w:before="0" w:beforeLines="0" w:line="360" w:lineRule="auto"/>
        <w:ind w:left="0" w:leftChars="0"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072722C7">
      <w:pPr>
        <w:pStyle w:val="11"/>
        <w:spacing w:before="0" w:beforeLines="0" w:line="360" w:lineRule="auto"/>
        <w:ind w:left="0" w:leftChars="0" w:firstLine="420" w:firstLineChars="200"/>
        <w:rPr>
          <w:rStyle w:val="47"/>
          <w:rFonts w:hint="eastAsia" w:ascii="宋体" w:eastAsia="宋体"/>
          <w:color w:val="auto"/>
          <w:spacing w:val="0"/>
          <w:kern w:val="0"/>
          <w:highlight w:val="none"/>
        </w:rPr>
      </w:pPr>
    </w:p>
    <w:p w14:paraId="073B9495">
      <w:pPr>
        <w:spacing w:line="360" w:lineRule="auto"/>
        <w:ind w:firstLine="413" w:firstLineChars="196"/>
        <w:outlineLvl w:val="1"/>
        <w:rPr>
          <w:rFonts w:hint="eastAsia" w:ascii="宋体" w:eastAsia="宋体"/>
          <w:b/>
          <w:color w:val="auto"/>
          <w:spacing w:val="0"/>
          <w:highlight w:val="none"/>
        </w:rPr>
      </w:pPr>
      <w:bookmarkStart w:id="268" w:name="_Toc63757462"/>
      <w:r>
        <w:rPr>
          <w:rFonts w:hint="eastAsia" w:ascii="宋体" w:eastAsia="宋体"/>
          <w:b/>
          <w:color w:val="auto"/>
          <w:spacing w:val="0"/>
          <w:highlight w:val="none"/>
        </w:rPr>
        <w:t>第六条  交付使用后维护期、系统完善和保修维护服务</w:t>
      </w:r>
      <w:bookmarkEnd w:id="268"/>
    </w:p>
    <w:p w14:paraId="3CB9CA0B">
      <w:pPr>
        <w:tabs>
          <w:tab w:val="left" w:pos="851"/>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6.1本合同金额包含【</w:t>
      </w:r>
      <w:r>
        <w:rPr>
          <w:rFonts w:hint="eastAsia" w:ascii="宋体" w:eastAsia="宋体"/>
          <w:color w:val="auto"/>
          <w:spacing w:val="0"/>
          <w:highlight w:val="none"/>
          <w:lang w:val="en-US" w:eastAsia="zh-CN"/>
        </w:rPr>
        <w:t>1</w:t>
      </w:r>
      <w:r>
        <w:rPr>
          <w:rFonts w:hint="eastAsia" w:ascii="宋体" w:eastAsia="宋体"/>
          <w:color w:val="auto"/>
          <w:spacing w:val="0"/>
          <w:highlight w:val="none"/>
        </w:rPr>
        <w:t>】年维护，维护期为自本产品</w:t>
      </w:r>
      <w:r>
        <w:rPr>
          <w:rFonts w:hint="eastAsia" w:ascii="宋体" w:eastAsia="宋体"/>
          <w:color w:val="auto"/>
          <w:spacing w:val="0"/>
          <w:kern w:val="0"/>
          <w:highlight w:val="none"/>
        </w:rPr>
        <w:t>正式</w:t>
      </w:r>
      <w:r>
        <w:rPr>
          <w:rFonts w:hint="eastAsia" w:ascii="宋体" w:eastAsia="宋体"/>
          <w:color w:val="auto"/>
          <w:spacing w:val="0"/>
          <w:highlight w:val="none"/>
        </w:rPr>
        <w:t>验收合格后次日至次年并延期至6月30日或12月31日中较近日期（即维保延期最长不超过半年）。</w:t>
      </w:r>
    </w:p>
    <w:p w14:paraId="5EB7F3D8">
      <w:pPr>
        <w:tabs>
          <w:tab w:val="left" w:pos="851"/>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6.2本合同产品的有偿技术服务期为本合同第6.1条约定的维护期到期之日起</w:t>
      </w:r>
      <w:r>
        <w:rPr>
          <w:rFonts w:hint="eastAsia" w:ascii="宋体" w:eastAsia="宋体"/>
          <w:color w:val="auto"/>
          <w:spacing w:val="0"/>
          <w:highlight w:val="none"/>
          <w:u w:val="single"/>
        </w:rPr>
        <w:t>10</w:t>
      </w:r>
      <w:r>
        <w:rPr>
          <w:rFonts w:hint="eastAsia" w:ascii="宋体" w:eastAsia="宋体"/>
          <w:color w:val="auto"/>
          <w:spacing w:val="0"/>
          <w:highlight w:val="none"/>
        </w:rPr>
        <w:t>年。本项目产品服务期内（包括本合同第6.1条约定的维护期与有偿技术服务期）如甲方对照附件一发现项目存在技术缺陷和隐蔽瑕疵，乙方应负责予以解决并应承担相应法律责任。</w:t>
      </w:r>
    </w:p>
    <w:p w14:paraId="6973CA9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C58347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6.4本合同第6.1条约定的维护期与有偿技术服务期内，服务内容和服务方式详见附件四《维护服务条款》。</w:t>
      </w:r>
    </w:p>
    <w:p w14:paraId="7B58C21E">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6.5上述服务，不包括由下列事件引起的故障：</w:t>
      </w:r>
    </w:p>
    <w:p w14:paraId="09B474D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6.5.1 未能为系统提供适当的外部环境-如必要的系统环境、必要的管理体系、未能按照乙方要求配备资源等。</w:t>
      </w:r>
    </w:p>
    <w:p w14:paraId="6EFC4DF1">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6.5.2 使用并非由乙方提供的产品或服务。</w:t>
      </w:r>
    </w:p>
    <w:p w14:paraId="1C3B408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eastAsia="宋体"/>
          <w:color w:val="auto"/>
          <w:spacing w:val="0"/>
          <w:highlight w:val="none"/>
          <w:u w:val="single"/>
        </w:rPr>
        <w:t xml:space="preserve"> 3 </w:t>
      </w:r>
      <w:r>
        <w:rPr>
          <w:rFonts w:hint="eastAsia" w:ascii="宋体" w:eastAsia="宋体"/>
          <w:color w:val="auto"/>
          <w:spacing w:val="0"/>
          <w:highlight w:val="none"/>
        </w:rPr>
        <w:t>日内不到甲方现场进行检修，或在收到甲方通知后</w:t>
      </w:r>
      <w:r>
        <w:rPr>
          <w:rFonts w:hint="eastAsia" w:ascii="宋体" w:eastAsia="宋体"/>
          <w:color w:val="auto"/>
          <w:spacing w:val="0"/>
          <w:highlight w:val="none"/>
          <w:u w:val="single"/>
        </w:rPr>
        <w:t xml:space="preserve"> 10 </w:t>
      </w:r>
      <w:r>
        <w:rPr>
          <w:rFonts w:hint="eastAsia" w:ascii="宋体" w:eastAsia="宋体"/>
          <w:color w:val="auto"/>
          <w:spacing w:val="0"/>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68F75FC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w:t>
      </w:r>
      <w:r>
        <w:rPr>
          <w:rStyle w:val="47"/>
          <w:rFonts w:hint="eastAsia" w:ascii="宋体" w:eastAsia="宋体"/>
          <w:color w:val="auto"/>
          <w:spacing w:val="0"/>
          <w:kern w:val="0"/>
          <w:highlight w:val="none"/>
        </w:rPr>
        <w:t>.7</w:t>
      </w:r>
      <w:r>
        <w:rPr>
          <w:rFonts w:hint="eastAsia" w:ascii="宋体" w:eastAsia="宋体"/>
          <w:color w:val="auto"/>
          <w:spacing w:val="0"/>
          <w:highlight w:val="none"/>
        </w:rPr>
        <w:t>维护期结束后的</w:t>
      </w:r>
      <w:r>
        <w:rPr>
          <w:rFonts w:hint="eastAsia" w:ascii="宋体" w:eastAsia="宋体"/>
          <w:color w:val="auto"/>
          <w:spacing w:val="0"/>
          <w:highlight w:val="none"/>
          <w:u w:val="single"/>
        </w:rPr>
        <w:t>10年</w:t>
      </w:r>
      <w:r>
        <w:rPr>
          <w:rFonts w:hint="eastAsia" w:ascii="宋体" w:eastAsia="宋体"/>
          <w:color w:val="auto"/>
          <w:spacing w:val="0"/>
          <w:highlight w:val="none"/>
        </w:rPr>
        <w:t>有偿技术服务期内，</w:t>
      </w:r>
      <w:r>
        <w:rPr>
          <w:rStyle w:val="47"/>
          <w:rFonts w:hint="eastAsia" w:ascii="宋体" w:eastAsia="宋体"/>
          <w:color w:val="auto"/>
          <w:spacing w:val="0"/>
          <w:kern w:val="0"/>
          <w:highlight w:val="none"/>
        </w:rPr>
        <w:t>如</w:t>
      </w:r>
      <w:r>
        <w:rPr>
          <w:rFonts w:hint="eastAsia" w:ascii="宋体" w:eastAsia="宋体"/>
          <w:color w:val="auto"/>
          <w:spacing w:val="0"/>
          <w:highlight w:val="none"/>
        </w:rPr>
        <w:t>甲方需要乙方提供维护服务,乙方应予提供。双方确认，甲方有权选择是否购买维护服务，乙方无权要求甲方对未使用维护服务的期间支付费用。</w:t>
      </w:r>
    </w:p>
    <w:p w14:paraId="74137E8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6.</w:t>
      </w:r>
      <w:r>
        <w:rPr>
          <w:rFonts w:hint="eastAsia" w:ascii="宋体"/>
          <w:color w:val="auto"/>
          <w:spacing w:val="0"/>
          <w:highlight w:val="none"/>
          <w:lang w:val="en-US" w:eastAsia="zh-CN"/>
        </w:rPr>
        <w:t>8</w:t>
      </w:r>
      <w:r>
        <w:rPr>
          <w:rFonts w:hint="eastAsia" w:ascii="宋体" w:eastAsia="宋体"/>
          <w:color w:val="auto"/>
          <w:spacing w:val="0"/>
          <w:highlight w:val="none"/>
        </w:rPr>
        <w:t>本合同并非维护期结束后的维护服务合同，有偿技术服务的合同由双方另行签订。</w:t>
      </w:r>
    </w:p>
    <w:p w14:paraId="72B4ABEE">
      <w:pPr>
        <w:spacing w:line="360" w:lineRule="auto"/>
        <w:ind w:left="560" w:hanging="560"/>
        <w:rPr>
          <w:rFonts w:hint="eastAsia" w:ascii="宋体" w:eastAsia="宋体"/>
          <w:color w:val="auto"/>
          <w:spacing w:val="0"/>
          <w:highlight w:val="none"/>
        </w:rPr>
      </w:pPr>
    </w:p>
    <w:p w14:paraId="1DB9292D">
      <w:pPr>
        <w:spacing w:line="360" w:lineRule="auto"/>
        <w:ind w:firstLine="413" w:firstLineChars="196"/>
        <w:outlineLvl w:val="1"/>
        <w:rPr>
          <w:rFonts w:hint="eastAsia" w:ascii="宋体" w:eastAsia="宋体"/>
          <w:b/>
          <w:color w:val="auto"/>
          <w:spacing w:val="0"/>
          <w:highlight w:val="none"/>
        </w:rPr>
      </w:pPr>
      <w:bookmarkStart w:id="269" w:name="_Toc63757463"/>
      <w:r>
        <w:rPr>
          <w:rFonts w:hint="eastAsia" w:ascii="宋体" w:eastAsia="宋体"/>
          <w:b/>
          <w:color w:val="auto"/>
          <w:spacing w:val="0"/>
          <w:highlight w:val="none"/>
        </w:rPr>
        <w:t>第七条  技术辅导与培训</w:t>
      </w:r>
      <w:bookmarkEnd w:id="269"/>
    </w:p>
    <w:p w14:paraId="39322E4B">
      <w:pPr>
        <w:pStyle w:val="14"/>
        <w:spacing w:before="0" w:beforeLines="0" w:line="360" w:lineRule="auto"/>
        <w:ind w:firstLine="560" w:firstLineChars="0"/>
        <w:rPr>
          <w:rFonts w:hint="eastAsia" w:ascii="宋体" w:eastAsia="宋体"/>
          <w:color w:val="auto"/>
          <w:spacing w:val="0"/>
          <w:highlight w:val="none"/>
          <w:lang w:eastAsia="zh-CN"/>
        </w:rPr>
      </w:pPr>
      <w:r>
        <w:rPr>
          <w:rFonts w:hint="eastAsia" w:ascii="宋体" w:eastAsia="宋体"/>
          <w:color w:val="auto"/>
          <w:spacing w:val="0"/>
          <w:highlight w:val="none"/>
        </w:rPr>
        <w:t>乙方应负责向甲方提供技术辅导与培训，以使甲方人员熟练掌握该项目产品的应用和日常维护。培训内容包括：</w:t>
      </w:r>
    </w:p>
    <w:p w14:paraId="6831D764">
      <w:pPr>
        <w:pStyle w:val="14"/>
        <w:spacing w:before="0" w:beforeLines="0" w:line="360" w:lineRule="auto"/>
        <w:ind w:firstLine="480"/>
        <w:rPr>
          <w:rFonts w:hint="eastAsia" w:ascii="宋体" w:eastAsia="宋体"/>
          <w:color w:val="auto"/>
          <w:spacing w:val="0"/>
          <w:highlight w:val="none"/>
        </w:rPr>
      </w:pPr>
      <w:r>
        <w:rPr>
          <w:rFonts w:hint="eastAsia" w:ascii="宋体" w:eastAsia="宋体"/>
          <w:color w:val="auto"/>
          <w:spacing w:val="0"/>
          <w:highlight w:val="none"/>
        </w:rPr>
        <w:t>具体培训内容由双方共同商定，并由甲方项目经理签字确认。</w:t>
      </w:r>
    </w:p>
    <w:p w14:paraId="430AC885">
      <w:pPr>
        <w:pStyle w:val="14"/>
        <w:spacing w:before="0" w:beforeLines="0" w:line="360" w:lineRule="auto"/>
        <w:ind w:firstLine="480"/>
        <w:rPr>
          <w:rFonts w:hint="eastAsia" w:ascii="宋体" w:eastAsia="宋体"/>
          <w:color w:val="auto"/>
          <w:spacing w:val="0"/>
          <w:highlight w:val="none"/>
        </w:rPr>
      </w:pPr>
    </w:p>
    <w:p w14:paraId="48D4A838">
      <w:pPr>
        <w:spacing w:line="360" w:lineRule="auto"/>
        <w:ind w:firstLine="413" w:firstLineChars="196"/>
        <w:outlineLvl w:val="1"/>
        <w:rPr>
          <w:rFonts w:hint="eastAsia" w:ascii="宋体" w:eastAsia="宋体"/>
          <w:b/>
          <w:color w:val="auto"/>
          <w:spacing w:val="0"/>
          <w:highlight w:val="none"/>
        </w:rPr>
      </w:pPr>
      <w:bookmarkStart w:id="270" w:name="_Toc63757464"/>
      <w:r>
        <w:rPr>
          <w:rFonts w:hint="eastAsia" w:ascii="宋体" w:eastAsia="宋体"/>
          <w:b/>
          <w:color w:val="auto"/>
          <w:spacing w:val="0"/>
          <w:highlight w:val="none"/>
        </w:rPr>
        <w:t>第八条  双方的权利、义务</w:t>
      </w:r>
      <w:bookmarkEnd w:id="270"/>
    </w:p>
    <w:p w14:paraId="65CF2A75">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8.1除本合同其他条款外，甲方应承担如下义务：</w:t>
      </w:r>
    </w:p>
    <w:p w14:paraId="5FF40CEC">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8.1.1 按照本合同第十三条的规定向乙方支付报酬。</w:t>
      </w:r>
    </w:p>
    <w:p w14:paraId="321E169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8.1.2 向乙方提供本合同约定的业务协作：如参与各方的资源协调与进度管理、商务保障、项目环境保障等，确保参与各方按期、按质协同工作。</w:t>
      </w:r>
    </w:p>
    <w:p w14:paraId="2216CC0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8.1.3 指派一名项目</w:t>
      </w:r>
      <w:r>
        <w:rPr>
          <w:rFonts w:hint="eastAsia" w:ascii="宋体" w:eastAsia="宋体"/>
          <w:color w:val="auto"/>
          <w:spacing w:val="0"/>
          <w:highlight w:val="none"/>
          <w:lang w:eastAsia="zh-Hans"/>
        </w:rPr>
        <w:t>主要</w:t>
      </w:r>
      <w:r>
        <w:rPr>
          <w:rFonts w:hint="eastAsia" w:ascii="宋体" w:eastAsia="宋体"/>
          <w:color w:val="auto"/>
          <w:spacing w:val="0"/>
          <w:highlight w:val="none"/>
        </w:rPr>
        <w:t>负责人参加甲、乙双方为本项目召开的会议并协调相关工作和签署有关文件。</w:t>
      </w:r>
    </w:p>
    <w:p w14:paraId="26AD8A1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8.1.4 甲方为乙方解决现场人员正常开展工作的开发测试系统环境和场地。</w:t>
      </w:r>
    </w:p>
    <w:p w14:paraId="29C35CBA">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8.2除本合同其他条款外，乙方应承担如下义务：</w:t>
      </w:r>
    </w:p>
    <w:p w14:paraId="2C9CB587">
      <w:pPr>
        <w:pStyle w:val="12"/>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lang w:eastAsia="zh-CN"/>
        </w:rPr>
        <w:t>及规定</w:t>
      </w:r>
      <w:r>
        <w:rPr>
          <w:color w:val="auto"/>
          <w:sz w:val="24"/>
          <w:szCs w:val="20"/>
          <w:highlight w:val="none"/>
        </w:rPr>
        <w:t>，贯彻执行相关监管政策。</w:t>
      </w:r>
    </w:p>
    <w:p w14:paraId="282530F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C1447C5">
      <w:pPr>
        <w:spacing w:line="360" w:lineRule="auto"/>
        <w:ind w:firstLine="420" w:firstLineChars="200"/>
        <w:outlineLvl w:val="3"/>
        <w:rPr>
          <w:rFonts w:hint="eastAsia" w:ascii="宋体" w:eastAsia="宋体"/>
          <w:color w:val="auto"/>
          <w:spacing w:val="0"/>
          <w:highlight w:val="none"/>
        </w:rPr>
      </w:pPr>
      <w:r>
        <w:rPr>
          <w:rFonts w:hint="eastAsia" w:ascii="宋体" w:eastAsia="宋体"/>
          <w:color w:val="auto"/>
          <w:spacing w:val="0"/>
          <w:highlight w:val="none"/>
        </w:rPr>
        <w:t>8.2.3 负责在甲方的环境内安装并调试实施项目。</w:t>
      </w:r>
    </w:p>
    <w:p w14:paraId="3A8726B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8.2.4 指派一名项目主要负责人参加甲、乙双方为本项目召开的会议并协调相关工作和签署有关文件。</w:t>
      </w:r>
    </w:p>
    <w:p w14:paraId="760A395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8.2.5 指派独立于开发团队的测试人员负责项目系统测试，并承诺按照甲方质量管理要求完成项目系统测试、性能测试、安全测试等。</w:t>
      </w:r>
    </w:p>
    <w:p w14:paraId="0C16D91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8.2.6 按照本合同的约定向甲方提供相关技术资料并提供技术指导。</w:t>
      </w:r>
    </w:p>
    <w:p w14:paraId="54EA8E0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8.2.7乙方需为甲方提供持续的项目风险识别和控制措施，并按甲方要求提供公司财务分析报告、项目进度报告以及重大事项报告等。</w:t>
      </w:r>
    </w:p>
    <w:p w14:paraId="405BEC5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62DDCE4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8.2.9 乙方应针对服务内容为甲方制定业务连续性计划和应急计划并维护好相关资源，在服务质量不能满足合同要求时，甲方具有优先获取服务资源的权利。</w:t>
      </w:r>
    </w:p>
    <w:p w14:paraId="3A0840D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8.2.10 乙方应当自己完成本合同项下的开发、测试或维护等工作，而不得分包给任何第三方，也不得进行转包或变相转包。</w:t>
      </w:r>
    </w:p>
    <w:p w14:paraId="61FDD5A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 xml:space="preserve">8.2.11 </w:t>
      </w:r>
      <w:r>
        <w:rPr>
          <w:rFonts w:hint="eastAsia" w:ascii="宋体" w:eastAsia="宋体"/>
          <w:bCs/>
          <w:color w:val="auto"/>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1B290FB">
      <w:pPr>
        <w:spacing w:line="360" w:lineRule="auto"/>
        <w:ind w:firstLine="420" w:firstLineChars="200"/>
        <w:rPr>
          <w:rFonts w:hint="eastAsia" w:ascii="宋体" w:eastAsia="宋体"/>
          <w:color w:val="auto"/>
          <w:spacing w:val="0"/>
          <w:highlight w:val="none"/>
        </w:rPr>
      </w:pPr>
    </w:p>
    <w:p w14:paraId="12207712">
      <w:pPr>
        <w:spacing w:line="360" w:lineRule="auto"/>
        <w:ind w:firstLine="413" w:firstLineChars="196"/>
        <w:outlineLvl w:val="1"/>
        <w:rPr>
          <w:rFonts w:hint="eastAsia" w:ascii="宋体" w:eastAsia="宋体"/>
          <w:b/>
          <w:color w:val="auto"/>
          <w:spacing w:val="0"/>
          <w:highlight w:val="none"/>
        </w:rPr>
      </w:pPr>
      <w:bookmarkStart w:id="271" w:name="_Toc63757465"/>
      <w:r>
        <w:rPr>
          <w:rFonts w:hint="eastAsia" w:ascii="宋体" w:eastAsia="宋体"/>
          <w:b/>
          <w:color w:val="auto"/>
          <w:spacing w:val="0"/>
          <w:highlight w:val="none"/>
        </w:rPr>
        <w:t>第九条  乙方的声明与保证</w:t>
      </w:r>
      <w:bookmarkEnd w:id="271"/>
    </w:p>
    <w:p w14:paraId="2DA3192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乙方向甲方做出如下声明与保证：</w:t>
      </w:r>
    </w:p>
    <w:p w14:paraId="71033E2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9.1乙方完全具有本合同项下项目实施的技术资质与实力，包括开发技术人员、硬件设施等。</w:t>
      </w:r>
    </w:p>
    <w:p w14:paraId="3DD04FE3">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78ABDB0F">
      <w:pPr>
        <w:spacing w:line="360" w:lineRule="auto"/>
        <w:ind w:firstLine="420" w:firstLineChars="200"/>
        <w:rPr>
          <w:rFonts w:ascii="宋体" w:eastAsia="宋体"/>
          <w:color w:val="auto"/>
          <w:spacing w:val="0"/>
          <w:highlight w:val="none"/>
        </w:rPr>
      </w:pPr>
      <w:r>
        <w:rPr>
          <w:rStyle w:val="47"/>
          <w:rFonts w:hint="eastAsia" w:ascii="宋体" w:eastAsia="宋体"/>
          <w:color w:val="auto"/>
          <w:spacing w:val="0"/>
          <w:kern w:val="0"/>
          <w:highlight w:val="none"/>
        </w:rPr>
        <w:t>9.3乙方在本项目中【使用/未使用】第三方</w:t>
      </w:r>
      <w:r>
        <w:rPr>
          <w:rStyle w:val="47"/>
          <w:rFonts w:ascii="宋体" w:eastAsia="宋体"/>
          <w:color w:val="auto"/>
          <w:spacing w:val="0"/>
          <w:kern w:val="0"/>
          <w:highlight w:val="none"/>
        </w:rPr>
        <w:t>产品</w:t>
      </w:r>
      <w:r>
        <w:rPr>
          <w:rStyle w:val="47"/>
          <w:rFonts w:hint="eastAsia" w:ascii="宋体" w:eastAsia="宋体"/>
          <w:color w:val="auto"/>
          <w:spacing w:val="0"/>
          <w:kern w:val="0"/>
          <w:highlight w:val="none"/>
        </w:rPr>
        <w:t>，</w:t>
      </w:r>
      <w:r>
        <w:rPr>
          <w:rStyle w:val="47"/>
          <w:rFonts w:ascii="宋体" w:eastAsia="宋体"/>
          <w:color w:val="auto"/>
          <w:spacing w:val="0"/>
          <w:kern w:val="0"/>
          <w:highlight w:val="none"/>
        </w:rPr>
        <w:t>包括第三方</w:t>
      </w:r>
      <w:r>
        <w:rPr>
          <w:rStyle w:val="47"/>
          <w:rFonts w:hint="eastAsia" w:ascii="宋体" w:eastAsia="宋体"/>
          <w:color w:val="auto"/>
          <w:spacing w:val="0"/>
          <w:kern w:val="0"/>
          <w:highlight w:val="none"/>
        </w:rPr>
        <w:t>SDK、小程序、软件、开源组件等，（若选择【使用】请列举）例：第三方SDK：XXXX、XXX；第三方小程序：XXX等。</w:t>
      </w:r>
      <w:r>
        <w:rPr>
          <w:rFonts w:hint="eastAsia" w:ascii="宋体" w:eastAsia="宋体"/>
          <w:color w:val="auto"/>
          <w:spacing w:val="0"/>
          <w:highlight w:val="none"/>
        </w:rPr>
        <w:t>若乙方在项目中使用了第三方产品，乙方须按如下要求执行：</w:t>
      </w:r>
    </w:p>
    <w:p w14:paraId="07E94E52">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（1）针对第三方SDK：乙方应开展安全评估和个人信息保护评估，并提供无中高风险的评估报告；</w:t>
      </w:r>
    </w:p>
    <w:p w14:paraId="62D3A5C4">
      <w:pPr>
        <w:spacing w:line="360" w:lineRule="auto"/>
        <w:ind w:firstLine="420" w:firstLineChars="200"/>
        <w:rPr>
          <w:rFonts w:ascii="宋体" w:eastAsia="宋体"/>
          <w:color w:val="auto"/>
          <w:spacing w:val="0"/>
          <w:highlight w:val="none"/>
        </w:rPr>
      </w:pPr>
      <w:r>
        <w:rPr>
          <w:rFonts w:hint="eastAsia" w:ascii="宋体" w:eastAsia="宋体"/>
          <w:color w:val="auto"/>
          <w:spacing w:val="0"/>
          <w:highlight w:val="none"/>
        </w:rPr>
        <w:t>（2）针对第三方小程序：乙方应开展安全评估，并提供无中高风险漏洞的安全评估报告。</w:t>
      </w:r>
    </w:p>
    <w:p w14:paraId="72DFA2D4">
      <w:pPr>
        <w:spacing w:line="360" w:lineRule="auto"/>
        <w:ind w:firstLine="420" w:firstLineChars="200"/>
        <w:rPr>
          <w:rStyle w:val="47"/>
          <w:rFonts w:ascii="宋体" w:eastAsia="宋体"/>
          <w:color w:val="auto"/>
          <w:spacing w:val="0"/>
          <w:kern w:val="0"/>
          <w:highlight w:val="none"/>
        </w:rPr>
      </w:pPr>
      <w:r>
        <w:rPr>
          <w:rFonts w:hint="eastAsia" w:ascii="宋体" w:eastAsia="宋体"/>
          <w:color w:val="auto"/>
          <w:spacing w:val="0"/>
          <w:highlight w:val="none"/>
        </w:rPr>
        <w:t>（</w:t>
      </w:r>
      <w:r>
        <w:rPr>
          <w:rFonts w:ascii="宋体" w:eastAsia="宋体"/>
          <w:color w:val="auto"/>
          <w:spacing w:val="0"/>
          <w:highlight w:val="none"/>
        </w:rPr>
        <w:t>3</w:t>
      </w:r>
      <w:r>
        <w:rPr>
          <w:rFonts w:hint="eastAsia" w:ascii="宋体" w:eastAsia="宋体"/>
          <w:color w:val="auto"/>
          <w:spacing w:val="0"/>
          <w:highlight w:val="none"/>
        </w:rPr>
        <w:t>）若</w:t>
      </w:r>
      <w:r>
        <w:rPr>
          <w:rStyle w:val="47"/>
          <w:rFonts w:hint="eastAsia" w:ascii="宋体" w:eastAsia="宋体"/>
          <w:color w:val="auto"/>
          <w:spacing w:val="0"/>
          <w:kern w:val="0"/>
          <w:highlight w:val="none"/>
        </w:rPr>
        <w:t>第三方产品出现安全漏洞</w:t>
      </w:r>
      <w:r>
        <w:rPr>
          <w:rFonts w:hint="eastAsia" w:ascii="宋体" w:eastAsia="宋体"/>
          <w:color w:val="auto"/>
          <w:spacing w:val="0"/>
          <w:highlight w:val="none"/>
        </w:rPr>
        <w:t>或违反个人信息保护相关法规，</w:t>
      </w:r>
      <w:r>
        <w:rPr>
          <w:rStyle w:val="47"/>
          <w:rFonts w:hint="eastAsia" w:ascii="宋体" w:eastAsia="宋体"/>
          <w:color w:val="auto"/>
          <w:spacing w:val="0"/>
          <w:kern w:val="0"/>
          <w:highlight w:val="none"/>
        </w:rPr>
        <w:t>甲方有权要求乙方进行修复，若因此给甲方造成损失的，甲方有权随时向乙方追偿。</w:t>
      </w:r>
    </w:p>
    <w:p w14:paraId="087FC931">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9</w:t>
      </w:r>
      <w:r>
        <w:rPr>
          <w:rStyle w:val="47"/>
          <w:rFonts w:ascii="宋体" w:eastAsia="宋体"/>
          <w:color w:val="auto"/>
          <w:spacing w:val="0"/>
          <w:kern w:val="0"/>
          <w:highlight w:val="none"/>
        </w:rPr>
        <w:t>.4</w:t>
      </w:r>
      <w:r>
        <w:rPr>
          <w:rStyle w:val="47"/>
          <w:rFonts w:hint="eastAsia" w:ascii="宋体" w:eastAsia="宋体"/>
          <w:color w:val="auto"/>
          <w:spacing w:val="0"/>
          <w:kern w:val="0"/>
          <w:highlight w:val="none"/>
        </w:rPr>
        <w:t>乙方保证向甲方提供的项目产品（含第三方产品）的安全性、合规性，保证无恶意脚本、后门及恶意漏洞，不携带任何病毒，不越权收集、处理客户信息。</w:t>
      </w:r>
    </w:p>
    <w:p w14:paraId="0A9BECD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9.5乙方向甲方提供的产品和服务不会有任何第三方主张权利，也不会侵害任何第三方的合法权益，包括知识产权。</w:t>
      </w:r>
    </w:p>
    <w:p w14:paraId="2E1502A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6</w:t>
      </w:r>
      <w:r>
        <w:rPr>
          <w:rFonts w:hint="eastAsia" w:ascii="宋体" w:eastAsia="宋体"/>
          <w:color w:val="auto"/>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14:paraId="4FEF2A0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7</w:t>
      </w:r>
      <w:r>
        <w:rPr>
          <w:rFonts w:hint="eastAsia" w:ascii="宋体" w:eastAsia="宋体"/>
          <w:color w:val="auto"/>
          <w:spacing w:val="0"/>
          <w:highlight w:val="none"/>
        </w:rPr>
        <w:t xml:space="preserve"> 乙方保证其人员无不良记录，服务商与其建立合法的雇佣关系，依法履行用工管理职责。</w:t>
      </w:r>
    </w:p>
    <w:p w14:paraId="3DAA45B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9.</w:t>
      </w:r>
      <w:r>
        <w:rPr>
          <w:rFonts w:ascii="宋体" w:eastAsia="宋体"/>
          <w:color w:val="auto"/>
          <w:spacing w:val="0"/>
          <w:highlight w:val="none"/>
        </w:rPr>
        <w:t>8</w:t>
      </w:r>
      <w:r>
        <w:rPr>
          <w:rFonts w:hint="eastAsia" w:ascii="宋体" w:eastAsia="宋体"/>
          <w:color w:val="auto"/>
          <w:spacing w:val="0"/>
          <w:highlight w:val="none"/>
        </w:rPr>
        <w:t xml:space="preserve"> 乙方定期通报外包事项，及时通报外包突发性事件及解决情况。</w:t>
      </w:r>
    </w:p>
    <w:p w14:paraId="495FDE3D">
      <w:pPr>
        <w:spacing w:line="360" w:lineRule="auto"/>
        <w:ind w:left="560" w:hanging="560"/>
        <w:rPr>
          <w:rFonts w:hint="eastAsia" w:ascii="宋体" w:eastAsia="宋体"/>
          <w:color w:val="auto"/>
          <w:spacing w:val="0"/>
          <w:highlight w:val="none"/>
        </w:rPr>
      </w:pPr>
    </w:p>
    <w:p w14:paraId="54E3ADC6">
      <w:pPr>
        <w:spacing w:line="360" w:lineRule="auto"/>
        <w:ind w:firstLine="413" w:firstLineChars="196"/>
        <w:outlineLvl w:val="1"/>
        <w:rPr>
          <w:rFonts w:hint="eastAsia" w:ascii="宋体" w:eastAsia="宋体"/>
          <w:b/>
          <w:color w:val="auto"/>
          <w:spacing w:val="0"/>
          <w:highlight w:val="none"/>
        </w:rPr>
      </w:pPr>
      <w:bookmarkStart w:id="272" w:name="_Toc63757466"/>
      <w:r>
        <w:rPr>
          <w:rFonts w:hint="eastAsia" w:ascii="宋体" w:eastAsia="宋体"/>
          <w:b/>
          <w:color w:val="auto"/>
          <w:spacing w:val="0"/>
          <w:highlight w:val="none"/>
        </w:rPr>
        <w:t>第十条  知识产权</w:t>
      </w:r>
      <w:bookmarkEnd w:id="272"/>
    </w:p>
    <w:p w14:paraId="41C7759E">
      <w:pPr>
        <w:spacing w:line="360" w:lineRule="auto"/>
        <w:ind w:firstLine="420" w:firstLineChars="200"/>
        <w:rPr>
          <w:rStyle w:val="47"/>
          <w:rFonts w:ascii="宋体" w:eastAsia="宋体"/>
          <w:color w:val="auto"/>
          <w:spacing w:val="0"/>
          <w:kern w:val="0"/>
          <w:highlight w:val="none"/>
        </w:rPr>
      </w:pPr>
      <w:r>
        <w:rPr>
          <w:rStyle w:val="47"/>
          <w:rFonts w:hint="eastAsia" w:ascii="宋体" w:eastAsia="宋体"/>
          <w:color w:val="auto"/>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5CE78FF2">
      <w:pPr>
        <w:spacing w:line="360" w:lineRule="auto"/>
        <w:ind w:firstLine="420" w:firstLineChars="200"/>
        <w:rPr>
          <w:rStyle w:val="47"/>
          <w:rFonts w:hint="eastAsia" w:ascii="宋体" w:eastAsia="宋体"/>
          <w:color w:val="auto"/>
          <w:spacing w:val="0"/>
          <w:highlight w:val="none"/>
        </w:rPr>
      </w:pPr>
      <w:r>
        <w:rPr>
          <w:rFonts w:ascii="宋体" w:eastAsia="宋体"/>
          <w:color w:val="auto"/>
          <w:spacing w:val="0"/>
          <w:highlight w:val="none"/>
        </w:rPr>
        <w:t>10</w:t>
      </w:r>
      <w:r>
        <w:rPr>
          <w:rFonts w:hint="eastAsia" w:ascii="宋体" w:eastAsia="宋体"/>
          <w:color w:val="auto"/>
          <w:spacing w:val="0"/>
          <w:highlight w:val="none"/>
        </w:rPr>
        <w:t>.</w:t>
      </w:r>
      <w:r>
        <w:rPr>
          <w:rFonts w:ascii="宋体" w:eastAsia="宋体"/>
          <w:color w:val="auto"/>
          <w:spacing w:val="0"/>
          <w:highlight w:val="none"/>
        </w:rPr>
        <w:t xml:space="preserve">2 </w:t>
      </w:r>
      <w:r>
        <w:rPr>
          <w:rFonts w:hint="eastAsia" w:ascii="宋体" w:eastAsia="宋体"/>
          <w:color w:val="auto"/>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8C7BF23">
      <w:pPr>
        <w:spacing w:line="360" w:lineRule="auto"/>
        <w:ind w:firstLine="420" w:firstLineChars="200"/>
        <w:rPr>
          <w:rStyle w:val="47"/>
          <w:rFonts w:ascii="宋体" w:eastAsia="宋体"/>
          <w:color w:val="auto"/>
          <w:spacing w:val="0"/>
          <w:highlight w:val="none"/>
        </w:rPr>
      </w:pPr>
      <w:r>
        <w:rPr>
          <w:rFonts w:hint="eastAsia" w:ascii="宋体" w:eastAsia="宋体"/>
          <w:color w:val="auto"/>
          <w:spacing w:val="0"/>
          <w:highlight w:val="none"/>
        </w:rPr>
        <w:t>10.</w:t>
      </w:r>
      <w:r>
        <w:rPr>
          <w:rFonts w:ascii="宋体" w:eastAsia="宋体"/>
          <w:color w:val="auto"/>
          <w:spacing w:val="0"/>
          <w:highlight w:val="none"/>
        </w:rPr>
        <w:t>3</w:t>
      </w:r>
      <w:r>
        <w:rPr>
          <w:rFonts w:hint="eastAsia" w:ascii="宋体" w:eastAsia="宋体"/>
          <w:color w:val="auto"/>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47"/>
          <w:rFonts w:hint="eastAsia" w:ascii="宋体" w:eastAsia="宋体"/>
          <w:color w:val="auto"/>
          <w:spacing w:val="0"/>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6F627BA5">
      <w:pPr>
        <w:spacing w:line="360" w:lineRule="auto"/>
        <w:ind w:firstLine="420" w:firstLineChars="200"/>
        <w:rPr>
          <w:rStyle w:val="47"/>
          <w:rFonts w:ascii="宋体" w:eastAsia="宋体"/>
          <w:color w:val="auto"/>
          <w:spacing w:val="0"/>
          <w:highlight w:val="none"/>
        </w:rPr>
      </w:pPr>
      <w:r>
        <w:rPr>
          <w:rStyle w:val="47"/>
          <w:rFonts w:hint="eastAsia" w:ascii="宋体" w:eastAsia="宋体"/>
          <w:color w:val="auto"/>
          <w:spacing w:val="0"/>
          <w:highlight w:val="none"/>
        </w:rPr>
        <w:t>1</w:t>
      </w:r>
      <w:r>
        <w:rPr>
          <w:rStyle w:val="47"/>
          <w:rFonts w:ascii="宋体" w:eastAsia="宋体"/>
          <w:color w:val="auto"/>
          <w:spacing w:val="0"/>
          <w:highlight w:val="none"/>
        </w:rPr>
        <w:t>0.4本项目</w:t>
      </w:r>
      <w:r>
        <w:rPr>
          <w:rStyle w:val="47"/>
          <w:rFonts w:hint="eastAsia" w:ascii="宋体" w:eastAsia="宋体"/>
          <w:color w:val="auto"/>
          <w:spacing w:val="0"/>
          <w:highlight w:val="none"/>
        </w:rPr>
        <w:t>客户化源代码的知识产权归甲方单独所有，其余部分归双方共有。</w:t>
      </w:r>
    </w:p>
    <w:p w14:paraId="677D7D64">
      <w:pPr>
        <w:spacing w:line="360" w:lineRule="auto"/>
        <w:ind w:firstLine="420" w:firstLineChars="200"/>
        <w:rPr>
          <w:rStyle w:val="47"/>
          <w:rFonts w:ascii="宋体" w:eastAsia="宋体"/>
          <w:color w:val="auto"/>
          <w:spacing w:val="0"/>
          <w:kern w:val="0"/>
          <w:highlight w:val="none"/>
        </w:rPr>
      </w:pPr>
      <w:r>
        <w:rPr>
          <w:rStyle w:val="47"/>
          <w:rFonts w:hint="eastAsia" w:ascii="宋体" w:eastAsia="宋体"/>
          <w:color w:val="auto"/>
          <w:spacing w:val="0"/>
          <w:highlight w:val="none"/>
        </w:rPr>
        <w:t>1</w:t>
      </w:r>
      <w:r>
        <w:rPr>
          <w:rStyle w:val="47"/>
          <w:rFonts w:ascii="宋体" w:eastAsia="宋体"/>
          <w:color w:val="auto"/>
          <w:spacing w:val="0"/>
          <w:highlight w:val="none"/>
        </w:rPr>
        <w:t>0.4.1</w:t>
      </w:r>
      <w:r>
        <w:rPr>
          <w:rStyle w:val="47"/>
          <w:rFonts w:hint="eastAsia" w:ascii="宋体" w:eastAsia="宋体"/>
          <w:color w:val="auto"/>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B4974F3">
      <w:pPr>
        <w:spacing w:line="360" w:lineRule="auto"/>
        <w:ind w:firstLine="420" w:firstLineChars="200"/>
        <w:rPr>
          <w:rStyle w:val="47"/>
          <w:rFonts w:hint="eastAsia" w:ascii="宋体" w:eastAsia="宋体"/>
          <w:color w:val="auto"/>
          <w:spacing w:val="0"/>
          <w:highlight w:val="none"/>
        </w:rPr>
      </w:pPr>
      <w:r>
        <w:rPr>
          <w:rStyle w:val="47"/>
          <w:rFonts w:ascii="宋体" w:eastAsia="宋体"/>
          <w:color w:val="auto"/>
          <w:spacing w:val="0"/>
          <w:highlight w:val="none"/>
        </w:rPr>
        <w:t>10.4.2</w:t>
      </w:r>
      <w:r>
        <w:rPr>
          <w:rStyle w:val="47"/>
          <w:rFonts w:hint="eastAsia" w:ascii="宋体" w:eastAsia="宋体"/>
          <w:color w:val="auto"/>
          <w:spacing w:val="0"/>
          <w:highlight w:val="none"/>
        </w:rPr>
        <w:t>针对共有部分，甲方拥有在甲方及其分支机构使用及后续开发的权利，</w:t>
      </w:r>
      <w:r>
        <w:rPr>
          <w:rFonts w:hint="eastAsia" w:ascii="宋体" w:eastAsia="宋体"/>
          <w:color w:val="auto"/>
          <w:spacing w:val="0"/>
          <w:highlight w:val="none"/>
        </w:rPr>
        <w:t>甲方在乙方交付的系统版本上进行自主开发或交由第三方公司开发，开发成果的知识产权归甲方所有。</w:t>
      </w:r>
      <w:r>
        <w:rPr>
          <w:rStyle w:val="47"/>
          <w:rFonts w:hint="eastAsia" w:ascii="宋体" w:eastAsia="宋体"/>
          <w:color w:val="auto"/>
          <w:spacing w:val="0"/>
          <w:highlight w:val="none"/>
        </w:rPr>
        <w:t>乙方拥有在其公司和其他组织范围内使用的权利，但乙方使用时不得侵犯甲方利益。</w:t>
      </w:r>
    </w:p>
    <w:p w14:paraId="63354F4C">
      <w:pPr>
        <w:spacing w:line="360" w:lineRule="auto"/>
        <w:ind w:firstLine="420" w:firstLineChars="200"/>
        <w:rPr>
          <w:rFonts w:hint="eastAsia" w:ascii="宋体" w:eastAsia="宋体"/>
          <w:color w:val="auto"/>
          <w:spacing w:val="0"/>
          <w:kern w:val="0"/>
          <w:highlight w:val="none"/>
        </w:rPr>
      </w:pPr>
      <w:r>
        <w:rPr>
          <w:rStyle w:val="47"/>
          <w:rFonts w:ascii="宋体" w:eastAsia="宋体"/>
          <w:color w:val="auto"/>
          <w:spacing w:val="0"/>
          <w:highlight w:val="none"/>
        </w:rPr>
        <w:t>10.4.</w:t>
      </w:r>
      <w:r>
        <w:rPr>
          <w:rStyle w:val="47"/>
          <w:rFonts w:hint="eastAsia" w:ascii="宋体" w:eastAsia="宋体"/>
          <w:color w:val="auto"/>
          <w:spacing w:val="0"/>
          <w:highlight w:val="none"/>
        </w:rPr>
        <w:t>3</w:t>
      </w:r>
      <w:r>
        <w:rPr>
          <w:rStyle w:val="47"/>
          <w:rFonts w:hint="eastAsia" w:eastAsia="宋体"/>
          <w:color w:val="auto"/>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A3950C2">
      <w:pPr>
        <w:spacing w:line="360" w:lineRule="auto"/>
        <w:rPr>
          <w:rFonts w:hint="eastAsia" w:ascii="宋体" w:eastAsia="宋体"/>
          <w:b/>
          <w:color w:val="auto"/>
          <w:spacing w:val="0"/>
          <w:highlight w:val="none"/>
        </w:rPr>
      </w:pPr>
    </w:p>
    <w:p w14:paraId="1988B72C">
      <w:pPr>
        <w:spacing w:line="360" w:lineRule="auto"/>
        <w:ind w:firstLine="413" w:firstLineChars="196"/>
        <w:outlineLvl w:val="1"/>
        <w:rPr>
          <w:rFonts w:hint="eastAsia" w:ascii="宋体" w:eastAsia="宋体"/>
          <w:b/>
          <w:color w:val="auto"/>
          <w:spacing w:val="0"/>
          <w:highlight w:val="none"/>
        </w:rPr>
      </w:pPr>
      <w:bookmarkStart w:id="273" w:name="_Toc63757467"/>
      <w:r>
        <w:rPr>
          <w:rFonts w:hint="eastAsia" w:ascii="宋体" w:eastAsia="宋体"/>
          <w:b/>
          <w:color w:val="auto"/>
          <w:spacing w:val="0"/>
          <w:highlight w:val="none"/>
        </w:rPr>
        <w:t>第十一条  第三方索赔</w:t>
      </w:r>
      <w:bookmarkEnd w:id="273"/>
    </w:p>
    <w:p w14:paraId="30BB08B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4F654D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11.2对于第11.1条涉及的侵权索赔，乙方将承担全部费用，包括</w:t>
      </w:r>
      <w:r>
        <w:rPr>
          <w:rStyle w:val="47"/>
          <w:rFonts w:hint="eastAsia" w:ascii="宋体" w:eastAsia="宋体"/>
          <w:color w:val="auto"/>
          <w:spacing w:val="0"/>
          <w:kern w:val="0"/>
          <w:highlight w:val="none"/>
        </w:rPr>
        <w:t>诉讼费、仲裁费、甲方支付的律师费、差旅住宿费、公证费、鉴定费、调解费及仲裁裁决、法院判决或调解协议中由甲方承担的赔偿金。</w:t>
      </w:r>
    </w:p>
    <w:p w14:paraId="790C8AD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7"/>
          <w:rFonts w:hint="eastAsia" w:ascii="宋体" w:eastAsia="宋体"/>
          <w:color w:val="auto"/>
          <w:spacing w:val="0"/>
          <w:kern w:val="0"/>
          <w:highlight w:val="none"/>
        </w:rPr>
        <w:t>部损失</w:t>
      </w:r>
      <w:r>
        <w:rPr>
          <w:rFonts w:hint="eastAsia" w:ascii="宋体" w:eastAsia="宋体"/>
          <w:color w:val="auto"/>
          <w:spacing w:val="0"/>
          <w:highlight w:val="none"/>
        </w:rPr>
        <w:t>。</w:t>
      </w:r>
    </w:p>
    <w:p w14:paraId="7439DC3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11.4乙方对由以下非乙方的过错引起的侵权索赔不承担责任：</w:t>
      </w:r>
    </w:p>
    <w:p w14:paraId="6EA53DBA">
      <w:pPr>
        <w:spacing w:line="360" w:lineRule="auto"/>
        <w:ind w:firstLine="420" w:firstLineChars="200"/>
        <w:outlineLvl w:val="3"/>
        <w:rPr>
          <w:rFonts w:hint="eastAsia" w:ascii="宋体" w:eastAsia="宋体"/>
          <w:color w:val="auto"/>
          <w:spacing w:val="0"/>
          <w:highlight w:val="none"/>
        </w:rPr>
      </w:pPr>
      <w:r>
        <w:rPr>
          <w:rStyle w:val="47"/>
          <w:rFonts w:hint="eastAsia" w:ascii="宋体" w:eastAsia="宋体"/>
          <w:color w:val="auto"/>
          <w:spacing w:val="0"/>
          <w:kern w:val="0"/>
          <w:highlight w:val="none"/>
        </w:rPr>
        <w:t>11.4.1 甲方使用不当所造成的侵权。</w:t>
      </w:r>
    </w:p>
    <w:p w14:paraId="0B8FCC0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11.4.2 因甲方或第三方对开发软件或资料进行修改所直接造成的侵权。</w:t>
      </w:r>
    </w:p>
    <w:p w14:paraId="4A11B22E">
      <w:pPr>
        <w:spacing w:line="360" w:lineRule="auto"/>
        <w:ind w:left="840" w:hanging="840"/>
        <w:rPr>
          <w:rFonts w:hint="eastAsia" w:ascii="宋体" w:eastAsia="宋体"/>
          <w:color w:val="auto"/>
          <w:spacing w:val="0"/>
          <w:highlight w:val="none"/>
        </w:rPr>
      </w:pPr>
    </w:p>
    <w:p w14:paraId="61901378">
      <w:pPr>
        <w:spacing w:line="360" w:lineRule="auto"/>
        <w:ind w:firstLine="413" w:firstLineChars="196"/>
        <w:outlineLvl w:val="1"/>
        <w:rPr>
          <w:rFonts w:hint="eastAsia" w:ascii="宋体" w:eastAsia="宋体"/>
          <w:b/>
          <w:color w:val="auto"/>
          <w:spacing w:val="0"/>
          <w:highlight w:val="none"/>
        </w:rPr>
      </w:pPr>
      <w:bookmarkStart w:id="274" w:name="_Toc63757468"/>
      <w:r>
        <w:rPr>
          <w:rFonts w:hint="eastAsia" w:ascii="宋体" w:eastAsia="宋体"/>
          <w:b/>
          <w:color w:val="auto"/>
          <w:spacing w:val="0"/>
          <w:highlight w:val="none"/>
        </w:rPr>
        <w:t>第十二条  保密</w:t>
      </w:r>
      <w:bookmarkEnd w:id="274"/>
    </w:p>
    <w:p w14:paraId="34A5A94E">
      <w:pPr>
        <w:spacing w:line="360" w:lineRule="auto"/>
        <w:ind w:firstLine="420" w:firstLineChars="200"/>
        <w:rPr>
          <w:rFonts w:hint="eastAsia" w:ascii="宋体" w:eastAsia="宋体"/>
          <w:bCs/>
          <w:color w:val="auto"/>
          <w:spacing w:val="0"/>
          <w:kern w:val="0"/>
          <w:highlight w:val="none"/>
        </w:rPr>
      </w:pPr>
      <w:r>
        <w:rPr>
          <w:rFonts w:hint="eastAsia" w:ascii="宋体" w:eastAsia="宋体"/>
          <w:bCs/>
          <w:color w:val="auto"/>
          <w:spacing w:val="0"/>
          <w:kern w:val="0"/>
          <w:highlight w:val="none"/>
        </w:rPr>
        <w:t>12.1乙方须对本合同项下的所有条款保密。乙方人员入场前须与甲方签订相应诚信安全承诺书。</w:t>
      </w:r>
    </w:p>
    <w:p w14:paraId="6FD5E924">
      <w:pPr>
        <w:tabs>
          <w:tab w:val="left" w:pos="1134"/>
        </w:tabs>
        <w:spacing w:line="360" w:lineRule="auto"/>
        <w:ind w:firstLine="420" w:firstLineChars="200"/>
        <w:rPr>
          <w:rFonts w:ascii="宋体" w:eastAsia="宋体"/>
          <w:color w:val="auto"/>
          <w:spacing w:val="0"/>
          <w:kern w:val="0"/>
          <w:highlight w:val="none"/>
        </w:rPr>
      </w:pPr>
      <w:r>
        <w:rPr>
          <w:rFonts w:hint="eastAsia" w:ascii="宋体" w:eastAsia="宋体"/>
          <w:color w:val="auto"/>
          <w:spacing w:val="0"/>
          <w:kern w:val="0"/>
          <w:highlight w:val="none"/>
        </w:rPr>
        <w:t>12.</w:t>
      </w:r>
      <w:r>
        <w:rPr>
          <w:rFonts w:ascii="宋体" w:eastAsia="宋体"/>
          <w:color w:val="auto"/>
          <w:spacing w:val="0"/>
          <w:kern w:val="0"/>
          <w:highlight w:val="none"/>
        </w:rPr>
        <w:t>2</w:t>
      </w:r>
      <w:r>
        <w:rPr>
          <w:rFonts w:hint="eastAsia" w:ascii="宋体" w:eastAsia="宋体"/>
          <w:color w:val="auto"/>
          <w:spacing w:val="0"/>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4EEBD6D0">
      <w:pPr>
        <w:spacing w:line="360" w:lineRule="auto"/>
        <w:ind w:firstLine="420" w:firstLineChars="200"/>
        <w:rPr>
          <w:rFonts w:hint="eastAsia" w:ascii="宋体" w:eastAsia="宋体"/>
          <w:bCs/>
          <w:color w:val="auto"/>
          <w:spacing w:val="0"/>
          <w:kern w:val="0"/>
          <w:highlight w:val="none"/>
        </w:rPr>
      </w:pPr>
      <w:r>
        <w:rPr>
          <w:rFonts w:hint="eastAsia" w:ascii="宋体" w:eastAsia="宋体"/>
          <w:bCs/>
          <w:color w:val="auto"/>
          <w:spacing w:val="0"/>
          <w:kern w:val="0"/>
          <w:highlight w:val="none"/>
        </w:rPr>
        <w:t>12.</w:t>
      </w:r>
      <w:r>
        <w:rPr>
          <w:rFonts w:ascii="宋体" w:eastAsia="宋体"/>
          <w:bCs/>
          <w:color w:val="auto"/>
          <w:spacing w:val="0"/>
          <w:kern w:val="0"/>
          <w:highlight w:val="none"/>
        </w:rPr>
        <w:t>3</w:t>
      </w:r>
      <w:r>
        <w:rPr>
          <w:rFonts w:hint="eastAsia" w:ascii="宋体" w:eastAsia="宋体"/>
          <w:bCs/>
          <w:color w:val="auto"/>
          <w:spacing w:val="0"/>
          <w:kern w:val="0"/>
          <w:highlight w:val="none"/>
        </w:rPr>
        <w:t xml:space="preserve"> 乙方不得以甲方名义开展活动，不得将甲方数据、信息以任何形式转移、挪用或谋取合同约定以外的利益。</w:t>
      </w:r>
    </w:p>
    <w:p w14:paraId="29210249">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12.4乙方知道违反本条规定将给甲方客户权利以及甲方造成难以弥补的损失，为此同意承担由此产生的经济上和法律上的责任和损失。</w:t>
      </w:r>
    </w:p>
    <w:p w14:paraId="0BB62108">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12.5乙方承认本合同中的技术资料和技术秘密为甲方所专有，将其对乙方进行披露并不意味着任何所有权、专利权的转让。</w:t>
      </w:r>
    </w:p>
    <w:p w14:paraId="442DA9E1">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3ABB8701">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199130F">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12.8除非甲方特别声明，乙方对于保密信息的保密义务为无限期保密，直至甲方宣布解密或者保密信息实际上已经公开。</w:t>
      </w:r>
    </w:p>
    <w:p w14:paraId="36D4733A">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12.9 本合同项下乙方人员行为视为乙方行为，乙方应承担全部责任及损失。当客户信息不安全或客户权利受到重大不利影响时，甲方有权随时终止合同。</w:t>
      </w:r>
    </w:p>
    <w:p w14:paraId="5395530E">
      <w:pPr>
        <w:spacing w:line="360" w:lineRule="auto"/>
        <w:ind w:left="1260" w:leftChars="200" w:hanging="840" w:hangingChars="400"/>
        <w:rPr>
          <w:rFonts w:hint="eastAsia" w:ascii="宋体" w:eastAsia="宋体"/>
          <w:color w:val="auto"/>
          <w:spacing w:val="0"/>
          <w:highlight w:val="none"/>
        </w:rPr>
      </w:pPr>
    </w:p>
    <w:p w14:paraId="349D7448">
      <w:pPr>
        <w:spacing w:line="360" w:lineRule="auto"/>
        <w:ind w:firstLine="413" w:firstLineChars="196"/>
        <w:outlineLvl w:val="1"/>
        <w:rPr>
          <w:rFonts w:hint="eastAsia" w:ascii="宋体" w:eastAsia="宋体"/>
          <w:b/>
          <w:color w:val="auto"/>
          <w:spacing w:val="0"/>
          <w:highlight w:val="none"/>
        </w:rPr>
      </w:pPr>
      <w:bookmarkStart w:id="275" w:name="_Toc63757469"/>
      <w:r>
        <w:rPr>
          <w:rFonts w:hint="eastAsia" w:ascii="宋体" w:eastAsia="宋体"/>
          <w:b/>
          <w:color w:val="auto"/>
          <w:spacing w:val="0"/>
          <w:highlight w:val="none"/>
        </w:rPr>
        <w:t>第十三条  价格与支付</w:t>
      </w:r>
      <w:bookmarkEnd w:id="275"/>
    </w:p>
    <w:p w14:paraId="0479E1B6">
      <w:pPr>
        <w:spacing w:line="360" w:lineRule="auto"/>
        <w:ind w:firstLine="420" w:firstLineChars="200"/>
        <w:jc w:val="left"/>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13.1本项目产品实施总金额（价税合计）为</w:t>
      </w:r>
      <w:r>
        <w:rPr>
          <w:rStyle w:val="47"/>
          <w:rFonts w:hint="eastAsia" w:ascii="宋体" w:eastAsia="宋体"/>
          <w:color w:val="auto"/>
          <w:spacing w:val="0"/>
          <w:kern w:val="0"/>
          <w:highlight w:val="none"/>
          <w:u w:val="single"/>
        </w:rPr>
        <w:t xml:space="preserve">       </w:t>
      </w:r>
      <w:r>
        <w:rPr>
          <w:rStyle w:val="47"/>
          <w:rFonts w:hint="eastAsia" w:ascii="宋体" w:eastAsia="宋体"/>
          <w:color w:val="auto"/>
          <w:spacing w:val="0"/>
          <w:szCs w:val="2"/>
          <w:highlight w:val="none"/>
          <w:u w:val="single"/>
        </w:rPr>
        <w:t>元</w:t>
      </w:r>
      <w:r>
        <w:rPr>
          <w:rStyle w:val="47"/>
          <w:rFonts w:hint="eastAsia" w:ascii="宋体" w:eastAsia="宋体"/>
          <w:color w:val="auto"/>
          <w:spacing w:val="0"/>
          <w:kern w:val="0"/>
          <w:highlight w:val="none"/>
          <w:u w:val="single"/>
        </w:rPr>
        <w:t>（大写：         元整）</w:t>
      </w:r>
      <w:r>
        <w:rPr>
          <w:rStyle w:val="47"/>
          <w:rFonts w:hint="eastAsia" w:ascii="宋体" w:eastAsia="宋体"/>
          <w:color w:val="auto"/>
          <w:spacing w:val="0"/>
          <w:kern w:val="0"/>
          <w:highlight w:val="none"/>
        </w:rPr>
        <w:t>。</w:t>
      </w:r>
      <w:r>
        <w:rPr>
          <w:rStyle w:val="47"/>
          <w:rFonts w:hint="eastAsia" w:ascii="宋体" w:eastAsia="宋体"/>
          <w:color w:val="auto"/>
          <w:spacing w:val="0"/>
          <w:szCs w:val="2"/>
          <w:highlight w:val="none"/>
        </w:rPr>
        <w:t>不含税价为：</w:t>
      </w:r>
      <w:r>
        <w:rPr>
          <w:rStyle w:val="47"/>
          <w:rFonts w:hint="eastAsia" w:ascii="宋体" w:eastAsia="宋体"/>
          <w:color w:val="auto"/>
          <w:spacing w:val="0"/>
          <w:szCs w:val="2"/>
          <w:highlight w:val="none"/>
          <w:u w:val="single"/>
        </w:rPr>
        <w:t xml:space="preserve">       元</w:t>
      </w:r>
      <w:r>
        <w:rPr>
          <w:rStyle w:val="47"/>
          <w:rFonts w:hint="eastAsia" w:ascii="宋体" w:eastAsia="宋体"/>
          <w:color w:val="auto"/>
          <w:spacing w:val="0"/>
          <w:szCs w:val="2"/>
          <w:highlight w:val="none"/>
        </w:rPr>
        <w:t>（</w:t>
      </w:r>
      <w:r>
        <w:rPr>
          <w:rStyle w:val="47"/>
          <w:rFonts w:hint="eastAsia" w:ascii="宋体" w:eastAsia="宋体"/>
          <w:color w:val="auto"/>
          <w:spacing w:val="0"/>
          <w:szCs w:val="2"/>
          <w:highlight w:val="none"/>
          <w:u w:val="single"/>
        </w:rPr>
        <w:t>大写：         整）</w:t>
      </w:r>
      <w:r>
        <w:rPr>
          <w:rStyle w:val="47"/>
          <w:rFonts w:hint="eastAsia" w:ascii="宋体" w:eastAsia="宋体"/>
          <w:color w:val="auto"/>
          <w:spacing w:val="0"/>
          <w:szCs w:val="2"/>
          <w:highlight w:val="none"/>
        </w:rPr>
        <w:t>,税额为：</w:t>
      </w:r>
      <w:r>
        <w:rPr>
          <w:rStyle w:val="47"/>
          <w:rFonts w:hint="eastAsia" w:ascii="宋体" w:eastAsia="宋体"/>
          <w:color w:val="auto"/>
          <w:spacing w:val="0"/>
          <w:szCs w:val="2"/>
          <w:highlight w:val="none"/>
          <w:u w:val="single"/>
        </w:rPr>
        <w:t xml:space="preserve">       元</w:t>
      </w:r>
      <w:r>
        <w:rPr>
          <w:rStyle w:val="47"/>
          <w:rFonts w:hint="eastAsia" w:ascii="宋体" w:eastAsia="宋体"/>
          <w:color w:val="auto"/>
          <w:spacing w:val="0"/>
          <w:szCs w:val="2"/>
          <w:highlight w:val="none"/>
        </w:rPr>
        <w:t>（</w:t>
      </w:r>
      <w:r>
        <w:rPr>
          <w:rStyle w:val="47"/>
          <w:rFonts w:hint="eastAsia" w:ascii="宋体" w:eastAsia="宋体"/>
          <w:color w:val="auto"/>
          <w:spacing w:val="0"/>
          <w:szCs w:val="2"/>
          <w:highlight w:val="none"/>
          <w:u w:val="single"/>
        </w:rPr>
        <w:t>大写：         整）</w:t>
      </w:r>
      <w:r>
        <w:rPr>
          <w:rStyle w:val="47"/>
          <w:rFonts w:hint="eastAsia" w:ascii="宋体" w:eastAsia="宋体"/>
          <w:color w:val="auto"/>
          <w:spacing w:val="0"/>
          <w:szCs w:val="2"/>
          <w:highlight w:val="none"/>
        </w:rPr>
        <w:t>；不含税价格不因国家税率变化而变化，若在合同履行期间，如遇国家的税率调整，则价税合计应相应调整，以开具发票的时间为准。</w:t>
      </w:r>
      <w:r>
        <w:rPr>
          <w:rStyle w:val="47"/>
          <w:rFonts w:hint="eastAsia" w:ascii="宋体" w:eastAsia="宋体"/>
          <w:color w:val="auto"/>
          <w:spacing w:val="0"/>
          <w:kern w:val="0"/>
          <w:highlight w:val="none"/>
        </w:rPr>
        <w:t>该金额为本合同约定项目的全部费用，除双方另有约定外，甲方无须向乙方支付其他任何费用。</w:t>
      </w:r>
    </w:p>
    <w:p w14:paraId="6BA2FD0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13.2支付方式：</w:t>
      </w:r>
    </w:p>
    <w:p w14:paraId="4EEE3744">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本合同实施款项采用分期付款：</w:t>
      </w:r>
    </w:p>
    <w:p w14:paraId="17DF47A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13.2.1项目安装、调试并投入试运行后30个工作日内,乙方向甲方提供合法足额的增值税专用发票，甲方向乙方支付合同总额的60％，即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w:t>
      </w:r>
    </w:p>
    <w:p w14:paraId="0C1C310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spacing w:val="0"/>
          <w:kern w:val="0"/>
          <w:highlight w:val="none"/>
        </w:rPr>
        <w:t>，</w:t>
      </w:r>
      <w:r>
        <w:rPr>
          <w:rFonts w:hint="eastAsia" w:ascii="宋体" w:eastAsia="宋体"/>
          <w:color w:val="auto"/>
          <w:spacing w:val="0"/>
          <w:highlight w:val="none"/>
        </w:rPr>
        <w:t>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w:t>
      </w:r>
    </w:p>
    <w:p w14:paraId="0217C61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eastAsia="宋体"/>
          <w:color w:val="auto"/>
          <w:spacing w:val="0"/>
          <w:highlight w:val="none"/>
          <w:u w:val="single"/>
        </w:rPr>
        <w:t xml:space="preserve">      </w:t>
      </w:r>
      <w:r>
        <w:rPr>
          <w:rFonts w:hint="eastAsia" w:ascii="宋体" w:eastAsia="宋体"/>
          <w:color w:val="auto"/>
          <w:spacing w:val="0"/>
          <w:highlight w:val="none"/>
        </w:rPr>
        <w:t>元（大写：</w:t>
      </w:r>
      <w:r>
        <w:rPr>
          <w:rFonts w:hint="eastAsia" w:ascii="宋体" w:eastAsia="宋体"/>
          <w:color w:val="auto"/>
          <w:spacing w:val="0"/>
          <w:highlight w:val="none"/>
          <w:u w:val="single"/>
        </w:rPr>
        <w:t xml:space="preserve">      元整 </w:t>
      </w:r>
      <w:r>
        <w:rPr>
          <w:rFonts w:hint="eastAsia" w:ascii="宋体" w:eastAsia="宋体"/>
          <w:color w:val="auto"/>
          <w:spacing w:val="0"/>
          <w:highlight w:val="none"/>
        </w:rPr>
        <w:t>），否则按《服务水平协议（SLA）》进行相应金额扣除（13.2.2中已扣除部分，本条不重复扣减）。</w:t>
      </w:r>
    </w:p>
    <w:p w14:paraId="1D1C85DC">
      <w:pPr>
        <w:spacing w:line="360" w:lineRule="auto"/>
        <w:ind w:firstLine="420" w:firstLineChars="200"/>
        <w:outlineLvl w:val="2"/>
        <w:rPr>
          <w:rFonts w:hint="eastAsia" w:ascii="宋体" w:eastAsia="宋体"/>
          <w:color w:val="auto"/>
          <w:spacing w:val="0"/>
          <w:highlight w:val="none"/>
        </w:rPr>
      </w:pPr>
      <w:r>
        <w:rPr>
          <w:rFonts w:hint="eastAsia" w:ascii="宋体" w:eastAsia="宋体"/>
          <w:color w:val="auto"/>
          <w:spacing w:val="0"/>
          <w:highlight w:val="none"/>
        </w:rPr>
        <w:t>13.3发票要求：</w:t>
      </w:r>
    </w:p>
    <w:p w14:paraId="189C67D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乙方须严格按照合同内容开具税率为</w:t>
      </w:r>
      <w:r>
        <w:rPr>
          <w:rFonts w:hint="eastAsia" w:ascii="宋体" w:eastAsia="宋体"/>
          <w:b/>
          <w:color w:val="auto"/>
          <w:spacing w:val="0"/>
          <w:highlight w:val="none"/>
        </w:rPr>
        <w:t>6%</w:t>
      </w:r>
      <w:r>
        <w:rPr>
          <w:rFonts w:hint="eastAsia" w:ascii="宋体" w:eastAsia="宋体"/>
          <w:color w:val="auto"/>
          <w:spacing w:val="0"/>
          <w:highlight w:val="none"/>
        </w:rPr>
        <w:t>的增值税专用发票（若遇国家税率调整另议），乙方在甲方每次付款前30个工作日需向甲方交付合法足额发票，否则甲方有权拒绝支付任何费用且不承担逾期付款违约责任。</w:t>
      </w:r>
    </w:p>
    <w:p w14:paraId="54B1BE41">
      <w:pPr>
        <w:spacing w:line="360" w:lineRule="auto"/>
        <w:rPr>
          <w:rFonts w:hint="eastAsia" w:ascii="宋体" w:eastAsia="宋体"/>
          <w:color w:val="auto"/>
          <w:spacing w:val="0"/>
          <w:highlight w:val="none"/>
        </w:rPr>
      </w:pPr>
    </w:p>
    <w:p w14:paraId="248FFDCC">
      <w:pPr>
        <w:spacing w:line="360" w:lineRule="auto"/>
        <w:ind w:firstLine="413" w:firstLineChars="196"/>
        <w:outlineLvl w:val="1"/>
        <w:rPr>
          <w:rFonts w:hint="eastAsia" w:ascii="宋体" w:eastAsia="宋体"/>
          <w:b/>
          <w:color w:val="auto"/>
          <w:spacing w:val="0"/>
          <w:highlight w:val="none"/>
        </w:rPr>
      </w:pPr>
      <w:bookmarkStart w:id="276" w:name="_Toc63757470"/>
      <w:r>
        <w:rPr>
          <w:rFonts w:hint="eastAsia" w:ascii="宋体" w:eastAsia="宋体"/>
          <w:b/>
          <w:color w:val="auto"/>
          <w:spacing w:val="0"/>
          <w:highlight w:val="none"/>
        </w:rPr>
        <w:t>第十四条  风险责任的承担</w:t>
      </w:r>
      <w:bookmarkEnd w:id="276"/>
    </w:p>
    <w:p w14:paraId="2995A06E">
      <w:pPr>
        <w:tabs>
          <w:tab w:val="left" w:pos="6020"/>
        </w:tabs>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06DDEC57">
      <w:pPr>
        <w:tabs>
          <w:tab w:val="left" w:pos="6020"/>
        </w:tabs>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6F770612">
      <w:pPr>
        <w:tabs>
          <w:tab w:val="left" w:pos="6020"/>
        </w:tabs>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ADFE6E9">
      <w:pPr>
        <w:tabs>
          <w:tab w:val="left" w:pos="6020"/>
        </w:tabs>
        <w:spacing w:line="360" w:lineRule="auto"/>
        <w:ind w:firstLine="560"/>
        <w:rPr>
          <w:rFonts w:hint="eastAsia" w:ascii="宋体" w:eastAsia="宋体"/>
          <w:color w:val="auto"/>
          <w:spacing w:val="0"/>
          <w:highlight w:val="none"/>
        </w:rPr>
      </w:pPr>
    </w:p>
    <w:p w14:paraId="4EABACB6">
      <w:pPr>
        <w:spacing w:line="360" w:lineRule="auto"/>
        <w:ind w:firstLine="413" w:firstLineChars="196"/>
        <w:outlineLvl w:val="1"/>
        <w:rPr>
          <w:rFonts w:hint="eastAsia" w:ascii="宋体" w:eastAsia="宋体"/>
          <w:b/>
          <w:color w:val="auto"/>
          <w:spacing w:val="0"/>
          <w:highlight w:val="none"/>
        </w:rPr>
      </w:pPr>
      <w:bookmarkStart w:id="277" w:name="_Toc63757471"/>
      <w:r>
        <w:rPr>
          <w:rFonts w:hint="eastAsia" w:ascii="宋体" w:eastAsia="宋体"/>
          <w:b/>
          <w:color w:val="auto"/>
          <w:spacing w:val="0"/>
          <w:highlight w:val="none"/>
        </w:rPr>
        <w:t xml:space="preserve">第十五条  </w:t>
      </w:r>
      <w:bookmarkStart w:id="278" w:name="_Toc58337511"/>
      <w:r>
        <w:rPr>
          <w:rFonts w:hint="eastAsia" w:ascii="宋体" w:eastAsia="宋体"/>
          <w:b/>
          <w:color w:val="auto"/>
          <w:spacing w:val="0"/>
          <w:highlight w:val="none"/>
        </w:rPr>
        <w:t>违约与赔偿</w:t>
      </w:r>
      <w:bookmarkEnd w:id="277"/>
      <w:bookmarkEnd w:id="278"/>
    </w:p>
    <w:p w14:paraId="7928E27B">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15.1因甲方原因未按本合同规定支付第一期研究开发报酬，且经乙方合理催告后，仍无正当理由并逾期支付达【30】个工作日以上的，乙方有权解除合同。</w:t>
      </w:r>
    </w:p>
    <w:p w14:paraId="3B86264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15.2因甲方原因逾期支付第二期或第三期研究开发报酬的，自逾期一个月后的第二天起，每逾期一天支付应付逾期付款金额的万分之五的违约金，违约金总额不超过应付款额的5%。</w:t>
      </w:r>
    </w:p>
    <w:p w14:paraId="31B9B41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7DE717E0">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15.4乙方应按本合同规定的研究开发进程完成开发项目。若因乙方自身原因未按时完成开发项目，则按照附件五《服务水平协议（SLA）》扣除延期违约金。</w:t>
      </w:r>
    </w:p>
    <w:p w14:paraId="11CF2E26">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15.5乙方未能完成甲方委托的开发项目或开发成果不符合本合同约定的要求，乙方承担本合同总额20%的违约金，并返还甲方已支付的研究开发费用。</w:t>
      </w:r>
    </w:p>
    <w:p w14:paraId="5E35526A">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15.6乙方将甲方支付的研发经费用于履行合同以外的目的，甲方有权制止并要求其纠正。如因此造成本合同研究开发项目停滞、延误或失败的，乙方应当承担给甲方造成的损失赔偿责任。</w:t>
      </w:r>
    </w:p>
    <w:p w14:paraId="4D455BF8">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15.7除本条、附件五《服务水平协议（SLA）》及</w:t>
      </w:r>
      <w:r>
        <w:rPr>
          <w:rFonts w:ascii="宋体" w:eastAsia="宋体"/>
          <w:color w:val="auto"/>
          <w:spacing w:val="0"/>
          <w:highlight w:val="none"/>
        </w:rPr>
        <w:t>其他条款</w:t>
      </w:r>
      <w:r>
        <w:rPr>
          <w:rFonts w:hint="eastAsia" w:ascii="宋体" w:eastAsia="宋体"/>
          <w:color w:val="auto"/>
          <w:spacing w:val="0"/>
          <w:highlight w:val="none"/>
        </w:rPr>
        <w:t>另有约定外，乙方违反本合同任一条款的，应向甲方支付合同总额</w:t>
      </w:r>
      <w:r>
        <w:rPr>
          <w:rFonts w:ascii="宋体" w:eastAsia="宋体"/>
          <w:color w:val="auto"/>
          <w:spacing w:val="0"/>
          <w:highlight w:val="none"/>
        </w:rPr>
        <w:t>5</w:t>
      </w:r>
      <w:r>
        <w:rPr>
          <w:rFonts w:hint="eastAsia" w:ascii="宋体" w:eastAsia="宋体"/>
          <w:color w:val="auto"/>
          <w:spacing w:val="0"/>
          <w:highlight w:val="none"/>
        </w:rPr>
        <w:t>%的违约金并赔偿甲方产生的损失。</w:t>
      </w:r>
    </w:p>
    <w:p w14:paraId="5C53F91C">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15.8本合同项下乙方应支付的违约金、赔偿金等，甲方均有权从应支付给乙方的款项中优先扣除，若有不足，乙方应另行筹措资金补足。</w:t>
      </w:r>
    </w:p>
    <w:p w14:paraId="77ABCE34">
      <w:pPr>
        <w:spacing w:line="360" w:lineRule="auto"/>
        <w:ind w:left="1050" w:leftChars="200" w:hanging="630" w:hangingChars="300"/>
        <w:rPr>
          <w:rFonts w:hint="eastAsia" w:ascii="宋体" w:eastAsia="宋体"/>
          <w:color w:val="auto"/>
          <w:spacing w:val="0"/>
          <w:highlight w:val="none"/>
        </w:rPr>
      </w:pPr>
    </w:p>
    <w:p w14:paraId="3DEDD113">
      <w:pPr>
        <w:spacing w:line="360" w:lineRule="auto"/>
        <w:ind w:firstLine="413" w:firstLineChars="196"/>
        <w:outlineLvl w:val="1"/>
        <w:rPr>
          <w:rFonts w:hint="eastAsia" w:ascii="宋体" w:eastAsia="宋体"/>
          <w:b/>
          <w:color w:val="auto"/>
          <w:spacing w:val="0"/>
          <w:highlight w:val="none"/>
        </w:rPr>
      </w:pPr>
      <w:bookmarkStart w:id="279" w:name="_Toc63757472"/>
      <w:r>
        <w:rPr>
          <w:rFonts w:hint="eastAsia" w:ascii="宋体" w:eastAsia="宋体"/>
          <w:b/>
          <w:color w:val="auto"/>
          <w:spacing w:val="0"/>
          <w:highlight w:val="none"/>
        </w:rPr>
        <w:t>第十六条  合同的解除</w:t>
      </w:r>
      <w:bookmarkEnd w:id="279"/>
      <w:r>
        <w:rPr>
          <w:rFonts w:hint="eastAsia" w:ascii="宋体" w:eastAsia="宋体"/>
          <w:b/>
          <w:color w:val="auto"/>
          <w:spacing w:val="0"/>
          <w:highlight w:val="none"/>
        </w:rPr>
        <w:t>和终止</w:t>
      </w:r>
    </w:p>
    <w:p w14:paraId="2E7E8FC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16.1如果满足以下条件，任一方在通知对方后，都可以解除本合同。</w:t>
      </w:r>
    </w:p>
    <w:p w14:paraId="4DDE371D">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4CC6CB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（2）当一方按正常程序停止经营业务、破产、处于付款拖欠、延期偿付、公司重组或倒闭状况，或全部转让利润与债权人、书面承认无力偿还到期债务、委派清算人清算其业务或财产。</w:t>
      </w:r>
    </w:p>
    <w:p w14:paraId="374028AF">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16.2除本合同约定的情形外，甲方若认为乙方无法胜任本合同项下工作的，有权随时通知乙方后解除本合同。甲方除据实与乙方结算费用外，不承担其他违约责任。</w:t>
      </w:r>
    </w:p>
    <w:p w14:paraId="249EC6D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16.3当本合同以任何原因终止时，乙方应将本合同项下的过程文档、资料等全部交付给甲方，配合甲方完成知识转移，保证甲方能够继续开展工作；乙方应立即停止使用并删除</w:t>
      </w:r>
      <w:r>
        <w:rPr>
          <w:rFonts w:ascii="宋体" w:eastAsia="宋体"/>
          <w:color w:val="auto"/>
          <w:spacing w:val="0"/>
          <w:highlight w:val="none"/>
        </w:rPr>
        <w:t>或</w:t>
      </w:r>
      <w:r>
        <w:rPr>
          <w:rFonts w:hint="eastAsia" w:ascii="宋体" w:eastAsia="宋体"/>
          <w:color w:val="auto"/>
          <w:spacing w:val="0"/>
          <w:highlight w:val="none"/>
        </w:rPr>
        <w:t>销毁包含甲方机密信息的所有物件，并证明该销毁情况；或者将这些物件归还给甲方。</w:t>
      </w:r>
    </w:p>
    <w:p w14:paraId="5BDF19D4">
      <w:pPr>
        <w:spacing w:line="360" w:lineRule="auto"/>
        <w:rPr>
          <w:rFonts w:hint="eastAsia" w:ascii="宋体" w:eastAsia="宋体"/>
          <w:b/>
          <w:color w:val="auto"/>
          <w:spacing w:val="0"/>
          <w:highlight w:val="none"/>
        </w:rPr>
      </w:pPr>
    </w:p>
    <w:p w14:paraId="0524A92A">
      <w:pPr>
        <w:spacing w:line="360" w:lineRule="auto"/>
        <w:ind w:firstLine="413" w:firstLineChars="196"/>
        <w:outlineLvl w:val="1"/>
        <w:rPr>
          <w:rFonts w:hint="eastAsia" w:ascii="宋体" w:eastAsia="宋体"/>
          <w:b/>
          <w:color w:val="auto"/>
          <w:spacing w:val="0"/>
          <w:highlight w:val="none"/>
        </w:rPr>
      </w:pPr>
      <w:bookmarkStart w:id="280" w:name="_Toc63757473"/>
      <w:r>
        <w:rPr>
          <w:rFonts w:hint="eastAsia" w:ascii="宋体" w:eastAsia="宋体"/>
          <w:b/>
          <w:color w:val="auto"/>
          <w:spacing w:val="0"/>
          <w:highlight w:val="none"/>
        </w:rPr>
        <w:t>第十七条  合同变更及转让</w:t>
      </w:r>
      <w:bookmarkEnd w:id="280"/>
    </w:p>
    <w:p w14:paraId="1F2A2ABE">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17.1对本合同及其附件的内容进行变更，必须经双方协商一致并签订补充协议，方能生效，本合同另有约定的除外。</w:t>
      </w:r>
    </w:p>
    <w:p w14:paraId="500E6C51">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17.2本合同双方在未取得对方事先书面同意的前提下，均不得将各自本合同项下的任何权利或义务转让给第三方。</w:t>
      </w:r>
    </w:p>
    <w:p w14:paraId="3842A36D">
      <w:pPr>
        <w:spacing w:line="360" w:lineRule="auto"/>
        <w:rPr>
          <w:rFonts w:hint="eastAsia" w:ascii="宋体" w:eastAsia="宋体"/>
          <w:b/>
          <w:color w:val="auto"/>
          <w:spacing w:val="0"/>
          <w:highlight w:val="none"/>
        </w:rPr>
      </w:pPr>
    </w:p>
    <w:p w14:paraId="54094E9C">
      <w:pPr>
        <w:spacing w:line="360" w:lineRule="auto"/>
        <w:ind w:firstLine="413" w:firstLineChars="196"/>
        <w:outlineLvl w:val="1"/>
        <w:rPr>
          <w:rFonts w:hint="eastAsia" w:ascii="宋体" w:eastAsia="宋体"/>
          <w:b/>
          <w:color w:val="auto"/>
          <w:spacing w:val="0"/>
          <w:highlight w:val="none"/>
        </w:rPr>
      </w:pPr>
      <w:bookmarkStart w:id="281" w:name="_Toc63757474"/>
      <w:r>
        <w:rPr>
          <w:rFonts w:hint="eastAsia" w:ascii="宋体" w:eastAsia="宋体"/>
          <w:b/>
          <w:color w:val="auto"/>
          <w:spacing w:val="0"/>
          <w:highlight w:val="none"/>
        </w:rPr>
        <w:t>第十八条  争议解决</w:t>
      </w:r>
      <w:bookmarkEnd w:id="281"/>
    </w:p>
    <w:p w14:paraId="7DF51912">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的解释、效力、履行及其他事项，均适用中华人民共和国法律、法规，如无法律、法规规定，适用有关行政管理部门规章。本合同履行中双方发生任何争议，应协商解决，协商不成的，向本合同首部载明的甲方地址所在地有管辖权的人民法院起诉。</w:t>
      </w:r>
    </w:p>
    <w:p w14:paraId="485170DE">
      <w:pPr>
        <w:spacing w:line="360" w:lineRule="auto"/>
        <w:ind w:firstLine="420" w:firstLineChars="200"/>
        <w:rPr>
          <w:rFonts w:hint="eastAsia" w:ascii="宋体" w:eastAsia="宋体"/>
          <w:color w:val="auto"/>
          <w:spacing w:val="0"/>
          <w:highlight w:val="none"/>
        </w:rPr>
      </w:pPr>
    </w:p>
    <w:p w14:paraId="2B7BF5E1">
      <w:pPr>
        <w:spacing w:line="360" w:lineRule="auto"/>
        <w:ind w:firstLine="413" w:firstLineChars="196"/>
        <w:outlineLvl w:val="1"/>
        <w:rPr>
          <w:rFonts w:hint="eastAsia" w:ascii="宋体" w:eastAsia="宋体"/>
          <w:b/>
          <w:color w:val="auto"/>
          <w:spacing w:val="0"/>
          <w:highlight w:val="none"/>
        </w:rPr>
      </w:pPr>
      <w:bookmarkStart w:id="282" w:name="_Toc63757475"/>
      <w:r>
        <w:rPr>
          <w:rFonts w:hint="eastAsia" w:ascii="宋体" w:eastAsia="宋体"/>
          <w:b/>
          <w:color w:val="auto"/>
          <w:spacing w:val="0"/>
          <w:highlight w:val="none"/>
        </w:rPr>
        <w:t>第十九条 通知与送达</w:t>
      </w:r>
      <w:bookmarkEnd w:id="282"/>
    </w:p>
    <w:p w14:paraId="08023CA5">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0B6E4C0">
      <w:pPr>
        <w:autoSpaceDE w:val="0"/>
        <w:autoSpaceDN w:val="0"/>
        <w:adjustRightInd w:val="0"/>
        <w:spacing w:line="336" w:lineRule="auto"/>
        <w:ind w:firstLine="470" w:firstLineChars="224"/>
        <w:jc w:val="left"/>
        <w:rPr>
          <w:rFonts w:hint="eastAsia" w:ascii="宋体" w:eastAsia="宋体"/>
          <w:color w:val="auto"/>
          <w:spacing w:val="0"/>
          <w:highlight w:val="none"/>
        </w:rPr>
      </w:pPr>
      <w:r>
        <w:rPr>
          <w:rFonts w:hint="eastAsia" w:ascii="宋体" w:eastAsia="宋体"/>
          <w:color w:val="auto"/>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F1251CD">
      <w:pPr>
        <w:spacing w:line="360" w:lineRule="auto"/>
        <w:ind w:firstLine="420" w:firstLineChars="200"/>
        <w:rPr>
          <w:rFonts w:hint="eastAsia" w:ascii="宋体" w:eastAsia="宋体"/>
          <w:color w:val="auto"/>
          <w:spacing w:val="0"/>
          <w:highlight w:val="none"/>
        </w:rPr>
      </w:pPr>
    </w:p>
    <w:p w14:paraId="56F35908">
      <w:pPr>
        <w:spacing w:line="360" w:lineRule="auto"/>
        <w:ind w:firstLine="413" w:firstLineChars="196"/>
        <w:outlineLvl w:val="1"/>
        <w:rPr>
          <w:rFonts w:hint="eastAsia" w:ascii="宋体" w:eastAsia="宋体"/>
          <w:b/>
          <w:color w:val="auto"/>
          <w:spacing w:val="0"/>
          <w:highlight w:val="none"/>
        </w:rPr>
      </w:pPr>
      <w:bookmarkStart w:id="283" w:name="_Toc63757476"/>
      <w:r>
        <w:rPr>
          <w:rFonts w:hint="eastAsia" w:ascii="宋体" w:eastAsia="宋体"/>
          <w:b/>
          <w:color w:val="auto"/>
          <w:spacing w:val="0"/>
          <w:highlight w:val="none"/>
        </w:rPr>
        <w:t>第二十条  合同生效</w:t>
      </w:r>
      <w:bookmarkEnd w:id="283"/>
    </w:p>
    <w:p w14:paraId="6D5466C7">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本合同自下列条件全部满足之日起生效：</w:t>
      </w:r>
    </w:p>
    <w:p w14:paraId="3ABC9734">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双方对本合同及其全部附件内容达成一致并加盖公章。</w:t>
      </w:r>
    </w:p>
    <w:p w14:paraId="634F1A80">
      <w:pPr>
        <w:spacing w:line="360" w:lineRule="auto"/>
        <w:rPr>
          <w:rFonts w:hint="eastAsia" w:ascii="宋体" w:eastAsia="宋体"/>
          <w:b/>
          <w:color w:val="auto"/>
          <w:spacing w:val="0"/>
          <w:highlight w:val="none"/>
        </w:rPr>
      </w:pPr>
    </w:p>
    <w:p w14:paraId="56A58921">
      <w:pPr>
        <w:spacing w:line="360" w:lineRule="auto"/>
        <w:ind w:firstLine="413" w:firstLineChars="196"/>
        <w:outlineLvl w:val="1"/>
        <w:rPr>
          <w:rFonts w:hint="eastAsia" w:ascii="宋体" w:eastAsia="宋体"/>
          <w:b/>
          <w:color w:val="auto"/>
          <w:spacing w:val="0"/>
          <w:highlight w:val="none"/>
        </w:rPr>
      </w:pPr>
      <w:bookmarkStart w:id="284" w:name="_Toc63757477"/>
      <w:r>
        <w:rPr>
          <w:rFonts w:hint="eastAsia" w:ascii="宋体" w:eastAsia="宋体"/>
          <w:b/>
          <w:color w:val="auto"/>
          <w:spacing w:val="0"/>
          <w:highlight w:val="none"/>
        </w:rPr>
        <w:t>第二十一条  不可抗力</w:t>
      </w:r>
      <w:bookmarkEnd w:id="284"/>
    </w:p>
    <w:p w14:paraId="521CF1B7">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97AE57B">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21.2发生不可抗力的一方应立即通知对方，并在十五天内提供不可抗力的详情及将有关证明文件送交对方。</w:t>
      </w:r>
    </w:p>
    <w:p w14:paraId="7B7DB92F">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21.3发生不可抗力事件时，甲乙双方应协商以寻找一个合理的解决方法，并尽一切努力减轻不可抗力产生的后果。</w:t>
      </w:r>
    </w:p>
    <w:p w14:paraId="21D6EB83">
      <w:pPr>
        <w:spacing w:line="360" w:lineRule="auto"/>
        <w:ind w:firstLine="420" w:firstLineChars="200"/>
        <w:rPr>
          <w:rFonts w:hint="eastAsia" w:ascii="宋体" w:eastAsia="宋体"/>
          <w:color w:val="auto"/>
          <w:spacing w:val="0"/>
          <w:kern w:val="0"/>
          <w:highlight w:val="none"/>
        </w:rPr>
      </w:pPr>
      <w:r>
        <w:rPr>
          <w:rFonts w:hint="eastAsia" w:ascii="宋体" w:eastAsia="宋体"/>
          <w:color w:val="auto"/>
          <w:spacing w:val="0"/>
          <w:kern w:val="0"/>
          <w:highlight w:val="none"/>
        </w:rPr>
        <w:t>21.4如不可抗力事件持续三十天时，甲乙双方应友好协商解决本合同是否继续履行或终止的问题。</w:t>
      </w:r>
    </w:p>
    <w:p w14:paraId="0C4D1124">
      <w:pPr>
        <w:spacing w:line="360" w:lineRule="auto"/>
        <w:rPr>
          <w:rFonts w:hint="eastAsia" w:ascii="宋体" w:eastAsia="宋体"/>
          <w:b/>
          <w:color w:val="auto"/>
          <w:spacing w:val="0"/>
          <w:highlight w:val="none"/>
        </w:rPr>
      </w:pPr>
    </w:p>
    <w:p w14:paraId="72F04BB4">
      <w:pPr>
        <w:spacing w:line="360" w:lineRule="auto"/>
        <w:ind w:firstLine="413" w:firstLineChars="196"/>
        <w:outlineLvl w:val="1"/>
        <w:rPr>
          <w:rFonts w:hint="eastAsia" w:ascii="宋体" w:eastAsia="宋体"/>
          <w:b/>
          <w:color w:val="auto"/>
          <w:spacing w:val="0"/>
          <w:highlight w:val="none"/>
        </w:rPr>
      </w:pPr>
      <w:bookmarkStart w:id="285" w:name="_Toc63757478"/>
      <w:r>
        <w:rPr>
          <w:rFonts w:hint="eastAsia" w:ascii="宋体" w:eastAsia="宋体"/>
          <w:b/>
          <w:color w:val="auto"/>
          <w:spacing w:val="0"/>
          <w:highlight w:val="none"/>
        </w:rPr>
        <w:t>第二十二条  反商业贿赂</w:t>
      </w:r>
      <w:bookmarkEnd w:id="285"/>
    </w:p>
    <w:p w14:paraId="773914E9">
      <w:pPr>
        <w:spacing w:line="360" w:lineRule="auto"/>
        <w:ind w:firstLine="420" w:firstLineChars="200"/>
        <w:rPr>
          <w:rFonts w:hint="eastAsia" w:ascii="宋体" w:eastAsia="宋体"/>
          <w:color w:val="auto"/>
          <w:spacing w:val="0"/>
          <w:highlight w:val="none"/>
        </w:rPr>
      </w:pPr>
      <w:r>
        <w:rPr>
          <w:rFonts w:hint="eastAsia" w:ascii="宋体" w:eastAsia="宋体"/>
          <w:color w:val="auto"/>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C626CA0">
      <w:pPr>
        <w:spacing w:line="360" w:lineRule="auto"/>
        <w:rPr>
          <w:rFonts w:hint="eastAsia" w:ascii="宋体" w:eastAsia="宋体"/>
          <w:b/>
          <w:color w:val="auto"/>
          <w:spacing w:val="0"/>
          <w:highlight w:val="none"/>
        </w:rPr>
      </w:pPr>
    </w:p>
    <w:p w14:paraId="45AE3DFE">
      <w:pPr>
        <w:spacing w:line="360" w:lineRule="auto"/>
        <w:ind w:firstLine="413" w:firstLineChars="196"/>
        <w:outlineLvl w:val="1"/>
        <w:rPr>
          <w:rFonts w:hint="eastAsia" w:ascii="宋体" w:eastAsia="宋体"/>
          <w:b/>
          <w:color w:val="auto"/>
          <w:spacing w:val="0"/>
          <w:highlight w:val="none"/>
        </w:rPr>
      </w:pPr>
      <w:bookmarkStart w:id="286" w:name="_Toc63757479"/>
      <w:r>
        <w:rPr>
          <w:rFonts w:hint="eastAsia" w:ascii="宋体" w:eastAsia="宋体"/>
          <w:b/>
          <w:color w:val="auto"/>
          <w:spacing w:val="0"/>
          <w:highlight w:val="none"/>
        </w:rPr>
        <w:t>第二十三条  附件</w:t>
      </w:r>
      <w:bookmarkEnd w:id="286"/>
    </w:p>
    <w:p w14:paraId="0DCD116F">
      <w:pPr>
        <w:spacing w:line="360" w:lineRule="auto"/>
        <w:ind w:firstLine="489" w:firstLineChars="233"/>
        <w:rPr>
          <w:rFonts w:hint="eastAsia" w:ascii="宋体" w:eastAsia="宋体"/>
          <w:color w:val="auto"/>
          <w:spacing w:val="0"/>
          <w:highlight w:val="none"/>
        </w:rPr>
      </w:pPr>
      <w:r>
        <w:rPr>
          <w:rFonts w:hint="eastAsia" w:ascii="宋体" w:eastAsia="宋体"/>
          <w:color w:val="auto"/>
          <w:spacing w:val="0"/>
          <w:highlight w:val="none"/>
        </w:rPr>
        <w:t>本合同的附件与合同正本具有同等法律效力，主合同与附件如有冲突，以主合同为准。本合同附件如下：</w:t>
      </w:r>
    </w:p>
    <w:p w14:paraId="7D954105">
      <w:pPr>
        <w:spacing w:line="360" w:lineRule="auto"/>
        <w:outlineLvl w:val="2"/>
        <w:rPr>
          <w:rFonts w:hint="eastAsia" w:ascii="宋体" w:eastAsia="宋体"/>
          <w:color w:val="auto"/>
          <w:spacing w:val="0"/>
          <w:highlight w:val="none"/>
        </w:rPr>
      </w:pPr>
      <w:r>
        <w:rPr>
          <w:rFonts w:hint="eastAsia" w:ascii="宋体" w:eastAsia="宋体"/>
          <w:color w:val="auto"/>
          <w:spacing w:val="0"/>
          <w:highlight w:val="none"/>
        </w:rPr>
        <w:t>附件一：工作（需求）说明书</w:t>
      </w:r>
    </w:p>
    <w:p w14:paraId="5489A3A3">
      <w:pPr>
        <w:spacing w:line="360" w:lineRule="auto"/>
        <w:rPr>
          <w:rFonts w:hint="eastAsia" w:ascii="宋体" w:eastAsia="宋体"/>
          <w:color w:val="auto"/>
          <w:spacing w:val="0"/>
          <w:highlight w:val="none"/>
        </w:rPr>
      </w:pPr>
      <w:r>
        <w:rPr>
          <w:rFonts w:hint="eastAsia" w:ascii="宋体" w:eastAsia="宋体"/>
          <w:color w:val="auto"/>
          <w:spacing w:val="0"/>
          <w:highlight w:val="none"/>
        </w:rPr>
        <w:t>附件二：项目人员名单及人员应急退出机制</w:t>
      </w:r>
    </w:p>
    <w:p w14:paraId="4102C331">
      <w:pPr>
        <w:spacing w:line="360" w:lineRule="auto"/>
        <w:rPr>
          <w:rFonts w:hint="eastAsia" w:ascii="宋体" w:eastAsia="宋体"/>
          <w:color w:val="auto"/>
          <w:spacing w:val="0"/>
          <w:highlight w:val="none"/>
        </w:rPr>
      </w:pPr>
      <w:r>
        <w:rPr>
          <w:rFonts w:hint="eastAsia" w:ascii="宋体" w:eastAsia="宋体"/>
          <w:color w:val="auto"/>
          <w:spacing w:val="0"/>
          <w:highlight w:val="none"/>
        </w:rPr>
        <w:t>附件三：验收标准及流程</w:t>
      </w:r>
    </w:p>
    <w:p w14:paraId="2502359D">
      <w:pPr>
        <w:spacing w:line="360" w:lineRule="auto"/>
        <w:rPr>
          <w:rFonts w:hint="eastAsia" w:ascii="宋体" w:eastAsia="宋体"/>
          <w:color w:val="auto"/>
          <w:spacing w:val="0"/>
          <w:highlight w:val="none"/>
        </w:rPr>
      </w:pPr>
      <w:r>
        <w:rPr>
          <w:rFonts w:hint="eastAsia" w:ascii="宋体" w:eastAsia="宋体"/>
          <w:color w:val="auto"/>
          <w:spacing w:val="0"/>
          <w:highlight w:val="none"/>
        </w:rPr>
        <w:t>附件四：维护服务条款</w:t>
      </w:r>
    </w:p>
    <w:p w14:paraId="404D4B7E">
      <w:pPr>
        <w:spacing w:line="360" w:lineRule="auto"/>
        <w:rPr>
          <w:rFonts w:hint="eastAsia" w:ascii="宋体" w:eastAsia="宋体"/>
          <w:color w:val="auto"/>
          <w:spacing w:val="0"/>
          <w:highlight w:val="none"/>
        </w:rPr>
      </w:pPr>
      <w:r>
        <w:rPr>
          <w:rFonts w:hint="eastAsia" w:ascii="宋体" w:eastAsia="宋体"/>
          <w:color w:val="auto"/>
          <w:spacing w:val="0"/>
          <w:highlight w:val="none"/>
        </w:rPr>
        <w:t>附件五：服务水平协议（SLA）</w:t>
      </w:r>
    </w:p>
    <w:p w14:paraId="507BF9B7">
      <w:pPr>
        <w:spacing w:line="360" w:lineRule="auto"/>
        <w:rPr>
          <w:rFonts w:hint="eastAsia" w:ascii="宋体" w:eastAsia="宋体"/>
          <w:color w:val="auto"/>
          <w:spacing w:val="0"/>
          <w:highlight w:val="none"/>
        </w:rPr>
      </w:pPr>
      <w:r>
        <w:rPr>
          <w:rFonts w:hint="eastAsia" w:ascii="宋体" w:eastAsia="宋体"/>
          <w:color w:val="auto"/>
          <w:spacing w:val="0"/>
          <w:highlight w:val="none"/>
        </w:rPr>
        <w:t>附件六：服务连续性预案</w:t>
      </w:r>
    </w:p>
    <w:p w14:paraId="0CCFD659">
      <w:pPr>
        <w:spacing w:line="360" w:lineRule="auto"/>
        <w:ind w:left="560"/>
        <w:rPr>
          <w:rFonts w:hint="eastAsia" w:ascii="宋体" w:eastAsia="宋体"/>
          <w:color w:val="auto"/>
          <w:spacing w:val="0"/>
          <w:highlight w:val="none"/>
        </w:rPr>
      </w:pPr>
    </w:p>
    <w:p w14:paraId="5C2A5F38">
      <w:pPr>
        <w:spacing w:line="360" w:lineRule="auto"/>
        <w:ind w:firstLine="413" w:firstLineChars="196"/>
        <w:outlineLvl w:val="1"/>
        <w:rPr>
          <w:rFonts w:hint="eastAsia" w:ascii="宋体" w:eastAsia="宋体"/>
          <w:b/>
          <w:color w:val="auto"/>
          <w:spacing w:val="0"/>
          <w:highlight w:val="none"/>
        </w:rPr>
      </w:pPr>
      <w:bookmarkStart w:id="287" w:name="_Toc63757480"/>
      <w:r>
        <w:rPr>
          <w:rFonts w:hint="eastAsia" w:ascii="宋体" w:eastAsia="宋体"/>
          <w:b/>
          <w:color w:val="auto"/>
          <w:spacing w:val="0"/>
          <w:highlight w:val="none"/>
        </w:rPr>
        <w:t>第二十四条  其他</w:t>
      </w:r>
      <w:bookmarkEnd w:id="287"/>
    </w:p>
    <w:p w14:paraId="4247FB89">
      <w:pPr>
        <w:pStyle w:val="14"/>
        <w:spacing w:before="0" w:beforeLines="0" w:line="360" w:lineRule="auto"/>
        <w:ind w:firstLine="480"/>
        <w:rPr>
          <w:rFonts w:hint="eastAsia" w:ascii="宋体" w:eastAsia="宋体"/>
          <w:color w:val="auto"/>
          <w:spacing w:val="0"/>
          <w:highlight w:val="none"/>
        </w:rPr>
      </w:pPr>
      <w:r>
        <w:rPr>
          <w:rStyle w:val="47"/>
          <w:rFonts w:hint="eastAsia" w:ascii="宋体" w:eastAsia="宋体"/>
          <w:color w:val="auto"/>
          <w:spacing w:val="0"/>
          <w:kern w:val="0"/>
          <w:highlight w:val="none"/>
        </w:rPr>
        <w:t>24.1除本</w:t>
      </w:r>
      <w:r>
        <w:rPr>
          <w:rFonts w:hint="eastAsia" w:ascii="宋体" w:eastAsia="宋体"/>
          <w:color w:val="auto"/>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2C6605A">
      <w:pPr>
        <w:pStyle w:val="14"/>
        <w:spacing w:before="0" w:beforeLines="0" w:line="360" w:lineRule="auto"/>
        <w:ind w:firstLine="480"/>
        <w:rPr>
          <w:rFonts w:hint="eastAsia" w:ascii="宋体" w:eastAsia="宋体"/>
          <w:color w:val="auto"/>
          <w:spacing w:val="0"/>
          <w:highlight w:val="none"/>
        </w:rPr>
      </w:pPr>
      <w:r>
        <w:rPr>
          <w:rFonts w:hint="eastAsia" w:ascii="宋体" w:eastAsia="宋体"/>
          <w:color w:val="auto"/>
          <w:spacing w:val="0"/>
          <w:highlight w:val="none"/>
        </w:rPr>
        <w:t>24.</w:t>
      </w:r>
      <w:r>
        <w:rPr>
          <w:rStyle w:val="47"/>
          <w:rFonts w:hint="eastAsia" w:ascii="宋体" w:eastAsia="宋体"/>
          <w:color w:val="auto"/>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color w:val="auto"/>
          <w:spacing w:val="0"/>
          <w:highlight w:val="none"/>
        </w:rPr>
        <w:t>同其他条款或内容的合法性、有效性和可执行性不受影响。</w:t>
      </w:r>
    </w:p>
    <w:p w14:paraId="0B7AAA00">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24.3本</w:t>
      </w:r>
      <w:r>
        <w:rPr>
          <w:rFonts w:hint="eastAsia" w:ascii="宋体" w:eastAsia="宋体"/>
          <w:color w:val="auto"/>
          <w:spacing w:val="0"/>
          <w:highlight w:val="none"/>
        </w:rPr>
        <w:t>合同签订后，如需要就与合同执行有关的事项签订补充合同，应由双方加盖公章后，补充合同即生效。主合同与附件如有冲突，以主合同为准。</w:t>
      </w:r>
    </w:p>
    <w:p w14:paraId="4B96B6EB">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24.4本合同以中文版本为准，除非本合同明确规定或双方另有约定，为履行本合同的所有文件及信函均以中文书写。</w:t>
      </w:r>
    </w:p>
    <w:p w14:paraId="7DC7BE55">
      <w:pPr>
        <w:spacing w:line="360" w:lineRule="auto"/>
        <w:ind w:firstLine="420" w:firstLineChars="200"/>
        <w:rPr>
          <w:rFonts w:hint="eastAsia" w:ascii="宋体" w:eastAsia="宋体"/>
          <w:color w:val="auto"/>
          <w:spacing w:val="0"/>
          <w:highlight w:val="none"/>
        </w:rPr>
      </w:pPr>
      <w:r>
        <w:rPr>
          <w:rStyle w:val="47"/>
          <w:rFonts w:hint="eastAsia" w:ascii="宋体" w:eastAsia="宋体"/>
          <w:color w:val="auto"/>
          <w:spacing w:val="0"/>
          <w:kern w:val="0"/>
          <w:highlight w:val="none"/>
        </w:rPr>
        <w:t>24.5本合同一式肆份，甲方执贰份，乙方执贰份，每份具有同等法律</w:t>
      </w:r>
      <w:r>
        <w:rPr>
          <w:rFonts w:hint="eastAsia" w:ascii="宋体" w:eastAsia="宋体"/>
          <w:color w:val="auto"/>
          <w:spacing w:val="0"/>
          <w:highlight w:val="none"/>
        </w:rPr>
        <w:t>效力。</w:t>
      </w:r>
    </w:p>
    <w:p w14:paraId="3DD06F30">
      <w:pPr>
        <w:spacing w:line="360" w:lineRule="auto"/>
        <w:rPr>
          <w:rFonts w:hint="eastAsia" w:ascii="宋体" w:eastAsia="宋体"/>
          <w:b/>
          <w:iCs/>
          <w:color w:val="auto"/>
          <w:spacing w:val="0"/>
          <w:highlight w:val="none"/>
        </w:rPr>
      </w:pPr>
      <w:r>
        <w:rPr>
          <w:rFonts w:hint="eastAsia" w:ascii="宋体" w:eastAsia="宋体"/>
          <w:b/>
          <w:iCs/>
          <w:color w:val="auto"/>
          <w:spacing w:val="0"/>
          <w:highlight w:val="none"/>
        </w:rPr>
        <w:t>本合同由各方于本合同签署页所述日期正式签署，以昭信守。</w:t>
      </w:r>
    </w:p>
    <w:p w14:paraId="7241A02F">
      <w:pPr>
        <w:spacing w:line="360" w:lineRule="auto"/>
        <w:rPr>
          <w:rFonts w:hint="eastAsia" w:ascii="宋体" w:eastAsia="宋体"/>
          <w:b/>
          <w:iCs/>
          <w:color w:val="auto"/>
          <w:spacing w:val="0"/>
          <w:highlight w:val="none"/>
        </w:rPr>
      </w:pPr>
      <w:r>
        <w:rPr>
          <w:rFonts w:hint="eastAsia" w:ascii="宋体" w:eastAsia="宋体"/>
          <w:b/>
          <w:iCs/>
          <w:color w:val="auto"/>
          <w:spacing w:val="0"/>
          <w:highlight w:val="none"/>
        </w:rPr>
        <w:t>（以下无正文）</w:t>
      </w:r>
    </w:p>
    <w:p w14:paraId="0D3C60D8">
      <w:pPr>
        <w:spacing w:line="360" w:lineRule="auto"/>
        <w:rPr>
          <w:rFonts w:hint="eastAsia" w:ascii="宋体" w:eastAsia="宋体"/>
          <w:b/>
          <w:iCs/>
          <w:color w:val="auto"/>
          <w:spacing w:val="0"/>
          <w:highlight w:val="none"/>
        </w:rPr>
      </w:pPr>
      <w:r>
        <w:rPr>
          <w:rFonts w:hint="eastAsia" w:ascii="宋体" w:eastAsia="宋体"/>
          <w:b/>
          <w:color w:val="auto"/>
          <w:spacing w:val="0"/>
          <w:highlight w:val="none"/>
        </w:rPr>
        <w:br w:type="page"/>
      </w:r>
      <w:r>
        <w:rPr>
          <w:rFonts w:hint="eastAsia" w:ascii="宋体" w:eastAsia="宋体"/>
          <w:b/>
          <w:iCs/>
          <w:color w:val="auto"/>
          <w:spacing w:val="0"/>
          <w:highlight w:val="none"/>
        </w:rPr>
        <w:t>（本页无正文，为编号SXYH2024010</w:t>
      </w:r>
      <w:r>
        <w:rPr>
          <w:rFonts w:hint="eastAsia" w:ascii="宋体" w:eastAsia="宋体"/>
          <w:b/>
          <w:iCs/>
          <w:color w:val="auto"/>
          <w:spacing w:val="0"/>
          <w:highlight w:val="none"/>
          <w:lang w:val="en-US" w:eastAsia="zh-CN"/>
        </w:rPr>
        <w:t>XXXXX</w:t>
      </w:r>
      <w:r>
        <w:rPr>
          <w:rFonts w:hint="eastAsia" w:ascii="宋体" w:eastAsia="宋体"/>
          <w:b/>
          <w:iCs/>
          <w:color w:val="auto"/>
          <w:spacing w:val="0"/>
          <w:highlight w:val="none"/>
        </w:rPr>
        <w:t>《重庆三峡银行移动作业管理系统</w:t>
      </w:r>
      <w:r>
        <w:rPr>
          <w:rFonts w:hint="eastAsia" w:ascii="宋体" w:eastAsia="宋体"/>
          <w:b/>
          <w:iCs/>
          <w:color w:val="auto"/>
          <w:spacing w:val="0"/>
          <w:highlight w:val="none"/>
          <w:lang w:val="en-US" w:eastAsia="zh-CN"/>
        </w:rPr>
        <w:t>2024年度优化</w:t>
      </w:r>
      <w:r>
        <w:rPr>
          <w:rFonts w:hint="eastAsia" w:ascii="宋体" w:eastAsia="宋体"/>
          <w:b/>
          <w:iCs/>
          <w:color w:val="auto"/>
          <w:spacing w:val="0"/>
          <w:highlight w:val="none"/>
        </w:rPr>
        <w:t>外包开发合同》的签署页）</w:t>
      </w:r>
    </w:p>
    <w:p w14:paraId="28015DD4">
      <w:pPr>
        <w:spacing w:line="360" w:lineRule="auto"/>
        <w:rPr>
          <w:rFonts w:hint="eastAsia" w:ascii="宋体" w:eastAsia="宋体"/>
          <w:b/>
          <w:color w:val="auto"/>
          <w:spacing w:val="0"/>
          <w:highlight w:val="none"/>
        </w:rPr>
      </w:pPr>
    </w:p>
    <w:p w14:paraId="6C3A3478">
      <w:pPr>
        <w:spacing w:line="360" w:lineRule="auto"/>
        <w:rPr>
          <w:rFonts w:hint="eastAsia" w:ascii="宋体" w:eastAsia="宋体"/>
          <w:b/>
          <w:color w:val="auto"/>
          <w:spacing w:val="0"/>
          <w:highlight w:val="none"/>
        </w:rPr>
      </w:pPr>
    </w:p>
    <w:p w14:paraId="4B15B915">
      <w:pPr>
        <w:tabs>
          <w:tab w:val="left" w:pos="851"/>
        </w:tabs>
        <w:adjustRightInd w:val="0"/>
        <w:spacing w:line="360" w:lineRule="auto"/>
        <w:textAlignment w:val="baseline"/>
        <w:rPr>
          <w:rFonts w:hint="eastAsia" w:ascii="宋体" w:eastAsia="宋体"/>
          <w:color w:val="auto"/>
          <w:spacing w:val="0"/>
          <w:kern w:val="0"/>
          <w:highlight w:val="none"/>
        </w:rPr>
      </w:pPr>
      <w:r>
        <w:rPr>
          <w:rFonts w:hint="eastAsia" w:ascii="宋体" w:eastAsia="宋体"/>
          <w:color w:val="auto"/>
          <w:spacing w:val="0"/>
          <w:kern w:val="0"/>
          <w:highlight w:val="none"/>
        </w:rPr>
        <w:t>甲方：</w:t>
      </w:r>
      <w:r>
        <w:rPr>
          <w:rFonts w:hint="eastAsia" w:ascii="宋体" w:eastAsia="宋体"/>
          <w:b/>
          <w:color w:val="auto"/>
          <w:spacing w:val="0"/>
          <w:highlight w:val="none"/>
        </w:rPr>
        <w:t>重庆三峡银行股份有限公司</w:t>
      </w:r>
      <w:r>
        <w:rPr>
          <w:rFonts w:hint="eastAsia" w:ascii="宋体" w:eastAsia="宋体"/>
          <w:color w:val="auto"/>
          <w:spacing w:val="0"/>
          <w:kern w:val="0"/>
          <w:highlight w:val="none"/>
        </w:rPr>
        <w:t xml:space="preserve">     （公章）</w:t>
      </w:r>
    </w:p>
    <w:p w14:paraId="1B26AB36">
      <w:pPr>
        <w:spacing w:line="360" w:lineRule="auto"/>
        <w:rPr>
          <w:rFonts w:hint="eastAsia" w:ascii="宋体" w:eastAsia="宋体"/>
          <w:color w:val="auto"/>
          <w:spacing w:val="0"/>
          <w:highlight w:val="none"/>
        </w:rPr>
      </w:pPr>
    </w:p>
    <w:p w14:paraId="78D96E58">
      <w:pPr>
        <w:tabs>
          <w:tab w:val="left" w:pos="851"/>
        </w:tabs>
        <w:adjustRightInd w:val="0"/>
        <w:spacing w:line="360" w:lineRule="auto"/>
        <w:ind w:firstLine="630" w:firstLineChars="300"/>
        <w:textAlignment w:val="baseline"/>
        <w:rPr>
          <w:rFonts w:hint="eastAsia" w:ascii="宋体" w:eastAsia="宋体"/>
          <w:color w:val="auto"/>
          <w:spacing w:val="0"/>
          <w:kern w:val="0"/>
          <w:highlight w:val="none"/>
        </w:rPr>
      </w:pPr>
      <w:r>
        <w:rPr>
          <w:rFonts w:hint="eastAsia" w:ascii="宋体" w:eastAsia="宋体"/>
          <w:color w:val="auto"/>
          <w:spacing w:val="0"/>
          <w:kern w:val="0"/>
          <w:highlight w:val="none"/>
        </w:rPr>
        <w:t>经办人：</w:t>
      </w:r>
    </w:p>
    <w:p w14:paraId="03922558">
      <w:pPr>
        <w:tabs>
          <w:tab w:val="left" w:pos="851"/>
        </w:tabs>
        <w:adjustRightInd w:val="0"/>
        <w:spacing w:line="360" w:lineRule="auto"/>
        <w:ind w:firstLine="630" w:firstLineChars="300"/>
        <w:textAlignment w:val="baseline"/>
        <w:rPr>
          <w:rFonts w:hint="eastAsia" w:ascii="宋体" w:eastAsia="宋体"/>
          <w:color w:val="auto"/>
          <w:spacing w:val="0"/>
          <w:kern w:val="0"/>
          <w:highlight w:val="none"/>
        </w:rPr>
      </w:pPr>
    </w:p>
    <w:p w14:paraId="1A15520E">
      <w:pPr>
        <w:spacing w:line="360" w:lineRule="auto"/>
        <w:rPr>
          <w:rFonts w:hint="eastAsia" w:ascii="宋体" w:eastAsia="宋体"/>
          <w:color w:val="auto"/>
          <w:spacing w:val="0"/>
          <w:highlight w:val="none"/>
        </w:rPr>
      </w:pPr>
    </w:p>
    <w:p w14:paraId="6253A359">
      <w:pPr>
        <w:spacing w:line="360" w:lineRule="auto"/>
        <w:rPr>
          <w:rFonts w:hint="eastAsia" w:ascii="宋体" w:eastAsia="宋体"/>
          <w:color w:val="auto"/>
          <w:spacing w:val="0"/>
          <w:highlight w:val="none"/>
        </w:rPr>
      </w:pPr>
    </w:p>
    <w:p w14:paraId="582C9C26">
      <w:pPr>
        <w:spacing w:line="360" w:lineRule="auto"/>
        <w:rPr>
          <w:rFonts w:hint="eastAsia" w:ascii="宋体" w:eastAsia="宋体"/>
          <w:color w:val="auto"/>
          <w:spacing w:val="0"/>
          <w:highlight w:val="none"/>
        </w:rPr>
      </w:pPr>
    </w:p>
    <w:p w14:paraId="0DDDF1F9">
      <w:pPr>
        <w:spacing w:line="360" w:lineRule="auto"/>
        <w:rPr>
          <w:rFonts w:hint="eastAsia" w:ascii="宋体" w:eastAsia="宋体"/>
          <w:color w:val="auto"/>
          <w:spacing w:val="0"/>
          <w:highlight w:val="none"/>
        </w:rPr>
      </w:pPr>
      <w:r>
        <w:rPr>
          <w:rFonts w:hint="eastAsia" w:ascii="宋体" w:eastAsia="宋体"/>
          <w:color w:val="auto"/>
          <w:spacing w:val="0"/>
          <w:highlight w:val="none"/>
        </w:rPr>
        <w:t>乙方：</w:t>
      </w:r>
      <w:r>
        <w:rPr>
          <w:rFonts w:hint="eastAsia" w:ascii="宋体" w:eastAsia="宋体"/>
          <w:b/>
          <w:color w:val="auto"/>
          <w:spacing w:val="0"/>
          <w:highlight w:val="none"/>
        </w:rPr>
        <w:t>XXXXXXXXXXXXXXXXXXXXXXX</w:t>
      </w:r>
      <w:r>
        <w:rPr>
          <w:rFonts w:hint="eastAsia" w:ascii="宋体" w:eastAsia="宋体"/>
          <w:color w:val="auto"/>
          <w:spacing w:val="0"/>
          <w:highlight w:val="none"/>
        </w:rPr>
        <w:t>（公章）</w:t>
      </w:r>
    </w:p>
    <w:p w14:paraId="348333FA">
      <w:pPr>
        <w:spacing w:line="360" w:lineRule="auto"/>
        <w:rPr>
          <w:rFonts w:hint="eastAsia" w:ascii="宋体" w:eastAsia="宋体"/>
          <w:color w:val="auto"/>
          <w:spacing w:val="0"/>
          <w:highlight w:val="none"/>
        </w:rPr>
      </w:pPr>
    </w:p>
    <w:p w14:paraId="697A12DE">
      <w:pPr>
        <w:spacing w:line="360" w:lineRule="auto"/>
        <w:ind w:firstLine="630" w:firstLineChars="300"/>
        <w:rPr>
          <w:rFonts w:hint="eastAsia" w:ascii="宋体" w:eastAsia="宋体"/>
          <w:color w:val="auto"/>
          <w:spacing w:val="0"/>
          <w:highlight w:val="none"/>
        </w:rPr>
      </w:pPr>
      <w:r>
        <w:rPr>
          <w:rFonts w:hint="eastAsia" w:ascii="宋体" w:eastAsia="宋体"/>
          <w:color w:val="auto"/>
          <w:spacing w:val="0"/>
          <w:highlight w:val="none"/>
        </w:rPr>
        <w:t>经办人：</w:t>
      </w:r>
    </w:p>
    <w:p w14:paraId="0CA0C446">
      <w:pPr>
        <w:spacing w:line="360" w:lineRule="auto"/>
        <w:rPr>
          <w:rFonts w:hint="eastAsia" w:ascii="宋体" w:eastAsia="宋体"/>
          <w:color w:val="auto"/>
          <w:spacing w:val="0"/>
          <w:highlight w:val="none"/>
        </w:rPr>
      </w:pPr>
    </w:p>
    <w:p w14:paraId="52D28769">
      <w:pPr>
        <w:spacing w:line="360" w:lineRule="auto"/>
        <w:ind w:firstLine="4410" w:firstLineChars="2100"/>
        <w:rPr>
          <w:rFonts w:hint="eastAsia" w:ascii="宋体" w:eastAsia="宋体"/>
          <w:color w:val="auto"/>
          <w:spacing w:val="0"/>
          <w:highlight w:val="none"/>
        </w:rPr>
      </w:pPr>
    </w:p>
    <w:p w14:paraId="748FB2ED">
      <w:pPr>
        <w:spacing w:line="360" w:lineRule="auto"/>
        <w:ind w:firstLine="4410" w:firstLineChars="2100"/>
        <w:rPr>
          <w:rFonts w:hint="eastAsia" w:ascii="宋体" w:eastAsia="宋体"/>
          <w:color w:val="auto"/>
          <w:spacing w:val="0"/>
          <w:highlight w:val="none"/>
        </w:rPr>
      </w:pPr>
    </w:p>
    <w:p w14:paraId="67CFDC6E">
      <w:pPr>
        <w:spacing w:line="360" w:lineRule="auto"/>
        <w:ind w:firstLine="4410" w:firstLineChars="2100"/>
        <w:rPr>
          <w:rFonts w:hint="eastAsia" w:ascii="宋体" w:eastAsia="宋体"/>
          <w:color w:val="auto"/>
          <w:spacing w:val="0"/>
          <w:highlight w:val="none"/>
        </w:rPr>
      </w:pPr>
      <w:r>
        <w:rPr>
          <w:rFonts w:hint="eastAsia" w:ascii="宋体" w:eastAsia="宋体"/>
          <w:color w:val="auto"/>
          <w:spacing w:val="0"/>
          <w:highlight w:val="none"/>
        </w:rPr>
        <w:t>日期：    年    月    日</w:t>
      </w:r>
    </w:p>
    <w:p w14:paraId="60A95BBD">
      <w:pPr>
        <w:pStyle w:val="2"/>
        <w:spacing w:before="0" w:after="0"/>
        <w:outlineLvl w:val="2"/>
        <w:rPr>
          <w:rStyle w:val="47"/>
          <w:rFonts w:hint="eastAsia" w:ascii="宋体" w:eastAsia="宋体"/>
          <w:color w:val="auto"/>
          <w:spacing w:val="0"/>
          <w:kern w:val="0"/>
          <w:sz w:val="30"/>
          <w:highlight w:val="none"/>
          <w:lang w:eastAsia="zh-CN"/>
        </w:rPr>
      </w:pPr>
      <w:r>
        <w:rPr>
          <w:color w:val="auto"/>
          <w:spacing w:val="0"/>
          <w:highlight w:val="none"/>
        </w:rPr>
        <w:br w:type="page"/>
      </w:r>
      <w:bookmarkStart w:id="288" w:name="_Toc63757481"/>
      <w:r>
        <w:rPr>
          <w:rStyle w:val="47"/>
          <w:rFonts w:hint="eastAsia" w:ascii="宋体" w:eastAsia="宋体"/>
          <w:color w:val="auto"/>
          <w:spacing w:val="0"/>
          <w:kern w:val="0"/>
          <w:sz w:val="30"/>
          <w:highlight w:val="none"/>
        </w:rPr>
        <w:t>附件一：工作（需求）说明书</w:t>
      </w:r>
      <w:bookmarkEnd w:id="288"/>
    </w:p>
    <w:p w14:paraId="38F10269">
      <w:pPr>
        <w:spacing w:line="360" w:lineRule="auto"/>
        <w:ind w:firstLine="420" w:firstLineChars="200"/>
        <w:rPr>
          <w:rStyle w:val="47"/>
          <w:rFonts w:hint="eastAsia" w:ascii="宋体" w:eastAsia="宋体"/>
          <w:bCs/>
          <w:color w:val="auto"/>
          <w:spacing w:val="0"/>
          <w:kern w:val="0"/>
          <w:highlight w:val="none"/>
        </w:rPr>
      </w:pPr>
      <w:bookmarkStart w:id="289" w:name="_Toc63757482"/>
      <w:r>
        <w:rPr>
          <w:rStyle w:val="47"/>
          <w:rFonts w:hint="eastAsia" w:ascii="宋体" w:eastAsia="宋体"/>
          <w:bCs/>
          <w:color w:val="auto"/>
          <w:spacing w:val="0"/>
          <w:kern w:val="0"/>
          <w:highlight w:val="none"/>
          <w:lang w:eastAsia="zh-CN"/>
        </w:rPr>
        <w:t>需求功能见下表：</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3152"/>
        <w:gridCol w:w="4378"/>
      </w:tblGrid>
      <w:tr w14:paraId="54D7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5388DC39">
            <w:pPr>
              <w:jc w:val="center"/>
              <w:rPr>
                <w:rFonts w:eastAsia="方正仿宋_GBK"/>
                <w:color w:val="auto"/>
                <w:highlight w:val="none"/>
              </w:rPr>
            </w:pPr>
            <w:r>
              <w:rPr>
                <w:rFonts w:hint="eastAsia" w:eastAsia="方正仿宋_GBK"/>
                <w:color w:val="auto"/>
                <w:highlight w:val="none"/>
                <w:lang w:eastAsia="zh-CN"/>
              </w:rPr>
              <w:t>需求</w:t>
            </w:r>
            <w:r>
              <w:rPr>
                <w:rFonts w:eastAsia="方正仿宋_GBK"/>
                <w:color w:val="auto"/>
                <w:highlight w:val="none"/>
              </w:rPr>
              <w:t>名称</w:t>
            </w:r>
          </w:p>
        </w:tc>
        <w:tc>
          <w:tcPr>
            <w:tcW w:w="2551" w:type="dxa"/>
            <w:noWrap w:val="0"/>
            <w:vAlign w:val="center"/>
          </w:tcPr>
          <w:p w14:paraId="605DD2CD">
            <w:pPr>
              <w:jc w:val="center"/>
              <w:rPr>
                <w:rFonts w:eastAsia="方正仿宋_GBK"/>
                <w:color w:val="auto"/>
                <w:highlight w:val="none"/>
              </w:rPr>
            </w:pPr>
            <w:r>
              <w:rPr>
                <w:rFonts w:hint="eastAsia" w:eastAsia="方正仿宋_GBK"/>
                <w:color w:val="auto"/>
                <w:highlight w:val="none"/>
                <w:lang w:eastAsia="zh-CN"/>
              </w:rPr>
              <w:t>需求</w:t>
            </w:r>
            <w:r>
              <w:rPr>
                <w:rFonts w:eastAsia="方正仿宋_GBK"/>
                <w:color w:val="auto"/>
                <w:highlight w:val="none"/>
              </w:rPr>
              <w:t>描述</w:t>
            </w:r>
          </w:p>
        </w:tc>
        <w:tc>
          <w:tcPr>
            <w:tcW w:w="3544" w:type="dxa"/>
            <w:noWrap w:val="0"/>
            <w:vAlign w:val="center"/>
          </w:tcPr>
          <w:p w14:paraId="334AD645">
            <w:pPr>
              <w:jc w:val="center"/>
              <w:rPr>
                <w:rFonts w:hint="eastAsia" w:eastAsia="方正仿宋_GBK"/>
                <w:color w:val="auto"/>
                <w:highlight w:val="none"/>
                <w:lang w:eastAsia="zh-CN"/>
              </w:rPr>
            </w:pPr>
            <w:r>
              <w:rPr>
                <w:rFonts w:hint="eastAsia" w:eastAsia="方正仿宋_GBK"/>
                <w:color w:val="auto"/>
                <w:highlight w:val="none"/>
                <w:lang w:eastAsia="zh-CN"/>
              </w:rPr>
              <w:t>改造内容</w:t>
            </w:r>
          </w:p>
        </w:tc>
      </w:tr>
      <w:tr w14:paraId="6002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28EB4D29">
            <w:pPr>
              <w:rPr>
                <w:rFonts w:eastAsia="方正仿宋_GBK"/>
                <w:color w:val="auto"/>
                <w:sz w:val="21"/>
                <w:szCs w:val="21"/>
                <w:highlight w:val="none"/>
              </w:rPr>
            </w:pPr>
            <w:r>
              <w:rPr>
                <w:rFonts w:eastAsia="方正仿宋_GBK"/>
                <w:color w:val="auto"/>
                <w:sz w:val="21"/>
                <w:szCs w:val="21"/>
                <w:highlight w:val="none"/>
              </w:rPr>
              <w:t>人脸识别</w:t>
            </w:r>
          </w:p>
        </w:tc>
        <w:tc>
          <w:tcPr>
            <w:tcW w:w="2551" w:type="dxa"/>
            <w:noWrap w:val="0"/>
            <w:vAlign w:val="center"/>
          </w:tcPr>
          <w:p w14:paraId="6B31C333">
            <w:pPr>
              <w:rPr>
                <w:rFonts w:eastAsia="方正仿宋_GBK"/>
                <w:color w:val="auto"/>
                <w:sz w:val="21"/>
                <w:szCs w:val="21"/>
                <w:highlight w:val="none"/>
              </w:rPr>
            </w:pPr>
            <w:r>
              <w:rPr>
                <w:rFonts w:eastAsia="方正仿宋_GBK"/>
                <w:color w:val="auto"/>
                <w:sz w:val="21"/>
                <w:szCs w:val="21"/>
                <w:highlight w:val="none"/>
              </w:rPr>
              <w:t>实现移动作业通过人脸识别进行登录和授权</w:t>
            </w:r>
          </w:p>
        </w:tc>
        <w:tc>
          <w:tcPr>
            <w:tcW w:w="3544" w:type="dxa"/>
            <w:noWrap w:val="0"/>
            <w:vAlign w:val="center"/>
          </w:tcPr>
          <w:p w14:paraId="2A7A9EAE">
            <w:pPr>
              <w:rPr>
                <w:rFonts w:eastAsia="方正仿宋_GBK"/>
                <w:color w:val="auto"/>
                <w:sz w:val="21"/>
                <w:szCs w:val="21"/>
                <w:highlight w:val="none"/>
              </w:rPr>
            </w:pPr>
            <w:r>
              <w:rPr>
                <w:rFonts w:eastAsia="方正仿宋_GBK"/>
                <w:color w:val="auto"/>
                <w:sz w:val="21"/>
                <w:szCs w:val="21"/>
                <w:highlight w:val="none"/>
              </w:rPr>
              <w:t>1.在客户端登录界面增加人脸识别登录入口</w:t>
            </w:r>
          </w:p>
          <w:p w14:paraId="026DEC84">
            <w:pPr>
              <w:rPr>
                <w:rFonts w:eastAsia="方正仿宋_GBK"/>
                <w:color w:val="auto"/>
                <w:sz w:val="21"/>
                <w:szCs w:val="21"/>
                <w:highlight w:val="none"/>
              </w:rPr>
            </w:pPr>
            <w:r>
              <w:rPr>
                <w:rFonts w:eastAsia="方正仿宋_GBK"/>
                <w:color w:val="auto"/>
                <w:sz w:val="21"/>
                <w:szCs w:val="21"/>
                <w:highlight w:val="none"/>
              </w:rPr>
              <w:t>2.人脸登录后台处理流程设计及开发</w:t>
            </w:r>
          </w:p>
          <w:p w14:paraId="563ABB2D">
            <w:pPr>
              <w:rPr>
                <w:rFonts w:eastAsia="方正仿宋_GBK"/>
                <w:color w:val="auto"/>
                <w:sz w:val="21"/>
                <w:szCs w:val="21"/>
                <w:highlight w:val="none"/>
              </w:rPr>
            </w:pPr>
            <w:r>
              <w:rPr>
                <w:rFonts w:eastAsia="方正仿宋_GBK"/>
                <w:color w:val="auto"/>
                <w:sz w:val="21"/>
                <w:szCs w:val="21"/>
                <w:highlight w:val="none"/>
              </w:rPr>
              <w:t>3.人脸登录入库改造</w:t>
            </w:r>
          </w:p>
          <w:p w14:paraId="023DC7B2">
            <w:pPr>
              <w:rPr>
                <w:rFonts w:eastAsia="方正仿宋_GBK"/>
                <w:color w:val="auto"/>
                <w:sz w:val="21"/>
                <w:szCs w:val="21"/>
                <w:highlight w:val="none"/>
              </w:rPr>
            </w:pPr>
            <w:r>
              <w:rPr>
                <w:rFonts w:eastAsia="方正仿宋_GBK"/>
                <w:color w:val="auto"/>
                <w:sz w:val="21"/>
                <w:szCs w:val="21"/>
                <w:highlight w:val="none"/>
              </w:rPr>
              <w:t>4.功能联调测试及验收、上线支持</w:t>
            </w:r>
          </w:p>
        </w:tc>
      </w:tr>
      <w:tr w14:paraId="77CE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0AD51219">
            <w:pPr>
              <w:rPr>
                <w:rFonts w:eastAsia="方正仿宋_GBK"/>
                <w:color w:val="auto"/>
                <w:sz w:val="21"/>
                <w:szCs w:val="21"/>
                <w:highlight w:val="none"/>
              </w:rPr>
            </w:pPr>
            <w:r>
              <w:rPr>
                <w:rFonts w:eastAsia="方正仿宋_GBK"/>
                <w:color w:val="auto"/>
                <w:sz w:val="21"/>
                <w:szCs w:val="21"/>
                <w:highlight w:val="none"/>
              </w:rPr>
              <w:t>对公开户</w:t>
            </w:r>
          </w:p>
        </w:tc>
        <w:tc>
          <w:tcPr>
            <w:tcW w:w="2551" w:type="dxa"/>
            <w:noWrap w:val="0"/>
            <w:vAlign w:val="center"/>
          </w:tcPr>
          <w:p w14:paraId="2F1B96F9">
            <w:pPr>
              <w:rPr>
                <w:rFonts w:eastAsia="方正仿宋_GBK"/>
                <w:color w:val="auto"/>
                <w:sz w:val="21"/>
                <w:szCs w:val="21"/>
                <w:highlight w:val="none"/>
              </w:rPr>
            </w:pPr>
            <w:r>
              <w:rPr>
                <w:rFonts w:eastAsia="方正仿宋_GBK"/>
                <w:color w:val="auto"/>
                <w:sz w:val="21"/>
                <w:szCs w:val="21"/>
                <w:highlight w:val="none"/>
              </w:rPr>
              <w:t>实现现场对公开户，支持现场开立对公结算账户，支持已线上预约相关资料获取。开户交易业务要素应与前端系统保持一致，支持客户信息建立、账户开户、非柜面限额/短信提醒/回单机等业务签约，支持业务要素的三方比对，支持影像资料采集、法人意愿视频采集（上传），支持经办人及法人在线身份核查，支持黑名单系统等行内风险控制系统接入。</w:t>
            </w:r>
          </w:p>
        </w:tc>
        <w:tc>
          <w:tcPr>
            <w:tcW w:w="3544" w:type="dxa"/>
            <w:noWrap w:val="0"/>
            <w:vAlign w:val="center"/>
          </w:tcPr>
          <w:p w14:paraId="59B2B020">
            <w:pPr>
              <w:rPr>
                <w:rFonts w:eastAsia="方正仿宋_GBK"/>
                <w:color w:val="auto"/>
                <w:sz w:val="21"/>
                <w:szCs w:val="21"/>
                <w:highlight w:val="none"/>
              </w:rPr>
            </w:pPr>
            <w:r>
              <w:rPr>
                <w:rFonts w:eastAsia="方正仿宋_GBK"/>
                <w:color w:val="auto"/>
                <w:sz w:val="21"/>
                <w:szCs w:val="21"/>
                <w:highlight w:val="none"/>
              </w:rPr>
              <w:t>1.临时户管理人新增前端UI设计及开发、联调测试</w:t>
            </w:r>
          </w:p>
          <w:p w14:paraId="7C93D37C">
            <w:pPr>
              <w:rPr>
                <w:rFonts w:eastAsia="方正仿宋_GBK"/>
                <w:color w:val="auto"/>
                <w:sz w:val="21"/>
                <w:szCs w:val="21"/>
                <w:highlight w:val="none"/>
              </w:rPr>
            </w:pPr>
            <w:r>
              <w:rPr>
                <w:rFonts w:eastAsia="方正仿宋_GBK"/>
                <w:color w:val="auto"/>
                <w:sz w:val="21"/>
                <w:szCs w:val="21"/>
                <w:highlight w:val="none"/>
              </w:rPr>
              <w:t>2.新增非法人亲自办理时，法人信息临时存储及后续流程调用</w:t>
            </w:r>
          </w:p>
          <w:p w14:paraId="4D881302">
            <w:pPr>
              <w:rPr>
                <w:rFonts w:eastAsia="方正仿宋_GBK"/>
                <w:color w:val="auto"/>
                <w:sz w:val="21"/>
                <w:szCs w:val="21"/>
                <w:highlight w:val="none"/>
              </w:rPr>
            </w:pPr>
            <w:r>
              <w:rPr>
                <w:rFonts w:eastAsia="方正仿宋_GBK"/>
                <w:color w:val="auto"/>
                <w:sz w:val="21"/>
                <w:szCs w:val="21"/>
                <w:highlight w:val="none"/>
              </w:rPr>
              <w:t>3.新增验资/增资临时存款账户类型及其全流程改造</w:t>
            </w:r>
          </w:p>
          <w:p w14:paraId="546536BB">
            <w:pPr>
              <w:rPr>
                <w:rFonts w:eastAsia="方正仿宋_GBK"/>
                <w:color w:val="auto"/>
                <w:sz w:val="21"/>
                <w:szCs w:val="21"/>
                <w:highlight w:val="none"/>
              </w:rPr>
            </w:pPr>
            <w:r>
              <w:rPr>
                <w:rFonts w:eastAsia="方正仿宋_GBK"/>
                <w:color w:val="auto"/>
                <w:sz w:val="21"/>
                <w:szCs w:val="21"/>
                <w:highlight w:val="none"/>
              </w:rPr>
              <w:t>4.增加移动作业直接开户流程控制</w:t>
            </w:r>
          </w:p>
          <w:p w14:paraId="2B4C2F57">
            <w:pPr>
              <w:rPr>
                <w:rFonts w:eastAsia="方正仿宋_GBK"/>
                <w:color w:val="auto"/>
                <w:sz w:val="21"/>
                <w:szCs w:val="21"/>
                <w:highlight w:val="none"/>
              </w:rPr>
            </w:pPr>
            <w:r>
              <w:rPr>
                <w:rFonts w:eastAsia="方正仿宋_GBK"/>
                <w:color w:val="auto"/>
                <w:sz w:val="21"/>
                <w:szCs w:val="21"/>
                <w:highlight w:val="none"/>
              </w:rPr>
              <w:t>5.增加移动作业直接开户对公/同业客户信息新增及维护功能</w:t>
            </w:r>
          </w:p>
          <w:p w14:paraId="2C729E5C">
            <w:pPr>
              <w:rPr>
                <w:rFonts w:eastAsia="方正仿宋_GBK"/>
                <w:color w:val="auto"/>
                <w:sz w:val="21"/>
                <w:szCs w:val="21"/>
                <w:highlight w:val="none"/>
              </w:rPr>
            </w:pPr>
            <w:r>
              <w:rPr>
                <w:rFonts w:eastAsia="方正仿宋_GBK"/>
                <w:color w:val="auto"/>
                <w:sz w:val="21"/>
                <w:szCs w:val="21"/>
                <w:highlight w:val="none"/>
              </w:rPr>
              <w:t>6.增加移动作业直接开户对公/同业账户信息采集及开户</w:t>
            </w:r>
          </w:p>
          <w:p w14:paraId="4A4EA9C3">
            <w:pPr>
              <w:rPr>
                <w:rFonts w:eastAsia="方正仿宋_GBK"/>
                <w:color w:val="auto"/>
                <w:sz w:val="21"/>
                <w:szCs w:val="21"/>
                <w:highlight w:val="none"/>
              </w:rPr>
            </w:pPr>
            <w:r>
              <w:rPr>
                <w:rFonts w:eastAsia="方正仿宋_GBK"/>
                <w:color w:val="auto"/>
                <w:sz w:val="21"/>
                <w:szCs w:val="21"/>
                <w:highlight w:val="none"/>
              </w:rPr>
              <w:t>7.增加移动作业直接开户验印系统、账管系统、中间业务系统、集中作业系统、无纸化系统、集中授权系统接入</w:t>
            </w:r>
          </w:p>
          <w:p w14:paraId="1EC83DB7">
            <w:pPr>
              <w:rPr>
                <w:rFonts w:eastAsia="方正仿宋_GBK"/>
                <w:color w:val="auto"/>
                <w:sz w:val="21"/>
                <w:szCs w:val="21"/>
                <w:highlight w:val="none"/>
              </w:rPr>
            </w:pPr>
            <w:r>
              <w:rPr>
                <w:rFonts w:eastAsia="方正仿宋_GBK"/>
                <w:color w:val="auto"/>
                <w:sz w:val="21"/>
                <w:szCs w:val="21"/>
                <w:highlight w:val="none"/>
              </w:rPr>
              <w:t>8.增加移动作业直接开户后管审核流程</w:t>
            </w:r>
          </w:p>
          <w:p w14:paraId="75CA1AB1">
            <w:pPr>
              <w:rPr>
                <w:rFonts w:eastAsia="方正仿宋_GBK"/>
                <w:color w:val="auto"/>
                <w:sz w:val="21"/>
                <w:szCs w:val="21"/>
                <w:highlight w:val="none"/>
              </w:rPr>
            </w:pPr>
            <w:r>
              <w:rPr>
                <w:rFonts w:eastAsia="方正仿宋_GBK"/>
                <w:color w:val="auto"/>
                <w:sz w:val="21"/>
                <w:szCs w:val="21"/>
                <w:highlight w:val="none"/>
              </w:rPr>
              <w:t>9.移动作业直接开户B面进度查询开发及补件流程开发</w:t>
            </w:r>
          </w:p>
          <w:p w14:paraId="7109C645">
            <w:pPr>
              <w:rPr>
                <w:rFonts w:eastAsia="方正仿宋_GBK"/>
                <w:color w:val="auto"/>
                <w:sz w:val="21"/>
                <w:szCs w:val="21"/>
                <w:highlight w:val="none"/>
              </w:rPr>
            </w:pPr>
            <w:r>
              <w:rPr>
                <w:rFonts w:eastAsia="方正仿宋_GBK"/>
                <w:color w:val="auto"/>
                <w:sz w:val="21"/>
                <w:szCs w:val="21"/>
                <w:highlight w:val="none"/>
              </w:rPr>
              <w:t>10.对公开户走集中作业流程联调测试、对公开户走集中授权流程测试、对公开户走后管流程测试</w:t>
            </w:r>
          </w:p>
        </w:tc>
      </w:tr>
      <w:tr w14:paraId="12B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0CE9D93">
            <w:pPr>
              <w:rPr>
                <w:rFonts w:eastAsia="方正仿宋_GBK"/>
                <w:color w:val="auto"/>
                <w:sz w:val="21"/>
                <w:szCs w:val="21"/>
                <w:highlight w:val="none"/>
              </w:rPr>
            </w:pPr>
            <w:r>
              <w:rPr>
                <w:rFonts w:eastAsia="方正仿宋_GBK"/>
                <w:color w:val="auto"/>
                <w:sz w:val="21"/>
                <w:szCs w:val="21"/>
                <w:highlight w:val="none"/>
              </w:rPr>
              <w:t>业务功能完善</w:t>
            </w:r>
          </w:p>
        </w:tc>
        <w:tc>
          <w:tcPr>
            <w:tcW w:w="2551" w:type="dxa"/>
            <w:noWrap w:val="0"/>
            <w:vAlign w:val="center"/>
          </w:tcPr>
          <w:p w14:paraId="596C9DF9">
            <w:pPr>
              <w:rPr>
                <w:rFonts w:eastAsia="方正仿宋_GBK"/>
                <w:color w:val="auto"/>
                <w:sz w:val="21"/>
                <w:szCs w:val="21"/>
                <w:highlight w:val="none"/>
              </w:rPr>
            </w:pPr>
            <w:r>
              <w:rPr>
                <w:rFonts w:eastAsia="方正仿宋_GBK"/>
                <w:color w:val="auto"/>
                <w:sz w:val="21"/>
                <w:szCs w:val="21"/>
                <w:highlight w:val="none"/>
              </w:rPr>
              <w:t>1.开卡签约激活新增安全锁</w:t>
            </w:r>
          </w:p>
          <w:p w14:paraId="09D3F047">
            <w:pPr>
              <w:rPr>
                <w:rFonts w:eastAsia="方正仿宋_GBK"/>
                <w:color w:val="auto"/>
                <w:sz w:val="21"/>
                <w:szCs w:val="21"/>
                <w:highlight w:val="none"/>
              </w:rPr>
            </w:pPr>
            <w:r>
              <w:rPr>
                <w:rFonts w:eastAsia="方正仿宋_GBK"/>
                <w:color w:val="auto"/>
                <w:sz w:val="21"/>
                <w:szCs w:val="21"/>
                <w:highlight w:val="none"/>
              </w:rPr>
              <w:t>2.开卡签约激活新增动账短信起点金额设置</w:t>
            </w:r>
          </w:p>
          <w:p w14:paraId="6B6A5312">
            <w:pPr>
              <w:rPr>
                <w:rFonts w:eastAsia="方正仿宋_GBK"/>
                <w:color w:val="auto"/>
                <w:sz w:val="21"/>
                <w:szCs w:val="21"/>
                <w:highlight w:val="none"/>
              </w:rPr>
            </w:pPr>
            <w:r>
              <w:rPr>
                <w:rFonts w:eastAsia="方正仿宋_GBK"/>
                <w:color w:val="auto"/>
                <w:sz w:val="21"/>
                <w:szCs w:val="21"/>
                <w:highlight w:val="none"/>
              </w:rPr>
              <w:t>3.银行卡消费限额</w:t>
            </w:r>
          </w:p>
        </w:tc>
        <w:tc>
          <w:tcPr>
            <w:tcW w:w="3544" w:type="dxa"/>
            <w:noWrap w:val="0"/>
            <w:vAlign w:val="center"/>
          </w:tcPr>
          <w:p w14:paraId="285B9CF8">
            <w:pPr>
              <w:rPr>
                <w:rFonts w:eastAsia="方正仿宋_GBK"/>
                <w:color w:val="auto"/>
                <w:sz w:val="21"/>
                <w:szCs w:val="21"/>
                <w:highlight w:val="none"/>
              </w:rPr>
            </w:pPr>
            <w:r>
              <w:rPr>
                <w:rFonts w:eastAsia="方正仿宋_GBK"/>
                <w:color w:val="auto"/>
                <w:sz w:val="21"/>
                <w:szCs w:val="21"/>
                <w:highlight w:val="none"/>
              </w:rPr>
              <w:t>1.在开卡签约激活界面增加安全锁及设置相关改造</w:t>
            </w:r>
          </w:p>
          <w:p w14:paraId="0D33ED0A">
            <w:pPr>
              <w:rPr>
                <w:rFonts w:eastAsia="方正仿宋_GBK"/>
                <w:color w:val="auto"/>
                <w:sz w:val="21"/>
                <w:szCs w:val="21"/>
                <w:highlight w:val="none"/>
              </w:rPr>
            </w:pPr>
            <w:r>
              <w:rPr>
                <w:rFonts w:eastAsia="方正仿宋_GBK"/>
                <w:color w:val="auto"/>
                <w:sz w:val="21"/>
                <w:szCs w:val="21"/>
                <w:highlight w:val="none"/>
              </w:rPr>
              <w:t>2.新增动账短信起点金额设置功能</w:t>
            </w:r>
          </w:p>
          <w:p w14:paraId="64577BD4">
            <w:pPr>
              <w:rPr>
                <w:rFonts w:eastAsia="方正仿宋_GBK"/>
                <w:color w:val="auto"/>
                <w:sz w:val="21"/>
                <w:szCs w:val="21"/>
                <w:highlight w:val="none"/>
              </w:rPr>
            </w:pPr>
            <w:r>
              <w:rPr>
                <w:rFonts w:eastAsia="方正仿宋_GBK"/>
                <w:color w:val="auto"/>
                <w:sz w:val="21"/>
                <w:szCs w:val="21"/>
                <w:highlight w:val="none"/>
              </w:rPr>
              <w:t>3.对消费限额规则进行改造</w:t>
            </w:r>
          </w:p>
        </w:tc>
      </w:tr>
      <w:tr w14:paraId="0569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6F84D13">
            <w:pPr>
              <w:rPr>
                <w:rFonts w:eastAsia="方正仿宋_GBK"/>
                <w:color w:val="auto"/>
                <w:sz w:val="21"/>
                <w:szCs w:val="21"/>
                <w:highlight w:val="none"/>
              </w:rPr>
            </w:pPr>
            <w:r>
              <w:rPr>
                <w:rFonts w:eastAsia="方正仿宋_GBK"/>
                <w:color w:val="auto"/>
                <w:sz w:val="21"/>
                <w:szCs w:val="21"/>
                <w:highlight w:val="none"/>
              </w:rPr>
              <w:t>客户端改造</w:t>
            </w:r>
          </w:p>
        </w:tc>
        <w:tc>
          <w:tcPr>
            <w:tcW w:w="2551" w:type="dxa"/>
            <w:noWrap w:val="0"/>
            <w:vAlign w:val="center"/>
          </w:tcPr>
          <w:p w14:paraId="529F5416">
            <w:pPr>
              <w:rPr>
                <w:rFonts w:eastAsia="方正仿宋_GBK"/>
                <w:color w:val="auto"/>
                <w:sz w:val="21"/>
                <w:szCs w:val="21"/>
                <w:highlight w:val="none"/>
              </w:rPr>
            </w:pPr>
            <w:r>
              <w:rPr>
                <w:rFonts w:eastAsia="方正仿宋_GBK"/>
                <w:color w:val="auto"/>
                <w:sz w:val="21"/>
                <w:szCs w:val="21"/>
                <w:highlight w:val="none"/>
              </w:rPr>
              <w:t>客户端（移动作业、移动信贷）适配问题调整</w:t>
            </w:r>
          </w:p>
        </w:tc>
        <w:tc>
          <w:tcPr>
            <w:tcW w:w="3544" w:type="dxa"/>
            <w:noWrap w:val="0"/>
            <w:vAlign w:val="center"/>
          </w:tcPr>
          <w:p w14:paraId="0FCF6541">
            <w:pPr>
              <w:rPr>
                <w:rFonts w:eastAsia="方正仿宋_GBK"/>
                <w:color w:val="auto"/>
                <w:sz w:val="21"/>
                <w:szCs w:val="21"/>
                <w:highlight w:val="none"/>
              </w:rPr>
            </w:pPr>
            <w:r>
              <w:rPr>
                <w:rFonts w:eastAsia="方正仿宋_GBK"/>
                <w:color w:val="auto"/>
                <w:sz w:val="21"/>
                <w:szCs w:val="21"/>
                <w:highlight w:val="none"/>
              </w:rPr>
              <w:t>1.信贷网络接入方式由vpn升级为互联网接入以及访问控制改造</w:t>
            </w:r>
          </w:p>
          <w:p w14:paraId="5C6FD7A1">
            <w:pPr>
              <w:rPr>
                <w:rFonts w:eastAsia="方正仿宋_GBK"/>
                <w:color w:val="auto"/>
                <w:sz w:val="21"/>
                <w:szCs w:val="21"/>
                <w:highlight w:val="none"/>
              </w:rPr>
            </w:pPr>
            <w:r>
              <w:rPr>
                <w:rFonts w:eastAsia="方正仿宋_GBK"/>
                <w:color w:val="auto"/>
                <w:sz w:val="21"/>
                <w:szCs w:val="21"/>
                <w:highlight w:val="none"/>
              </w:rPr>
              <w:t>2.信贷缓存刷新设计</w:t>
            </w:r>
          </w:p>
          <w:p w14:paraId="38EB572E">
            <w:pPr>
              <w:rPr>
                <w:rFonts w:hint="default" w:eastAsia="方正仿宋_GBK"/>
                <w:color w:val="auto"/>
                <w:sz w:val="21"/>
                <w:szCs w:val="21"/>
                <w:highlight w:val="none"/>
                <w:lang w:val="en-US" w:eastAsia="zh-CN"/>
              </w:rPr>
            </w:pPr>
            <w:r>
              <w:rPr>
                <w:rFonts w:eastAsia="方正仿宋_GBK"/>
                <w:color w:val="auto"/>
                <w:sz w:val="21"/>
                <w:szCs w:val="21"/>
                <w:highlight w:val="none"/>
              </w:rPr>
              <w:t>3.信贷安卓客户端适配支持</w:t>
            </w:r>
            <w:r>
              <w:rPr>
                <w:rFonts w:hint="eastAsia" w:eastAsia="方正仿宋_GBK"/>
                <w:color w:val="auto"/>
                <w:sz w:val="21"/>
                <w:szCs w:val="21"/>
                <w:highlight w:val="none"/>
                <w:lang w:eastAsia="zh-CN"/>
              </w:rPr>
              <w:t>，包括</w:t>
            </w:r>
            <w:r>
              <w:rPr>
                <w:rFonts w:hint="eastAsia" w:eastAsia="方正仿宋_GBK"/>
                <w:color w:val="auto"/>
                <w:sz w:val="21"/>
                <w:szCs w:val="21"/>
                <w:highlight w:val="none"/>
                <w:lang w:val="en-US" w:eastAsia="zh-CN"/>
              </w:rPr>
              <w:t>OCR、人脸识别等sdk的集成。</w:t>
            </w:r>
          </w:p>
        </w:tc>
      </w:tr>
      <w:tr w14:paraId="2955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16E20F51">
            <w:pPr>
              <w:rPr>
                <w:rFonts w:eastAsia="方正仿宋_GBK"/>
                <w:color w:val="auto"/>
                <w:sz w:val="21"/>
                <w:szCs w:val="21"/>
                <w:highlight w:val="none"/>
              </w:rPr>
            </w:pPr>
            <w:r>
              <w:rPr>
                <w:rFonts w:eastAsia="方正仿宋_GBK"/>
                <w:color w:val="auto"/>
                <w:sz w:val="21"/>
                <w:szCs w:val="21"/>
                <w:highlight w:val="none"/>
              </w:rPr>
              <w:t>关联系统改造</w:t>
            </w:r>
          </w:p>
        </w:tc>
        <w:tc>
          <w:tcPr>
            <w:tcW w:w="2551" w:type="dxa"/>
            <w:noWrap w:val="0"/>
            <w:vAlign w:val="center"/>
          </w:tcPr>
          <w:p w14:paraId="2C10DFE7">
            <w:pPr>
              <w:rPr>
                <w:rFonts w:eastAsia="方正仿宋_GBK"/>
                <w:color w:val="auto"/>
                <w:sz w:val="21"/>
                <w:szCs w:val="21"/>
                <w:highlight w:val="none"/>
              </w:rPr>
            </w:pPr>
            <w:r>
              <w:rPr>
                <w:rFonts w:eastAsia="方正仿宋_GBK"/>
                <w:color w:val="auto"/>
                <w:sz w:val="21"/>
                <w:szCs w:val="21"/>
                <w:highlight w:val="none"/>
              </w:rPr>
              <w:t>短信平台切换改造</w:t>
            </w:r>
          </w:p>
        </w:tc>
        <w:tc>
          <w:tcPr>
            <w:tcW w:w="3544" w:type="dxa"/>
            <w:noWrap w:val="0"/>
            <w:vAlign w:val="center"/>
          </w:tcPr>
          <w:p w14:paraId="5ADC0EC8">
            <w:pPr>
              <w:rPr>
                <w:rFonts w:eastAsia="方正仿宋_GBK"/>
                <w:color w:val="auto"/>
                <w:sz w:val="21"/>
                <w:szCs w:val="21"/>
                <w:highlight w:val="none"/>
              </w:rPr>
            </w:pPr>
            <w:r>
              <w:rPr>
                <w:rFonts w:eastAsia="方正仿宋_GBK"/>
                <w:color w:val="auto"/>
                <w:sz w:val="21"/>
                <w:szCs w:val="21"/>
                <w:highlight w:val="none"/>
              </w:rPr>
              <w:t>短信平台切换能力中心相关业务功能接口改造</w:t>
            </w:r>
          </w:p>
        </w:tc>
      </w:tr>
      <w:tr w14:paraId="2DF0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14:paraId="3924DAAF">
            <w:pPr>
              <w:rPr>
                <w:rFonts w:eastAsia="方正仿宋_GBK"/>
                <w:color w:val="auto"/>
                <w:sz w:val="21"/>
                <w:szCs w:val="21"/>
                <w:highlight w:val="none"/>
              </w:rPr>
            </w:pPr>
            <w:r>
              <w:rPr>
                <w:rFonts w:eastAsia="方正仿宋_GBK"/>
                <w:color w:val="auto"/>
                <w:sz w:val="21"/>
                <w:szCs w:val="21"/>
                <w:highlight w:val="none"/>
              </w:rPr>
              <w:t>安全优化</w:t>
            </w:r>
          </w:p>
        </w:tc>
        <w:tc>
          <w:tcPr>
            <w:tcW w:w="2551" w:type="dxa"/>
            <w:noWrap w:val="0"/>
            <w:vAlign w:val="center"/>
          </w:tcPr>
          <w:p w14:paraId="0A051EA8">
            <w:pPr>
              <w:rPr>
                <w:rFonts w:eastAsia="方正仿宋_GBK"/>
                <w:color w:val="auto"/>
                <w:sz w:val="21"/>
                <w:szCs w:val="21"/>
                <w:highlight w:val="none"/>
              </w:rPr>
            </w:pPr>
            <w:r>
              <w:rPr>
                <w:rFonts w:eastAsia="方正仿宋_GBK"/>
                <w:color w:val="auto"/>
                <w:sz w:val="21"/>
                <w:szCs w:val="21"/>
                <w:highlight w:val="none"/>
              </w:rPr>
              <w:t>渗透测试及优化</w:t>
            </w:r>
          </w:p>
        </w:tc>
        <w:tc>
          <w:tcPr>
            <w:tcW w:w="3544" w:type="dxa"/>
            <w:noWrap w:val="0"/>
            <w:vAlign w:val="center"/>
          </w:tcPr>
          <w:p w14:paraId="527F8843">
            <w:pPr>
              <w:rPr>
                <w:rFonts w:hint="eastAsia" w:eastAsia="方正仿宋_GBK"/>
                <w:color w:val="auto"/>
                <w:sz w:val="21"/>
                <w:szCs w:val="21"/>
                <w:highlight w:val="none"/>
                <w:lang w:eastAsia="zh-CN"/>
              </w:rPr>
            </w:pPr>
            <w:r>
              <w:rPr>
                <w:rFonts w:eastAsia="方正仿宋_GBK"/>
                <w:color w:val="auto"/>
                <w:sz w:val="21"/>
                <w:szCs w:val="21"/>
                <w:highlight w:val="none"/>
              </w:rPr>
              <w:t>配合行内进行渗透测试和相关</w:t>
            </w:r>
            <w:r>
              <w:rPr>
                <w:rFonts w:hint="eastAsia" w:eastAsia="方正仿宋_GBK"/>
                <w:color w:val="auto"/>
                <w:sz w:val="21"/>
                <w:szCs w:val="21"/>
                <w:highlight w:val="none"/>
                <w:lang w:eastAsia="zh-CN"/>
              </w:rPr>
              <w:t>安全</w:t>
            </w:r>
            <w:r>
              <w:rPr>
                <w:rFonts w:eastAsia="方正仿宋_GBK"/>
                <w:color w:val="auto"/>
                <w:sz w:val="21"/>
                <w:szCs w:val="21"/>
                <w:highlight w:val="none"/>
              </w:rPr>
              <w:t>优化</w:t>
            </w:r>
          </w:p>
        </w:tc>
      </w:tr>
    </w:tbl>
    <w:p w14:paraId="0599285D">
      <w:pPr>
        <w:pStyle w:val="2"/>
        <w:spacing w:before="0" w:after="0"/>
        <w:rPr>
          <w:rStyle w:val="47"/>
          <w:rFonts w:hint="eastAsia" w:ascii="宋体" w:eastAsia="宋体"/>
          <w:color w:val="auto"/>
          <w:spacing w:val="0"/>
          <w:kern w:val="0"/>
          <w:sz w:val="30"/>
          <w:highlight w:val="none"/>
        </w:rPr>
      </w:pPr>
      <w:r>
        <w:rPr>
          <w:rStyle w:val="47"/>
          <w:rFonts w:ascii="宋体" w:eastAsia="宋体"/>
          <w:b w:val="0"/>
          <w:color w:val="auto"/>
          <w:spacing w:val="0"/>
          <w:kern w:val="0"/>
          <w:sz w:val="30"/>
          <w:highlight w:val="none"/>
        </w:rPr>
        <w:br w:type="page"/>
      </w:r>
      <w:bookmarkStart w:id="290" w:name="_Toc14201"/>
      <w:bookmarkStart w:id="291" w:name="_Toc29436"/>
      <w:bookmarkStart w:id="292" w:name="_Toc12201"/>
      <w:r>
        <w:rPr>
          <w:rStyle w:val="47"/>
          <w:rFonts w:hint="eastAsia" w:ascii="宋体" w:eastAsia="宋体"/>
          <w:b w:val="0"/>
          <w:color w:val="auto"/>
          <w:spacing w:val="0"/>
          <w:kern w:val="0"/>
          <w:sz w:val="30"/>
          <w:highlight w:val="none"/>
        </w:rPr>
        <w:t>附件二：</w:t>
      </w:r>
      <w:r>
        <w:rPr>
          <w:rStyle w:val="47"/>
          <w:rFonts w:hint="eastAsia" w:ascii="宋体" w:eastAsia="宋体"/>
          <w:color w:val="auto"/>
          <w:spacing w:val="0"/>
          <w:kern w:val="0"/>
          <w:sz w:val="30"/>
          <w:highlight w:val="none"/>
        </w:rPr>
        <w:t>项目人员名单及人员应急退出机制</w:t>
      </w:r>
      <w:bookmarkEnd w:id="289"/>
      <w:bookmarkEnd w:id="290"/>
      <w:bookmarkEnd w:id="291"/>
      <w:bookmarkEnd w:id="292"/>
    </w:p>
    <w:p w14:paraId="11AD6211">
      <w:pPr>
        <w:spacing w:line="360" w:lineRule="auto"/>
        <w:rPr>
          <w:rStyle w:val="47"/>
          <w:rFonts w:hint="eastAsia" w:ascii="宋体" w:eastAsia="宋体"/>
          <w:color w:val="auto"/>
          <w:spacing w:val="0"/>
          <w:kern w:val="0"/>
          <w:highlight w:val="none"/>
        </w:rPr>
      </w:pPr>
    </w:p>
    <w:p w14:paraId="54A52FDF">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一、项目人员名单</w:t>
      </w:r>
    </w:p>
    <w:p w14:paraId="1A962836">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 xml:space="preserve">项目经理： </w:t>
      </w:r>
    </w:p>
    <w:p w14:paraId="287F2AA5">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技术骨干：</w:t>
      </w:r>
    </w:p>
    <w:p w14:paraId="7BFAC532">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 xml:space="preserve">项目组成员： </w:t>
      </w:r>
    </w:p>
    <w:p w14:paraId="0BE4D0DC">
      <w:pPr>
        <w:spacing w:line="360" w:lineRule="auto"/>
        <w:ind w:firstLine="420" w:firstLineChars="200"/>
        <w:rPr>
          <w:rStyle w:val="47"/>
          <w:rFonts w:hint="eastAsia" w:ascii="宋体" w:eastAsia="宋体"/>
          <w:color w:val="auto"/>
          <w:spacing w:val="0"/>
          <w:kern w:val="0"/>
          <w:highlight w:val="none"/>
        </w:rPr>
      </w:pPr>
    </w:p>
    <w:p w14:paraId="3A5AF7CD">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二、人员应急退出机制</w:t>
      </w:r>
    </w:p>
    <w:p w14:paraId="6C18EB79">
      <w:pPr>
        <w:spacing w:line="36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B47F09C">
      <w:pPr>
        <w:spacing w:line="360" w:lineRule="auto"/>
        <w:ind w:firstLine="465"/>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备用项目经理：</w:t>
      </w:r>
    </w:p>
    <w:p w14:paraId="3F648860">
      <w:pPr>
        <w:spacing w:line="360" w:lineRule="auto"/>
        <w:ind w:firstLine="465"/>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备用技术骨干：</w:t>
      </w:r>
    </w:p>
    <w:p w14:paraId="005F795F">
      <w:pPr>
        <w:pStyle w:val="2"/>
        <w:spacing w:before="0" w:after="0"/>
        <w:outlineLvl w:val="3"/>
        <w:rPr>
          <w:rStyle w:val="47"/>
          <w:rFonts w:hint="eastAsia" w:ascii="宋体" w:eastAsia="宋体"/>
          <w:color w:val="auto"/>
          <w:spacing w:val="0"/>
          <w:kern w:val="0"/>
          <w:sz w:val="30"/>
          <w:highlight w:val="none"/>
          <w:lang w:eastAsia="zh-CN"/>
        </w:rPr>
      </w:pPr>
      <w:r>
        <w:rPr>
          <w:rStyle w:val="47"/>
          <w:rFonts w:hint="eastAsia" w:ascii="宋体" w:eastAsia="宋体"/>
          <w:b w:val="0"/>
          <w:color w:val="auto"/>
          <w:spacing w:val="0"/>
          <w:kern w:val="0"/>
          <w:sz w:val="30"/>
          <w:highlight w:val="none"/>
        </w:rPr>
        <w:br w:type="page"/>
      </w:r>
      <w:bookmarkStart w:id="293" w:name="_Toc63757483"/>
      <w:r>
        <w:rPr>
          <w:rStyle w:val="47"/>
          <w:rFonts w:hint="eastAsia" w:ascii="宋体" w:eastAsia="宋体"/>
          <w:color w:val="auto"/>
          <w:spacing w:val="0"/>
          <w:kern w:val="0"/>
          <w:sz w:val="30"/>
          <w:highlight w:val="none"/>
        </w:rPr>
        <w:t>附件三：验收标准</w:t>
      </w:r>
      <w:r>
        <w:rPr>
          <w:rStyle w:val="47"/>
          <w:rFonts w:hint="eastAsia" w:ascii="宋体" w:eastAsia="宋体"/>
          <w:color w:val="auto"/>
          <w:spacing w:val="0"/>
          <w:kern w:val="0"/>
          <w:sz w:val="30"/>
          <w:highlight w:val="none"/>
          <w:lang w:eastAsia="zh-CN"/>
        </w:rPr>
        <w:t>及流程</w:t>
      </w:r>
      <w:bookmarkEnd w:id="293"/>
    </w:p>
    <w:p w14:paraId="4C6B97C7">
      <w:pPr>
        <w:spacing w:line="360" w:lineRule="auto"/>
        <w:ind w:firstLine="422" w:firstLineChars="200"/>
        <w:outlineLvl w:val="2"/>
        <w:rPr>
          <w:rStyle w:val="47"/>
          <w:rFonts w:hint="eastAsia" w:ascii="宋体" w:eastAsia="宋体"/>
          <w:color w:val="auto"/>
          <w:spacing w:val="0"/>
          <w:kern w:val="0"/>
          <w:highlight w:val="none"/>
        </w:rPr>
      </w:pPr>
      <w:r>
        <w:rPr>
          <w:rStyle w:val="47"/>
          <w:rFonts w:hint="eastAsia" w:ascii="宋体" w:eastAsia="宋体"/>
          <w:b/>
          <w:color w:val="auto"/>
          <w:spacing w:val="0"/>
          <w:kern w:val="0"/>
          <w:highlight w:val="none"/>
        </w:rPr>
        <w:t>一、验收标准</w:t>
      </w:r>
    </w:p>
    <w:p w14:paraId="244F00AD">
      <w:pPr>
        <w:numPr>
          <w:ilvl w:val="0"/>
          <w:numId w:val="0"/>
        </w:numPr>
        <w:spacing w:line="24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1、</w:t>
      </w:r>
      <w:r>
        <w:rPr>
          <w:rStyle w:val="47"/>
          <w:rFonts w:hint="eastAsia" w:ascii="宋体" w:eastAsia="宋体"/>
          <w:color w:val="auto"/>
          <w:spacing w:val="0"/>
          <w:kern w:val="0"/>
          <w:highlight w:val="none"/>
        </w:rPr>
        <w:t>验收系统须满足试运行期内项目产品运行稳定、无遗留问题。</w:t>
      </w:r>
    </w:p>
    <w:p w14:paraId="6B69E956">
      <w:pPr>
        <w:numPr>
          <w:ilvl w:val="0"/>
          <w:numId w:val="0"/>
        </w:numPr>
        <w:spacing w:line="240" w:lineRule="auto"/>
        <w:ind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2、</w:t>
      </w:r>
      <w:r>
        <w:rPr>
          <w:rStyle w:val="47"/>
          <w:rFonts w:hint="eastAsia" w:ascii="宋体" w:eastAsia="宋体"/>
          <w:color w:val="auto"/>
          <w:spacing w:val="0"/>
          <w:kern w:val="0"/>
          <w:highlight w:val="none"/>
        </w:rPr>
        <w:t>项目知识及文档已全部完成转移。</w:t>
      </w:r>
    </w:p>
    <w:p w14:paraId="2317FB33">
      <w:pPr>
        <w:spacing w:line="360" w:lineRule="auto"/>
        <w:ind w:left="0" w:leftChars="0" w:firstLine="420" w:firstLineChars="20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lang w:val="en-US" w:eastAsia="zh-CN"/>
        </w:rPr>
        <w:t>3、</w:t>
      </w:r>
      <w:r>
        <w:rPr>
          <w:rStyle w:val="47"/>
          <w:rFonts w:hint="eastAsia" w:ascii="宋体" w:eastAsia="宋体"/>
          <w:color w:val="auto"/>
          <w:spacing w:val="0"/>
          <w:kern w:val="0"/>
          <w:highlight w:val="none"/>
        </w:rPr>
        <w:t>验收交付物包括：</w:t>
      </w:r>
    </w:p>
    <w:p w14:paraId="7066057F">
      <w:pPr>
        <w:spacing w:line="360" w:lineRule="auto"/>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《项目需求分析说明书》、《概要设计说明书》、《详细设计说明书》、《数据库设计说明书》、《系统安装部署手册》、《系统运行维护手册》、《用户操作手册》、《试运行报告》、《验收报告》</w:t>
      </w:r>
      <w:r>
        <w:rPr>
          <w:rStyle w:val="47"/>
          <w:rFonts w:hint="eastAsia" w:ascii="宋体" w:eastAsia="宋体"/>
          <w:color w:val="auto"/>
          <w:spacing w:val="0"/>
          <w:kern w:val="0"/>
          <w:highlight w:val="none"/>
          <w:lang w:eastAsia="zh-CN"/>
        </w:rPr>
        <w:t>、</w:t>
      </w:r>
      <w:r>
        <w:rPr>
          <w:rStyle w:val="47"/>
          <w:rFonts w:hint="eastAsia" w:ascii="宋体" w:eastAsia="宋体"/>
          <w:color w:val="auto"/>
          <w:spacing w:val="0"/>
          <w:kern w:val="0"/>
          <w:highlight w:val="none"/>
        </w:rPr>
        <w:t>《系统测试计划》、《系统测试报告》、《性能测试报告》、《安全测试报告》</w:t>
      </w:r>
      <w:r>
        <w:rPr>
          <w:rStyle w:val="47"/>
          <w:rFonts w:hint="eastAsia" w:ascii="宋体" w:eastAsia="宋体"/>
          <w:color w:val="auto"/>
          <w:spacing w:val="0"/>
          <w:kern w:val="0"/>
          <w:highlight w:val="none"/>
          <w:lang w:eastAsia="zh-CN"/>
        </w:rPr>
        <w:t>、</w:t>
      </w:r>
      <w:r>
        <w:rPr>
          <w:rStyle w:val="47"/>
          <w:rFonts w:ascii="宋体" w:eastAsia="宋体"/>
          <w:color w:val="auto"/>
          <w:spacing w:val="0"/>
          <w:kern w:val="0"/>
          <w:highlight w:val="none"/>
        </w:rPr>
        <w:t>源代码</w:t>
      </w:r>
    </w:p>
    <w:p w14:paraId="2D1DC8B6">
      <w:pPr>
        <w:spacing w:line="360" w:lineRule="auto"/>
        <w:ind w:firstLine="422" w:firstLineChars="200"/>
        <w:outlineLvl w:val="2"/>
        <w:rPr>
          <w:rStyle w:val="47"/>
          <w:rFonts w:hint="eastAsia" w:ascii="宋体" w:eastAsia="宋体"/>
          <w:b/>
          <w:color w:val="auto"/>
          <w:spacing w:val="0"/>
          <w:kern w:val="0"/>
          <w:highlight w:val="none"/>
        </w:rPr>
      </w:pPr>
      <w:r>
        <w:rPr>
          <w:rStyle w:val="47"/>
          <w:rFonts w:hint="eastAsia" w:ascii="宋体" w:eastAsia="宋体"/>
          <w:b/>
          <w:color w:val="auto"/>
          <w:spacing w:val="0"/>
          <w:kern w:val="0"/>
          <w:highlight w:val="none"/>
        </w:rPr>
        <w:t>二、验收流程</w:t>
      </w:r>
    </w:p>
    <w:p w14:paraId="2CD05078">
      <w:pPr>
        <w:spacing w:line="360" w:lineRule="auto"/>
        <w:ind w:left="2" w:leftChars="1" w:firstLine="315" w:firstLineChars="15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22AA8D85">
      <w:pPr>
        <w:spacing w:line="360" w:lineRule="auto"/>
        <w:ind w:left="-358"/>
        <w:rPr>
          <w:rStyle w:val="47"/>
          <w:rFonts w:hint="eastAsia" w:ascii="宋体" w:eastAsia="宋体"/>
          <w:color w:val="auto"/>
          <w:spacing w:val="0"/>
          <w:kern w:val="0"/>
          <w:highlight w:val="none"/>
        </w:rPr>
      </w:pPr>
    </w:p>
    <w:p w14:paraId="404945CE">
      <w:pPr>
        <w:pStyle w:val="2"/>
        <w:spacing w:before="0" w:after="0"/>
        <w:outlineLvl w:val="3"/>
        <w:rPr>
          <w:rStyle w:val="47"/>
          <w:rFonts w:hint="eastAsia" w:ascii="宋体" w:eastAsia="宋体"/>
          <w:color w:val="auto"/>
          <w:spacing w:val="0"/>
          <w:kern w:val="0"/>
          <w:sz w:val="30"/>
          <w:highlight w:val="none"/>
        </w:rPr>
      </w:pPr>
      <w:r>
        <w:rPr>
          <w:rStyle w:val="47"/>
          <w:rFonts w:hint="eastAsia" w:ascii="宋体" w:eastAsia="宋体"/>
          <w:b w:val="0"/>
          <w:color w:val="auto"/>
          <w:spacing w:val="0"/>
          <w:kern w:val="0"/>
          <w:sz w:val="30"/>
          <w:highlight w:val="none"/>
        </w:rPr>
        <w:br w:type="page"/>
      </w:r>
      <w:bookmarkStart w:id="294" w:name="_Toc63757484"/>
      <w:r>
        <w:rPr>
          <w:rStyle w:val="47"/>
          <w:rFonts w:hint="eastAsia" w:ascii="宋体" w:eastAsia="宋体"/>
          <w:color w:val="auto"/>
          <w:spacing w:val="0"/>
          <w:kern w:val="0"/>
          <w:sz w:val="30"/>
          <w:highlight w:val="none"/>
        </w:rPr>
        <w:t>附件四：维护服务条款</w:t>
      </w:r>
      <w:bookmarkEnd w:id="294"/>
    </w:p>
    <w:p w14:paraId="271167DB">
      <w:pPr>
        <w:spacing w:line="360" w:lineRule="auto"/>
        <w:ind w:firstLine="480"/>
        <w:rPr>
          <w:rStyle w:val="47"/>
          <w:rFonts w:hint="eastAsia" w:ascii="宋体" w:eastAsia="宋体"/>
          <w:color w:val="auto"/>
          <w:spacing w:val="0"/>
          <w:kern w:val="0"/>
          <w:highlight w:val="none"/>
        </w:rPr>
      </w:pPr>
      <w:r>
        <w:rPr>
          <w:rStyle w:val="47"/>
          <w:rFonts w:hint="eastAsia" w:ascii="宋体" w:eastAsia="宋体"/>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1F4375B9">
      <w:pPr>
        <w:numPr>
          <w:ilvl w:val="0"/>
          <w:numId w:val="4"/>
        </w:numPr>
        <w:spacing w:line="360" w:lineRule="auto"/>
        <w:rPr>
          <w:rStyle w:val="47"/>
          <w:rFonts w:hint="eastAsia" w:ascii="宋体" w:eastAsia="宋体"/>
          <w:color w:val="auto"/>
          <w:spacing w:val="0"/>
          <w:highlight w:val="none"/>
        </w:rPr>
      </w:pPr>
      <w:r>
        <w:rPr>
          <w:rStyle w:val="47"/>
          <w:rFonts w:hint="eastAsia" w:ascii="宋体" w:eastAsia="宋体"/>
          <w:color w:val="auto"/>
          <w:spacing w:val="0"/>
          <w:highlight w:val="none"/>
        </w:rPr>
        <w:t>系统正式验收通过，上线后提供</w:t>
      </w:r>
      <w:r>
        <w:rPr>
          <w:rStyle w:val="47"/>
          <w:rFonts w:hint="eastAsia" w:ascii="宋体" w:eastAsia="宋体"/>
          <w:color w:val="auto"/>
          <w:spacing w:val="0"/>
          <w:highlight w:val="none"/>
          <w:lang w:eastAsia="zh-CN"/>
        </w:rPr>
        <w:t>一</w:t>
      </w:r>
      <w:r>
        <w:rPr>
          <w:rStyle w:val="47"/>
          <w:rFonts w:hint="eastAsia" w:ascii="宋体" w:eastAsia="宋体"/>
          <w:color w:val="auto"/>
          <w:spacing w:val="0"/>
          <w:highlight w:val="none"/>
        </w:rPr>
        <w:t>个月免费人员现场驻场维护，</w:t>
      </w:r>
      <w:r>
        <w:rPr>
          <w:rFonts w:hint="eastAsia" w:ascii="宋体" w:eastAsia="宋体"/>
          <w:color w:val="auto"/>
          <w:spacing w:val="0"/>
          <w:kern w:val="0"/>
          <w:highlight w:val="none"/>
        </w:rPr>
        <w:t>正式</w:t>
      </w:r>
      <w:r>
        <w:rPr>
          <w:rFonts w:hint="eastAsia" w:ascii="宋体" w:eastAsia="宋体"/>
          <w:color w:val="auto"/>
          <w:spacing w:val="0"/>
          <w:highlight w:val="none"/>
        </w:rPr>
        <w:t>验收合格次日</w:t>
      </w:r>
      <w:r>
        <w:rPr>
          <w:rStyle w:val="47"/>
          <w:rFonts w:hint="eastAsia" w:ascii="宋体" w:eastAsia="宋体"/>
          <w:color w:val="auto"/>
          <w:spacing w:val="0"/>
          <w:highlight w:val="none"/>
        </w:rPr>
        <w:t>至次年</w:t>
      </w:r>
      <w:r>
        <w:rPr>
          <w:rFonts w:hint="eastAsia" w:ascii="宋体" w:eastAsia="宋体"/>
          <w:color w:val="auto"/>
          <w:spacing w:val="0"/>
          <w:highlight w:val="none"/>
        </w:rPr>
        <w:t>并延期至6月30日或12月31日中较近日期（即维保延期最长不超过半年）</w:t>
      </w:r>
      <w:r>
        <w:rPr>
          <w:rStyle w:val="47"/>
          <w:rFonts w:hint="eastAsia" w:ascii="宋体" w:eastAsia="宋体"/>
          <w:color w:val="auto"/>
          <w:spacing w:val="0"/>
          <w:highlight w:val="none"/>
        </w:rPr>
        <w:t>提供支持和服务。</w:t>
      </w:r>
    </w:p>
    <w:p w14:paraId="0DEEFCD2">
      <w:pPr>
        <w:numPr>
          <w:ilvl w:val="0"/>
          <w:numId w:val="4"/>
        </w:numPr>
        <w:spacing w:line="360" w:lineRule="auto"/>
        <w:outlineLvl w:val="3"/>
        <w:rPr>
          <w:rStyle w:val="47"/>
          <w:rFonts w:hint="eastAsia" w:ascii="宋体" w:eastAsia="宋体"/>
          <w:color w:val="auto"/>
          <w:spacing w:val="0"/>
          <w:highlight w:val="none"/>
        </w:rPr>
      </w:pPr>
      <w:r>
        <w:rPr>
          <w:rStyle w:val="47"/>
          <w:rFonts w:hint="eastAsia" w:ascii="宋体" w:eastAsia="宋体"/>
          <w:color w:val="auto"/>
          <w:spacing w:val="0"/>
          <w:highlight w:val="none"/>
        </w:rPr>
        <w:t>维护期内，提供平台升级及优化服务。</w:t>
      </w:r>
    </w:p>
    <w:p w14:paraId="37FEAC6A">
      <w:pPr>
        <w:numPr>
          <w:ilvl w:val="0"/>
          <w:numId w:val="4"/>
        </w:numPr>
        <w:spacing w:line="360" w:lineRule="auto"/>
        <w:rPr>
          <w:rStyle w:val="47"/>
          <w:rFonts w:hint="eastAsia" w:ascii="宋体" w:eastAsia="宋体"/>
          <w:color w:val="auto"/>
          <w:spacing w:val="0"/>
          <w:highlight w:val="none"/>
        </w:rPr>
      </w:pPr>
      <w:r>
        <w:rPr>
          <w:rStyle w:val="47"/>
          <w:rFonts w:hint="eastAsia" w:ascii="宋体" w:eastAsia="宋体"/>
          <w:color w:val="auto"/>
          <w:spacing w:val="0"/>
          <w:highlight w:val="none"/>
        </w:rPr>
        <w:t>系统上线后，提供二次系统和产品的培训，时间为每次1天。在维护期内，也可以根据用户需求，随时到客户现场进行系统和产品的培训。</w:t>
      </w:r>
    </w:p>
    <w:p w14:paraId="689DB8BA">
      <w:pPr>
        <w:numPr>
          <w:ilvl w:val="0"/>
          <w:numId w:val="4"/>
        </w:numPr>
        <w:spacing w:line="360" w:lineRule="auto"/>
        <w:rPr>
          <w:rFonts w:hint="eastAsia" w:ascii="宋体" w:eastAsia="宋体"/>
          <w:color w:val="auto"/>
          <w:spacing w:val="0"/>
          <w:highlight w:val="none"/>
        </w:rPr>
      </w:pPr>
      <w:r>
        <w:rPr>
          <w:rStyle w:val="47"/>
          <w:rFonts w:hint="eastAsia" w:ascii="宋体" w:eastAsia="宋体"/>
          <w:color w:val="auto"/>
          <w:spacing w:val="0"/>
          <w:highlight w:val="none"/>
        </w:rPr>
        <w:t>维护期内，每季度派工程师现场巡检一次，并在巡检后提交巡检报告，针对巡检中发现的问题立即组织整改。</w:t>
      </w:r>
      <w:bookmarkStart w:id="295" w:name="_Toc131174383"/>
      <w:bookmarkStart w:id="296" w:name="_Toc85087070"/>
      <w:bookmarkStart w:id="297" w:name="_Toc87509290"/>
    </w:p>
    <w:p w14:paraId="5B0D2A1D">
      <w:pPr>
        <w:spacing w:line="360" w:lineRule="auto"/>
        <w:rPr>
          <w:rFonts w:hint="eastAsia" w:ascii="宋体" w:eastAsia="宋体"/>
          <w:color w:val="auto"/>
          <w:spacing w:val="0"/>
          <w:highlight w:val="none"/>
        </w:rPr>
      </w:pPr>
      <w:r>
        <w:rPr>
          <w:rFonts w:hint="eastAsia" w:ascii="宋体" w:eastAsia="宋体"/>
          <w:color w:val="auto"/>
          <w:spacing w:val="0"/>
          <w:highlight w:val="none"/>
        </w:rPr>
        <w:t>支持方式和手段</w:t>
      </w:r>
      <w:bookmarkEnd w:id="295"/>
      <w:bookmarkEnd w:id="296"/>
      <w:bookmarkEnd w:id="297"/>
    </w:p>
    <w:p w14:paraId="4AB940FB">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热线电话</w:t>
      </w:r>
      <w:r>
        <w:rPr>
          <w:rFonts w:hint="eastAsia" w:ascii="宋体" w:eastAsia="宋体"/>
          <w:color w:val="auto"/>
          <w:spacing w:val="0"/>
          <w:highlight w:val="none"/>
        </w:rPr>
        <w:br w:type="textWrapping"/>
      </w:r>
      <w:r>
        <w:rPr>
          <w:rFonts w:hint="eastAsia" w:ascii="宋体" w:eastAsia="宋体"/>
          <w:color w:val="auto"/>
          <w:spacing w:val="0"/>
          <w:highlight w:val="none"/>
        </w:rPr>
        <w:t>针对具体业务过程中产生的各种技术咨询，开设专线，提供7*24小时的技术服务支持。</w:t>
      </w:r>
    </w:p>
    <w:p w14:paraId="70F6DC70">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E-mail</w:t>
      </w:r>
      <w:r>
        <w:rPr>
          <w:rFonts w:hint="eastAsia" w:ascii="宋体" w:eastAsia="宋体"/>
          <w:color w:val="auto"/>
          <w:spacing w:val="0"/>
          <w:highlight w:val="none"/>
        </w:rPr>
        <w:br w:type="textWrapping"/>
      </w:r>
      <w:r>
        <w:rPr>
          <w:rFonts w:hint="eastAsia" w:ascii="宋体" w:eastAsia="宋体"/>
          <w:color w:val="auto"/>
          <w:spacing w:val="0"/>
          <w:highlight w:val="none"/>
        </w:rPr>
        <w:t>客户建议、意见及技术支持同样可以通过</w:t>
      </w:r>
      <w:r>
        <w:rPr>
          <w:rFonts w:hint="eastAsia" w:ascii="宋体" w:eastAsia="宋体"/>
          <w:color w:val="auto"/>
          <w:spacing w:val="0"/>
          <w:highlight w:val="none"/>
          <w:u w:val="single"/>
        </w:rPr>
        <w:t xml:space="preserve">    XXXXX公司（乙方）  </w:t>
      </w:r>
      <w:r>
        <w:rPr>
          <w:rFonts w:hint="eastAsia" w:ascii="宋体" w:eastAsia="宋体"/>
          <w:color w:val="auto"/>
          <w:spacing w:val="0"/>
          <w:highlight w:val="none"/>
        </w:rPr>
        <w:t>提供的服务支持电子信箱获得响应，我们将做出详细、全面的服务解答，在半天内给予E-mail回复。</w:t>
      </w:r>
    </w:p>
    <w:p w14:paraId="5DF14BE7">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远程登录</w:t>
      </w:r>
      <w:r>
        <w:rPr>
          <w:rFonts w:hint="eastAsia" w:ascii="宋体" w:eastAsia="宋体"/>
          <w:color w:val="auto"/>
          <w:spacing w:val="0"/>
          <w:highlight w:val="none"/>
        </w:rPr>
        <w:br w:type="textWrapping"/>
      </w:r>
      <w:r>
        <w:rPr>
          <w:rFonts w:hint="eastAsia" w:ascii="宋体" w:eastAsia="宋体"/>
          <w:color w:val="auto"/>
          <w:spacing w:val="0"/>
          <w:highlight w:val="none"/>
        </w:rPr>
        <w:t>对客户所遇到技术问题可以在客户条件许可的情况下进行远程访问排除故障，以方便客户能够及时解决疑难杂症。</w:t>
      </w:r>
    </w:p>
    <w:p w14:paraId="57FA4499">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现场支持</w:t>
      </w:r>
      <w:r>
        <w:rPr>
          <w:rFonts w:hint="eastAsia" w:ascii="宋体" w:eastAsia="宋体"/>
          <w:color w:val="auto"/>
          <w:spacing w:val="0"/>
          <w:highlight w:val="none"/>
        </w:rPr>
        <w:br w:type="textWrapping"/>
      </w:r>
      <w:r>
        <w:rPr>
          <w:rFonts w:hint="eastAsia" w:ascii="宋体" w:eastAsia="宋体"/>
          <w:color w:val="auto"/>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403B6564">
      <w:pPr>
        <w:numPr>
          <w:ilvl w:val="0"/>
          <w:numId w:val="5"/>
        </w:numPr>
        <w:spacing w:line="360" w:lineRule="auto"/>
        <w:rPr>
          <w:rFonts w:hint="eastAsia" w:ascii="宋体" w:eastAsia="宋体"/>
          <w:color w:val="auto"/>
          <w:spacing w:val="0"/>
          <w:highlight w:val="none"/>
        </w:rPr>
      </w:pPr>
      <w:r>
        <w:rPr>
          <w:rFonts w:hint="eastAsia" w:ascii="宋体" w:eastAsia="宋体"/>
          <w:color w:val="auto"/>
          <w:spacing w:val="0"/>
          <w:highlight w:val="none"/>
        </w:rPr>
        <w:t>运行日志定期检查</w:t>
      </w:r>
      <w:r>
        <w:rPr>
          <w:rFonts w:hint="eastAsia" w:ascii="宋体" w:eastAsia="宋体"/>
          <w:color w:val="auto"/>
          <w:spacing w:val="0"/>
          <w:highlight w:val="none"/>
        </w:rPr>
        <w:br w:type="textWrapping"/>
      </w:r>
      <w:r>
        <w:rPr>
          <w:rFonts w:hint="eastAsia" w:ascii="宋体" w:eastAsia="宋体"/>
          <w:color w:val="auto"/>
          <w:spacing w:val="0"/>
          <w:highlight w:val="none"/>
        </w:rPr>
        <w:t>最好的服务方式是提前发现问题，将问题解决于发生前，在</w:t>
      </w:r>
      <w:r>
        <w:rPr>
          <w:rStyle w:val="47"/>
          <w:rFonts w:hint="eastAsia" w:ascii="宋体" w:eastAsia="宋体"/>
          <w:color w:val="auto"/>
          <w:spacing w:val="0"/>
          <w:kern w:val="0"/>
          <w:highlight w:val="none"/>
        </w:rPr>
        <w:t>乙方</w:t>
      </w:r>
      <w:r>
        <w:rPr>
          <w:rFonts w:hint="eastAsia" w:ascii="宋体" w:eastAsia="宋体"/>
          <w:color w:val="auto"/>
          <w:spacing w:val="0"/>
          <w:highlight w:val="none"/>
        </w:rPr>
        <w:t>实施的系统中，提供了相关的运行日志，通过和客户的协商，通过客户定期提供的运行日志，可实现定期的日志检查，可以提前发现系统的运行问题，以起到防患于未然的效果。</w:t>
      </w:r>
    </w:p>
    <w:p w14:paraId="360EC3D8">
      <w:pPr>
        <w:numPr>
          <w:ilvl w:val="0"/>
          <w:numId w:val="5"/>
        </w:numPr>
        <w:spacing w:line="360" w:lineRule="auto"/>
        <w:outlineLvl w:val="3"/>
        <w:rPr>
          <w:rFonts w:hint="eastAsia" w:ascii="宋体" w:eastAsia="宋体"/>
          <w:color w:val="auto"/>
          <w:spacing w:val="0"/>
          <w:highlight w:val="none"/>
        </w:rPr>
      </w:pPr>
      <w:r>
        <w:rPr>
          <w:rFonts w:hint="eastAsia" w:ascii="宋体" w:eastAsia="宋体"/>
          <w:color w:val="auto"/>
          <w:spacing w:val="0"/>
          <w:highlight w:val="none"/>
        </w:rPr>
        <w:t>故障处理流程</w:t>
      </w:r>
    </w:p>
    <w:p w14:paraId="13B00A2E">
      <w:pPr>
        <w:spacing w:line="360" w:lineRule="auto"/>
        <w:ind w:left="420"/>
        <w:rPr>
          <w:rFonts w:hint="eastAsia" w:ascii="宋体" w:eastAsia="宋体"/>
          <w:color w:val="auto"/>
          <w:spacing w:val="0"/>
          <w:highlight w:val="none"/>
        </w:rPr>
        <w:sectPr>
          <w:headerReference r:id="rId10" w:type="first"/>
          <w:footerReference r:id="rId13" w:type="first"/>
          <w:headerReference r:id="rId9" w:type="default"/>
          <w:footerReference r:id="rId11" w:type="default"/>
          <w:footerReference r:id="rId12" w:type="even"/>
          <w:pgSz w:w="11906" w:h="16838"/>
          <w:pgMar w:top="1440" w:right="1797" w:bottom="1440" w:left="1797" w:header="851" w:footer="992" w:gutter="0"/>
          <w:pgNumType w:fmt="decimal"/>
          <w:cols w:space="720" w:num="1"/>
          <w:docGrid w:type="lines" w:linePitch="326" w:charSpace="-4913"/>
        </w:sectPr>
      </w:pPr>
      <w:r>
        <w:rPr>
          <w:rFonts w:hint="eastAsia" w:ascii="宋体" w:eastAsia="宋体"/>
          <w:color w:val="auto"/>
          <w:spacing w:val="0"/>
          <w:highlight w:val="none"/>
        </w:rPr>
        <w:t>通过现象定位错误原因，编写处理说明书（包含处理完成时间）。</w:t>
      </w:r>
    </w:p>
    <w:p w14:paraId="73F5B5DF">
      <w:pPr>
        <w:pStyle w:val="2"/>
        <w:spacing w:before="0" w:after="0"/>
        <w:jc w:val="both"/>
        <w:outlineLvl w:val="4"/>
        <w:rPr>
          <w:rStyle w:val="47"/>
          <w:rFonts w:hint="eastAsia" w:ascii="宋体" w:eastAsia="宋体"/>
          <w:color w:val="auto"/>
          <w:spacing w:val="0"/>
          <w:kern w:val="0"/>
          <w:sz w:val="30"/>
          <w:highlight w:val="none"/>
        </w:rPr>
      </w:pPr>
      <w:bookmarkStart w:id="298" w:name="_Toc63757485"/>
      <w:r>
        <w:rPr>
          <w:rStyle w:val="47"/>
          <w:rFonts w:hint="eastAsia" w:ascii="宋体" w:eastAsia="宋体"/>
          <w:color w:val="auto"/>
          <w:spacing w:val="0"/>
          <w:kern w:val="0"/>
          <w:sz w:val="30"/>
          <w:highlight w:val="none"/>
        </w:rPr>
        <w:t>附件五：服务水平协议（SLA）</w:t>
      </w:r>
      <w:bookmarkEnd w:id="298"/>
    </w:p>
    <w:p w14:paraId="5446DA7C">
      <w:pPr>
        <w:spacing w:line="360" w:lineRule="auto"/>
        <w:rPr>
          <w:rFonts w:hint="eastAsia" w:ascii="宋体" w:eastAsia="宋体"/>
          <w:color w:val="auto"/>
          <w:spacing w:val="0"/>
          <w:kern w:val="0"/>
          <w:sz w:val="21"/>
          <w:szCs w:val="24"/>
          <w:highlight w:val="none"/>
        </w:rPr>
      </w:pPr>
    </w:p>
    <w:p w14:paraId="340E98C7">
      <w:pPr>
        <w:outlineLvl w:val="4"/>
        <w:rPr>
          <w:rFonts w:hint="eastAsia" w:ascii="宋体" w:eastAsia="宋体"/>
          <w:b/>
          <w:bCs/>
          <w:color w:val="auto"/>
          <w:spacing w:val="0"/>
          <w:szCs w:val="24"/>
          <w:highlight w:val="none"/>
        </w:rPr>
      </w:pPr>
      <w:bookmarkStart w:id="299" w:name="_Toc254884639"/>
      <w:r>
        <w:rPr>
          <w:rFonts w:hint="eastAsia" w:ascii="宋体" w:eastAsia="宋体"/>
          <w:b/>
          <w:bCs/>
          <w:color w:val="auto"/>
          <w:spacing w:val="0"/>
          <w:kern w:val="32"/>
          <w:szCs w:val="24"/>
          <w:highlight w:val="none"/>
        </w:rPr>
        <w:t>1. 目标</w:t>
      </w:r>
      <w:bookmarkEnd w:id="299"/>
    </w:p>
    <w:p w14:paraId="0E5CC619">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本服务水平协议（SLA）的目标是为了清晰地定义由xxxxxx公司（乙方）在本项目中为重庆三峡银行（甲方）提供的服务水平，本SLA主要：</w:t>
      </w:r>
    </w:p>
    <w:p w14:paraId="5B689F8F">
      <w:pPr>
        <w:widowControl/>
        <w:numPr>
          <w:ilvl w:val="0"/>
          <w:numId w:val="0"/>
        </w:numPr>
        <w:spacing w:line="360" w:lineRule="auto"/>
        <w:ind w:leftChars="200" w:firstLine="210" w:firstLineChars="100"/>
        <w:jc w:val="left"/>
        <w:rPr>
          <w:rFonts w:hint="eastAsia" w:ascii="宋体" w:eastAsia="宋体"/>
          <w:color w:val="auto"/>
          <w:spacing w:val="0"/>
          <w:szCs w:val="24"/>
          <w:highlight w:val="none"/>
        </w:rPr>
      </w:pPr>
      <w:r>
        <w:rPr>
          <w:rFonts w:hint="eastAsia" w:ascii="宋体" w:eastAsia="宋体"/>
          <w:color w:val="auto"/>
          <w:spacing w:val="0"/>
          <w:szCs w:val="24"/>
          <w:highlight w:val="none"/>
        </w:rPr>
        <w:t>明确甲方对外包乙方所提供服务水平的期望</w:t>
      </w:r>
    </w:p>
    <w:p w14:paraId="369D8C7C">
      <w:pPr>
        <w:widowControl/>
        <w:numPr>
          <w:ilvl w:val="0"/>
          <w:numId w:val="0"/>
        </w:numPr>
        <w:spacing w:line="360" w:lineRule="auto"/>
        <w:ind w:leftChars="200" w:firstLine="210" w:firstLineChars="100"/>
        <w:jc w:val="left"/>
        <w:rPr>
          <w:rFonts w:hint="eastAsia" w:ascii="宋体" w:eastAsia="宋体"/>
          <w:color w:val="auto"/>
          <w:spacing w:val="0"/>
          <w:szCs w:val="24"/>
          <w:highlight w:val="none"/>
        </w:rPr>
      </w:pPr>
      <w:r>
        <w:rPr>
          <w:rFonts w:hint="eastAsia" w:ascii="宋体" w:eastAsia="宋体"/>
          <w:color w:val="auto"/>
          <w:spacing w:val="0"/>
          <w:szCs w:val="24"/>
          <w:highlight w:val="none"/>
        </w:rPr>
        <w:t>规范和加强甲方对乙方所提供服务水平的控制</w:t>
      </w:r>
    </w:p>
    <w:p w14:paraId="3EF2DD2C">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双方将针对本项目制定明确的职责分工表用来确定计划和管理服务水平协议的角色和职责。</w:t>
      </w:r>
    </w:p>
    <w:p w14:paraId="77173C2E">
      <w:pPr>
        <w:outlineLvl w:val="4"/>
        <w:rPr>
          <w:rFonts w:hint="eastAsia" w:ascii="宋体" w:eastAsia="宋体"/>
          <w:b/>
          <w:bCs/>
          <w:color w:val="auto"/>
          <w:spacing w:val="0"/>
          <w:kern w:val="32"/>
          <w:szCs w:val="24"/>
          <w:highlight w:val="none"/>
        </w:rPr>
      </w:pPr>
      <w:bookmarkStart w:id="300" w:name="_Toc254884640"/>
      <w:r>
        <w:rPr>
          <w:rFonts w:hint="eastAsia" w:ascii="宋体" w:eastAsia="宋体"/>
          <w:b/>
          <w:bCs/>
          <w:color w:val="auto"/>
          <w:spacing w:val="0"/>
          <w:kern w:val="32"/>
          <w:szCs w:val="24"/>
          <w:highlight w:val="none"/>
        </w:rPr>
        <w:t>2. 协议期限</w:t>
      </w:r>
      <w:bookmarkEnd w:id="300"/>
    </w:p>
    <w:p w14:paraId="5C7E49C8">
      <w:pPr>
        <w:spacing w:line="360" w:lineRule="auto"/>
        <w:ind w:firstLine="371" w:firstLineChars="177"/>
        <w:rPr>
          <w:rFonts w:hint="eastAsia" w:ascii="宋体" w:eastAsia="宋体"/>
          <w:color w:val="auto"/>
          <w:spacing w:val="0"/>
          <w:szCs w:val="24"/>
          <w:highlight w:val="none"/>
        </w:rPr>
      </w:pPr>
      <w:r>
        <w:rPr>
          <w:rFonts w:hint="eastAsia" w:ascii="宋体" w:eastAsia="宋体"/>
          <w:color w:val="auto"/>
          <w:spacing w:val="0"/>
          <w:szCs w:val="24"/>
          <w:highlight w:val="none"/>
        </w:rPr>
        <w:t>根据双方达成的一致要求，本协议的有效期从本项目实施之日起到合同正文</w:t>
      </w:r>
      <w:r>
        <w:rPr>
          <w:rFonts w:hint="eastAsia" w:ascii="宋体" w:eastAsia="宋体"/>
          <w:color w:val="auto"/>
          <w:spacing w:val="0"/>
          <w:highlight w:val="none"/>
        </w:rPr>
        <w:t>6.1承诺的</w:t>
      </w:r>
      <w:r>
        <w:rPr>
          <w:rFonts w:hint="eastAsia" w:ascii="宋体" w:eastAsia="宋体"/>
          <w:color w:val="auto"/>
          <w:spacing w:val="0"/>
          <w:szCs w:val="24"/>
          <w:highlight w:val="none"/>
        </w:rPr>
        <w:t>维护期结束。</w:t>
      </w:r>
    </w:p>
    <w:p w14:paraId="5EFACF1D">
      <w:pPr>
        <w:outlineLvl w:val="4"/>
        <w:rPr>
          <w:rFonts w:hint="eastAsia" w:ascii="宋体" w:eastAsia="宋体"/>
          <w:b/>
          <w:bCs/>
          <w:color w:val="auto"/>
          <w:spacing w:val="0"/>
          <w:kern w:val="32"/>
          <w:szCs w:val="24"/>
          <w:highlight w:val="none"/>
        </w:rPr>
      </w:pPr>
      <w:bookmarkStart w:id="301" w:name="_Toc254884641"/>
      <w:r>
        <w:rPr>
          <w:rFonts w:hint="eastAsia" w:ascii="宋体" w:eastAsia="宋体"/>
          <w:b/>
          <w:bCs/>
          <w:color w:val="auto"/>
          <w:spacing w:val="0"/>
          <w:kern w:val="32"/>
          <w:szCs w:val="24"/>
          <w:highlight w:val="none"/>
        </w:rPr>
        <w:t>3. 双方职责</w:t>
      </w:r>
      <w:bookmarkEnd w:id="301"/>
    </w:p>
    <w:p w14:paraId="2BC7E526">
      <w:pPr>
        <w:rPr>
          <w:rFonts w:hint="eastAsia" w:ascii="宋体" w:eastAsia="宋体"/>
          <w:b/>
          <w:bCs/>
          <w:color w:val="auto"/>
          <w:spacing w:val="0"/>
          <w:kern w:val="32"/>
          <w:szCs w:val="24"/>
          <w:highlight w:val="none"/>
        </w:rPr>
      </w:pPr>
      <w:bookmarkStart w:id="302" w:name="_Toc254884642"/>
      <w:r>
        <w:rPr>
          <w:rFonts w:hint="eastAsia" w:ascii="宋体" w:eastAsia="宋体"/>
          <w:b/>
          <w:bCs/>
          <w:color w:val="auto"/>
          <w:spacing w:val="0"/>
          <w:kern w:val="32"/>
          <w:szCs w:val="24"/>
          <w:highlight w:val="none"/>
        </w:rPr>
        <w:t>3.1乙方</w:t>
      </w:r>
      <w:bookmarkEnd w:id="302"/>
    </w:p>
    <w:p w14:paraId="22932FF3">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除本协议第7条描述的服务水平衡量和目标外，乙方还应：</w:t>
      </w:r>
    </w:p>
    <w:p w14:paraId="4E39F4DB">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尽快向甲方管理层汇报发现的问题；</w:t>
      </w:r>
    </w:p>
    <w:p w14:paraId="5F54932E">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任何可能影响SLA中规定服务的服务能力的事件，乙方应尽早向甲方提供预警信息，以及可能的影响和处置措施。事件包括：</w:t>
      </w:r>
    </w:p>
    <w:p w14:paraId="0C8CA7A2">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组织架构变更</w:t>
      </w:r>
    </w:p>
    <w:p w14:paraId="328ED131">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技术变更</w:t>
      </w:r>
    </w:p>
    <w:p w14:paraId="0501076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职能变更</w:t>
      </w:r>
    </w:p>
    <w:p w14:paraId="788D8017">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其他可能影响对甲方服务的突发事件</w:t>
      </w:r>
    </w:p>
    <w:p w14:paraId="4F00C9BB">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协助甲方及时解决生产事件。当问题产生时，应尽快采取适当的措施识别并修复问题。</w:t>
      </w:r>
    </w:p>
    <w:p w14:paraId="76772C1F">
      <w:pPr>
        <w:rPr>
          <w:rFonts w:hint="eastAsia" w:ascii="宋体" w:eastAsia="宋体"/>
          <w:b/>
          <w:bCs/>
          <w:color w:val="auto"/>
          <w:spacing w:val="0"/>
          <w:kern w:val="32"/>
          <w:szCs w:val="24"/>
          <w:highlight w:val="none"/>
        </w:rPr>
      </w:pPr>
      <w:r>
        <w:rPr>
          <w:rFonts w:hint="eastAsia" w:ascii="宋体" w:eastAsia="宋体"/>
          <w:b/>
          <w:bCs/>
          <w:color w:val="auto"/>
          <w:spacing w:val="0"/>
          <w:kern w:val="32"/>
          <w:szCs w:val="24"/>
          <w:highlight w:val="none"/>
        </w:rPr>
        <w:t>3.2甲方</w:t>
      </w:r>
    </w:p>
    <w:p w14:paraId="50EC3AFA">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甲方将尽快将问题汇报给乙方管理层；</w:t>
      </w:r>
    </w:p>
    <w:p w14:paraId="79812481">
      <w:pPr>
        <w:widowControl/>
        <w:numPr>
          <w:ilvl w:val="0"/>
          <w:numId w:val="0"/>
        </w:numPr>
        <w:spacing w:line="360" w:lineRule="auto"/>
        <w:ind w:leftChars="200" w:firstLine="420" w:firstLineChars="200"/>
        <w:jc w:val="left"/>
        <w:rPr>
          <w:rFonts w:hint="eastAsia" w:ascii="宋体" w:eastAsia="宋体"/>
          <w:color w:val="auto"/>
          <w:spacing w:val="0"/>
          <w:szCs w:val="24"/>
          <w:highlight w:val="none"/>
        </w:rPr>
      </w:pPr>
      <w:r>
        <w:rPr>
          <w:rFonts w:hint="eastAsia" w:ascii="宋体" w:eastAsia="宋体"/>
          <w:color w:val="auto"/>
          <w:spacing w:val="0"/>
          <w:szCs w:val="24"/>
          <w:highlight w:val="none"/>
        </w:rPr>
        <w:t>提供任何可能影响乙方向甲方提供SLA中规定服务的服务能力的事件信息，包括：</w:t>
      </w:r>
    </w:p>
    <w:p w14:paraId="7237FDB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组织架构变更</w:t>
      </w:r>
    </w:p>
    <w:p w14:paraId="4E9A1AD0">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技术变更</w:t>
      </w:r>
    </w:p>
    <w:p w14:paraId="5FBD8EFA">
      <w:pPr>
        <w:widowControl/>
        <w:numPr>
          <w:ilvl w:val="0"/>
          <w:numId w:val="6"/>
        </w:numPr>
        <w:spacing w:line="360" w:lineRule="auto"/>
        <w:ind w:left="1380" w:leftChars="0" w:firstLineChars="0"/>
        <w:jc w:val="left"/>
        <w:rPr>
          <w:rFonts w:hint="eastAsia" w:ascii="宋体" w:eastAsia="宋体"/>
          <w:color w:val="auto"/>
          <w:spacing w:val="0"/>
          <w:szCs w:val="24"/>
          <w:highlight w:val="none"/>
        </w:rPr>
      </w:pPr>
      <w:r>
        <w:rPr>
          <w:rFonts w:hint="eastAsia" w:ascii="宋体" w:eastAsia="宋体"/>
          <w:color w:val="auto"/>
          <w:spacing w:val="0"/>
          <w:szCs w:val="24"/>
          <w:highlight w:val="none"/>
        </w:rPr>
        <w:t>职能变更</w:t>
      </w:r>
    </w:p>
    <w:p w14:paraId="42FF5E58">
      <w:pPr>
        <w:rPr>
          <w:rFonts w:hint="eastAsia" w:ascii="宋体" w:eastAsia="宋体"/>
          <w:b/>
          <w:bCs/>
          <w:color w:val="auto"/>
          <w:spacing w:val="0"/>
          <w:kern w:val="32"/>
          <w:szCs w:val="24"/>
          <w:highlight w:val="none"/>
        </w:rPr>
      </w:pPr>
      <w:bookmarkStart w:id="303" w:name="_Toc254884644"/>
      <w:r>
        <w:rPr>
          <w:rFonts w:hint="eastAsia" w:ascii="宋体" w:eastAsia="宋体"/>
          <w:b/>
          <w:bCs/>
          <w:color w:val="auto"/>
          <w:spacing w:val="0"/>
          <w:kern w:val="32"/>
          <w:szCs w:val="24"/>
          <w:highlight w:val="none"/>
        </w:rPr>
        <w:t>4. 服务内容</w:t>
      </w:r>
      <w:bookmarkEnd w:id="303"/>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038E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exact"/>
        </w:trPr>
        <w:tc>
          <w:tcPr>
            <w:tcW w:w="8897" w:type="dxa"/>
            <w:gridSpan w:val="3"/>
            <w:noWrap w:val="0"/>
            <w:vAlign w:val="center"/>
          </w:tcPr>
          <w:p w14:paraId="1353F6F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b/>
                <w:bCs/>
                <w:color w:val="auto"/>
                <w:spacing w:val="0"/>
                <w:kern w:val="32"/>
                <w:szCs w:val="24"/>
                <w:highlight w:val="none"/>
              </w:rPr>
              <w:t>4.1技术管理</w:t>
            </w:r>
          </w:p>
        </w:tc>
      </w:tr>
      <w:tr w14:paraId="3CFC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exact"/>
        </w:trPr>
        <w:tc>
          <w:tcPr>
            <w:tcW w:w="816" w:type="dxa"/>
            <w:noWrap w:val="0"/>
            <w:vAlign w:val="center"/>
          </w:tcPr>
          <w:p w14:paraId="48BF330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4.1.1</w:t>
            </w:r>
          </w:p>
        </w:tc>
        <w:tc>
          <w:tcPr>
            <w:tcW w:w="2022" w:type="dxa"/>
            <w:noWrap w:val="0"/>
            <w:vAlign w:val="center"/>
          </w:tcPr>
          <w:p w14:paraId="29E28049">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项目执行控制</w:t>
            </w:r>
          </w:p>
        </w:tc>
        <w:tc>
          <w:tcPr>
            <w:tcW w:w="6059" w:type="dxa"/>
            <w:noWrap w:val="0"/>
            <w:vAlign w:val="center"/>
          </w:tcPr>
          <w:p w14:paraId="62F3AC0E">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管理目标、沟通和范围</w:t>
            </w:r>
          </w:p>
        </w:tc>
      </w:tr>
      <w:tr w14:paraId="6511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exact"/>
        </w:trPr>
        <w:tc>
          <w:tcPr>
            <w:tcW w:w="816" w:type="dxa"/>
            <w:noWrap w:val="0"/>
            <w:vAlign w:val="center"/>
          </w:tcPr>
          <w:p w14:paraId="13F2066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4.1.2</w:t>
            </w:r>
          </w:p>
        </w:tc>
        <w:tc>
          <w:tcPr>
            <w:tcW w:w="2022" w:type="dxa"/>
            <w:noWrap w:val="0"/>
            <w:vAlign w:val="center"/>
          </w:tcPr>
          <w:p w14:paraId="70472BA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系统部署</w:t>
            </w:r>
          </w:p>
        </w:tc>
        <w:tc>
          <w:tcPr>
            <w:tcW w:w="6059" w:type="dxa"/>
            <w:noWrap w:val="0"/>
            <w:vAlign w:val="center"/>
          </w:tcPr>
          <w:p w14:paraId="58587F5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在甲方所提供的技术环境内配置和部署系统接入所需的资源</w:t>
            </w:r>
          </w:p>
        </w:tc>
      </w:tr>
      <w:tr w14:paraId="38A9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exact"/>
        </w:trPr>
        <w:tc>
          <w:tcPr>
            <w:tcW w:w="816" w:type="dxa"/>
            <w:noWrap w:val="0"/>
            <w:vAlign w:val="center"/>
          </w:tcPr>
          <w:p w14:paraId="64DA8C5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4.1.3</w:t>
            </w:r>
          </w:p>
        </w:tc>
        <w:tc>
          <w:tcPr>
            <w:tcW w:w="2022" w:type="dxa"/>
            <w:noWrap w:val="0"/>
            <w:vAlign w:val="center"/>
          </w:tcPr>
          <w:p w14:paraId="5FF626A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管理系统</w:t>
            </w:r>
          </w:p>
        </w:tc>
        <w:tc>
          <w:tcPr>
            <w:tcW w:w="6059" w:type="dxa"/>
            <w:noWrap w:val="0"/>
            <w:vAlign w:val="center"/>
          </w:tcPr>
          <w:p w14:paraId="7592CF1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管理运行过程中的各个环节和环境（如测试、培训、维护等）</w:t>
            </w:r>
          </w:p>
        </w:tc>
      </w:tr>
      <w:tr w14:paraId="2266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exact"/>
        </w:trPr>
        <w:tc>
          <w:tcPr>
            <w:tcW w:w="8897" w:type="dxa"/>
            <w:gridSpan w:val="3"/>
            <w:noWrap w:val="0"/>
            <w:vAlign w:val="center"/>
          </w:tcPr>
          <w:p w14:paraId="12540903">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4.2系统处理</w:t>
            </w:r>
          </w:p>
        </w:tc>
      </w:tr>
      <w:tr w14:paraId="4BD53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816" w:type="dxa"/>
            <w:noWrap w:val="0"/>
            <w:vAlign w:val="center"/>
          </w:tcPr>
          <w:p w14:paraId="46C2FE9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4.2.1</w:t>
            </w:r>
          </w:p>
        </w:tc>
        <w:tc>
          <w:tcPr>
            <w:tcW w:w="2022" w:type="dxa"/>
            <w:noWrap w:val="0"/>
            <w:vAlign w:val="center"/>
          </w:tcPr>
          <w:p w14:paraId="53C2972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备份</w:t>
            </w:r>
          </w:p>
        </w:tc>
        <w:tc>
          <w:tcPr>
            <w:tcW w:w="6059" w:type="dxa"/>
            <w:noWrap w:val="0"/>
            <w:vAlign w:val="center"/>
          </w:tcPr>
          <w:p w14:paraId="0AFD88B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提供数据容量规划咨询，设计系统的备份策略，完成其有效性验证</w:t>
            </w:r>
          </w:p>
        </w:tc>
      </w:tr>
      <w:tr w14:paraId="418E3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noWrap w:val="0"/>
            <w:vAlign w:val="center"/>
          </w:tcPr>
          <w:p w14:paraId="7D191AD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4.2.2</w:t>
            </w:r>
          </w:p>
        </w:tc>
        <w:tc>
          <w:tcPr>
            <w:tcW w:w="2022" w:type="dxa"/>
            <w:noWrap w:val="0"/>
            <w:vAlign w:val="center"/>
          </w:tcPr>
          <w:p w14:paraId="76ED2B3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恢复</w:t>
            </w:r>
          </w:p>
        </w:tc>
        <w:tc>
          <w:tcPr>
            <w:tcW w:w="6059" w:type="dxa"/>
            <w:noWrap w:val="0"/>
            <w:vAlign w:val="center"/>
          </w:tcPr>
          <w:p w14:paraId="72D0AB2E">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设计系统的恢复策略，完成其有效性验证</w:t>
            </w:r>
          </w:p>
        </w:tc>
      </w:tr>
      <w:tr w14:paraId="1994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exact"/>
        </w:trPr>
        <w:tc>
          <w:tcPr>
            <w:tcW w:w="8897" w:type="dxa"/>
            <w:gridSpan w:val="3"/>
            <w:noWrap w:val="0"/>
            <w:vAlign w:val="center"/>
          </w:tcPr>
          <w:p w14:paraId="11B6B8AA">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4.3软件开发及测试</w:t>
            </w:r>
          </w:p>
        </w:tc>
      </w:tr>
      <w:tr w14:paraId="4111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noWrap w:val="0"/>
            <w:vAlign w:val="center"/>
          </w:tcPr>
          <w:p w14:paraId="3E2818B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4.3.1</w:t>
            </w:r>
          </w:p>
        </w:tc>
        <w:tc>
          <w:tcPr>
            <w:tcW w:w="2022" w:type="dxa"/>
            <w:noWrap w:val="0"/>
            <w:vAlign w:val="center"/>
          </w:tcPr>
          <w:p w14:paraId="4C0B9D6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软件管理</w:t>
            </w:r>
          </w:p>
        </w:tc>
        <w:tc>
          <w:tcPr>
            <w:tcW w:w="6059" w:type="dxa"/>
            <w:noWrap w:val="0"/>
            <w:vAlign w:val="center"/>
          </w:tcPr>
          <w:p w14:paraId="62E293A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负责管理和设计应用软件，配合进行软件过程开发管理</w:t>
            </w:r>
          </w:p>
        </w:tc>
      </w:tr>
      <w:tr w14:paraId="0BB73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trPr>
        <w:tc>
          <w:tcPr>
            <w:tcW w:w="816" w:type="dxa"/>
            <w:noWrap w:val="0"/>
            <w:vAlign w:val="center"/>
          </w:tcPr>
          <w:p w14:paraId="733A545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4.3.2</w:t>
            </w:r>
          </w:p>
        </w:tc>
        <w:tc>
          <w:tcPr>
            <w:tcW w:w="2022" w:type="dxa"/>
            <w:noWrap w:val="0"/>
            <w:vAlign w:val="center"/>
          </w:tcPr>
          <w:p w14:paraId="19E3469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系统接口开发</w:t>
            </w:r>
          </w:p>
        </w:tc>
        <w:tc>
          <w:tcPr>
            <w:tcW w:w="6059" w:type="dxa"/>
            <w:noWrap w:val="0"/>
            <w:vAlign w:val="center"/>
          </w:tcPr>
          <w:p w14:paraId="677BA1A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设计和开发系统内部各模块的接口以及与外部系统进行数据交互的接口</w:t>
            </w:r>
          </w:p>
        </w:tc>
      </w:tr>
      <w:tr w14:paraId="5C5D8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noWrap w:val="0"/>
            <w:vAlign w:val="center"/>
          </w:tcPr>
          <w:p w14:paraId="2CE5748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4.3.3</w:t>
            </w:r>
          </w:p>
        </w:tc>
        <w:tc>
          <w:tcPr>
            <w:tcW w:w="2022" w:type="dxa"/>
            <w:noWrap w:val="0"/>
            <w:vAlign w:val="center"/>
          </w:tcPr>
          <w:p w14:paraId="67C1522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代码开发和测试</w:t>
            </w:r>
          </w:p>
        </w:tc>
        <w:tc>
          <w:tcPr>
            <w:tcW w:w="6059" w:type="dxa"/>
            <w:noWrap w:val="0"/>
            <w:vAlign w:val="center"/>
          </w:tcPr>
          <w:p w14:paraId="00702D9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编写代码并且完成开发自测与系统测试</w:t>
            </w:r>
          </w:p>
        </w:tc>
      </w:tr>
      <w:tr w14:paraId="6392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noWrap w:val="0"/>
            <w:vAlign w:val="center"/>
          </w:tcPr>
          <w:p w14:paraId="08EAE36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4.3.4</w:t>
            </w:r>
          </w:p>
        </w:tc>
        <w:tc>
          <w:tcPr>
            <w:tcW w:w="2022" w:type="dxa"/>
            <w:noWrap w:val="0"/>
            <w:vAlign w:val="center"/>
          </w:tcPr>
          <w:p w14:paraId="7C22732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知识转移</w:t>
            </w:r>
          </w:p>
        </w:tc>
        <w:tc>
          <w:tcPr>
            <w:tcW w:w="6059" w:type="dxa"/>
            <w:noWrap w:val="0"/>
            <w:vAlign w:val="center"/>
          </w:tcPr>
          <w:p w14:paraId="5EA2C6F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负责现场培训</w:t>
            </w:r>
          </w:p>
        </w:tc>
      </w:tr>
      <w:tr w14:paraId="17238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noWrap w:val="0"/>
            <w:vAlign w:val="center"/>
          </w:tcPr>
          <w:p w14:paraId="4651A668">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4.4 支持和维护</w:t>
            </w:r>
          </w:p>
        </w:tc>
      </w:tr>
      <w:tr w14:paraId="7526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exact"/>
        </w:trPr>
        <w:tc>
          <w:tcPr>
            <w:tcW w:w="816" w:type="dxa"/>
            <w:noWrap w:val="0"/>
            <w:vAlign w:val="center"/>
          </w:tcPr>
          <w:p w14:paraId="5221C77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4.4.1</w:t>
            </w:r>
          </w:p>
        </w:tc>
        <w:tc>
          <w:tcPr>
            <w:tcW w:w="2022" w:type="dxa"/>
            <w:noWrap w:val="0"/>
            <w:vAlign w:val="center"/>
          </w:tcPr>
          <w:p w14:paraId="19FD4D6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变更管理</w:t>
            </w:r>
          </w:p>
        </w:tc>
        <w:tc>
          <w:tcPr>
            <w:tcW w:w="6059" w:type="dxa"/>
            <w:noWrap w:val="0"/>
            <w:vAlign w:val="center"/>
          </w:tcPr>
          <w:p w14:paraId="19FA884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根据变更需求在甲方的技术环境内设计并且执行所有平台和应用软件变更程序</w:t>
            </w:r>
          </w:p>
        </w:tc>
      </w:tr>
      <w:tr w14:paraId="11F2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exact"/>
        </w:trPr>
        <w:tc>
          <w:tcPr>
            <w:tcW w:w="816" w:type="dxa"/>
            <w:noWrap w:val="0"/>
            <w:vAlign w:val="center"/>
          </w:tcPr>
          <w:p w14:paraId="5F0CBDF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4.4.2</w:t>
            </w:r>
          </w:p>
        </w:tc>
        <w:tc>
          <w:tcPr>
            <w:tcW w:w="2022" w:type="dxa"/>
            <w:noWrap w:val="0"/>
            <w:vAlign w:val="center"/>
          </w:tcPr>
          <w:p w14:paraId="736AFAE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系统监控</w:t>
            </w:r>
          </w:p>
        </w:tc>
        <w:tc>
          <w:tcPr>
            <w:tcW w:w="6059" w:type="dxa"/>
            <w:noWrap w:val="0"/>
            <w:vAlign w:val="center"/>
          </w:tcPr>
          <w:p w14:paraId="1191FFA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提供对系统监控的支持，包括专有硬件设备（如有）、应用系统进程、日志、连接等</w:t>
            </w:r>
          </w:p>
        </w:tc>
      </w:tr>
      <w:tr w14:paraId="00CE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exact"/>
        </w:trPr>
        <w:tc>
          <w:tcPr>
            <w:tcW w:w="816" w:type="dxa"/>
            <w:noWrap w:val="0"/>
            <w:vAlign w:val="center"/>
          </w:tcPr>
          <w:p w14:paraId="2DD0F11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4.4.3</w:t>
            </w:r>
          </w:p>
        </w:tc>
        <w:tc>
          <w:tcPr>
            <w:tcW w:w="2022" w:type="dxa"/>
            <w:noWrap w:val="0"/>
            <w:vAlign w:val="center"/>
          </w:tcPr>
          <w:p w14:paraId="62545A0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发布管理</w:t>
            </w:r>
          </w:p>
        </w:tc>
        <w:tc>
          <w:tcPr>
            <w:tcW w:w="6059" w:type="dxa"/>
            <w:noWrap w:val="0"/>
            <w:vAlign w:val="center"/>
          </w:tcPr>
          <w:p w14:paraId="39D7899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制定测试环境发布方案，协助将具体的目标系统从测试环境移植到生产的上线方案</w:t>
            </w:r>
          </w:p>
        </w:tc>
      </w:tr>
      <w:tr w14:paraId="336B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exact"/>
        </w:trPr>
        <w:tc>
          <w:tcPr>
            <w:tcW w:w="816" w:type="dxa"/>
            <w:noWrap w:val="0"/>
            <w:vAlign w:val="center"/>
          </w:tcPr>
          <w:p w14:paraId="3271F8A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4.4.4</w:t>
            </w:r>
          </w:p>
        </w:tc>
        <w:tc>
          <w:tcPr>
            <w:tcW w:w="2022" w:type="dxa"/>
            <w:noWrap w:val="0"/>
            <w:vAlign w:val="center"/>
          </w:tcPr>
          <w:p w14:paraId="4D508BE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安全管理</w:t>
            </w:r>
          </w:p>
        </w:tc>
        <w:tc>
          <w:tcPr>
            <w:tcW w:w="6059" w:type="dxa"/>
            <w:noWrap w:val="0"/>
            <w:vAlign w:val="center"/>
          </w:tcPr>
          <w:p w14:paraId="7FE1CEE7">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配合甲方完成上线前的漏洞扫描、渗透测试等安全评估工作，根据甲方要求完成发现漏洞的整改工作</w:t>
            </w:r>
          </w:p>
        </w:tc>
      </w:tr>
      <w:tr w14:paraId="5F1C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trPr>
        <w:tc>
          <w:tcPr>
            <w:tcW w:w="8897" w:type="dxa"/>
            <w:gridSpan w:val="3"/>
            <w:noWrap w:val="0"/>
            <w:vAlign w:val="center"/>
          </w:tcPr>
          <w:p w14:paraId="22506C54">
            <w:pPr>
              <w:autoSpaceDE/>
              <w:autoSpaceDN/>
              <w:spacing w:line="240" w:lineRule="auto"/>
              <w:ind w:firstLine="0" w:firstLineChars="0"/>
              <w:rPr>
                <w:rFonts w:hint="eastAsia" w:ascii="宋体" w:hAnsi="Times New Roman" w:eastAsia="宋体" w:cs="Times New Roman"/>
                <w:b/>
                <w:color w:val="auto"/>
                <w:spacing w:val="0"/>
                <w:szCs w:val="24"/>
                <w:highlight w:val="none"/>
              </w:rPr>
            </w:pPr>
            <w:r>
              <w:rPr>
                <w:rFonts w:hint="eastAsia" w:ascii="宋体" w:hAnsi="Times New Roman" w:eastAsia="宋体" w:cs="Times New Roman"/>
                <w:b/>
                <w:color w:val="auto"/>
                <w:spacing w:val="0"/>
                <w:szCs w:val="24"/>
                <w:highlight w:val="none"/>
              </w:rPr>
              <w:t>4.5 后续支持</w:t>
            </w:r>
          </w:p>
        </w:tc>
      </w:tr>
      <w:tr w14:paraId="6249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exact"/>
        </w:trPr>
        <w:tc>
          <w:tcPr>
            <w:tcW w:w="816" w:type="dxa"/>
            <w:noWrap w:val="0"/>
            <w:vAlign w:val="center"/>
          </w:tcPr>
          <w:p w14:paraId="4E09909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4.5.1</w:t>
            </w:r>
          </w:p>
        </w:tc>
        <w:tc>
          <w:tcPr>
            <w:tcW w:w="2022" w:type="dxa"/>
            <w:noWrap w:val="0"/>
            <w:vAlign w:val="center"/>
          </w:tcPr>
          <w:p w14:paraId="1D812FE6">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版本安装、更新和升级</w:t>
            </w:r>
          </w:p>
        </w:tc>
        <w:tc>
          <w:tcPr>
            <w:tcW w:w="6059" w:type="dxa"/>
            <w:noWrap w:val="0"/>
            <w:vAlign w:val="center"/>
          </w:tcPr>
          <w:p w14:paraId="3B2391F5">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提供系统版本安装和升级支持，包括响应甲方对生产、测试、开发、培训环境的安装和升级要求；提供硬件更换服务</w:t>
            </w:r>
          </w:p>
        </w:tc>
      </w:tr>
      <w:tr w14:paraId="3ED4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exact"/>
        </w:trPr>
        <w:tc>
          <w:tcPr>
            <w:tcW w:w="816" w:type="dxa"/>
            <w:noWrap w:val="0"/>
            <w:vAlign w:val="center"/>
          </w:tcPr>
          <w:p w14:paraId="726EF044">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4.5.2</w:t>
            </w:r>
          </w:p>
        </w:tc>
        <w:tc>
          <w:tcPr>
            <w:tcW w:w="2022" w:type="dxa"/>
            <w:noWrap w:val="0"/>
            <w:vAlign w:val="center"/>
          </w:tcPr>
          <w:p w14:paraId="1F82505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安全漏洞整改</w:t>
            </w:r>
          </w:p>
        </w:tc>
        <w:tc>
          <w:tcPr>
            <w:tcW w:w="6059" w:type="dxa"/>
            <w:noWrap w:val="0"/>
            <w:vAlign w:val="center"/>
          </w:tcPr>
          <w:p w14:paraId="57D8B58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针对系统运行过程中发现的安全漏洞，根据甲方要求完成整改工作</w:t>
            </w:r>
          </w:p>
        </w:tc>
      </w:tr>
      <w:tr w14:paraId="233C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noWrap w:val="0"/>
            <w:vAlign w:val="center"/>
          </w:tcPr>
          <w:p w14:paraId="1DF23F6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4.5.3</w:t>
            </w:r>
          </w:p>
        </w:tc>
        <w:tc>
          <w:tcPr>
            <w:tcW w:w="2022" w:type="dxa"/>
            <w:noWrap w:val="0"/>
            <w:vAlign w:val="center"/>
          </w:tcPr>
          <w:p w14:paraId="1C62989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服务台支持</w:t>
            </w:r>
          </w:p>
        </w:tc>
        <w:tc>
          <w:tcPr>
            <w:tcW w:w="6059" w:type="dxa"/>
            <w:noWrap w:val="0"/>
            <w:vAlign w:val="center"/>
          </w:tcPr>
          <w:p w14:paraId="52060DA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提供7×24小时的技术支持服务</w:t>
            </w:r>
          </w:p>
        </w:tc>
      </w:tr>
      <w:tr w14:paraId="2904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noWrap w:val="0"/>
            <w:vAlign w:val="center"/>
          </w:tcPr>
          <w:p w14:paraId="112ED8F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4.5.4</w:t>
            </w:r>
          </w:p>
        </w:tc>
        <w:tc>
          <w:tcPr>
            <w:tcW w:w="2022" w:type="dxa"/>
            <w:noWrap w:val="0"/>
            <w:vAlign w:val="center"/>
          </w:tcPr>
          <w:p w14:paraId="0F7A1071">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巡检服务</w:t>
            </w:r>
          </w:p>
        </w:tc>
        <w:tc>
          <w:tcPr>
            <w:tcW w:w="6059" w:type="dxa"/>
            <w:noWrap w:val="0"/>
            <w:vAlign w:val="center"/>
          </w:tcPr>
          <w:p w14:paraId="673894C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提供系统运行状况报告</w:t>
            </w:r>
          </w:p>
        </w:tc>
      </w:tr>
      <w:tr w14:paraId="188C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noWrap w:val="0"/>
            <w:vAlign w:val="center"/>
          </w:tcPr>
          <w:p w14:paraId="16CC5100">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4.5.5</w:t>
            </w:r>
          </w:p>
        </w:tc>
        <w:tc>
          <w:tcPr>
            <w:tcW w:w="2022" w:type="dxa"/>
            <w:noWrap w:val="0"/>
            <w:vAlign w:val="center"/>
          </w:tcPr>
          <w:p w14:paraId="4A0B68C8">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现场问题解决</w:t>
            </w:r>
          </w:p>
        </w:tc>
        <w:tc>
          <w:tcPr>
            <w:tcW w:w="6059" w:type="dxa"/>
            <w:noWrap w:val="0"/>
            <w:vAlign w:val="center"/>
          </w:tcPr>
          <w:p w14:paraId="79FA1A6C">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提供重大问题现场解决，提供系统性能、容量、问题报告</w:t>
            </w:r>
          </w:p>
        </w:tc>
      </w:tr>
      <w:tr w14:paraId="3617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0" w:hRule="exact"/>
        </w:trPr>
        <w:tc>
          <w:tcPr>
            <w:tcW w:w="816" w:type="dxa"/>
            <w:noWrap w:val="0"/>
            <w:vAlign w:val="center"/>
          </w:tcPr>
          <w:p w14:paraId="2B08A8DB">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4.5.6</w:t>
            </w:r>
          </w:p>
        </w:tc>
        <w:tc>
          <w:tcPr>
            <w:tcW w:w="2022" w:type="dxa"/>
            <w:noWrap w:val="0"/>
            <w:vAlign w:val="center"/>
          </w:tcPr>
          <w:p w14:paraId="2FD9213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响应要求</w:t>
            </w:r>
          </w:p>
        </w:tc>
        <w:tc>
          <w:tcPr>
            <w:tcW w:w="6059" w:type="dxa"/>
            <w:noWrap w:val="0"/>
            <w:vAlign w:val="center"/>
          </w:tcPr>
          <w:p w14:paraId="15C6BBAA">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要求按服务水平和指标及时响应：</w:t>
            </w:r>
          </w:p>
          <w:p w14:paraId="35A68963">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7B2F77D">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二级响应：系统的运行性能严重下降，或性能明显下降，对业务运作产生明显影响。响应时间1小时内，必要时4小时到达，8小时内排除问题；</w:t>
            </w:r>
          </w:p>
          <w:p w14:paraId="62A7A8A4">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三级响应：系统的运作性能受损，但业务仍可正常运行，响应时间12小时内，必要时24小时到达，1周内排除问题；</w:t>
            </w:r>
          </w:p>
          <w:p w14:paraId="12925FA2">
            <w:pPr>
              <w:autoSpaceDE/>
              <w:autoSpaceDN/>
              <w:spacing w:line="240" w:lineRule="auto"/>
              <w:ind w:firstLine="0" w:firstLineChars="0"/>
              <w:rPr>
                <w:rFonts w:hint="eastAsia" w:ascii="宋体" w:hAnsi="Times New Roman" w:eastAsia="宋体" w:cs="Times New Roman"/>
                <w:color w:val="auto"/>
                <w:spacing w:val="0"/>
                <w:szCs w:val="24"/>
                <w:highlight w:val="none"/>
              </w:rPr>
            </w:pPr>
            <w:r>
              <w:rPr>
                <w:rFonts w:hint="eastAsia" w:ascii="宋体" w:hAnsi="Times New Roman" w:eastAsia="宋体" w:cs="Times New Roman"/>
                <w:color w:val="auto"/>
                <w:spacing w:val="0"/>
                <w:szCs w:val="24"/>
                <w:highlight w:val="none"/>
              </w:rPr>
              <w:t>四级响应：对系统安装或配置方面需要咨询或支援，很显然对业务运作几乎无影响，或根本没有影响。响应时间24小时内，必要时48小时到达，2周内排除问题。</w:t>
            </w:r>
          </w:p>
        </w:tc>
      </w:tr>
    </w:tbl>
    <w:p w14:paraId="05330468">
      <w:pPr>
        <w:rPr>
          <w:rFonts w:hint="eastAsia" w:ascii="宋体" w:eastAsia="宋体"/>
          <w:b/>
          <w:bCs/>
          <w:color w:val="auto"/>
          <w:spacing w:val="0"/>
          <w:kern w:val="32"/>
          <w:szCs w:val="24"/>
          <w:highlight w:val="none"/>
        </w:rPr>
      </w:pPr>
    </w:p>
    <w:p w14:paraId="433DC5A1">
      <w:pPr>
        <w:rPr>
          <w:rFonts w:hint="eastAsia" w:ascii="宋体" w:eastAsia="宋体"/>
          <w:b/>
          <w:bCs/>
          <w:color w:val="auto"/>
          <w:spacing w:val="0"/>
          <w:kern w:val="32"/>
          <w:szCs w:val="24"/>
          <w:highlight w:val="none"/>
        </w:rPr>
      </w:pPr>
      <w:bookmarkStart w:id="304" w:name="_Toc254884645"/>
      <w:r>
        <w:rPr>
          <w:rFonts w:hint="eastAsia" w:ascii="宋体" w:eastAsia="宋体"/>
          <w:b/>
          <w:bCs/>
          <w:color w:val="auto"/>
          <w:spacing w:val="0"/>
          <w:kern w:val="32"/>
          <w:szCs w:val="24"/>
          <w:highlight w:val="none"/>
        </w:rPr>
        <w:t>5. 问题管理流程</w:t>
      </w:r>
      <w:bookmarkEnd w:id="304"/>
    </w:p>
    <w:p w14:paraId="5794F4A5">
      <w:pPr>
        <w:rPr>
          <w:rFonts w:hint="eastAsia" w:ascii="宋体" w:eastAsia="宋体"/>
          <w:b/>
          <w:bCs/>
          <w:color w:val="auto"/>
          <w:spacing w:val="0"/>
          <w:kern w:val="32"/>
          <w:szCs w:val="24"/>
          <w:highlight w:val="none"/>
        </w:rPr>
      </w:pPr>
      <w:bookmarkStart w:id="305" w:name="_Toc254884646"/>
      <w:r>
        <w:rPr>
          <w:rFonts w:hint="eastAsia" w:ascii="宋体" w:eastAsia="宋体"/>
          <w:b/>
          <w:bCs/>
          <w:color w:val="auto"/>
          <w:spacing w:val="0"/>
          <w:kern w:val="32"/>
          <w:szCs w:val="24"/>
          <w:highlight w:val="none"/>
        </w:rPr>
        <w:t>5.1问题处理流程</w:t>
      </w:r>
      <w:bookmarkEnd w:id="305"/>
    </w:p>
    <w:p w14:paraId="77E98F51">
      <w:pPr>
        <w:widowControl/>
        <w:numPr>
          <w:ilvl w:val="0"/>
          <w:numId w:val="7"/>
        </w:numPr>
        <w:spacing w:line="360" w:lineRule="auto"/>
        <w:ind w:left="0" w:firstLine="567" w:firstLineChars="270"/>
        <w:outlineLvl w:val="4"/>
        <w:rPr>
          <w:rFonts w:hint="eastAsia" w:ascii="宋体" w:eastAsia="宋体"/>
          <w:color w:val="auto"/>
          <w:spacing w:val="0"/>
          <w:szCs w:val="24"/>
          <w:highlight w:val="none"/>
        </w:rPr>
      </w:pPr>
      <w:r>
        <w:rPr>
          <w:rFonts w:hint="eastAsia" w:ascii="宋体" w:eastAsia="宋体"/>
          <w:color w:val="auto"/>
          <w:spacing w:val="0"/>
          <w:szCs w:val="24"/>
          <w:highlight w:val="none"/>
        </w:rPr>
        <w:t>甲方或乙方均可以首先提出对问题解决方案有不同意见的看法；</w:t>
      </w:r>
    </w:p>
    <w:p w14:paraId="4D5BC976">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甲方管理层和乙方管理层将决定问题是否需要提升到更高的管理层；</w:t>
      </w:r>
    </w:p>
    <w:p w14:paraId="1E0F2B23">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及时召开相关的会议讨论和解决问题，问题的相关文档应提前一天发送到与会者；</w:t>
      </w:r>
    </w:p>
    <w:p w14:paraId="69A08D06">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1FC0F0AE">
      <w:pPr>
        <w:widowControl/>
        <w:numPr>
          <w:ilvl w:val="0"/>
          <w:numId w:val="7"/>
        </w:numPr>
        <w:spacing w:line="360" w:lineRule="auto"/>
        <w:ind w:left="0" w:firstLine="567" w:firstLineChars="270"/>
        <w:rPr>
          <w:rFonts w:hint="eastAsia" w:ascii="宋体" w:eastAsia="宋体"/>
          <w:color w:val="auto"/>
          <w:spacing w:val="0"/>
          <w:szCs w:val="24"/>
          <w:highlight w:val="none"/>
        </w:rPr>
      </w:pPr>
      <w:r>
        <w:rPr>
          <w:rFonts w:hint="eastAsia" w:ascii="宋体" w:eastAsia="宋体"/>
          <w:color w:val="auto"/>
          <w:spacing w:val="0"/>
          <w:szCs w:val="24"/>
          <w:highlight w:val="none"/>
        </w:rPr>
        <w:t>如果问题最终仍没解决，甲方和乙方双方可以申请仲裁来达成最终的一致方案。</w:t>
      </w:r>
    </w:p>
    <w:p w14:paraId="7D422C9B">
      <w:pPr>
        <w:rPr>
          <w:rFonts w:hint="eastAsia" w:ascii="宋体" w:eastAsia="宋体"/>
          <w:b/>
          <w:bCs/>
          <w:color w:val="auto"/>
          <w:spacing w:val="0"/>
          <w:kern w:val="32"/>
          <w:szCs w:val="24"/>
          <w:highlight w:val="none"/>
        </w:rPr>
      </w:pPr>
      <w:bookmarkStart w:id="306" w:name="_Toc254884647"/>
      <w:r>
        <w:rPr>
          <w:rFonts w:hint="eastAsia" w:ascii="宋体" w:eastAsia="宋体"/>
          <w:b/>
          <w:bCs/>
          <w:color w:val="auto"/>
          <w:spacing w:val="0"/>
          <w:kern w:val="32"/>
          <w:szCs w:val="24"/>
          <w:highlight w:val="none"/>
        </w:rPr>
        <w:t>5.2问题升级流程</w:t>
      </w:r>
      <w:bookmarkEnd w:id="306"/>
    </w:p>
    <w:p w14:paraId="5BB5C8B3">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甲方或者乙方都有可能首先提出该流程；</w:t>
      </w:r>
    </w:p>
    <w:p w14:paraId="2D358300">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首先提出的一方应及时通知对方问题升级流程已经启动；</w:t>
      </w:r>
    </w:p>
    <w:p w14:paraId="786709D2">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问题升级到的管理层应当事先定义在联络人表中；</w:t>
      </w:r>
    </w:p>
    <w:p w14:paraId="22D4EE77">
      <w:pPr>
        <w:widowControl/>
        <w:numPr>
          <w:ilvl w:val="0"/>
          <w:numId w:val="0"/>
        </w:numPr>
        <w:spacing w:line="360" w:lineRule="auto"/>
        <w:ind w:leftChars="200"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问题升级的层次在甲方和乙方之间应当保持一致，直至解决该问题。</w:t>
      </w:r>
    </w:p>
    <w:p w14:paraId="3D81FC9B">
      <w:pPr>
        <w:rPr>
          <w:rFonts w:hint="eastAsia" w:ascii="宋体" w:eastAsia="宋体"/>
          <w:b/>
          <w:bCs/>
          <w:color w:val="auto"/>
          <w:spacing w:val="0"/>
          <w:kern w:val="32"/>
          <w:szCs w:val="24"/>
          <w:highlight w:val="none"/>
        </w:rPr>
      </w:pPr>
      <w:bookmarkStart w:id="307" w:name="_Toc254884648"/>
      <w:r>
        <w:rPr>
          <w:rFonts w:hint="eastAsia" w:ascii="宋体" w:eastAsia="宋体"/>
          <w:b/>
          <w:bCs/>
          <w:color w:val="auto"/>
          <w:spacing w:val="0"/>
          <w:kern w:val="32"/>
          <w:szCs w:val="24"/>
          <w:highlight w:val="none"/>
        </w:rPr>
        <w:t>5.3联络表</w:t>
      </w:r>
      <w:bookmarkEnd w:id="307"/>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59ADE1B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468B04A9">
            <w:pPr>
              <w:spacing w:line="360" w:lineRule="auto"/>
              <w:jc w:val="center"/>
              <w:rPr>
                <w:rFonts w:hint="eastAsia" w:ascii="宋体" w:eastAsia="宋体"/>
                <w:color w:val="auto"/>
                <w:spacing w:val="0"/>
                <w:szCs w:val="24"/>
                <w:highlight w:val="none"/>
              </w:rPr>
            </w:pPr>
            <w:r>
              <w:rPr>
                <w:rFonts w:hint="eastAsia" w:ascii="宋体" w:eastAsia="宋体"/>
                <w:b/>
                <w:color w:val="auto"/>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val="0"/>
            <w:vAlign w:val="top"/>
          </w:tcPr>
          <w:p w14:paraId="592FE51A">
            <w:pPr>
              <w:spacing w:line="360" w:lineRule="auto"/>
              <w:jc w:val="center"/>
              <w:rPr>
                <w:rFonts w:hint="eastAsia" w:ascii="宋体" w:eastAsia="宋体"/>
                <w:b/>
                <w:color w:val="auto"/>
                <w:spacing w:val="0"/>
                <w:szCs w:val="24"/>
                <w:highlight w:val="none"/>
              </w:rPr>
            </w:pPr>
            <w:r>
              <w:rPr>
                <w:rFonts w:hint="eastAsia" w:ascii="宋体" w:eastAsia="宋体"/>
                <w:b/>
                <w:color w:val="auto"/>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6C52B5C">
            <w:pPr>
              <w:spacing w:line="360" w:lineRule="auto"/>
              <w:jc w:val="center"/>
              <w:rPr>
                <w:rFonts w:hint="eastAsia" w:ascii="宋体" w:eastAsia="宋体"/>
                <w:b/>
                <w:color w:val="auto"/>
                <w:spacing w:val="0"/>
                <w:szCs w:val="24"/>
                <w:highlight w:val="none"/>
              </w:rPr>
            </w:pPr>
            <w:r>
              <w:rPr>
                <w:rFonts w:hint="eastAsia" w:ascii="宋体" w:eastAsia="宋体"/>
                <w:b/>
                <w:color w:val="auto"/>
                <w:spacing w:val="0"/>
                <w:szCs w:val="24"/>
                <w:highlight w:val="none"/>
              </w:rPr>
              <w:t>电话</w:t>
            </w:r>
          </w:p>
        </w:tc>
      </w:tr>
      <w:tr w14:paraId="16D14F7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5E511B6D">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51EAED81">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5BB5429A">
            <w:pPr>
              <w:spacing w:line="360" w:lineRule="auto"/>
              <w:jc w:val="center"/>
              <w:rPr>
                <w:rFonts w:hint="eastAsia" w:ascii="宋体" w:eastAsia="宋体"/>
                <w:color w:val="auto"/>
                <w:spacing w:val="0"/>
                <w:szCs w:val="24"/>
                <w:highlight w:val="none"/>
              </w:rPr>
            </w:pPr>
          </w:p>
        </w:tc>
      </w:tr>
      <w:tr w14:paraId="0B377B5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432D9FDA">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699FFB62">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52FD3F1">
            <w:pPr>
              <w:spacing w:line="360" w:lineRule="auto"/>
              <w:jc w:val="center"/>
              <w:rPr>
                <w:rFonts w:hint="eastAsia" w:ascii="宋体" w:eastAsia="宋体"/>
                <w:color w:val="auto"/>
                <w:spacing w:val="0"/>
                <w:szCs w:val="24"/>
                <w:highlight w:val="none"/>
              </w:rPr>
            </w:pPr>
          </w:p>
        </w:tc>
      </w:tr>
      <w:tr w14:paraId="6CD1BCB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6271FF21">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079D718F">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2B0A0482">
            <w:pPr>
              <w:spacing w:line="360" w:lineRule="auto"/>
              <w:jc w:val="center"/>
              <w:rPr>
                <w:rFonts w:hint="eastAsia" w:ascii="宋体" w:eastAsia="宋体"/>
                <w:color w:val="auto"/>
                <w:spacing w:val="0"/>
                <w:szCs w:val="24"/>
                <w:highlight w:val="none"/>
              </w:rPr>
            </w:pPr>
          </w:p>
        </w:tc>
      </w:tr>
      <w:tr w14:paraId="2B31C55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7710591B">
            <w:pPr>
              <w:spacing w:line="360" w:lineRule="auto"/>
              <w:jc w:val="center"/>
              <w:rPr>
                <w:rFonts w:hint="eastAsia" w:ascii="宋体" w:eastAsia="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439BD105">
            <w:pPr>
              <w:spacing w:line="360" w:lineRule="auto"/>
              <w:jc w:val="center"/>
              <w:rPr>
                <w:rFonts w:hint="eastAsia" w:ascii="宋体" w:eastAsia="宋体"/>
                <w:color w:val="auto"/>
                <w:spacing w:val="0"/>
                <w:szCs w:val="24"/>
                <w:highlight w:val="none"/>
              </w:rPr>
            </w:pPr>
            <w:r>
              <w:rPr>
                <w:rFonts w:hint="eastAsia" w:ascii="宋体" w:eastAsia="宋体"/>
                <w:color w:val="auto"/>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56450A8A">
            <w:pPr>
              <w:spacing w:line="360" w:lineRule="auto"/>
              <w:jc w:val="center"/>
              <w:rPr>
                <w:rFonts w:hint="eastAsia" w:ascii="宋体" w:eastAsia="宋体"/>
                <w:color w:val="auto"/>
                <w:spacing w:val="0"/>
                <w:szCs w:val="24"/>
                <w:highlight w:val="none"/>
              </w:rPr>
            </w:pPr>
          </w:p>
        </w:tc>
      </w:tr>
    </w:tbl>
    <w:p w14:paraId="500FDA45">
      <w:pPr>
        <w:outlineLvl w:val="4"/>
        <w:rPr>
          <w:rFonts w:hint="eastAsia" w:ascii="宋体" w:eastAsia="宋体"/>
          <w:b/>
          <w:bCs/>
          <w:color w:val="auto"/>
          <w:spacing w:val="0"/>
          <w:kern w:val="32"/>
          <w:szCs w:val="24"/>
          <w:highlight w:val="none"/>
        </w:rPr>
      </w:pPr>
      <w:bookmarkStart w:id="308" w:name="_Toc254884649"/>
      <w:r>
        <w:rPr>
          <w:rFonts w:hint="eastAsia" w:ascii="宋体" w:eastAsia="宋体"/>
          <w:b/>
          <w:bCs/>
          <w:color w:val="auto"/>
          <w:spacing w:val="0"/>
          <w:kern w:val="32"/>
          <w:szCs w:val="24"/>
          <w:highlight w:val="none"/>
        </w:rPr>
        <w:t>6. 汇报内容及流程</w:t>
      </w:r>
      <w:bookmarkEnd w:id="308"/>
    </w:p>
    <w:p w14:paraId="41000D21">
      <w:pPr>
        <w:spacing w:line="360" w:lineRule="auto"/>
        <w:ind w:firstLine="420" w:firstLineChars="200"/>
        <w:rPr>
          <w:rFonts w:hint="eastAsia" w:ascii="宋体" w:eastAsia="宋体"/>
          <w:color w:val="auto"/>
          <w:spacing w:val="0"/>
          <w:szCs w:val="24"/>
          <w:highlight w:val="none"/>
        </w:rPr>
      </w:pPr>
      <w:r>
        <w:rPr>
          <w:rFonts w:hint="eastAsia" w:ascii="宋体" w:eastAsia="宋体"/>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1C5B33C7">
      <w:pPr>
        <w:outlineLvl w:val="4"/>
        <w:rPr>
          <w:rFonts w:hint="eastAsia" w:ascii="宋体" w:eastAsia="宋体"/>
          <w:b/>
          <w:bCs/>
          <w:color w:val="auto"/>
          <w:spacing w:val="0"/>
          <w:kern w:val="32"/>
          <w:szCs w:val="24"/>
          <w:highlight w:val="none"/>
        </w:rPr>
      </w:pPr>
      <w:bookmarkStart w:id="309" w:name="_Toc254884650"/>
      <w:r>
        <w:rPr>
          <w:rFonts w:hint="eastAsia" w:ascii="宋体" w:eastAsia="宋体"/>
          <w:b/>
          <w:bCs/>
          <w:color w:val="auto"/>
          <w:spacing w:val="0"/>
          <w:kern w:val="32"/>
          <w:szCs w:val="24"/>
          <w:highlight w:val="none"/>
        </w:rPr>
        <w:t>7. 服务水平和指标</w:t>
      </w:r>
      <w:bookmarkEnd w:id="309"/>
    </w:p>
    <w:p w14:paraId="1605F9E3">
      <w:pPr>
        <w:widowControl/>
        <w:numPr>
          <w:ilvl w:val="0"/>
          <w:numId w:val="8"/>
        </w:numPr>
        <w:spacing w:line="360" w:lineRule="auto"/>
        <w:ind w:left="0" w:hanging="2"/>
        <w:rPr>
          <w:rFonts w:hint="eastAsia" w:ascii="宋体" w:eastAsia="宋体"/>
          <w:color w:val="auto"/>
          <w:spacing w:val="0"/>
          <w:szCs w:val="24"/>
          <w:highlight w:val="none"/>
        </w:rPr>
      </w:pPr>
      <w:r>
        <w:rPr>
          <w:rFonts w:hint="eastAsia" w:ascii="宋体" w:eastAsia="宋体"/>
          <w:color w:val="auto"/>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pPr w:leftFromText="180" w:rightFromText="180" w:vertAnchor="text" w:horzAnchor="page" w:tblpX="516" w:tblpY="477"/>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890"/>
        <w:gridCol w:w="875"/>
        <w:gridCol w:w="1550"/>
        <w:gridCol w:w="2938"/>
        <w:gridCol w:w="2692"/>
        <w:gridCol w:w="810"/>
        <w:gridCol w:w="773"/>
      </w:tblGrid>
      <w:tr w14:paraId="2608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EFC752">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序号</w:t>
            </w:r>
          </w:p>
        </w:tc>
        <w:tc>
          <w:tcPr>
            <w:tcW w:w="890" w:type="dxa"/>
            <w:vAlign w:val="center"/>
          </w:tcPr>
          <w:p w14:paraId="1DC3C42D">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评价维度</w:t>
            </w:r>
          </w:p>
        </w:tc>
        <w:tc>
          <w:tcPr>
            <w:tcW w:w="875" w:type="dxa"/>
            <w:vAlign w:val="center"/>
          </w:tcPr>
          <w:p w14:paraId="10095874">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评价指标</w:t>
            </w:r>
          </w:p>
        </w:tc>
        <w:tc>
          <w:tcPr>
            <w:tcW w:w="1550" w:type="dxa"/>
            <w:vAlign w:val="center"/>
          </w:tcPr>
          <w:p w14:paraId="682D49D4">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指标定义</w:t>
            </w:r>
          </w:p>
        </w:tc>
        <w:tc>
          <w:tcPr>
            <w:tcW w:w="2938" w:type="dxa"/>
            <w:vAlign w:val="center"/>
          </w:tcPr>
          <w:p w14:paraId="00593B1D">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评分</w:t>
            </w:r>
            <w:r>
              <w:rPr>
                <w:rFonts w:hint="eastAsia" w:ascii="宋体" w:hAnsi="宋体" w:eastAsia="宋体" w:cs="Times New Roman"/>
                <w:b/>
                <w:color w:val="auto"/>
                <w:spacing w:val="20"/>
                <w:sz w:val="21"/>
                <w:szCs w:val="21"/>
                <w:highlight w:val="none"/>
              </w:rPr>
              <w:t>/价</w:t>
            </w:r>
            <w:r>
              <w:rPr>
                <w:rFonts w:ascii="宋体" w:hAnsi="宋体" w:eastAsia="宋体" w:cs="Times New Roman"/>
                <w:b/>
                <w:color w:val="auto"/>
                <w:spacing w:val="20"/>
                <w:sz w:val="21"/>
                <w:szCs w:val="21"/>
                <w:highlight w:val="none"/>
              </w:rPr>
              <w:t>标准</w:t>
            </w:r>
          </w:p>
        </w:tc>
        <w:tc>
          <w:tcPr>
            <w:tcW w:w="2692" w:type="dxa"/>
            <w:vAlign w:val="center"/>
          </w:tcPr>
          <w:p w14:paraId="54F3FF82">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违约金标准</w:t>
            </w:r>
          </w:p>
        </w:tc>
        <w:tc>
          <w:tcPr>
            <w:tcW w:w="810" w:type="dxa"/>
            <w:vAlign w:val="center"/>
          </w:tcPr>
          <w:p w14:paraId="0B37AA6F">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评价结果</w:t>
            </w:r>
          </w:p>
        </w:tc>
        <w:tc>
          <w:tcPr>
            <w:tcW w:w="773" w:type="dxa"/>
            <w:vAlign w:val="center"/>
          </w:tcPr>
          <w:p w14:paraId="2F03B5F0">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评价得分</w:t>
            </w:r>
          </w:p>
        </w:tc>
      </w:tr>
      <w:tr w14:paraId="42E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23E088A">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w:t>
            </w:r>
          </w:p>
        </w:tc>
        <w:tc>
          <w:tcPr>
            <w:tcW w:w="890" w:type="dxa"/>
            <w:vMerge w:val="restart"/>
            <w:vAlign w:val="center"/>
          </w:tcPr>
          <w:p w14:paraId="6F684768">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服务质量</w:t>
            </w:r>
          </w:p>
        </w:tc>
        <w:tc>
          <w:tcPr>
            <w:tcW w:w="875" w:type="dxa"/>
            <w:vAlign w:val="center"/>
          </w:tcPr>
          <w:p w14:paraId="2C435A4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交付成果质量</w:t>
            </w:r>
          </w:p>
        </w:tc>
        <w:tc>
          <w:tcPr>
            <w:tcW w:w="1550" w:type="dxa"/>
            <w:vAlign w:val="center"/>
          </w:tcPr>
          <w:p w14:paraId="576DFA8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所提交的项目交付成果与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要求的项目交付成果的契合度或交付成果质量与合同所约定要求的项目交付成果质量的满足程度</w:t>
            </w:r>
          </w:p>
        </w:tc>
        <w:tc>
          <w:tcPr>
            <w:tcW w:w="2938" w:type="dxa"/>
            <w:vAlign w:val="center"/>
          </w:tcPr>
          <w:p w14:paraId="58C8CD2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进行有效的沟通，交付成果高度契合需求，完全满足并超出合同约定的预期目标，给</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带来显著的附加价值</w:t>
            </w:r>
            <w:r>
              <w:rPr>
                <w:rFonts w:hint="eastAsia" w:ascii="宋体" w:hAnsi="宋体" w:eastAsia="宋体" w:cs="Times New Roman"/>
                <w:color w:val="auto"/>
                <w:spacing w:val="20"/>
                <w:sz w:val="21"/>
                <w:szCs w:val="21"/>
                <w:highlight w:val="none"/>
              </w:rPr>
              <w:t>；</w:t>
            </w:r>
          </w:p>
          <w:p w14:paraId="1AE107A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能够快速响应需求，交付成果达到合同约定的预期目标，基本契合需求，满足合同约定的预期目标</w:t>
            </w:r>
            <w:r>
              <w:rPr>
                <w:rFonts w:hint="eastAsia" w:ascii="宋体" w:hAnsi="宋体" w:eastAsia="宋体" w:cs="Times New Roman"/>
                <w:color w:val="auto"/>
                <w:spacing w:val="20"/>
                <w:sz w:val="21"/>
                <w:szCs w:val="21"/>
                <w:highlight w:val="none"/>
              </w:rPr>
              <w:t>；</w:t>
            </w:r>
          </w:p>
          <w:p w14:paraId="53DB927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能够按要求响应需求，交付成果</w:t>
            </w:r>
            <w:r>
              <w:rPr>
                <w:rFonts w:hint="eastAsia" w:ascii="宋体" w:hAnsi="宋体" w:eastAsia="宋体" w:cs="Times New Roman"/>
                <w:color w:val="auto"/>
                <w:spacing w:val="20"/>
                <w:sz w:val="21"/>
                <w:szCs w:val="21"/>
                <w:highlight w:val="none"/>
              </w:rPr>
              <w:t>基本满足</w:t>
            </w:r>
            <w:r>
              <w:rPr>
                <w:rFonts w:ascii="宋体" w:hAnsi="宋体" w:eastAsia="宋体" w:cs="Times New Roman"/>
                <w:color w:val="auto"/>
                <w:spacing w:val="20"/>
                <w:sz w:val="21"/>
                <w:szCs w:val="21"/>
                <w:highlight w:val="none"/>
              </w:rPr>
              <w:t>需求，但是总体可满足合同约定的预期目标</w:t>
            </w:r>
            <w:r>
              <w:rPr>
                <w:rFonts w:hint="eastAsia" w:ascii="宋体" w:hAnsi="宋体" w:eastAsia="宋体" w:cs="Times New Roman"/>
                <w:color w:val="auto"/>
                <w:spacing w:val="20"/>
                <w:sz w:val="21"/>
                <w:szCs w:val="21"/>
                <w:highlight w:val="none"/>
              </w:rPr>
              <w:t>；</w:t>
            </w:r>
          </w:p>
          <w:p w14:paraId="53014C0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乙方未</w:t>
            </w:r>
            <w:r>
              <w:rPr>
                <w:rFonts w:ascii="宋体" w:hAnsi="宋体" w:eastAsia="宋体" w:cs="Times New Roman"/>
                <w:color w:val="auto"/>
                <w:spacing w:val="20"/>
                <w:sz w:val="21"/>
                <w:szCs w:val="21"/>
                <w:highlight w:val="none"/>
              </w:rPr>
              <w:t>能够按要求响应需求，</w:t>
            </w:r>
            <w:r>
              <w:rPr>
                <w:rFonts w:hint="eastAsia" w:ascii="宋体" w:hAnsi="宋体" w:eastAsia="宋体" w:cs="Times New Roman"/>
                <w:color w:val="auto"/>
                <w:spacing w:val="20"/>
                <w:sz w:val="21"/>
                <w:szCs w:val="21"/>
                <w:highlight w:val="none"/>
              </w:rPr>
              <w:t>或</w:t>
            </w:r>
            <w:r>
              <w:rPr>
                <w:rFonts w:ascii="宋体" w:hAnsi="宋体" w:eastAsia="宋体" w:cs="Times New Roman"/>
                <w:color w:val="auto"/>
                <w:spacing w:val="20"/>
                <w:sz w:val="21"/>
                <w:szCs w:val="21"/>
                <w:highlight w:val="none"/>
              </w:rPr>
              <w:t>交付成果与需求</w:t>
            </w:r>
            <w:r>
              <w:rPr>
                <w:rFonts w:hint="eastAsia" w:ascii="宋体" w:hAnsi="宋体" w:eastAsia="宋体" w:cs="Times New Roman"/>
                <w:color w:val="auto"/>
                <w:spacing w:val="20"/>
                <w:sz w:val="21"/>
                <w:szCs w:val="21"/>
                <w:highlight w:val="none"/>
              </w:rPr>
              <w:t>契合度</w:t>
            </w:r>
            <w:r>
              <w:rPr>
                <w:rFonts w:ascii="宋体" w:hAnsi="宋体" w:eastAsia="宋体" w:cs="Times New Roman"/>
                <w:color w:val="auto"/>
                <w:spacing w:val="20"/>
                <w:sz w:val="21"/>
                <w:szCs w:val="21"/>
                <w:highlight w:val="none"/>
              </w:rPr>
              <w:t>差距较大，无法达到合同约定的预期目标</w:t>
            </w:r>
            <w:r>
              <w:rPr>
                <w:rFonts w:hint="eastAsia" w:ascii="宋体" w:hAnsi="宋体" w:eastAsia="宋体" w:cs="Times New Roman"/>
                <w:color w:val="auto"/>
                <w:spacing w:val="20"/>
                <w:sz w:val="21"/>
                <w:szCs w:val="21"/>
                <w:highlight w:val="none"/>
              </w:rPr>
              <w:t>。</w:t>
            </w:r>
          </w:p>
        </w:tc>
        <w:tc>
          <w:tcPr>
            <w:tcW w:w="2692" w:type="dxa"/>
            <w:vAlign w:val="center"/>
          </w:tcPr>
          <w:p w14:paraId="647B0F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交付成果每缺少一项扣除乙方金额人民币2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元；每有一项交付成果质量不合格扣除乙方金额人民币2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w:t>
            </w:r>
          </w:p>
        </w:tc>
        <w:tc>
          <w:tcPr>
            <w:tcW w:w="810" w:type="dxa"/>
            <w:vAlign w:val="center"/>
          </w:tcPr>
          <w:p w14:paraId="1F8EFFC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5399382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DB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86C106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w:t>
            </w:r>
          </w:p>
        </w:tc>
        <w:tc>
          <w:tcPr>
            <w:tcW w:w="890" w:type="dxa"/>
            <w:vMerge w:val="continue"/>
          </w:tcPr>
          <w:p w14:paraId="6C1B7561">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322003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成果交付延期情况</w:t>
            </w:r>
          </w:p>
        </w:tc>
        <w:tc>
          <w:tcPr>
            <w:tcW w:w="1550" w:type="dxa"/>
            <w:vAlign w:val="center"/>
          </w:tcPr>
          <w:p w14:paraId="10C0DE1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因乙方原因导致</w:t>
            </w:r>
            <w:r>
              <w:rPr>
                <w:rFonts w:ascii="宋体" w:hAnsi="宋体" w:eastAsia="宋体" w:cs="Times New Roman"/>
                <w:color w:val="auto"/>
                <w:spacing w:val="20"/>
                <w:sz w:val="21"/>
                <w:szCs w:val="21"/>
                <w:highlight w:val="none"/>
              </w:rPr>
              <w:t>项目交付成果时间与合同规定时间之间的差距</w:t>
            </w:r>
          </w:p>
        </w:tc>
        <w:tc>
          <w:tcPr>
            <w:tcW w:w="2938" w:type="dxa"/>
            <w:vAlign w:val="center"/>
          </w:tcPr>
          <w:p w14:paraId="7CDB159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实</w:t>
            </w:r>
            <w:r>
              <w:rPr>
                <w:rFonts w:ascii="宋体" w:hAnsi="宋体" w:eastAsia="宋体" w:cs="Times New Roman"/>
                <w:color w:val="auto"/>
                <w:spacing w:val="20"/>
                <w:sz w:val="21"/>
                <w:szCs w:val="21"/>
                <w:highlight w:val="none"/>
              </w:rPr>
              <w:t>际交付成果日期与合同约定交付日期之差</w:t>
            </w:r>
            <w:r>
              <w:rPr>
                <w:rFonts w:hint="eastAsia" w:ascii="宋体" w:hAnsi="宋体" w:eastAsia="宋体" w:cs="Times New Roman"/>
                <w:b/>
                <w:bCs/>
                <w:color w:val="auto"/>
                <w:spacing w:val="20"/>
                <w:sz w:val="21"/>
                <w:szCs w:val="21"/>
                <w:highlight w:val="none"/>
              </w:rPr>
              <w:t>【得分上限5分】</w:t>
            </w:r>
          </w:p>
          <w:p w14:paraId="68B99D0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无延期：</w:t>
            </w:r>
            <w:r>
              <w:rPr>
                <w:rFonts w:hint="eastAsia" w:ascii="宋体" w:hAnsi="宋体" w:eastAsia="宋体" w:cs="Times New Roman"/>
                <w:color w:val="auto"/>
                <w:spacing w:val="20"/>
                <w:sz w:val="21"/>
                <w:szCs w:val="21"/>
                <w:highlight w:val="none"/>
              </w:rPr>
              <w:t>指未出现延期，该项指标满分；</w:t>
            </w:r>
          </w:p>
          <w:p w14:paraId="1222078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0＜延期≤3个月：</w:t>
            </w:r>
            <w:r>
              <w:rPr>
                <w:rFonts w:hint="eastAsia" w:ascii="宋体" w:hAnsi="宋体" w:eastAsia="宋体" w:cs="Times New Roman"/>
                <w:color w:val="auto"/>
                <w:spacing w:val="20"/>
                <w:sz w:val="21"/>
                <w:szCs w:val="21"/>
                <w:highlight w:val="none"/>
              </w:rPr>
              <w:t>扣2分，指出现延期3个月</w:t>
            </w:r>
            <w:r>
              <w:rPr>
                <w:rFonts w:ascii="宋体" w:hAnsi="宋体" w:eastAsia="宋体" w:cs="Times New Roman"/>
                <w:color w:val="auto"/>
                <w:spacing w:val="20"/>
                <w:sz w:val="21"/>
                <w:szCs w:val="21"/>
                <w:highlight w:val="none"/>
              </w:rPr>
              <w:t>（含）</w:t>
            </w:r>
            <w:r>
              <w:rPr>
                <w:rFonts w:hint="eastAsia" w:ascii="宋体" w:hAnsi="宋体" w:eastAsia="宋体" w:cs="Times New Roman"/>
                <w:color w:val="auto"/>
                <w:spacing w:val="20"/>
                <w:sz w:val="21"/>
                <w:szCs w:val="21"/>
                <w:highlight w:val="none"/>
              </w:rPr>
              <w:t>以内；</w:t>
            </w:r>
          </w:p>
          <w:p w14:paraId="068B8C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3＜延期≤6个月：</w:t>
            </w:r>
            <w:r>
              <w:rPr>
                <w:rFonts w:hint="eastAsia" w:ascii="宋体" w:hAnsi="宋体" w:eastAsia="宋体" w:cs="Times New Roman"/>
                <w:color w:val="auto"/>
                <w:spacing w:val="20"/>
                <w:sz w:val="21"/>
                <w:szCs w:val="21"/>
                <w:highlight w:val="none"/>
              </w:rPr>
              <w:t>扣3分，指出现延期大于3个月且小于等于6个月；</w:t>
            </w:r>
          </w:p>
          <w:p w14:paraId="0B5C86FE">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延期6个月以上：</w:t>
            </w:r>
            <w:r>
              <w:rPr>
                <w:rFonts w:hint="eastAsia" w:ascii="宋体" w:hAnsi="宋体" w:eastAsia="宋体" w:cs="Times New Roman"/>
                <w:color w:val="auto"/>
                <w:spacing w:val="20"/>
                <w:sz w:val="21"/>
                <w:szCs w:val="21"/>
                <w:highlight w:val="none"/>
              </w:rPr>
              <w:t>扣5分，指出现延期6个月以上。</w:t>
            </w:r>
          </w:p>
        </w:tc>
        <w:tc>
          <w:tcPr>
            <w:tcW w:w="2692" w:type="dxa"/>
            <w:vAlign w:val="center"/>
          </w:tcPr>
          <w:p w14:paraId="746ABC3B">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color w:val="auto"/>
                <w:spacing w:val="20"/>
                <w:sz w:val="21"/>
                <w:szCs w:val="21"/>
                <w:highlight w:val="none"/>
              </w:rPr>
              <w:t>若延期超过1个月，每延期增加一天扣除合同总金额的0.1%（注：最多扣除不超过合同总金额的10%）</w:t>
            </w:r>
          </w:p>
        </w:tc>
        <w:tc>
          <w:tcPr>
            <w:tcW w:w="810" w:type="dxa"/>
            <w:vAlign w:val="center"/>
          </w:tcPr>
          <w:p w14:paraId="57FA856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EAA643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F8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EBD085B">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3</w:t>
            </w:r>
          </w:p>
        </w:tc>
        <w:tc>
          <w:tcPr>
            <w:tcW w:w="890" w:type="dxa"/>
            <w:vMerge w:val="continue"/>
          </w:tcPr>
          <w:p w14:paraId="3636BC54">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F4C2347">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产品缺陷密度</w:t>
            </w:r>
          </w:p>
        </w:tc>
        <w:tc>
          <w:tcPr>
            <w:tcW w:w="1550" w:type="dxa"/>
            <w:vAlign w:val="center"/>
          </w:tcPr>
          <w:p w14:paraId="70FD177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用于记录统计周期内单位功能</w:t>
            </w:r>
            <w:r>
              <w:rPr>
                <w:rFonts w:hint="eastAsia" w:ascii="宋体" w:hAnsi="宋体" w:eastAsia="宋体" w:cs="Times New Roman"/>
                <w:color w:val="auto"/>
                <w:spacing w:val="20"/>
                <w:sz w:val="21"/>
                <w:szCs w:val="21"/>
                <w:highlight w:val="none"/>
              </w:rPr>
              <w:t>（案例）</w:t>
            </w:r>
            <w:r>
              <w:rPr>
                <w:rFonts w:ascii="宋体" w:hAnsi="宋体" w:eastAsia="宋体" w:cs="Times New Roman"/>
                <w:color w:val="auto"/>
                <w:spacing w:val="20"/>
                <w:sz w:val="21"/>
                <w:szCs w:val="21"/>
                <w:highlight w:val="none"/>
              </w:rPr>
              <w:t>点发现的缺陷数量</w:t>
            </w:r>
          </w:p>
        </w:tc>
        <w:tc>
          <w:tcPr>
            <w:tcW w:w="2938" w:type="dxa"/>
            <w:vAlign w:val="center"/>
          </w:tcPr>
          <w:p w14:paraId="353CDFC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品缺陷密度=统计周期内发现的该系统有效缺陷数/统计周期内该系统功能点总数</w:t>
            </w:r>
            <w:r>
              <w:rPr>
                <w:rFonts w:hint="eastAsia" w:ascii="宋体" w:hAnsi="宋体" w:eastAsia="宋体" w:cs="Times New Roman"/>
                <w:color w:val="auto"/>
                <w:spacing w:val="20"/>
                <w:sz w:val="21"/>
                <w:szCs w:val="21"/>
                <w:highlight w:val="none"/>
              </w:rPr>
              <w:t>（案例数）</w:t>
            </w:r>
          </w:p>
          <w:p w14:paraId="318B508C">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10分【0-5%】</w:t>
            </w:r>
          </w:p>
          <w:p w14:paraId="5476517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5分【5%-20%】</w:t>
            </w:r>
          </w:p>
          <w:p w14:paraId="59D34FD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0分【超过20%】</w:t>
            </w:r>
          </w:p>
        </w:tc>
        <w:tc>
          <w:tcPr>
            <w:tcW w:w="2692" w:type="dxa"/>
            <w:vAlign w:val="center"/>
          </w:tcPr>
          <w:p w14:paraId="697580E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w:t>
            </w:r>
            <w:r>
              <w:rPr>
                <w:rFonts w:hint="eastAsia" w:ascii="宋体" w:hAnsi="宋体" w:eastAsia="宋体" w:cs="Times New Roman"/>
                <w:color w:val="auto"/>
                <w:spacing w:val="20"/>
                <w:sz w:val="21"/>
                <w:szCs w:val="21"/>
                <w:highlight w:val="none"/>
              </w:rPr>
              <w:t>陷</w:t>
            </w:r>
            <w:r>
              <w:rPr>
                <w:rFonts w:ascii="宋体" w:hAnsi="宋体" w:eastAsia="宋体" w:cs="Times New Roman"/>
                <w:color w:val="auto"/>
                <w:spacing w:val="20"/>
                <w:sz w:val="21"/>
                <w:szCs w:val="21"/>
                <w:highlight w:val="none"/>
              </w:rPr>
              <w:t>密度</w:t>
            </w:r>
            <w:r>
              <w:rPr>
                <w:rFonts w:hint="eastAsia" w:ascii="宋体" w:hAnsi="宋体" w:eastAsia="宋体" w:cs="Times New Roman"/>
                <w:color w:val="auto"/>
                <w:spacing w:val="20"/>
                <w:sz w:val="21"/>
                <w:szCs w:val="21"/>
                <w:highlight w:val="none"/>
              </w:rPr>
              <w:t>超过20%，缺陷密度每增加1%扣除合同总金额的0.1%。</w:t>
            </w:r>
          </w:p>
        </w:tc>
        <w:tc>
          <w:tcPr>
            <w:tcW w:w="810" w:type="dxa"/>
            <w:vAlign w:val="center"/>
          </w:tcPr>
          <w:p w14:paraId="267AC6C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3019F1A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B3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CEE0AB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4</w:t>
            </w:r>
          </w:p>
        </w:tc>
        <w:tc>
          <w:tcPr>
            <w:tcW w:w="890" w:type="dxa"/>
            <w:vMerge w:val="continue"/>
          </w:tcPr>
          <w:p w14:paraId="34FE561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01B815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w:t>
            </w:r>
          </w:p>
        </w:tc>
        <w:tc>
          <w:tcPr>
            <w:tcW w:w="1550" w:type="dxa"/>
            <w:vAlign w:val="center"/>
          </w:tcPr>
          <w:p w14:paraId="685BE587">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用于记录统计周期内测试发现的缺陷中已解决缺陷的比例</w:t>
            </w:r>
          </w:p>
        </w:tc>
        <w:tc>
          <w:tcPr>
            <w:tcW w:w="2938" w:type="dxa"/>
            <w:vAlign w:val="center"/>
          </w:tcPr>
          <w:p w14:paraId="6B8196D0">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缺陷解决率=统计周期内测试发现的有效缺陷中已解决的数量/统计周期内测试发现的有效缺陷总数量</w:t>
            </w:r>
          </w:p>
          <w:p w14:paraId="015B1E3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10分【98%-100%】</w:t>
            </w:r>
          </w:p>
          <w:p w14:paraId="452C5F8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5分【95%-97%】</w:t>
            </w:r>
          </w:p>
          <w:p w14:paraId="383A4DA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2AE0860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w:t>
            </w:r>
            <w:r>
              <w:rPr>
                <w:rFonts w:ascii="宋体" w:hAnsi="宋体" w:eastAsia="宋体" w:cs="Times New Roman"/>
                <w:color w:val="auto"/>
                <w:spacing w:val="20"/>
                <w:sz w:val="21"/>
                <w:szCs w:val="21"/>
                <w:highlight w:val="none"/>
              </w:rPr>
              <w:t>缺陷解决率</w:t>
            </w:r>
            <w:r>
              <w:rPr>
                <w:rFonts w:hint="eastAsia" w:ascii="宋体" w:hAnsi="宋体" w:eastAsia="宋体" w:cs="Times New Roman"/>
                <w:bCs/>
                <w:color w:val="auto"/>
                <w:spacing w:val="20"/>
                <w:sz w:val="21"/>
                <w:szCs w:val="21"/>
                <w:highlight w:val="none"/>
              </w:rPr>
              <w:t>低于95</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解决率每低1%扣除合同总金额的0.1%。</w:t>
            </w:r>
          </w:p>
        </w:tc>
        <w:tc>
          <w:tcPr>
            <w:tcW w:w="810" w:type="dxa"/>
            <w:vAlign w:val="center"/>
          </w:tcPr>
          <w:p w14:paraId="5E033C1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A1131E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B4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ABA89B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5</w:t>
            </w:r>
          </w:p>
        </w:tc>
        <w:tc>
          <w:tcPr>
            <w:tcW w:w="890" w:type="dxa"/>
            <w:vMerge w:val="restart"/>
            <w:vAlign w:val="center"/>
          </w:tcPr>
          <w:p w14:paraId="7A1E6108">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协议履行</w:t>
            </w:r>
          </w:p>
        </w:tc>
        <w:tc>
          <w:tcPr>
            <w:tcW w:w="875" w:type="dxa"/>
            <w:vAlign w:val="center"/>
          </w:tcPr>
          <w:p w14:paraId="4B6FCA9F">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重大事项报告</w:t>
            </w:r>
          </w:p>
        </w:tc>
        <w:tc>
          <w:tcPr>
            <w:tcW w:w="1550" w:type="dxa"/>
            <w:vAlign w:val="center"/>
          </w:tcPr>
          <w:p w14:paraId="489134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938" w:type="dxa"/>
            <w:vAlign w:val="center"/>
          </w:tcPr>
          <w:p w14:paraId="2512C36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指无重大事项或当发生重大事项时，能够于24小时内</w:t>
            </w:r>
            <w:r>
              <w:rPr>
                <w:rFonts w:hint="eastAsia" w:ascii="宋体" w:hAnsi="宋体" w:eastAsia="宋体" w:cs="Times New Roman"/>
                <w:color w:val="auto"/>
                <w:spacing w:val="20"/>
                <w:sz w:val="21"/>
                <w:szCs w:val="21"/>
                <w:highlight w:val="none"/>
              </w:rPr>
              <w:t>告知甲方；</w:t>
            </w:r>
          </w:p>
          <w:p w14:paraId="4C49749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指当发生重大事项时，能够于一周内告知</w:t>
            </w:r>
            <w:r>
              <w:rPr>
                <w:rFonts w:hint="eastAsia" w:ascii="宋体" w:hAnsi="宋体" w:eastAsia="宋体" w:cs="Times New Roman"/>
                <w:color w:val="auto"/>
                <w:spacing w:val="20"/>
                <w:sz w:val="21"/>
                <w:szCs w:val="21"/>
                <w:highlight w:val="none"/>
              </w:rPr>
              <w:t>甲方；</w:t>
            </w:r>
          </w:p>
          <w:p w14:paraId="6EED3E2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指当发生重大事项时，能够于一</w:t>
            </w:r>
            <w:r>
              <w:rPr>
                <w:rFonts w:hint="eastAsia" w:ascii="宋体" w:hAnsi="宋体" w:eastAsia="宋体" w:cs="Times New Roman"/>
                <w:color w:val="auto"/>
                <w:spacing w:val="20"/>
                <w:sz w:val="21"/>
                <w:szCs w:val="21"/>
                <w:highlight w:val="none"/>
              </w:rPr>
              <w:t>月</w:t>
            </w:r>
            <w:r>
              <w:rPr>
                <w:rFonts w:ascii="宋体" w:hAnsi="宋体" w:eastAsia="宋体" w:cs="Times New Roman"/>
                <w:color w:val="auto"/>
                <w:spacing w:val="20"/>
                <w:sz w:val="21"/>
                <w:szCs w:val="21"/>
                <w:highlight w:val="none"/>
              </w:rPr>
              <w:t>内告知</w:t>
            </w:r>
            <w:r>
              <w:rPr>
                <w:rFonts w:hint="eastAsia" w:ascii="宋体" w:hAnsi="宋体" w:eastAsia="宋体" w:cs="Times New Roman"/>
                <w:color w:val="auto"/>
                <w:spacing w:val="20"/>
                <w:sz w:val="21"/>
                <w:szCs w:val="21"/>
                <w:highlight w:val="none"/>
              </w:rPr>
              <w:t>甲方；</w:t>
            </w:r>
          </w:p>
          <w:p w14:paraId="06F95BB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指当发生重大事项时，</w:t>
            </w:r>
            <w:r>
              <w:rPr>
                <w:rFonts w:hint="eastAsia" w:ascii="宋体" w:hAnsi="宋体" w:eastAsia="宋体" w:cs="Times New Roman"/>
                <w:color w:val="auto"/>
                <w:spacing w:val="20"/>
                <w:sz w:val="21"/>
                <w:szCs w:val="21"/>
                <w:highlight w:val="none"/>
              </w:rPr>
              <w:t>未</w:t>
            </w:r>
            <w:r>
              <w:rPr>
                <w:rFonts w:ascii="宋体" w:hAnsi="宋体" w:eastAsia="宋体" w:cs="Times New Roman"/>
                <w:color w:val="auto"/>
                <w:spacing w:val="20"/>
                <w:sz w:val="21"/>
                <w:szCs w:val="21"/>
                <w:highlight w:val="none"/>
              </w:rPr>
              <w:t>告知</w:t>
            </w:r>
            <w:r>
              <w:rPr>
                <w:rFonts w:hint="eastAsia" w:ascii="宋体" w:hAnsi="宋体" w:eastAsia="宋体" w:cs="Times New Roman"/>
                <w:color w:val="auto"/>
                <w:spacing w:val="20"/>
                <w:sz w:val="21"/>
                <w:szCs w:val="21"/>
                <w:highlight w:val="none"/>
              </w:rPr>
              <w:t>甲方。</w:t>
            </w:r>
          </w:p>
        </w:tc>
        <w:tc>
          <w:tcPr>
            <w:tcW w:w="2692" w:type="dxa"/>
            <w:vAlign w:val="center"/>
          </w:tcPr>
          <w:p w14:paraId="77DBFBE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评价为较差/差时，甲方根据实际情况有权终止合同，并要求乙方赔偿实际损失。</w:t>
            </w:r>
          </w:p>
        </w:tc>
        <w:tc>
          <w:tcPr>
            <w:tcW w:w="810" w:type="dxa"/>
            <w:vAlign w:val="center"/>
          </w:tcPr>
          <w:p w14:paraId="3CF50BE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385E1E2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9B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34B15A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6</w:t>
            </w:r>
          </w:p>
        </w:tc>
        <w:tc>
          <w:tcPr>
            <w:tcW w:w="890" w:type="dxa"/>
            <w:vMerge w:val="continue"/>
          </w:tcPr>
          <w:p w14:paraId="4CEB32F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ECA7122">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w:t>
            </w:r>
            <w:r>
              <w:rPr>
                <w:rFonts w:hint="eastAsia" w:ascii="宋体" w:hAnsi="宋体" w:eastAsia="宋体" w:cs="Times New Roman"/>
                <w:color w:val="auto"/>
                <w:spacing w:val="20"/>
                <w:sz w:val="21"/>
                <w:szCs w:val="21"/>
                <w:highlight w:val="none"/>
              </w:rPr>
              <w:t>事件及质量缺陷</w:t>
            </w:r>
          </w:p>
        </w:tc>
        <w:tc>
          <w:tcPr>
            <w:tcW w:w="1550" w:type="dxa"/>
            <w:vAlign w:val="center"/>
          </w:tcPr>
          <w:p w14:paraId="1FEC985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期内出现</w:t>
            </w:r>
            <w:r>
              <w:rPr>
                <w:rFonts w:hint="eastAsia" w:ascii="宋体" w:hAnsi="宋体" w:eastAsia="宋体" w:cs="Times New Roman"/>
                <w:color w:val="auto"/>
                <w:spacing w:val="20"/>
                <w:sz w:val="21"/>
                <w:szCs w:val="21"/>
                <w:highlight w:val="none"/>
              </w:rPr>
              <w:t>以下重大事件及质量缺陷次数：</w:t>
            </w:r>
          </w:p>
          <w:p w14:paraId="4048949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a.应用软件出现I</w:t>
            </w:r>
            <w:r>
              <w:rPr>
                <w:rFonts w:ascii="宋体" w:hAnsi="宋体" w:eastAsia="宋体" w:cs="Times New Roman"/>
                <w:color w:val="auto"/>
                <w:spacing w:val="20"/>
                <w:sz w:val="21"/>
                <w:szCs w:val="21"/>
                <w:highlight w:val="none"/>
              </w:rPr>
              <w:t>II</w:t>
            </w:r>
            <w:r>
              <w:rPr>
                <w:rFonts w:hint="eastAsia" w:ascii="宋体" w:hAnsi="宋体" w:eastAsia="宋体" w:cs="Times New Roman"/>
                <w:color w:val="auto"/>
                <w:spacing w:val="20"/>
                <w:sz w:val="21"/>
                <w:szCs w:val="21"/>
                <w:highlight w:val="none"/>
              </w:rPr>
              <w:t>级（含）以上的运营中断事件；</w:t>
            </w:r>
          </w:p>
          <w:p w14:paraId="297687C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b.因乙方原因（含乙方合作的第三方）导致甲方发生网络安全事件；</w:t>
            </w:r>
          </w:p>
          <w:p w14:paraId="00E823D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c.应用软件出现严重缺陷和致命缺陷。</w:t>
            </w:r>
          </w:p>
        </w:tc>
        <w:tc>
          <w:tcPr>
            <w:tcW w:w="2938" w:type="dxa"/>
            <w:vAlign w:val="center"/>
          </w:tcPr>
          <w:p w14:paraId="5AE63129">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1FBA1DF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及质量缺陷，该项指标满分；</w:t>
            </w:r>
          </w:p>
          <w:p w14:paraId="729D914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0分，指出现1次及以上任意一项</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w:t>
            </w:r>
          </w:p>
        </w:tc>
        <w:tc>
          <w:tcPr>
            <w:tcW w:w="2692" w:type="dxa"/>
            <w:vAlign w:val="center"/>
          </w:tcPr>
          <w:p w14:paraId="2802BBF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或质量缺陷，扣除乙方合同总金额不低于5%（不低于2万元），并要求乙方赔偿实际损失。</w:t>
            </w:r>
          </w:p>
        </w:tc>
        <w:tc>
          <w:tcPr>
            <w:tcW w:w="810" w:type="dxa"/>
            <w:vAlign w:val="center"/>
          </w:tcPr>
          <w:p w14:paraId="5D10A03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EE785C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F22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0923519">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7</w:t>
            </w:r>
          </w:p>
        </w:tc>
        <w:tc>
          <w:tcPr>
            <w:tcW w:w="890" w:type="dxa"/>
            <w:vMerge w:val="continue"/>
          </w:tcPr>
          <w:p w14:paraId="7BF6EB1B">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1DE693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信息安全管理</w:t>
            </w:r>
          </w:p>
        </w:tc>
        <w:tc>
          <w:tcPr>
            <w:tcW w:w="1550" w:type="dxa"/>
            <w:vAlign w:val="center"/>
          </w:tcPr>
          <w:p w14:paraId="2B6889B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w:t>
            </w:r>
            <w:r>
              <w:rPr>
                <w:rFonts w:hint="eastAsia" w:ascii="宋体" w:hAnsi="宋体" w:eastAsia="宋体" w:cs="Times New Roman"/>
                <w:color w:val="auto"/>
                <w:spacing w:val="20"/>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2938" w:type="dxa"/>
            <w:vAlign w:val="center"/>
          </w:tcPr>
          <w:p w14:paraId="5352874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互联网或电子银行类系统：</w:t>
            </w:r>
          </w:p>
          <w:p w14:paraId="23E87B6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1.安全漏洞及安全缺陷整改及时率=100%</w:t>
            </w:r>
          </w:p>
          <w:p w14:paraId="288736D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2.安全漏洞及安全缺陷整改通过率=100%</w:t>
            </w:r>
          </w:p>
          <w:p w14:paraId="1AAA92A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非互联网或电子银行类系统：</w:t>
            </w:r>
          </w:p>
          <w:p w14:paraId="5EB80D4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1.中高危安全漏洞及安全缺陷整改及时率=100%</w:t>
            </w:r>
          </w:p>
          <w:p w14:paraId="51C799B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2.中高危安全漏洞及安全缺陷整改通过率=100%</w:t>
            </w:r>
          </w:p>
          <w:p w14:paraId="549FB59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5分，指未出现安全漏洞及安全缺陷，该项指标满分；</w:t>
            </w:r>
          </w:p>
          <w:p w14:paraId="733E02C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3分，指出现安全漏洞或安全缺陷，但整改及时率、通过率均为100%；</w:t>
            </w:r>
          </w:p>
          <w:p w14:paraId="4E857A7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0分，指出现安全漏洞及安全缺陷，但整改及时率或通过率未达到100%。</w:t>
            </w:r>
          </w:p>
        </w:tc>
        <w:tc>
          <w:tcPr>
            <w:tcW w:w="2692" w:type="dxa"/>
            <w:vAlign w:val="center"/>
          </w:tcPr>
          <w:p w14:paraId="6074A4B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若出现的安全漏洞或安全缺陷被上级或监管单位通报的，扣除乙方金额人民币不低于2万元；</w:t>
            </w:r>
          </w:p>
          <w:p w14:paraId="633CBD4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若评价为较差/差时，扣除乙方金额人民币不低于2万元，并要求乙方赔偿实际损失。</w:t>
            </w:r>
          </w:p>
        </w:tc>
        <w:tc>
          <w:tcPr>
            <w:tcW w:w="810" w:type="dxa"/>
            <w:vAlign w:val="center"/>
          </w:tcPr>
          <w:p w14:paraId="29E3D40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D974CD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D63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4443C7">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8</w:t>
            </w:r>
          </w:p>
        </w:tc>
        <w:tc>
          <w:tcPr>
            <w:tcW w:w="890" w:type="dxa"/>
            <w:vMerge w:val="continue"/>
          </w:tcPr>
          <w:p w14:paraId="5D2E3CB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115CC9F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外包安全行为</w:t>
            </w:r>
          </w:p>
        </w:tc>
        <w:tc>
          <w:tcPr>
            <w:tcW w:w="1550" w:type="dxa"/>
            <w:vAlign w:val="center"/>
          </w:tcPr>
          <w:p w14:paraId="55C3876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38" w:type="dxa"/>
            <w:vAlign w:val="center"/>
          </w:tcPr>
          <w:p w14:paraId="5C8206C5">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3BC3798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指乙方服务未出现外包安全行为风险，该项指标满分；</w:t>
            </w:r>
          </w:p>
          <w:p w14:paraId="548BBF6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指乙方出现1次及以上外包安全行为风险（每次扣5分，最高扣除10分）。</w:t>
            </w:r>
          </w:p>
        </w:tc>
        <w:tc>
          <w:tcPr>
            <w:tcW w:w="2692" w:type="dxa"/>
            <w:vAlign w:val="center"/>
          </w:tcPr>
          <w:p w14:paraId="6E1C939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每发生一次外包</w:t>
            </w:r>
            <w:r>
              <w:rPr>
                <w:rFonts w:ascii="宋体" w:hAnsi="宋体" w:eastAsia="宋体" w:cs="Times New Roman"/>
                <w:color w:val="auto"/>
                <w:spacing w:val="20"/>
                <w:sz w:val="21"/>
                <w:szCs w:val="21"/>
                <w:highlight w:val="none"/>
              </w:rPr>
              <w:t>安全</w:t>
            </w:r>
            <w:r>
              <w:rPr>
                <w:rFonts w:hint="eastAsia" w:ascii="宋体" w:hAnsi="宋体" w:eastAsia="宋体" w:cs="Times New Roman"/>
                <w:color w:val="auto"/>
                <w:spacing w:val="20"/>
                <w:sz w:val="21"/>
                <w:szCs w:val="21"/>
                <w:highlight w:val="none"/>
              </w:rPr>
              <w:t>行为风险，扣除乙方金额人民币不低于</w:t>
            </w:r>
            <w:r>
              <w:rPr>
                <w:rFonts w:ascii="宋体" w:hAnsi="宋体" w:eastAsia="宋体" w:cs="Times New Roman"/>
                <w:color w:val="auto"/>
                <w:spacing w:val="20"/>
                <w:sz w:val="21"/>
                <w:szCs w:val="21"/>
                <w:highlight w:val="none"/>
              </w:rPr>
              <w:t>1000</w:t>
            </w:r>
            <w:r>
              <w:rPr>
                <w:rFonts w:hint="eastAsia" w:ascii="宋体" w:hAnsi="宋体" w:eastAsia="宋体" w:cs="Times New Roman"/>
                <w:color w:val="auto"/>
                <w:spacing w:val="20"/>
                <w:sz w:val="21"/>
                <w:szCs w:val="21"/>
                <w:highlight w:val="none"/>
              </w:rPr>
              <w:t>元，并要求乙方赔偿实际损失。</w:t>
            </w:r>
          </w:p>
        </w:tc>
        <w:tc>
          <w:tcPr>
            <w:tcW w:w="810" w:type="dxa"/>
            <w:vAlign w:val="center"/>
          </w:tcPr>
          <w:p w14:paraId="5AE7DA3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65F9685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27B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FBF7564">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9</w:t>
            </w:r>
          </w:p>
        </w:tc>
        <w:tc>
          <w:tcPr>
            <w:tcW w:w="890" w:type="dxa"/>
            <w:vMerge w:val="continue"/>
          </w:tcPr>
          <w:p w14:paraId="4834F06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49EEF1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响应与解决及时性</w:t>
            </w:r>
          </w:p>
        </w:tc>
        <w:tc>
          <w:tcPr>
            <w:tcW w:w="1550" w:type="dxa"/>
            <w:vAlign w:val="center"/>
          </w:tcPr>
          <w:p w14:paraId="6A7E98C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的响应与解决的及时性</w:t>
            </w:r>
          </w:p>
        </w:tc>
        <w:tc>
          <w:tcPr>
            <w:tcW w:w="2938" w:type="dxa"/>
            <w:vAlign w:val="center"/>
          </w:tcPr>
          <w:p w14:paraId="5D0B5C6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或服务项目能够迅速响应需求，主动快速与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进行有效的沟通，第一时间从专业角度给出解决方案并解决问题</w:t>
            </w:r>
            <w:r>
              <w:rPr>
                <w:rFonts w:hint="eastAsia" w:ascii="宋体" w:hAnsi="宋体" w:eastAsia="宋体" w:cs="Times New Roman"/>
                <w:color w:val="auto"/>
                <w:spacing w:val="20"/>
                <w:sz w:val="21"/>
                <w:szCs w:val="21"/>
                <w:highlight w:val="none"/>
              </w:rPr>
              <w:t>；</w:t>
            </w:r>
          </w:p>
          <w:p w14:paraId="0AFAAF2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或服务项目能够按要求响应需求，及时与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进行有效的沟通，快速给出处理方案并解决问题</w:t>
            </w:r>
            <w:r>
              <w:rPr>
                <w:rFonts w:hint="eastAsia" w:ascii="宋体" w:hAnsi="宋体" w:eastAsia="宋体" w:cs="Times New Roman"/>
                <w:color w:val="auto"/>
                <w:spacing w:val="20"/>
                <w:sz w:val="21"/>
                <w:szCs w:val="21"/>
                <w:highlight w:val="none"/>
              </w:rPr>
              <w:t>；</w:t>
            </w:r>
          </w:p>
          <w:p w14:paraId="7C3881C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或服务项目能够基本按要求响应需求</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保持与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的沟通，按时解决问题</w:t>
            </w:r>
            <w:r>
              <w:rPr>
                <w:rFonts w:hint="eastAsia" w:ascii="宋体" w:hAnsi="宋体" w:eastAsia="宋体" w:cs="Times New Roman"/>
                <w:color w:val="auto"/>
                <w:spacing w:val="20"/>
                <w:sz w:val="21"/>
                <w:szCs w:val="21"/>
                <w:highlight w:val="none"/>
              </w:rPr>
              <w:t>；</w:t>
            </w:r>
          </w:p>
          <w:p w14:paraId="27D4F5C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w:t>
            </w:r>
          </w:p>
        </w:tc>
        <w:tc>
          <w:tcPr>
            <w:tcW w:w="2692" w:type="dxa"/>
            <w:vAlign w:val="center"/>
          </w:tcPr>
          <w:p w14:paraId="481D4F5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评价为较差/差，即乙方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，扣除乙方金额人民币不低于1000元。</w:t>
            </w:r>
          </w:p>
        </w:tc>
        <w:tc>
          <w:tcPr>
            <w:tcW w:w="810" w:type="dxa"/>
            <w:vAlign w:val="center"/>
          </w:tcPr>
          <w:p w14:paraId="32EC2D4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B05C18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43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AC51D2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1</w:t>
            </w:r>
            <w:r>
              <w:rPr>
                <w:rFonts w:hint="eastAsia" w:ascii="宋体" w:hAnsi="宋体" w:eastAsia="宋体" w:cs="Times New Roman"/>
                <w:color w:val="auto"/>
                <w:spacing w:val="20"/>
                <w:sz w:val="21"/>
                <w:szCs w:val="21"/>
                <w:highlight w:val="none"/>
              </w:rPr>
              <w:t>0</w:t>
            </w:r>
          </w:p>
        </w:tc>
        <w:tc>
          <w:tcPr>
            <w:tcW w:w="890" w:type="dxa"/>
            <w:vMerge w:val="continue"/>
          </w:tcPr>
          <w:p w14:paraId="16DA92C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5E763A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需求排期率</w:t>
            </w:r>
          </w:p>
        </w:tc>
        <w:tc>
          <w:tcPr>
            <w:tcW w:w="1550" w:type="dxa"/>
            <w:vAlign w:val="center"/>
          </w:tcPr>
          <w:p w14:paraId="13715026">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需求进行投产计划安排的比例</w:t>
            </w:r>
          </w:p>
        </w:tc>
        <w:tc>
          <w:tcPr>
            <w:tcW w:w="2938" w:type="dxa"/>
            <w:vAlign w:val="center"/>
          </w:tcPr>
          <w:p w14:paraId="6BEA6FD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需求排期率=已排期需求数/总需求数</w:t>
            </w:r>
          </w:p>
          <w:p w14:paraId="377F608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注：已排期需求数指统计周期内已经纳入投产计划的需求个数。总需求数指统计周期内由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提出到达服务商项目组的需求数。</w:t>
            </w:r>
          </w:p>
          <w:p w14:paraId="41B9E587">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5AF23A14">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3547C981">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1078A4E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10" w:type="dxa"/>
            <w:vAlign w:val="center"/>
          </w:tcPr>
          <w:p w14:paraId="4148EFA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6979D7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58C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0A9A45">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11</w:t>
            </w:r>
          </w:p>
        </w:tc>
        <w:tc>
          <w:tcPr>
            <w:tcW w:w="890" w:type="dxa"/>
            <w:vMerge w:val="continue"/>
          </w:tcPr>
          <w:p w14:paraId="5AD097E2">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CD2A1B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需求完成率</w:t>
            </w:r>
          </w:p>
        </w:tc>
        <w:tc>
          <w:tcPr>
            <w:tcW w:w="1550" w:type="dxa"/>
            <w:vAlign w:val="center"/>
          </w:tcPr>
          <w:p w14:paraId="683DB1B9">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需求完成投产的比例</w:t>
            </w:r>
          </w:p>
        </w:tc>
        <w:tc>
          <w:tcPr>
            <w:tcW w:w="2938" w:type="dxa"/>
            <w:vAlign w:val="center"/>
          </w:tcPr>
          <w:p w14:paraId="4F78C52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w:t>
            </w:r>
            <w:r>
              <w:rPr>
                <w:rFonts w:ascii="宋体" w:hAnsi="宋体" w:eastAsia="宋体" w:cs="Times New Roman"/>
                <w:color w:val="auto"/>
                <w:spacing w:val="20"/>
                <w:sz w:val="21"/>
                <w:szCs w:val="21"/>
                <w:highlight w:val="none"/>
              </w:rPr>
              <w:t>求完成率=流程完结需求数/总需求数</w:t>
            </w:r>
          </w:p>
          <w:p w14:paraId="5243011E">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注：流程完结需求数指统计周期内已完成投产的需求个数</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提出到达服务商项目组的需求个数。</w:t>
            </w:r>
          </w:p>
          <w:p w14:paraId="15AC4FB5">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7E4E203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79502228">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692" w:type="dxa"/>
            <w:vAlign w:val="center"/>
          </w:tcPr>
          <w:p w14:paraId="12C8E14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10" w:type="dxa"/>
            <w:vAlign w:val="center"/>
          </w:tcPr>
          <w:p w14:paraId="285D7FF1">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4574969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17D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800C0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12</w:t>
            </w:r>
          </w:p>
        </w:tc>
        <w:tc>
          <w:tcPr>
            <w:tcW w:w="890" w:type="dxa"/>
            <w:vMerge w:val="continue"/>
          </w:tcPr>
          <w:p w14:paraId="4057C654">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36AADD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人员行为规范性</w:t>
            </w:r>
          </w:p>
        </w:tc>
        <w:tc>
          <w:tcPr>
            <w:tcW w:w="1550" w:type="dxa"/>
            <w:vAlign w:val="center"/>
          </w:tcPr>
          <w:p w14:paraId="3D27459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于记录外包场地日常管理或</w:t>
            </w:r>
            <w:r>
              <w:rPr>
                <w:rFonts w:hint="eastAsia" w:ascii="宋体" w:hAnsi="宋体" w:eastAsia="宋体" w:cs="Times New Roman"/>
                <w:color w:val="auto"/>
                <w:spacing w:val="20"/>
                <w:sz w:val="21"/>
                <w:szCs w:val="21"/>
                <w:highlight w:val="none"/>
              </w:rPr>
              <w:t>检查</w:t>
            </w:r>
            <w:r>
              <w:rPr>
                <w:rFonts w:ascii="宋体" w:hAnsi="宋体" w:eastAsia="宋体" w:cs="Times New Roman"/>
                <w:color w:val="auto"/>
                <w:spacing w:val="20"/>
                <w:sz w:val="21"/>
                <w:szCs w:val="21"/>
                <w:highlight w:val="none"/>
              </w:rPr>
              <w:t>过程中发现外包人员</w:t>
            </w:r>
            <w:r>
              <w:rPr>
                <w:rFonts w:hint="eastAsia" w:ascii="宋体" w:hAnsi="宋体" w:eastAsia="宋体" w:cs="Times New Roman"/>
                <w:color w:val="auto"/>
                <w:spacing w:val="20"/>
                <w:sz w:val="21"/>
                <w:szCs w:val="21"/>
                <w:highlight w:val="none"/>
              </w:rPr>
              <w:t>行为</w:t>
            </w:r>
            <w:r>
              <w:rPr>
                <w:rFonts w:ascii="宋体" w:hAnsi="宋体" w:eastAsia="宋体" w:cs="Times New Roman"/>
                <w:color w:val="auto"/>
                <w:spacing w:val="20"/>
                <w:sz w:val="21"/>
                <w:szCs w:val="21"/>
                <w:highlight w:val="none"/>
              </w:rPr>
              <w:t>违</w:t>
            </w:r>
            <w:r>
              <w:rPr>
                <w:rFonts w:hint="eastAsia" w:ascii="宋体" w:hAnsi="宋体" w:eastAsia="宋体" w:cs="Times New Roman"/>
                <w:color w:val="auto"/>
                <w:spacing w:val="20"/>
                <w:sz w:val="21"/>
                <w:szCs w:val="21"/>
                <w:highlight w:val="none"/>
              </w:rPr>
              <w:t>规（包括但不限于办公纪律、造成办公环境物理安全隐患等）</w:t>
            </w:r>
            <w:r>
              <w:rPr>
                <w:rFonts w:ascii="宋体" w:hAnsi="宋体" w:eastAsia="宋体" w:cs="Times New Roman"/>
                <w:color w:val="auto"/>
                <w:spacing w:val="20"/>
                <w:sz w:val="21"/>
                <w:szCs w:val="21"/>
                <w:highlight w:val="none"/>
              </w:rPr>
              <w:t>的次数</w:t>
            </w:r>
          </w:p>
        </w:tc>
        <w:tc>
          <w:tcPr>
            <w:tcW w:w="2938" w:type="dxa"/>
            <w:vAlign w:val="center"/>
          </w:tcPr>
          <w:p w14:paraId="7A298A7F">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w:t>
            </w:r>
            <w:r>
              <w:rPr>
                <w:rFonts w:ascii="宋体" w:hAnsi="宋体" w:eastAsia="宋体" w:cs="Times New Roman"/>
                <w:b/>
                <w:bCs/>
                <w:color w:val="auto"/>
                <w:spacing w:val="20"/>
                <w:sz w:val="21"/>
                <w:szCs w:val="21"/>
                <w:highlight w:val="none"/>
              </w:rPr>
              <w:t>0</w:t>
            </w:r>
            <w:r>
              <w:rPr>
                <w:rFonts w:hint="eastAsia" w:ascii="宋体" w:hAnsi="宋体" w:eastAsia="宋体" w:cs="Times New Roman"/>
                <w:b/>
                <w:bCs/>
                <w:color w:val="auto"/>
                <w:spacing w:val="20"/>
                <w:sz w:val="21"/>
                <w:szCs w:val="21"/>
                <w:highlight w:val="none"/>
              </w:rPr>
              <w:t>分】</w:t>
            </w:r>
          </w:p>
          <w:p w14:paraId="6447DB2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指未出现外包人员行为违规，该项指标满分；</w:t>
            </w:r>
          </w:p>
          <w:p w14:paraId="7E5C6F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指检查发现外包人员行为违规1次及以上（每人次扣5分，最高扣除1</w:t>
            </w:r>
            <w:r>
              <w:rPr>
                <w:rFonts w:ascii="宋体" w:hAnsi="宋体" w:eastAsia="宋体" w:cs="Times New Roman"/>
                <w:color w:val="auto"/>
                <w:spacing w:val="20"/>
                <w:sz w:val="21"/>
                <w:szCs w:val="21"/>
                <w:highlight w:val="none"/>
              </w:rPr>
              <w:t>0</w:t>
            </w:r>
            <w:r>
              <w:rPr>
                <w:rFonts w:hint="eastAsia" w:ascii="宋体" w:hAnsi="宋体" w:eastAsia="宋体" w:cs="Times New Roman"/>
                <w:color w:val="auto"/>
                <w:spacing w:val="20"/>
                <w:sz w:val="21"/>
                <w:szCs w:val="21"/>
                <w:highlight w:val="none"/>
              </w:rPr>
              <w:t>分）</w:t>
            </w:r>
          </w:p>
        </w:tc>
        <w:tc>
          <w:tcPr>
            <w:tcW w:w="2692" w:type="dxa"/>
            <w:vAlign w:val="center"/>
          </w:tcPr>
          <w:p w14:paraId="591E31B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每出现一次人员行为</w:t>
            </w:r>
            <w:r>
              <w:rPr>
                <w:rFonts w:ascii="宋体" w:hAnsi="宋体" w:eastAsia="宋体" w:cs="Times New Roman"/>
                <w:color w:val="auto"/>
                <w:spacing w:val="20"/>
                <w:sz w:val="21"/>
                <w:szCs w:val="21"/>
                <w:highlight w:val="none"/>
              </w:rPr>
              <w:t>违规</w:t>
            </w:r>
            <w:r>
              <w:rPr>
                <w:rFonts w:hint="eastAsia" w:ascii="宋体" w:hAnsi="宋体" w:eastAsia="宋体" w:cs="Times New Roman"/>
                <w:color w:val="auto"/>
                <w:spacing w:val="20"/>
                <w:sz w:val="21"/>
                <w:szCs w:val="21"/>
                <w:highlight w:val="none"/>
              </w:rPr>
              <w:t>，扣除乙方金额人民币不低于500元。</w:t>
            </w:r>
          </w:p>
        </w:tc>
        <w:tc>
          <w:tcPr>
            <w:tcW w:w="810" w:type="dxa"/>
            <w:vAlign w:val="center"/>
          </w:tcPr>
          <w:p w14:paraId="4544FEC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C0D883D">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512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F46A1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13</w:t>
            </w:r>
          </w:p>
        </w:tc>
        <w:tc>
          <w:tcPr>
            <w:tcW w:w="890" w:type="dxa"/>
            <w:vMerge w:val="continue"/>
          </w:tcPr>
          <w:p w14:paraId="4E1F5806">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BFD5A0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人员变动率</w:t>
            </w:r>
          </w:p>
        </w:tc>
        <w:tc>
          <w:tcPr>
            <w:tcW w:w="1550" w:type="dxa"/>
            <w:vAlign w:val="center"/>
          </w:tcPr>
          <w:p w14:paraId="562A4D2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于记录统计周期内</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更换外包人员数量占</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驻场外包人员总数量的比率</w:t>
            </w:r>
          </w:p>
        </w:tc>
        <w:tc>
          <w:tcPr>
            <w:tcW w:w="2938" w:type="dxa"/>
            <w:vAlign w:val="center"/>
          </w:tcPr>
          <w:p w14:paraId="3CA8F80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w:t>
            </w:r>
            <w:r>
              <w:rPr>
                <w:rFonts w:ascii="宋体" w:hAnsi="宋体" w:eastAsia="宋体" w:cs="Times New Roman"/>
                <w:color w:val="auto"/>
                <w:spacing w:val="20"/>
                <w:sz w:val="21"/>
                <w:szCs w:val="21"/>
                <w:highlight w:val="none"/>
              </w:rPr>
              <w:t>员变动率=</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w:t>
            </w:r>
          </w:p>
          <w:p w14:paraId="0CA8E445">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10分【0-20%】</w:t>
            </w:r>
          </w:p>
          <w:p w14:paraId="67F69C9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5分【20%-40%】</w:t>
            </w:r>
          </w:p>
          <w:p w14:paraId="5F464A3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0分【超过40%】</w:t>
            </w:r>
          </w:p>
        </w:tc>
        <w:tc>
          <w:tcPr>
            <w:tcW w:w="2692" w:type="dxa"/>
            <w:vAlign w:val="center"/>
          </w:tcPr>
          <w:p w14:paraId="5675376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技术骨干或项目经理未经甲方同意变动，扣除乙方金额人民币不低于3万元；其余人员变动率超过40</w:t>
            </w:r>
            <w:r>
              <w:rPr>
                <w:rFonts w:ascii="宋体" w:hAnsi="宋体" w:eastAsia="宋体" w:cs="Times New Roman"/>
                <w:color w:val="auto"/>
                <w:spacing w:val="20"/>
                <w:sz w:val="21"/>
                <w:szCs w:val="21"/>
                <w:highlight w:val="none"/>
              </w:rPr>
              <w:t>%</w:t>
            </w:r>
            <w:r>
              <w:rPr>
                <w:rFonts w:hint="eastAsia" w:ascii="宋体" w:hAnsi="宋体" w:eastAsia="宋体" w:cs="Times New Roman"/>
                <w:color w:val="auto"/>
                <w:spacing w:val="20"/>
                <w:sz w:val="21"/>
                <w:szCs w:val="21"/>
                <w:highlight w:val="none"/>
              </w:rPr>
              <w:t>，扣除不低于合同总金额的1%。</w:t>
            </w:r>
          </w:p>
        </w:tc>
        <w:tc>
          <w:tcPr>
            <w:tcW w:w="810" w:type="dxa"/>
            <w:vAlign w:val="center"/>
          </w:tcPr>
          <w:p w14:paraId="6495135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249B408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3A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9A41A1">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14</w:t>
            </w:r>
          </w:p>
        </w:tc>
        <w:tc>
          <w:tcPr>
            <w:tcW w:w="890" w:type="dxa"/>
            <w:vMerge w:val="continue"/>
          </w:tcPr>
          <w:p w14:paraId="2871AAF7">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1DDB75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人员满意度评价</w:t>
            </w:r>
          </w:p>
        </w:tc>
        <w:tc>
          <w:tcPr>
            <w:tcW w:w="1550" w:type="dxa"/>
            <w:vAlign w:val="center"/>
          </w:tcPr>
          <w:p w14:paraId="0BB6DE6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对</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外包人员表现的满意度评价</w:t>
            </w:r>
          </w:p>
        </w:tc>
        <w:tc>
          <w:tcPr>
            <w:tcW w:w="2938" w:type="dxa"/>
            <w:vAlign w:val="center"/>
          </w:tcPr>
          <w:p w14:paraId="0D77018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工作效率高，态度积极主动，</w:t>
            </w:r>
            <w:r>
              <w:rPr>
                <w:rFonts w:ascii="宋体" w:hAnsi="宋体" w:eastAsia="宋体" w:cs="Times New Roman"/>
                <w:color w:val="auto"/>
                <w:spacing w:val="20"/>
                <w:sz w:val="21"/>
                <w:szCs w:val="21"/>
                <w:highlight w:val="none"/>
              </w:rPr>
              <w:t>保质保量完成工作任务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对团队有突出贡献，日常行为能起到模范带头作用</w:t>
            </w:r>
            <w:r>
              <w:rPr>
                <w:rFonts w:hint="eastAsia" w:ascii="宋体" w:hAnsi="宋体" w:eastAsia="宋体" w:cs="Times New Roman"/>
                <w:color w:val="auto"/>
                <w:spacing w:val="20"/>
                <w:sz w:val="21"/>
                <w:szCs w:val="21"/>
                <w:highlight w:val="none"/>
              </w:rPr>
              <w:t>的；</w:t>
            </w:r>
          </w:p>
          <w:p w14:paraId="59B32F4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工作效率较高，态度比较主动，较好</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w:t>
            </w:r>
            <w:r>
              <w:rPr>
                <w:rFonts w:hint="eastAsia" w:ascii="宋体" w:hAnsi="宋体" w:eastAsia="宋体" w:cs="Times New Roman"/>
                <w:color w:val="auto"/>
                <w:spacing w:val="20"/>
                <w:sz w:val="21"/>
                <w:szCs w:val="21"/>
                <w:highlight w:val="none"/>
              </w:rPr>
              <w:t>一定</w:t>
            </w:r>
            <w:r>
              <w:rPr>
                <w:rFonts w:ascii="宋体" w:hAnsi="宋体" w:eastAsia="宋体" w:cs="Times New Roman"/>
                <w:color w:val="auto"/>
                <w:spacing w:val="20"/>
                <w:sz w:val="21"/>
                <w:szCs w:val="21"/>
                <w:highlight w:val="none"/>
              </w:rPr>
              <w:t>贡献，日常行为</w:t>
            </w:r>
            <w:r>
              <w:rPr>
                <w:rFonts w:hint="eastAsia" w:ascii="宋体" w:hAnsi="宋体" w:eastAsia="宋体" w:cs="Times New Roman"/>
                <w:color w:val="auto"/>
                <w:spacing w:val="20"/>
                <w:sz w:val="21"/>
                <w:szCs w:val="21"/>
                <w:highlight w:val="none"/>
              </w:rPr>
              <w:t>表现较好的；</w:t>
            </w:r>
          </w:p>
          <w:p w14:paraId="6A7A279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工作效率一般，态度合格，能够按时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p w14:paraId="68B5FF5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工作效率低下，态度懈怠散漫，不能按时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tc>
        <w:tc>
          <w:tcPr>
            <w:tcW w:w="2692" w:type="dxa"/>
            <w:vAlign w:val="center"/>
          </w:tcPr>
          <w:p w14:paraId="6B1B137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评价为较差/差时，甲方有权要求乙方更换人员并赔偿实际损失。</w:t>
            </w:r>
          </w:p>
        </w:tc>
        <w:tc>
          <w:tcPr>
            <w:tcW w:w="810" w:type="dxa"/>
            <w:vAlign w:val="center"/>
          </w:tcPr>
          <w:p w14:paraId="7880505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773" w:type="dxa"/>
            <w:vAlign w:val="center"/>
          </w:tcPr>
          <w:p w14:paraId="0C354A0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FFE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2" w:type="dxa"/>
            <w:gridSpan w:val="7"/>
            <w:vAlign w:val="center"/>
          </w:tcPr>
          <w:p w14:paraId="1C5681F3">
            <w:pPr>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综合得分：</w:t>
            </w:r>
          </w:p>
        </w:tc>
        <w:tc>
          <w:tcPr>
            <w:tcW w:w="773" w:type="dxa"/>
          </w:tcPr>
          <w:p w14:paraId="7E757B37">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E3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0995" w:type="dxa"/>
            <w:gridSpan w:val="8"/>
          </w:tcPr>
          <w:p w14:paraId="5E604DB0">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综合评价：</w:t>
            </w:r>
          </w:p>
          <w:p w14:paraId="05EBC71A">
            <w:pPr>
              <w:autoSpaceDE/>
              <w:autoSpaceDN/>
              <w:spacing w:line="240" w:lineRule="auto"/>
              <w:ind w:firstLine="0" w:firstLineChars="0"/>
              <w:jc w:val="left"/>
              <w:rPr>
                <w:rFonts w:ascii="宋体" w:hAnsi="宋体" w:eastAsia="宋体" w:cs="Times New Roman"/>
                <w:color w:val="auto"/>
                <w:spacing w:val="20"/>
                <w:sz w:val="21"/>
                <w:szCs w:val="21"/>
                <w:highlight w:val="none"/>
              </w:rPr>
            </w:pPr>
          </w:p>
          <w:p w14:paraId="21649877">
            <w:pPr>
              <w:wordWrap w:val="0"/>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 xml:space="preserve">评价人：                                 </w:t>
            </w:r>
          </w:p>
        </w:tc>
      </w:tr>
    </w:tbl>
    <w:p w14:paraId="3150FC89">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注：综合评价等级划分优秀、良好、合格、差</w:t>
      </w:r>
    </w:p>
    <w:p w14:paraId="07406D23">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优秀：评价得分达90分以上；</w:t>
      </w:r>
    </w:p>
    <w:p w14:paraId="45E3B2CA">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良好：评价得分达75-90分；</w:t>
      </w:r>
    </w:p>
    <w:p w14:paraId="62F462CA">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合格：评价得分达60-75分；</w:t>
      </w:r>
    </w:p>
    <w:p w14:paraId="700FE2B6">
      <w:pPr>
        <w:spacing w:line="360" w:lineRule="auto"/>
        <w:ind w:firstLine="0" w:firstLineChars="0"/>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差：评价得分在60分以下。</w:t>
      </w:r>
    </w:p>
    <w:p w14:paraId="10EE01C7">
      <w:pPr>
        <w:spacing w:line="240" w:lineRule="auto"/>
        <w:rPr>
          <w:rFonts w:hint="eastAsia" w:ascii="宋体" w:hAnsi="Times New Roman" w:eastAsia="宋体" w:cs="Times New Roman"/>
          <w:color w:val="auto"/>
          <w:spacing w:val="0"/>
          <w:sz w:val="24"/>
          <w:szCs w:val="24"/>
          <w:highlight w:val="none"/>
        </w:rPr>
      </w:pPr>
      <w:r>
        <w:rPr>
          <w:rFonts w:hint="eastAsia" w:ascii="宋体" w:hAnsi="Times New Roman" w:eastAsia="宋体" w:cs="Times New Roman"/>
          <w:color w:val="auto"/>
          <w:spacing w:val="0"/>
          <w:sz w:val="21"/>
          <w:szCs w:val="21"/>
          <w:highlight w:val="none"/>
        </w:rPr>
        <w:br w:type="page"/>
      </w:r>
    </w:p>
    <w:p w14:paraId="0C8A690C">
      <w:pPr>
        <w:pStyle w:val="2"/>
        <w:spacing w:before="0" w:after="0"/>
        <w:outlineLvl w:val="2"/>
        <w:rPr>
          <w:rStyle w:val="47"/>
          <w:rFonts w:hint="eastAsia" w:ascii="宋体" w:eastAsia="宋体"/>
          <w:color w:val="auto"/>
          <w:spacing w:val="0"/>
          <w:kern w:val="0"/>
          <w:sz w:val="30"/>
          <w:highlight w:val="none"/>
        </w:rPr>
      </w:pPr>
      <w:r>
        <w:rPr>
          <w:rStyle w:val="47"/>
          <w:rFonts w:hint="eastAsia" w:ascii="宋体" w:eastAsia="宋体"/>
          <w:color w:val="auto"/>
          <w:spacing w:val="0"/>
          <w:kern w:val="0"/>
          <w:sz w:val="30"/>
          <w:highlight w:val="none"/>
        </w:rPr>
        <w:t>附件六：服务连续性预案</w:t>
      </w:r>
    </w:p>
    <w:p w14:paraId="3C8BA2E6">
      <w:pPr>
        <w:spacing w:line="360" w:lineRule="auto"/>
        <w:ind w:firstLine="489" w:firstLineChars="233"/>
        <w:rPr>
          <w:rFonts w:eastAsia="宋体"/>
          <w:color w:val="auto"/>
          <w:spacing w:val="0"/>
          <w:szCs w:val="24"/>
          <w:highlight w:val="none"/>
        </w:rPr>
      </w:pPr>
      <w:r>
        <w:rPr>
          <w:rFonts w:hint="eastAsia" w:ascii="宋体" w:eastAsia="宋体"/>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DE509AA">
      <w:pPr>
        <w:ind w:firstLine="422" w:firstLineChars="200"/>
        <w:outlineLvl w:val="2"/>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二、应急组织架构及职责</w:t>
      </w:r>
    </w:p>
    <w:p w14:paraId="4F07C07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EC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0E4E3C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30" w:type="dxa"/>
            <w:tcBorders>
              <w:top w:val="single" w:color="auto" w:sz="4" w:space="0"/>
              <w:left w:val="nil"/>
              <w:bottom w:val="single" w:color="auto" w:sz="4" w:space="0"/>
              <w:right w:val="single" w:color="auto" w:sz="4" w:space="0"/>
            </w:tcBorders>
            <w:shd w:val="clear" w:color="auto" w:fill="8DB3E2"/>
            <w:noWrap w:val="0"/>
            <w:vAlign w:val="top"/>
          </w:tcPr>
          <w:p w14:paraId="3605F0FE">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30" w:type="dxa"/>
            <w:tcBorders>
              <w:top w:val="single" w:color="auto" w:sz="4" w:space="0"/>
              <w:left w:val="nil"/>
              <w:bottom w:val="single" w:color="auto" w:sz="4" w:space="0"/>
              <w:right w:val="single" w:color="auto" w:sz="4" w:space="0"/>
            </w:tcBorders>
            <w:shd w:val="clear" w:color="auto" w:fill="8DB3E2"/>
            <w:noWrap w:val="0"/>
            <w:vAlign w:val="top"/>
          </w:tcPr>
          <w:p w14:paraId="19D4BB8D">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cBorders>
            <w:shd w:val="clear" w:color="auto" w:fill="8DB3E2"/>
            <w:noWrap w:val="0"/>
            <w:vAlign w:val="top"/>
          </w:tcPr>
          <w:p w14:paraId="7EDF2D83">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137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4A4FC90E">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C0B074B">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41E3552B">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4A161832">
            <w:pPr>
              <w:widowControl/>
              <w:jc w:val="center"/>
              <w:rPr>
                <w:rFonts w:ascii="宋体" w:eastAsia="宋体"/>
                <w:color w:val="auto"/>
                <w:spacing w:val="0"/>
                <w:sz w:val="21"/>
                <w:szCs w:val="24"/>
                <w:highlight w:val="none"/>
              </w:rPr>
            </w:pPr>
          </w:p>
        </w:tc>
      </w:tr>
      <w:tr w14:paraId="3284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3D349CC4">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AC17228">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3AA51067">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7BCDDD65">
            <w:pPr>
              <w:widowControl/>
              <w:jc w:val="center"/>
              <w:rPr>
                <w:rFonts w:ascii="宋体" w:eastAsia="宋体"/>
                <w:color w:val="auto"/>
                <w:spacing w:val="0"/>
                <w:sz w:val="21"/>
                <w:szCs w:val="24"/>
                <w:highlight w:val="none"/>
              </w:rPr>
            </w:pPr>
          </w:p>
        </w:tc>
      </w:tr>
      <w:tr w14:paraId="7E80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top"/>
          </w:tcPr>
          <w:p w14:paraId="01A59CA9">
            <w:pPr>
              <w:widowControl/>
              <w:jc w:val="center"/>
              <w:rPr>
                <w:rFonts w:ascii="宋体" w:eastAsia="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33A1BFDD">
            <w:pPr>
              <w:widowControl/>
              <w:jc w:val="center"/>
              <w:rPr>
                <w:rFonts w:ascii="宋体" w:eastAsia="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cBorders>
            <w:noWrap w:val="0"/>
            <w:vAlign w:val="center"/>
          </w:tcPr>
          <w:p w14:paraId="695052EE">
            <w:pPr>
              <w:widowControl/>
              <w:jc w:val="center"/>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3F7DB666">
            <w:pPr>
              <w:widowControl/>
              <w:jc w:val="center"/>
              <w:rPr>
                <w:rFonts w:ascii="宋体" w:eastAsia="宋体"/>
                <w:color w:val="auto"/>
                <w:spacing w:val="0"/>
                <w:sz w:val="21"/>
                <w:szCs w:val="24"/>
                <w:highlight w:val="none"/>
              </w:rPr>
            </w:pPr>
          </w:p>
        </w:tc>
      </w:tr>
    </w:tbl>
    <w:p w14:paraId="1A06365C">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3D7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70A31A3">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cBorders>
            <w:shd w:val="clear" w:color="auto" w:fill="8DB3E2"/>
            <w:noWrap w:val="0"/>
            <w:vAlign w:val="top"/>
          </w:tcPr>
          <w:p w14:paraId="6502C065">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cBorders>
            <w:shd w:val="clear" w:color="auto" w:fill="8DB3E2"/>
            <w:noWrap w:val="0"/>
            <w:vAlign w:val="top"/>
          </w:tcPr>
          <w:p w14:paraId="15737EC8">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cBorders>
            <w:shd w:val="clear" w:color="auto" w:fill="8DB3E2"/>
            <w:noWrap w:val="0"/>
            <w:vAlign w:val="top"/>
          </w:tcPr>
          <w:p w14:paraId="2B2A4976">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5BA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noWrap w:val="0"/>
            <w:vAlign w:val="top"/>
          </w:tcPr>
          <w:p w14:paraId="161A445C">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30A46E47">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01BB8516">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cBorders>
            <w:noWrap w:val="0"/>
            <w:vAlign w:val="top"/>
          </w:tcPr>
          <w:p w14:paraId="27F27AA1">
            <w:pPr>
              <w:widowControl/>
              <w:jc w:val="center"/>
              <w:rPr>
                <w:rFonts w:ascii="宋体" w:eastAsia="宋体"/>
                <w:color w:val="auto"/>
                <w:spacing w:val="0"/>
                <w:sz w:val="21"/>
                <w:szCs w:val="24"/>
                <w:highlight w:val="none"/>
              </w:rPr>
            </w:pPr>
          </w:p>
        </w:tc>
      </w:tr>
      <w:tr w14:paraId="082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noWrap w:val="0"/>
            <w:vAlign w:val="top"/>
          </w:tcPr>
          <w:p w14:paraId="34CEC606">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7715890D">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36A11B77">
            <w:pPr>
              <w:widowControl/>
              <w:jc w:val="center"/>
              <w:rPr>
                <w:rFonts w:ascii="宋体" w:eastAsia="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cBorders>
            <w:noWrap w:val="0"/>
            <w:vAlign w:val="top"/>
          </w:tcPr>
          <w:p w14:paraId="3DE6FFFF">
            <w:pPr>
              <w:widowControl/>
              <w:jc w:val="center"/>
              <w:rPr>
                <w:rFonts w:ascii="宋体" w:eastAsia="宋体"/>
                <w:color w:val="auto"/>
                <w:spacing w:val="0"/>
                <w:sz w:val="21"/>
                <w:szCs w:val="24"/>
                <w:highlight w:val="none"/>
              </w:rPr>
            </w:pPr>
          </w:p>
        </w:tc>
      </w:tr>
    </w:tbl>
    <w:p w14:paraId="17F93E71">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524C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65D943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cBorders>
            <w:shd w:val="clear" w:color="auto" w:fill="8DB3E2"/>
            <w:noWrap w:val="0"/>
            <w:vAlign w:val="top"/>
          </w:tcPr>
          <w:p w14:paraId="30D0B9BD">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cBorders>
            <w:shd w:val="clear" w:color="auto" w:fill="8DB3E2"/>
            <w:noWrap w:val="0"/>
            <w:vAlign w:val="top"/>
          </w:tcPr>
          <w:p w14:paraId="73F8DF6F">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cBorders>
            <w:shd w:val="clear" w:color="auto" w:fill="8DB3E2"/>
            <w:noWrap w:val="0"/>
            <w:vAlign w:val="top"/>
          </w:tcPr>
          <w:p w14:paraId="651E078A">
            <w:pPr>
              <w:spacing w:line="360" w:lineRule="auto"/>
              <w:jc w:val="center"/>
              <w:rPr>
                <w:rFonts w:ascii="宋体" w:eastAsia="宋体"/>
                <w:color w:val="auto"/>
                <w:spacing w:val="0"/>
                <w:szCs w:val="24"/>
                <w:highlight w:val="none"/>
              </w:rPr>
            </w:pPr>
            <w:r>
              <w:rPr>
                <w:rFonts w:hint="eastAsia" w:ascii="宋体" w:eastAsia="宋体"/>
                <w:color w:val="auto"/>
                <w:spacing w:val="0"/>
                <w:szCs w:val="24"/>
                <w:highlight w:val="none"/>
              </w:rPr>
              <w:t>职责</w:t>
            </w:r>
          </w:p>
        </w:tc>
      </w:tr>
      <w:tr w14:paraId="107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center"/>
          </w:tcPr>
          <w:p w14:paraId="433E30DF">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02B103CB">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6F6FB224">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363B52A7">
            <w:pPr>
              <w:widowControl/>
              <w:jc w:val="center"/>
              <w:rPr>
                <w:rFonts w:ascii="宋体" w:eastAsia="宋体"/>
                <w:color w:val="auto"/>
                <w:spacing w:val="0"/>
                <w:sz w:val="21"/>
                <w:szCs w:val="24"/>
                <w:highlight w:val="none"/>
              </w:rPr>
            </w:pPr>
          </w:p>
        </w:tc>
      </w:tr>
      <w:tr w14:paraId="364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noWrap w:val="0"/>
            <w:vAlign w:val="center"/>
          </w:tcPr>
          <w:p w14:paraId="3E7D3B96">
            <w:pPr>
              <w:widowControl/>
              <w:jc w:val="center"/>
              <w:rPr>
                <w:rFonts w:ascii="宋体" w:eastAsia="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14:paraId="2E4A4C4D">
            <w:pPr>
              <w:widowControl/>
              <w:jc w:val="center"/>
              <w:rPr>
                <w:rFonts w:ascii="宋体" w:eastAsia="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cBorders>
            <w:noWrap w:val="0"/>
            <w:vAlign w:val="center"/>
          </w:tcPr>
          <w:p w14:paraId="4AD76ADB">
            <w:pPr>
              <w:widowControl/>
              <w:rPr>
                <w:rFonts w:ascii="宋体" w:eastAsia="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cBorders>
            <w:noWrap w:val="0"/>
            <w:vAlign w:val="top"/>
          </w:tcPr>
          <w:p w14:paraId="4FCE2ED4">
            <w:pPr>
              <w:widowControl/>
              <w:jc w:val="center"/>
              <w:rPr>
                <w:rFonts w:ascii="宋体" w:eastAsia="宋体"/>
                <w:color w:val="auto"/>
                <w:spacing w:val="0"/>
                <w:sz w:val="21"/>
                <w:szCs w:val="24"/>
                <w:highlight w:val="none"/>
              </w:rPr>
            </w:pPr>
          </w:p>
        </w:tc>
      </w:tr>
    </w:tbl>
    <w:p w14:paraId="7CCD433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（四）应急领导小组职责</w:t>
      </w:r>
    </w:p>
    <w:p w14:paraId="1CC852B1">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w:t>
      </w:r>
      <w:r>
        <w:rPr>
          <w:rFonts w:ascii="宋体" w:eastAsia="宋体"/>
          <w:color w:val="auto"/>
          <w:spacing w:val="0"/>
          <w:szCs w:val="24"/>
          <w:highlight w:val="none"/>
        </w:rPr>
        <w:t>.</w:t>
      </w:r>
      <w:r>
        <w:rPr>
          <w:rFonts w:hint="eastAsia" w:ascii="宋体" w:eastAsia="宋体"/>
          <w:color w:val="auto"/>
          <w:spacing w:val="0"/>
          <w:szCs w:val="24"/>
          <w:highlight w:val="none"/>
        </w:rPr>
        <w:t>启动应急预案</w:t>
      </w:r>
    </w:p>
    <w:p w14:paraId="42477140">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4A2CF4A">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2</w:t>
      </w:r>
      <w:r>
        <w:rPr>
          <w:rFonts w:ascii="宋体" w:eastAsia="宋体"/>
          <w:color w:val="auto"/>
          <w:spacing w:val="0"/>
          <w:szCs w:val="24"/>
          <w:highlight w:val="none"/>
        </w:rPr>
        <w:t>.</w:t>
      </w:r>
      <w:r>
        <w:rPr>
          <w:rFonts w:hint="eastAsia" w:ascii="宋体" w:eastAsia="宋体"/>
          <w:color w:val="auto"/>
          <w:spacing w:val="0"/>
          <w:szCs w:val="24"/>
          <w:highlight w:val="none"/>
        </w:rPr>
        <w:t>应急事件处理</w:t>
      </w:r>
    </w:p>
    <w:p w14:paraId="78A136A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C40DF30">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3</w:t>
      </w:r>
      <w:r>
        <w:rPr>
          <w:rFonts w:ascii="宋体" w:eastAsia="宋体"/>
          <w:color w:val="auto"/>
          <w:spacing w:val="0"/>
          <w:szCs w:val="24"/>
          <w:highlight w:val="none"/>
        </w:rPr>
        <w:t>.</w:t>
      </w:r>
      <w:r>
        <w:rPr>
          <w:rFonts w:hint="eastAsia" w:ascii="宋体" w:eastAsia="宋体"/>
          <w:color w:val="auto"/>
          <w:spacing w:val="0"/>
          <w:szCs w:val="24"/>
          <w:highlight w:val="none"/>
        </w:rPr>
        <w:t>业务持续性计划及应急预案优化</w:t>
      </w:r>
    </w:p>
    <w:p w14:paraId="54DB180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D15BCAC">
      <w:pPr>
        <w:ind w:firstLine="422" w:firstLineChars="200"/>
        <w:outlineLvl w:val="2"/>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三、应急场景</w:t>
      </w:r>
    </w:p>
    <w:p w14:paraId="0B1E1F8F">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（一）单个核心成员或某个角色无法提供正常服务</w:t>
      </w:r>
    </w:p>
    <w:p w14:paraId="5028E04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1.影响程度：外包服务部分中断</w:t>
      </w:r>
    </w:p>
    <w:p w14:paraId="53B32CC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36AFF629">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1</w:t>
      </w:r>
      <w:r>
        <w:rPr>
          <w:rFonts w:hint="eastAsia" w:ascii="宋体" w:eastAsia="宋体"/>
          <w:color w:val="auto"/>
          <w:spacing w:val="0"/>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2D2A5143">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）乙方服务团队在合同有效期内，建立人才储备机制和培训机制，同时由A角和B角对项目进行支持工作。</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w:t>
      </w:r>
      <w:r>
        <w:rPr>
          <w:rFonts w:hint="eastAsia" w:ascii="宋体" w:eastAsia="宋体"/>
          <w:color w:val="auto"/>
          <w:spacing w:val="0"/>
          <w:szCs w:val="24"/>
          <w:highlight w:val="none"/>
        </w:rPr>
        <w:t>按照SLA进行</w:t>
      </w:r>
      <w:r>
        <w:rPr>
          <w:rFonts w:ascii="宋体" w:eastAsia="宋体"/>
          <w:color w:val="auto"/>
          <w:spacing w:val="0"/>
          <w:szCs w:val="24"/>
          <w:highlight w:val="none"/>
        </w:rPr>
        <w:t>赔偿。</w:t>
      </w:r>
    </w:p>
    <w:p w14:paraId="55503EC4">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（二）乙方服务团队无法提供正常服务，但乙方仍具备履约能力</w:t>
      </w:r>
    </w:p>
    <w:p w14:paraId="7A20199D">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6133E726">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10D57F8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1）乙方服务团队需按时按照甲方流程及制度规范提交项目各类文档；</w:t>
      </w:r>
    </w:p>
    <w:p w14:paraId="6E774BB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2）乙方服务团队需制定合理的培训计划和培训内容，加强知识转移；</w:t>
      </w:r>
    </w:p>
    <w:p w14:paraId="580698AB">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3）如遇类似事件乙方提前10个工作日书面通知甲方项目经理；</w:t>
      </w:r>
    </w:p>
    <w:p w14:paraId="71F6609E">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4F46A7C5">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（三）乙方服务团队无法提供正常服务且乙方不具备恢复服务能力或意愿</w:t>
      </w:r>
    </w:p>
    <w:p w14:paraId="69F76BB1">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3B340162">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2CD9F15F">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1）如遇类似事件乙方提前15个工作日书面通知甲方项目经理；</w:t>
      </w:r>
    </w:p>
    <w:p w14:paraId="0A33C1AD">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）乙方保证提前沟通协调人力资源，于10个工作日内提交所有阶段性项目文档，并完成甲方认可的所有工作交接和知识转移，包括不限于对替代供应商进行培训；</w:t>
      </w:r>
    </w:p>
    <w:p w14:paraId="337D0567">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16D794F3">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（四）乙方因资质变更、被收购、兼并或破产等原因致使其无法继续提供服务</w:t>
      </w:r>
    </w:p>
    <w:p w14:paraId="117F0B1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04722068">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42CF59AF">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1）如遇类似事件乙方提前20个工作日通知甲方项目经理；</w:t>
      </w:r>
    </w:p>
    <w:p w14:paraId="56953BA3">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）根据开发合同约定提前与甲方进行沟通协商，做好代码、文档、服务等交接工作，减少对甲方的影响；</w:t>
      </w:r>
    </w:p>
    <w:p w14:paraId="13EE06AA">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r>
        <w:rPr>
          <w:rFonts w:hint="eastAsia" w:ascii="宋体" w:eastAsia="宋体"/>
          <w:color w:val="auto"/>
          <w:spacing w:val="0"/>
          <w:szCs w:val="24"/>
          <w:highlight w:val="none"/>
        </w:rPr>
        <w:t>；</w:t>
      </w:r>
    </w:p>
    <w:p w14:paraId="4ACF0B54">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4</w:t>
      </w:r>
      <w:r>
        <w:rPr>
          <w:rFonts w:hint="eastAsia" w:ascii="宋体" w:eastAsia="宋体"/>
          <w:color w:val="auto"/>
          <w:spacing w:val="0"/>
          <w:szCs w:val="24"/>
          <w:highlight w:val="none"/>
        </w:rPr>
        <w:t>）允许推荐项目成员到与甲方合作良好的其他供应商任职或由甲方直接聘用。</w:t>
      </w:r>
    </w:p>
    <w:p w14:paraId="33B0EB42">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（五）乙方因不可抗力导致其主动退出（国家相关法律法规调整、遭受大规模自然灾害等）</w:t>
      </w:r>
    </w:p>
    <w:p w14:paraId="6F87764A">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1.影响程度：外包服务完全中断</w:t>
      </w:r>
    </w:p>
    <w:p w14:paraId="22F2FB8F">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2.规避措施：</w:t>
      </w:r>
    </w:p>
    <w:p w14:paraId="11E19919">
      <w:pPr>
        <w:spacing w:line="360" w:lineRule="auto"/>
        <w:ind w:firstLine="489" w:firstLineChars="233"/>
        <w:outlineLvl w:val="4"/>
        <w:rPr>
          <w:rFonts w:ascii="宋体" w:eastAsia="宋体"/>
          <w:color w:val="auto"/>
          <w:spacing w:val="0"/>
          <w:szCs w:val="24"/>
          <w:highlight w:val="none"/>
        </w:rPr>
      </w:pPr>
      <w:r>
        <w:rPr>
          <w:rFonts w:hint="eastAsia" w:ascii="宋体" w:eastAsia="宋体"/>
          <w:color w:val="auto"/>
          <w:spacing w:val="0"/>
          <w:szCs w:val="24"/>
          <w:highlight w:val="none"/>
        </w:rPr>
        <w:t>1）如遇类似事件乙方应立即通知甲方项目经理。</w:t>
      </w:r>
    </w:p>
    <w:p w14:paraId="62C23AC9">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2</w:t>
      </w:r>
      <w:r>
        <w:rPr>
          <w:rFonts w:hint="eastAsia" w:ascii="宋体" w:eastAsia="宋体"/>
          <w:color w:val="auto"/>
          <w:spacing w:val="0"/>
          <w:szCs w:val="24"/>
          <w:highlight w:val="none"/>
        </w:rPr>
        <w:t>）乙方与甲方及时进行协商，得出一致性解决方案，于15个工作日内提交所有阶段性项目文档，并完成甲方认可的所有工作交接和知识转移，降低突发事件的影响；</w:t>
      </w:r>
    </w:p>
    <w:p w14:paraId="7B4D5584">
      <w:pPr>
        <w:spacing w:line="360" w:lineRule="auto"/>
        <w:ind w:firstLine="489" w:firstLineChars="233"/>
        <w:rPr>
          <w:rFonts w:ascii="宋体" w:eastAsia="宋体"/>
          <w:color w:val="auto"/>
          <w:spacing w:val="0"/>
          <w:szCs w:val="24"/>
          <w:highlight w:val="none"/>
        </w:rPr>
      </w:pPr>
      <w:r>
        <w:rPr>
          <w:rFonts w:ascii="宋体" w:eastAsia="宋体"/>
          <w:color w:val="auto"/>
          <w:spacing w:val="0"/>
          <w:szCs w:val="24"/>
          <w:highlight w:val="none"/>
        </w:rPr>
        <w:t>3</w:t>
      </w:r>
      <w:r>
        <w:rPr>
          <w:rFonts w:hint="eastAsia" w:ascii="宋体" w:eastAsia="宋体"/>
          <w:color w:val="auto"/>
          <w:spacing w:val="0"/>
          <w:szCs w:val="24"/>
          <w:highlight w:val="none"/>
        </w:rPr>
        <w:t>）允许推荐项目成员到与甲方合作良好的其他供应商任职或由甲方直接聘用。</w:t>
      </w:r>
      <w:r>
        <w:rPr>
          <w:rFonts w:ascii="宋体" w:eastAsia="宋体"/>
          <w:color w:val="auto"/>
          <w:spacing w:val="0"/>
          <w:szCs w:val="24"/>
          <w:highlight w:val="none"/>
        </w:rPr>
        <w:t>因</w:t>
      </w:r>
      <w:r>
        <w:rPr>
          <w:rFonts w:hint="eastAsia" w:ascii="宋体" w:eastAsia="宋体"/>
          <w:color w:val="auto"/>
          <w:spacing w:val="0"/>
          <w:szCs w:val="24"/>
          <w:highlight w:val="none"/>
        </w:rPr>
        <w:t>乙方原因</w:t>
      </w:r>
      <w:r>
        <w:rPr>
          <w:rFonts w:ascii="宋体" w:eastAsia="宋体"/>
          <w:color w:val="auto"/>
          <w:spacing w:val="0"/>
          <w:szCs w:val="24"/>
          <w:highlight w:val="none"/>
        </w:rPr>
        <w:t>造成甲方损失的，乙方在双方协商后做出赔偿。</w:t>
      </w:r>
    </w:p>
    <w:p w14:paraId="4A82A483">
      <w:pPr>
        <w:ind w:firstLine="422" w:firstLineChars="200"/>
        <w:outlineLvl w:val="2"/>
        <w:rPr>
          <w:rFonts w:ascii="宋体" w:hAnsi="宋体" w:eastAsia="宋体"/>
          <w:color w:val="auto"/>
          <w:spacing w:val="0"/>
          <w:szCs w:val="24"/>
          <w:highlight w:val="none"/>
        </w:rPr>
      </w:pPr>
      <w:r>
        <w:rPr>
          <w:rFonts w:hint="eastAsia" w:ascii="宋体" w:hAnsi="宋体" w:eastAsia="宋体"/>
          <w:b/>
          <w:color w:val="auto"/>
          <w:spacing w:val="0"/>
          <w:szCs w:val="24"/>
          <w:highlight w:val="none"/>
        </w:rPr>
        <w:t>四、应急处理阶段</w:t>
      </w:r>
    </w:p>
    <w:p w14:paraId="5B27E785">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（一）项目实施过程中应急服务</w:t>
      </w:r>
    </w:p>
    <w:p w14:paraId="1FFE2773">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5AABC49D">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在应急事件处理完毕后，由乙方应急小组</w:t>
      </w:r>
      <w:r>
        <w:rPr>
          <w:rFonts w:ascii="宋体" w:eastAsia="宋体"/>
          <w:color w:val="auto"/>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color w:val="auto"/>
          <w:spacing w:val="0"/>
          <w:szCs w:val="24"/>
          <w:highlight w:val="none"/>
        </w:rPr>
        <w:t>项目服务过程中</w:t>
      </w:r>
      <w:r>
        <w:rPr>
          <w:rFonts w:ascii="宋体" w:eastAsia="宋体"/>
          <w:color w:val="auto"/>
          <w:spacing w:val="0"/>
          <w:szCs w:val="24"/>
          <w:highlight w:val="none"/>
        </w:rPr>
        <w:t>存在的隐患</w:t>
      </w:r>
      <w:r>
        <w:rPr>
          <w:rFonts w:hint="eastAsia" w:ascii="宋体" w:eastAsia="宋体"/>
          <w:color w:val="auto"/>
          <w:spacing w:val="0"/>
          <w:szCs w:val="24"/>
          <w:highlight w:val="none"/>
        </w:rPr>
        <w:t>问题</w:t>
      </w:r>
      <w:r>
        <w:rPr>
          <w:rFonts w:ascii="宋体" w:eastAsia="宋体"/>
          <w:color w:val="auto"/>
          <w:spacing w:val="0"/>
          <w:szCs w:val="24"/>
          <w:highlight w:val="none"/>
        </w:rPr>
        <w:t>。</w:t>
      </w:r>
    </w:p>
    <w:p w14:paraId="5A750CE0">
      <w:pPr>
        <w:ind w:firstLine="422" w:firstLineChars="200"/>
        <w:outlineLvl w:val="3"/>
        <w:rPr>
          <w:rFonts w:ascii="宋体" w:hAnsi="宋体" w:eastAsia="宋体"/>
          <w:b/>
          <w:color w:val="auto"/>
          <w:spacing w:val="0"/>
          <w:szCs w:val="24"/>
          <w:highlight w:val="none"/>
        </w:rPr>
      </w:pPr>
      <w:r>
        <w:rPr>
          <w:rFonts w:hint="eastAsia" w:ascii="宋体" w:hAnsi="宋体" w:eastAsia="宋体"/>
          <w:b/>
          <w:color w:val="auto"/>
          <w:spacing w:val="0"/>
          <w:szCs w:val="24"/>
          <w:highlight w:val="none"/>
        </w:rPr>
        <w:t>（二）系统上线后应急服务</w:t>
      </w:r>
    </w:p>
    <w:p w14:paraId="4EC0292C">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4CBB574">
      <w:pPr>
        <w:spacing w:line="360" w:lineRule="auto"/>
        <w:ind w:firstLine="489" w:firstLineChars="233"/>
        <w:rPr>
          <w:rFonts w:ascii="宋体" w:eastAsia="宋体"/>
          <w:color w:val="auto"/>
          <w:spacing w:val="0"/>
          <w:szCs w:val="24"/>
          <w:highlight w:val="none"/>
        </w:rPr>
      </w:pPr>
      <w:r>
        <w:rPr>
          <w:rFonts w:hint="eastAsia" w:ascii="宋体" w:eastAsia="宋体"/>
          <w:color w:val="auto"/>
          <w:spacing w:val="0"/>
          <w:szCs w:val="24"/>
          <w:highlight w:val="none"/>
        </w:rPr>
        <w:t>姓名:        手机号码：        邮箱：</w:t>
      </w:r>
    </w:p>
    <w:p w14:paraId="49459DD1">
      <w:pPr>
        <w:spacing w:line="360" w:lineRule="auto"/>
        <w:ind w:firstLine="489" w:firstLineChars="233"/>
        <w:rPr>
          <w:rStyle w:val="47"/>
          <w:rFonts w:hint="eastAsia" w:ascii="宋体" w:eastAsia="宋体"/>
          <w:color w:val="auto"/>
          <w:spacing w:val="0"/>
          <w:kern w:val="0"/>
          <w:highlight w:val="none"/>
        </w:rPr>
      </w:pPr>
      <w:r>
        <w:rPr>
          <w:rFonts w:hint="eastAsia" w:ascii="宋体" w:eastAsia="宋体"/>
          <w:color w:val="auto"/>
          <w:spacing w:val="0"/>
          <w:szCs w:val="24"/>
          <w:highlight w:val="none"/>
        </w:rPr>
        <w:t>姓名:        手机号码：        邮箱：</w:t>
      </w:r>
    </w:p>
    <w:p w14:paraId="31A79572">
      <w:pPr>
        <w:rPr>
          <w:rFonts w:ascii="Times New Roman" w:hAnsi="Times New Roman"/>
          <w:color w:val="auto"/>
          <w:highlight w:val="none"/>
        </w:rPr>
      </w:pPr>
      <w:r>
        <w:rPr>
          <w:rFonts w:ascii="Times New Roman" w:hAnsi="Times New Roman"/>
          <w:color w:val="auto"/>
          <w:highlight w:val="none"/>
        </w:rPr>
        <w:br w:type="page"/>
      </w:r>
    </w:p>
    <w:p w14:paraId="3769313B">
      <w:pPr>
        <w:pStyle w:val="2"/>
        <w:rPr>
          <w:rFonts w:ascii="Times New Roman" w:hAnsi="Times New Roman"/>
          <w:color w:val="auto"/>
          <w:highlight w:val="none"/>
        </w:rPr>
      </w:pPr>
      <w:bookmarkStart w:id="310" w:name="_Toc23990"/>
      <w:r>
        <w:rPr>
          <w:rFonts w:hint="eastAsia" w:ascii="Times New Roman" w:hAnsi="Times New Roman"/>
          <w:color w:val="auto"/>
          <w:highlight w:val="none"/>
        </w:rPr>
        <w:t>第六章 参选文件</w:t>
      </w:r>
      <w:bookmarkEnd w:id="255"/>
      <w:bookmarkEnd w:id="256"/>
      <w:bookmarkStart w:id="311" w:name="_Toc303066035"/>
      <w:r>
        <w:rPr>
          <w:rFonts w:hint="eastAsia" w:ascii="Times New Roman" w:hAnsi="Times New Roman"/>
          <w:color w:val="auto"/>
          <w:highlight w:val="none"/>
        </w:rPr>
        <w:t>格式</w:t>
      </w:r>
      <w:bookmarkEnd w:id="310"/>
    </w:p>
    <w:bookmarkEnd w:id="311"/>
    <w:p w14:paraId="0D8479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6E1DEEBD">
      <w:pPr>
        <w:spacing w:line="360" w:lineRule="auto"/>
        <w:ind w:firstLine="0" w:firstLineChars="0"/>
        <w:jc w:val="center"/>
        <w:outlineLvl w:val="9"/>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DF6D6A8">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u w:val="none"/>
        </w:rPr>
      </w:pPr>
      <w:r>
        <w:rPr>
          <w:rFonts w:hint="eastAsia" w:ascii="Times New Roman" w:hAnsi="Times New Roman" w:cs="Times New Roman"/>
          <w:b/>
          <w:snapToGrid w:val="0"/>
          <w:color w:val="auto"/>
          <w:kern w:val="0"/>
          <w:sz w:val="48"/>
          <w:szCs w:val="84"/>
          <w:highlight w:val="none"/>
          <w:u w:val="none"/>
          <w:lang w:eastAsia="zh-CN"/>
        </w:rPr>
        <w:t>移动作业管理系统</w:t>
      </w:r>
      <w:r>
        <w:rPr>
          <w:rFonts w:hint="eastAsia" w:ascii="Times New Roman" w:hAnsi="Times New Roman" w:cs="Times New Roman"/>
          <w:b/>
          <w:snapToGrid w:val="0"/>
          <w:color w:val="auto"/>
          <w:kern w:val="0"/>
          <w:sz w:val="48"/>
          <w:szCs w:val="84"/>
          <w:highlight w:val="none"/>
          <w:u w:val="none"/>
          <w:lang w:val="en-US" w:eastAsia="zh-CN"/>
        </w:rPr>
        <w:t>2024年度优化</w:t>
      </w:r>
      <w:r>
        <w:rPr>
          <w:rFonts w:hint="eastAsia" w:ascii="Times New Roman" w:hAnsi="Times New Roman" w:cs="Times New Roman"/>
          <w:b/>
          <w:snapToGrid w:val="0"/>
          <w:color w:val="auto"/>
          <w:kern w:val="0"/>
          <w:sz w:val="48"/>
          <w:szCs w:val="84"/>
          <w:highlight w:val="none"/>
          <w:u w:val="none"/>
        </w:rPr>
        <w:t>项目</w:t>
      </w:r>
    </w:p>
    <w:p w14:paraId="6D214958">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rPr>
      </w:pPr>
    </w:p>
    <w:p w14:paraId="783EA866">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color w:val="auto"/>
          <w:kern w:val="0"/>
          <w:sz w:val="44"/>
          <w:highlight w:val="none"/>
        </w:rPr>
      </w:pPr>
    </w:p>
    <w:p w14:paraId="24337202">
      <w:pPr>
        <w:tabs>
          <w:tab w:val="left" w:pos="3600"/>
          <w:tab w:val="left" w:pos="4480"/>
          <w:tab w:val="left" w:pos="5360"/>
        </w:tabs>
        <w:adjustRightInd w:val="0"/>
        <w:snapToGrid w:val="0"/>
        <w:spacing w:line="360" w:lineRule="auto"/>
        <w:ind w:firstLine="0" w:firstLineChars="0"/>
        <w:jc w:val="center"/>
        <w:outlineLvl w:val="9"/>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4706C42E">
      <w:pPr>
        <w:adjustRightInd w:val="0"/>
        <w:snapToGrid w:val="0"/>
        <w:spacing w:line="360" w:lineRule="auto"/>
        <w:ind w:firstLine="0" w:firstLineChars="0"/>
        <w:jc w:val="center"/>
        <w:outlineLvl w:val="9"/>
        <w:rPr>
          <w:rFonts w:ascii="Times New Roman" w:hAnsi="Times New Roman"/>
          <w:color w:val="auto"/>
          <w:kern w:val="0"/>
          <w:sz w:val="16"/>
          <w:highlight w:val="none"/>
        </w:rPr>
      </w:pPr>
    </w:p>
    <w:p w14:paraId="3C539C10">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3B023B7">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62730FFE">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295087A">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AB17AD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8D8C7B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01E68514">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4DF874C7">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79F88370">
      <w:pPr>
        <w:adjustRightInd w:val="0"/>
        <w:snapToGrid w:val="0"/>
        <w:spacing w:line="360" w:lineRule="auto"/>
        <w:ind w:firstLine="0" w:firstLineChars="0"/>
        <w:jc w:val="center"/>
        <w:outlineLvl w:val="9"/>
        <w:rPr>
          <w:rFonts w:ascii="Times New Roman" w:hAnsi="Times New Roman"/>
          <w:b/>
          <w:color w:val="auto"/>
          <w:kern w:val="0"/>
          <w:sz w:val="20"/>
          <w:highlight w:val="none"/>
        </w:rPr>
      </w:pPr>
    </w:p>
    <w:p w14:paraId="58744556">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77611204">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/分支机构负责人其委托代理人：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color w:val="auto"/>
          <w:highlight w:val="none"/>
          <w:lang w:val="en-US" w:eastAsia="zh-CN"/>
        </w:rPr>
        <w:t>或盖章</w:t>
      </w:r>
      <w:r>
        <w:rPr>
          <w:rFonts w:hint="eastAsia" w:ascii="Times New Roman" w:hAnsi="Times New Roman"/>
          <w:color w:val="auto"/>
          <w:highlight w:val="none"/>
        </w:rPr>
        <w:t>）</w:t>
      </w:r>
    </w:p>
    <w:p w14:paraId="3807E3D1">
      <w:pPr>
        <w:spacing w:line="360" w:lineRule="auto"/>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年     月     日</w:t>
      </w:r>
    </w:p>
    <w:p w14:paraId="4DB9090F">
      <w:pPr>
        <w:tabs>
          <w:tab w:val="left" w:pos="3280"/>
          <w:tab w:val="left" w:pos="4680"/>
          <w:tab w:val="left" w:pos="6080"/>
        </w:tabs>
        <w:adjustRightInd w:val="0"/>
        <w:snapToGrid w:val="0"/>
        <w:spacing w:line="360" w:lineRule="auto"/>
        <w:ind w:firstLine="0" w:firstLineChars="0"/>
        <w:jc w:val="center"/>
        <w:outlineLvl w:val="9"/>
        <w:rPr>
          <w:rFonts w:ascii="Times New Roman" w:hAnsi="Times New Roman"/>
          <w:b/>
          <w:color w:val="auto"/>
          <w:kern w:val="0"/>
          <w:highlight w:val="none"/>
        </w:rPr>
      </w:pPr>
    </w:p>
    <w:p w14:paraId="69331CE5">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pPr>
    </w:p>
    <w:p w14:paraId="05757D8F">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pPr>
    </w:p>
    <w:p w14:paraId="650BB356">
      <w:pPr>
        <w:tabs>
          <w:tab w:val="left" w:pos="6300"/>
        </w:tabs>
        <w:snapToGrid w:val="0"/>
        <w:spacing w:line="360" w:lineRule="auto"/>
        <w:ind w:firstLine="0" w:firstLineChars="0"/>
        <w:jc w:val="center"/>
        <w:outlineLvl w:val="9"/>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5B3B51F2">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785B1C9C">
      <w:pPr>
        <w:ind w:firstLine="480"/>
        <w:outlineLvl w:val="1"/>
        <w:rPr>
          <w:rFonts w:ascii="Times New Roman" w:hAnsi="Times New Roman"/>
          <w:color w:val="auto"/>
          <w:highlight w:val="none"/>
        </w:rPr>
      </w:pPr>
      <w:r>
        <w:rPr>
          <w:rFonts w:hint="eastAsia" w:ascii="Times New Roman" w:hAnsi="Times New Roman"/>
          <w:color w:val="auto"/>
          <w:highlight w:val="none"/>
        </w:rPr>
        <w:t>一、参选函</w:t>
      </w:r>
    </w:p>
    <w:p w14:paraId="1395DCF7">
      <w:pPr>
        <w:ind w:firstLine="480"/>
        <w:outlineLvl w:val="1"/>
        <w:rPr>
          <w:rFonts w:ascii="Times New Roman" w:hAnsi="Times New Roman"/>
          <w:color w:val="auto"/>
          <w:highlight w:val="none"/>
        </w:rPr>
      </w:pPr>
      <w:r>
        <w:rPr>
          <w:rFonts w:hint="eastAsia" w:ascii="Times New Roman" w:hAnsi="Times New Roman"/>
          <w:color w:val="auto"/>
          <w:highlight w:val="none"/>
        </w:rPr>
        <w:t>二、报价一览表</w:t>
      </w:r>
    </w:p>
    <w:p w14:paraId="4DE7AA85">
      <w:pPr>
        <w:ind w:firstLine="480"/>
        <w:outlineLvl w:val="1"/>
        <w:rPr>
          <w:rFonts w:ascii="Times New Roman" w:hAnsi="Times New Roman"/>
          <w:color w:val="auto"/>
          <w:highlight w:val="none"/>
        </w:rPr>
      </w:pPr>
      <w:r>
        <w:rPr>
          <w:rFonts w:hint="eastAsia" w:ascii="Times New Roman" w:hAnsi="Times New Roman"/>
          <w:color w:val="auto"/>
          <w:highlight w:val="none"/>
        </w:rPr>
        <w:t>三、资格性文件</w:t>
      </w:r>
    </w:p>
    <w:p w14:paraId="41B6F894">
      <w:pPr>
        <w:ind w:firstLine="480"/>
        <w:outlineLvl w:val="2"/>
        <w:rPr>
          <w:rFonts w:ascii="Times New Roman" w:hAnsi="Times New Roman"/>
          <w:color w:val="auto"/>
          <w:highlight w:val="none"/>
        </w:rPr>
      </w:pPr>
      <w:r>
        <w:rPr>
          <w:rFonts w:ascii="Times New Roman" w:hAnsi="Times New Roman"/>
          <w:color w:val="auto"/>
          <w:highlight w:val="none"/>
        </w:rPr>
        <w:t>（一）参选人基本情况介绍，资质证明等</w:t>
      </w:r>
    </w:p>
    <w:p w14:paraId="25BF8771">
      <w:pPr>
        <w:ind w:firstLine="480"/>
        <w:outlineLvl w:val="2"/>
        <w:rPr>
          <w:rFonts w:ascii="Times New Roman" w:hAnsi="Times New Roman"/>
          <w:color w:val="auto"/>
          <w:highlight w:val="none"/>
        </w:rPr>
      </w:pPr>
      <w:r>
        <w:rPr>
          <w:rFonts w:ascii="Times New Roman" w:hAnsi="Times New Roman"/>
          <w:color w:val="auto"/>
          <w:highlight w:val="none"/>
        </w:rPr>
        <w:t>（二）法定代表人身份证明及授权委托书</w:t>
      </w:r>
    </w:p>
    <w:p w14:paraId="658406E8">
      <w:pPr>
        <w:ind w:firstLine="480"/>
        <w:outlineLvl w:val="2"/>
        <w:rPr>
          <w:rFonts w:ascii="Times New Roman" w:hAnsi="Times New Roman"/>
          <w:color w:val="auto"/>
          <w:highlight w:val="none"/>
        </w:rPr>
      </w:pPr>
      <w:r>
        <w:rPr>
          <w:rFonts w:hint="eastAsia" w:ascii="Times New Roman" w:hAnsi="Times New Roman"/>
          <w:color w:val="auto"/>
          <w:highlight w:val="none"/>
        </w:rPr>
        <w:t>（三）书面声明</w:t>
      </w:r>
    </w:p>
    <w:p w14:paraId="44798F2F">
      <w:pPr>
        <w:ind w:firstLine="480"/>
        <w:outlineLvl w:val="2"/>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49FE5A">
      <w:pPr>
        <w:ind w:firstLine="480"/>
        <w:outlineLvl w:val="2"/>
        <w:rPr>
          <w:rFonts w:hint="eastAsia"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1CFF3D5A">
      <w:pPr>
        <w:ind w:firstLine="480"/>
        <w:outlineLvl w:val="2"/>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六</w:t>
      </w:r>
      <w:r>
        <w:rPr>
          <w:rFonts w:hint="eastAsia" w:ascii="Times New Roman" w:hAnsi="Times New Roman"/>
          <w:color w:val="auto"/>
          <w:highlight w:val="none"/>
        </w:rPr>
        <w:t>）</w:t>
      </w:r>
      <w:r>
        <w:rPr>
          <w:rFonts w:ascii="Times New Roman" w:hAnsi="Times New Roman" w:cs="Times New Roman"/>
          <w:color w:val="auto"/>
          <w:highlight w:val="none"/>
        </w:rPr>
        <w:t>原厂商授权书或确认函</w:t>
      </w:r>
    </w:p>
    <w:p w14:paraId="019805C0">
      <w:pPr>
        <w:ind w:firstLine="480"/>
        <w:outlineLvl w:val="2"/>
        <w:rPr>
          <w:rFonts w:hint="eastAsia" w:cs="Times New Roman"/>
          <w:color w:val="auto"/>
          <w:highlight w:val="none"/>
        </w:rPr>
      </w:pPr>
      <w:r>
        <w:rPr>
          <w:rFonts w:hint="eastAsia" w:ascii="Times New Roman" w:hAnsi="Times New Roman"/>
          <w:color w:val="auto"/>
          <w:highlight w:val="none"/>
          <w:lang w:val="zh-CN"/>
        </w:rPr>
        <w:t>（七）</w:t>
      </w:r>
      <w:r>
        <w:rPr>
          <w:rFonts w:hint="eastAsia" w:cs="Times New Roman"/>
          <w:color w:val="auto"/>
          <w:highlight w:val="none"/>
        </w:rPr>
        <w:t>ISO相关认证材料</w:t>
      </w:r>
    </w:p>
    <w:p w14:paraId="5AE9AD93">
      <w:pPr>
        <w:ind w:firstLine="480"/>
        <w:outlineLvl w:val="2"/>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八</w:t>
      </w:r>
      <w:r>
        <w:rPr>
          <w:rFonts w:hint="eastAsia" w:cs="Times New Roman"/>
          <w:color w:val="auto"/>
          <w:highlight w:val="none"/>
          <w:lang w:eastAsia="zh-CN"/>
        </w:rPr>
        <w:t>）</w:t>
      </w:r>
      <w:r>
        <w:rPr>
          <w:rFonts w:hint="eastAsia" w:cs="Times New Roman"/>
          <w:color w:val="auto"/>
          <w:highlight w:val="none"/>
        </w:rPr>
        <w:t>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w:t>
      </w:r>
    </w:p>
    <w:p w14:paraId="5CE813C2">
      <w:pPr>
        <w:ind w:firstLine="480"/>
        <w:outlineLvl w:val="2"/>
        <w:rPr>
          <w:rFonts w:hint="eastAsia" w:ascii="Times New Roman" w:hAnsi="Times New Roman"/>
          <w:color w:val="auto"/>
          <w:highlight w:val="none"/>
          <w:lang w:val="zh-CN"/>
        </w:rPr>
      </w:pPr>
      <w:r>
        <w:rPr>
          <w:rFonts w:hint="eastAsia" w:cs="Times New Roman"/>
          <w:color w:val="auto"/>
          <w:highlight w:val="none"/>
          <w:lang w:eastAsia="zh-CN"/>
        </w:rPr>
        <w:t>（</w:t>
      </w:r>
      <w:r>
        <w:rPr>
          <w:rFonts w:hint="eastAsia" w:cs="Times New Roman"/>
          <w:color w:val="auto"/>
          <w:highlight w:val="none"/>
          <w:lang w:val="en-US" w:eastAsia="zh-CN"/>
        </w:rPr>
        <w:t>九</w:t>
      </w:r>
      <w:r>
        <w:rPr>
          <w:rFonts w:hint="eastAsia" w:cs="Times New Roman"/>
          <w:color w:val="auto"/>
          <w:highlight w:val="none"/>
          <w:lang w:eastAsia="zh-CN"/>
        </w:rPr>
        <w:t>）</w:t>
      </w:r>
      <w:r>
        <w:rPr>
          <w:rFonts w:cs="Times New Roman"/>
          <w:color w:val="auto"/>
          <w:highlight w:val="none"/>
        </w:rPr>
        <w:t>国家高新技术企业认证</w:t>
      </w:r>
      <w:r>
        <w:rPr>
          <w:rFonts w:hint="eastAsia" w:cs="Times New Roman"/>
          <w:color w:val="auto"/>
          <w:highlight w:val="none"/>
        </w:rPr>
        <w:t>材料</w:t>
      </w:r>
    </w:p>
    <w:p w14:paraId="3F853746">
      <w:pPr>
        <w:ind w:firstLine="480"/>
        <w:outlineLvl w:val="2"/>
        <w:rPr>
          <w:rFonts w:hint="eastAsia"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145E00AC">
      <w:pPr>
        <w:ind w:firstLine="480"/>
        <w:outlineLvl w:val="1"/>
        <w:rPr>
          <w:rFonts w:hint="default" w:ascii="Times New Roman" w:hAnsi="Times New Roman" w:eastAsia="宋体"/>
          <w:color w:val="auto"/>
          <w:highlight w:val="none"/>
          <w:lang w:val="en-US" w:eastAsia="zh-CN"/>
        </w:rPr>
      </w:pPr>
      <w:r>
        <w:rPr>
          <w:rFonts w:hint="eastAsia" w:ascii="Times New Roman" w:hAnsi="Times New Roman"/>
          <w:color w:val="auto"/>
          <w:highlight w:val="none"/>
        </w:rPr>
        <w:t>四、响应</w:t>
      </w:r>
      <w:r>
        <w:rPr>
          <w:rFonts w:hint="eastAsia"/>
          <w:color w:val="auto"/>
          <w:highlight w:val="none"/>
          <w:lang w:val="en-US" w:eastAsia="zh-CN"/>
        </w:rPr>
        <w:t>性文件</w:t>
      </w:r>
    </w:p>
    <w:p w14:paraId="11F04443">
      <w:pPr>
        <w:ind w:firstLine="480"/>
        <w:outlineLvl w:val="2"/>
        <w:rPr>
          <w:rFonts w:hint="eastAsia" w:ascii="Times New Roman" w:hAnsi="Times New Roman"/>
          <w:color w:val="auto"/>
          <w:highlight w:val="none"/>
        </w:rPr>
      </w:pPr>
      <w:r>
        <w:rPr>
          <w:rFonts w:hint="eastAsia" w:ascii="Times New Roman" w:hAnsi="Times New Roman"/>
          <w:color w:val="auto"/>
          <w:highlight w:val="none"/>
        </w:rPr>
        <w:t>（一）响应承诺函</w:t>
      </w:r>
    </w:p>
    <w:p w14:paraId="31632417">
      <w:pPr>
        <w:outlineLvl w:val="2"/>
        <w:rPr>
          <w:rFonts w:ascii="Times New Roman" w:hAnsi="Times New Roman" w:cs="Times New Roman"/>
          <w:color w:val="auto"/>
          <w:highlight w:val="none"/>
        </w:rPr>
      </w:pPr>
      <w:r>
        <w:rPr>
          <w:rFonts w:ascii="Times New Roman" w:hAnsi="Times New Roman" w:cs="Times New Roman"/>
          <w:color w:val="auto"/>
          <w:highlight w:val="none"/>
        </w:rPr>
        <w:t>（二）近半年公司为项目组成员缴纳社保的证明材料</w:t>
      </w:r>
    </w:p>
    <w:p w14:paraId="2AF8B744">
      <w:pPr>
        <w:outlineLvl w:val="2"/>
        <w:rPr>
          <w:rFonts w:ascii="Times New Roman" w:hAnsi="Times New Roman" w:cs="Times New Roman"/>
          <w:color w:val="auto"/>
          <w:highlight w:val="none"/>
        </w:rPr>
      </w:pPr>
      <w:r>
        <w:rPr>
          <w:rFonts w:ascii="Times New Roman" w:hAnsi="Times New Roman" w:cs="Times New Roman"/>
          <w:color w:val="auto"/>
          <w:highlight w:val="none"/>
        </w:rPr>
        <w:t>（三）项目组成员简历信息</w:t>
      </w:r>
    </w:p>
    <w:p w14:paraId="1C8DB268">
      <w:pPr>
        <w:ind w:firstLine="0"/>
        <w:outlineLvl w:val="2"/>
        <w:rPr>
          <w:rFonts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四</w:t>
      </w:r>
      <w:r>
        <w:rPr>
          <w:rFonts w:hint="default" w:cs="Times New Roman"/>
          <w:color w:val="auto"/>
          <w:highlight w:val="none"/>
          <w:lang w:eastAsia="zh-CN"/>
        </w:rPr>
        <w:t>）</w:t>
      </w:r>
      <w:r>
        <w:rPr>
          <w:rFonts w:hint="default" w:ascii="Times New Roman" w:hAnsi="Times New Roman" w:cs="Times New Roman"/>
          <w:color w:val="auto"/>
          <w:highlight w:val="none"/>
        </w:rPr>
        <w:t>售后服务和培训方案</w:t>
      </w:r>
    </w:p>
    <w:p w14:paraId="206DFD64">
      <w:pPr>
        <w:outlineLvl w:val="2"/>
        <w:rPr>
          <w:rFonts w:hint="default"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五</w:t>
      </w:r>
      <w:r>
        <w:rPr>
          <w:rFonts w:hint="default" w:cs="Times New Roman"/>
          <w:color w:val="auto"/>
          <w:highlight w:val="none"/>
          <w:lang w:eastAsia="zh-CN"/>
        </w:rPr>
        <w:t>）</w:t>
      </w:r>
      <w:r>
        <w:rPr>
          <w:rFonts w:hint="default" w:ascii="Times New Roman" w:hAnsi="Times New Roman" w:cs="Times New Roman"/>
          <w:color w:val="auto"/>
          <w:highlight w:val="none"/>
        </w:rPr>
        <w:t>服务连续性预案</w:t>
      </w:r>
    </w:p>
    <w:p w14:paraId="7C873D63">
      <w:pPr>
        <w:outlineLvl w:val="2"/>
        <w:rPr>
          <w:rFonts w:hint="default" w:eastAsia="宋体" w:cs="Times New Roman"/>
          <w:color w:val="auto"/>
          <w:highlight w:val="none"/>
          <w:lang w:eastAsia="zh-CN"/>
        </w:rPr>
      </w:pPr>
      <w:r>
        <w:rPr>
          <w:rFonts w:hint="default" w:cs="Times New Roman"/>
          <w:color w:val="auto"/>
          <w:highlight w:val="none"/>
          <w:lang w:eastAsia="zh-CN"/>
        </w:rPr>
        <w:t>（</w:t>
      </w:r>
      <w:r>
        <w:rPr>
          <w:rFonts w:hint="eastAsia" w:cs="Times New Roman"/>
          <w:color w:val="auto"/>
          <w:highlight w:val="none"/>
          <w:lang w:val="en-US" w:eastAsia="zh-CN"/>
        </w:rPr>
        <w:t>六</w:t>
      </w:r>
      <w:r>
        <w:rPr>
          <w:rFonts w:hint="default" w:cs="Times New Roman"/>
          <w:color w:val="auto"/>
          <w:highlight w:val="none"/>
          <w:lang w:eastAsia="zh-CN"/>
        </w:rPr>
        <w:t>）</w:t>
      </w:r>
      <w:r>
        <w:rPr>
          <w:rFonts w:hint="default" w:ascii="Times New Roman" w:hAnsi="Times New Roman" w:cs="Times New Roman"/>
          <w:color w:val="auto"/>
          <w:highlight w:val="none"/>
        </w:rPr>
        <w:t>项目实施方案</w:t>
      </w:r>
    </w:p>
    <w:p w14:paraId="3E615BF1">
      <w:pPr>
        <w:ind w:firstLine="480"/>
        <w:outlineLvl w:val="1"/>
        <w:rPr>
          <w:rFonts w:ascii="Times New Roman" w:hAnsi="Times New Roman"/>
          <w:color w:val="auto"/>
          <w:highlight w:val="none"/>
        </w:rPr>
      </w:pPr>
      <w:r>
        <w:rPr>
          <w:rFonts w:hint="eastAsia" w:ascii="Times New Roman" w:hAnsi="Times New Roman"/>
          <w:color w:val="auto"/>
          <w:highlight w:val="none"/>
        </w:rPr>
        <w:t>五、参选保证金</w:t>
      </w:r>
    </w:p>
    <w:p w14:paraId="5CED19E9">
      <w:pPr>
        <w:ind w:firstLine="480"/>
        <w:outlineLvl w:val="1"/>
        <w:rPr>
          <w:rFonts w:ascii="Times New Roman" w:hAnsi="Times New Roman"/>
          <w:color w:val="auto"/>
          <w:highlight w:val="none"/>
        </w:rPr>
      </w:pPr>
      <w:r>
        <w:rPr>
          <w:rFonts w:hint="eastAsia" w:ascii="Times New Roman" w:hAnsi="Times New Roman"/>
          <w:color w:val="auto"/>
          <w:highlight w:val="none"/>
        </w:rPr>
        <w:t>六、服务水平协议（SLA）</w:t>
      </w:r>
    </w:p>
    <w:p w14:paraId="2638820F">
      <w:pPr>
        <w:ind w:firstLine="480"/>
        <w:outlineLvl w:val="1"/>
        <w:rPr>
          <w:rFonts w:ascii="Times New Roman" w:hAnsi="Times New Roman"/>
          <w:color w:val="auto"/>
          <w:highlight w:val="none"/>
        </w:rPr>
      </w:pPr>
      <w:r>
        <w:rPr>
          <w:rFonts w:hint="eastAsia"/>
          <w:color w:val="auto"/>
          <w:highlight w:val="none"/>
          <w:lang w:val="en-US" w:eastAsia="zh-CN"/>
        </w:rPr>
        <w:t>七</w:t>
      </w:r>
      <w:r>
        <w:rPr>
          <w:rFonts w:hint="eastAsia" w:ascii="Times New Roman" w:hAnsi="Times New Roman"/>
          <w:color w:val="auto"/>
          <w:highlight w:val="none"/>
        </w:rPr>
        <w:t>、其他（如有）</w:t>
      </w:r>
    </w:p>
    <w:p w14:paraId="68DA1B6A">
      <w:pPr>
        <w:spacing w:line="360" w:lineRule="auto"/>
        <w:ind w:firstLine="0" w:firstLineChars="0"/>
        <w:jc w:val="center"/>
        <w:outlineLvl w:val="1"/>
        <w:rPr>
          <w:rStyle w:val="33"/>
          <w:rFonts w:ascii="Times New Roman" w:hAnsi="Times New Roman"/>
          <w:color w:val="auto"/>
          <w:highlight w:val="none"/>
        </w:rPr>
      </w:pPr>
      <w:r>
        <w:rPr>
          <w:rFonts w:hint="eastAsia" w:ascii="Times New Roman" w:hAnsi="Times New Roman" w:cs="宋体"/>
          <w:color w:val="auto"/>
          <w:highlight w:val="none"/>
        </w:rPr>
        <w:br w:type="page"/>
      </w:r>
      <w:r>
        <w:rPr>
          <w:rStyle w:val="33"/>
          <w:rFonts w:hint="eastAsia" w:ascii="Times New Roman" w:hAnsi="Times New Roman"/>
          <w:color w:val="auto"/>
          <w:highlight w:val="none"/>
        </w:rPr>
        <w:t>一、参选函</w:t>
      </w:r>
    </w:p>
    <w:p w14:paraId="0DA16193">
      <w:pPr>
        <w:tabs>
          <w:tab w:val="left" w:pos="6300"/>
        </w:tabs>
        <w:snapToGrid w:val="0"/>
        <w:spacing w:line="360" w:lineRule="auto"/>
        <w:ind w:right="-29" w:rightChars="-14" w:firstLine="480"/>
        <w:rPr>
          <w:rFonts w:ascii="Times New Roman" w:hAnsi="Times New Roman"/>
          <w:snapToGrid w:val="0"/>
          <w:color w:val="auto"/>
          <w:kern w:val="0"/>
          <w:szCs w:val="24"/>
          <w:highlight w:val="none"/>
          <w:u w:val="single"/>
        </w:rPr>
      </w:pPr>
    </w:p>
    <w:p w14:paraId="1F6489AA">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7AA26F31">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40C5F368">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7506CA33">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2C4A568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39ADB4B5">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6E3C1508">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6169C35A">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275C47EB">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hint="eastAsia"/>
          <w:snapToGrid w:val="0"/>
          <w:color w:val="auto"/>
          <w:kern w:val="0"/>
          <w:szCs w:val="24"/>
          <w:highlight w:val="none"/>
          <w:u w:val="single"/>
          <w:lang w:val="en-US" w:eastAsia="zh-CN"/>
        </w:rPr>
        <w:t xml:space="preserve"> 6 </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的增值税专用发票。</w:t>
      </w:r>
    </w:p>
    <w:p w14:paraId="2974D219">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p>
    <w:p w14:paraId="7C66992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07BAEF6">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079D51F">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035897DF">
      <w:pPr>
        <w:tabs>
          <w:tab w:val="left" w:pos="6300"/>
        </w:tabs>
        <w:snapToGrid w:val="0"/>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0E18B3B">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15DB4C08">
      <w:pPr>
        <w:tabs>
          <w:tab w:val="left" w:pos="6300"/>
        </w:tabs>
        <w:snapToGrid w:val="0"/>
        <w:spacing w:line="360" w:lineRule="auto"/>
        <w:ind w:right="-29" w:rightChars="-14" w:firstLine="4725" w:firstLineChars="2250"/>
        <w:rPr>
          <w:rFonts w:hint="eastAsia" w:ascii="Times New Roman" w:hAnsi="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napToGrid w:val="0"/>
          <w:color w:val="auto"/>
          <w:kern w:val="0"/>
          <w:szCs w:val="24"/>
          <w:highlight w:val="none"/>
        </w:rPr>
        <w:t>年     月     日</w:t>
      </w:r>
    </w:p>
    <w:p w14:paraId="09779F48">
      <w:pPr>
        <w:snapToGrid w:val="0"/>
        <w:spacing w:line="360" w:lineRule="auto"/>
        <w:ind w:left="0" w:leftChars="0" w:firstLine="0" w:firstLineChars="0"/>
        <w:rPr>
          <w:rFonts w:ascii="Times New Roman" w:hAnsi="Times New Roman"/>
          <w:snapToGrid w:val="0"/>
          <w:color w:val="auto"/>
          <w:kern w:val="0"/>
          <w:szCs w:val="24"/>
          <w:highlight w:val="none"/>
        </w:rPr>
      </w:pPr>
    </w:p>
    <w:p w14:paraId="0B5916D0">
      <w:pPr>
        <w:pStyle w:val="34"/>
        <w:outlineLvl w:val="1"/>
        <w:rPr>
          <w:rFonts w:ascii="Times New Roman" w:hAnsi="Times New Roman"/>
          <w:color w:val="auto"/>
          <w:highlight w:val="none"/>
        </w:rPr>
      </w:pPr>
      <w:bookmarkStart w:id="312" w:name="_Toc21257"/>
      <w:bookmarkStart w:id="313" w:name="_Toc20251"/>
      <w:r>
        <w:rPr>
          <w:rFonts w:ascii="Times New Roman" w:hAnsi="Times New Roman"/>
          <w:bCs w:val="0"/>
          <w:snapToGrid/>
          <w:color w:val="auto"/>
          <w:sz w:val="28"/>
          <w:szCs w:val="28"/>
          <w:highlight w:val="none"/>
        </w:rPr>
        <w:t>二、报价一览表</w:t>
      </w:r>
      <w:bookmarkEnd w:id="312"/>
      <w:bookmarkEnd w:id="313"/>
    </w:p>
    <w:p w14:paraId="01BB64C8">
      <w:pPr>
        <w:tabs>
          <w:tab w:val="left" w:pos="6300"/>
        </w:tabs>
        <w:snapToGrid w:val="0"/>
        <w:spacing w:line="360" w:lineRule="auto"/>
        <w:jc w:val="center"/>
        <w:rPr>
          <w:rFonts w:ascii="Times New Roman" w:hAnsi="Times New Roman" w:cs="Times New Roman"/>
          <w:b/>
          <w:snapToGrid w:val="0"/>
          <w:color w:val="auto"/>
          <w:kern w:val="0"/>
          <w:sz w:val="36"/>
          <w:szCs w:val="28"/>
          <w:highlight w:val="none"/>
        </w:rPr>
      </w:pPr>
    </w:p>
    <w:tbl>
      <w:tblPr>
        <w:tblStyle w:val="21"/>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5A4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B388990">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19C7236">
            <w:pPr>
              <w:spacing w:line="360" w:lineRule="auto"/>
              <w:jc w:val="center"/>
              <w:rPr>
                <w:rFonts w:ascii="Times New Roman" w:hAnsi="Times New Roman" w:cs="Times New Roman"/>
                <w:color w:val="auto"/>
                <w:szCs w:val="24"/>
                <w:highlight w:val="none"/>
              </w:rPr>
            </w:pPr>
          </w:p>
        </w:tc>
      </w:tr>
      <w:tr w14:paraId="287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E8CC771">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777E99A">
            <w:pPr>
              <w:spacing w:line="360" w:lineRule="auto"/>
              <w:jc w:val="center"/>
              <w:rPr>
                <w:rFonts w:ascii="Times New Roman" w:hAnsi="Times New Roman" w:cs="Times New Roman"/>
                <w:snapToGrid w:val="0"/>
                <w:color w:val="auto"/>
                <w:szCs w:val="24"/>
                <w:highlight w:val="none"/>
              </w:rPr>
            </w:pPr>
          </w:p>
        </w:tc>
      </w:tr>
      <w:tr w14:paraId="77A5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247258A">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2CDBA18">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7793A43D">
            <w:pPr>
              <w:spacing w:line="360" w:lineRule="auto"/>
              <w:jc w:val="both"/>
              <w:rPr>
                <w:rFonts w:ascii="Times New Roman" w:hAnsi="Times New Roman" w:cs="Times New Roman"/>
                <w:snapToGrid w:val="0"/>
                <w:color w:val="auto"/>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6AAD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4C80E28">
            <w:pPr>
              <w:spacing w:line="360" w:lineRule="auto"/>
              <w:jc w:val="center"/>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w:t>
            </w:r>
            <w:r>
              <w:rPr>
                <w:rFonts w:hint="eastAsia" w:ascii="Times New Roman" w:hAnsi="Times New Roman" w:cs="Times New Roman"/>
                <w:color w:val="auto"/>
                <w:szCs w:val="24"/>
                <w:highlight w:val="none"/>
              </w:rPr>
              <w:t>不</w:t>
            </w:r>
            <w:r>
              <w:rPr>
                <w:rFonts w:ascii="Times New Roman" w:hAnsi="Times New Roman" w:cs="Times New Roman"/>
                <w:color w:val="auto"/>
                <w:szCs w:val="24"/>
                <w:highlight w:val="none"/>
              </w:rP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8D96F98">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15DA12BA">
            <w:pPr>
              <w:spacing w:line="360" w:lineRule="auto"/>
              <w:jc w:val="both"/>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6EB6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A31AFAD">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产品报价</w:t>
            </w:r>
            <w:r>
              <w:rPr>
                <w:rFonts w:hint="eastAsia" w:ascii="Times New Roman" w:hAnsi="Times New Roman" w:cs="Times New Roman"/>
                <w:color w:val="auto"/>
                <w:szCs w:val="24"/>
                <w:highlight w:val="none"/>
              </w:rPr>
              <w:t>小写</w:t>
            </w:r>
          </w:p>
          <w:p w14:paraId="6D2BCF91">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w:t>
            </w: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13%</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24E97CD">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49B2B4CC">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25DA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9D15956">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定制开发报价</w:t>
            </w:r>
            <w:r>
              <w:rPr>
                <w:rFonts w:hint="eastAsia" w:ascii="Times New Roman" w:hAnsi="Times New Roman" w:cs="Times New Roman"/>
                <w:color w:val="auto"/>
                <w:szCs w:val="24"/>
                <w:highlight w:val="none"/>
              </w:rPr>
              <w:t>小写</w:t>
            </w:r>
          </w:p>
          <w:p w14:paraId="1F710574">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税率：6%</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5404DE39">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4268E8EC">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05D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F8D14E4">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9F3732B">
            <w:pPr>
              <w:spacing w:line="360" w:lineRule="auto"/>
              <w:jc w:val="center"/>
              <w:rPr>
                <w:rFonts w:ascii="Times New Roman" w:hAnsi="Times New Roman" w:cs="Times New Roman"/>
                <w:color w:val="auto"/>
                <w:szCs w:val="24"/>
                <w:highlight w:val="none"/>
              </w:rPr>
            </w:pPr>
          </w:p>
        </w:tc>
      </w:tr>
      <w:tr w14:paraId="2B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ECC5BA3">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5E0A7D4B">
            <w:pPr>
              <w:spacing w:line="360" w:lineRule="auto"/>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增值税专用发票</w:t>
            </w:r>
          </w:p>
        </w:tc>
      </w:tr>
      <w:tr w14:paraId="2E08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782645AC">
            <w:pPr>
              <w:pStyle w:val="13"/>
              <w:spacing w:line="360" w:lineRule="auto"/>
              <w:rPr>
                <w:rFonts w:ascii="Times New Roman" w:hAnsi="Times New Roman" w:cs="Times New Roman"/>
                <w:snapToGrid w:val="0"/>
                <w:color w:val="auto"/>
                <w:szCs w:val="24"/>
                <w:highlight w:val="none"/>
              </w:rPr>
            </w:pPr>
          </w:p>
          <w:p w14:paraId="4ADD6A81">
            <w:pPr>
              <w:pStyle w:val="13"/>
              <w:spacing w:line="360" w:lineRule="auto"/>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备注：</w:t>
            </w:r>
          </w:p>
        </w:tc>
      </w:tr>
    </w:tbl>
    <w:p w14:paraId="07335AF2">
      <w:pPr>
        <w:spacing w:line="360" w:lineRule="auto"/>
        <w:ind w:right="-29" w:rightChars="-14" w:firstLine="0" w:firstLineChars="0"/>
        <w:rPr>
          <w:rFonts w:ascii="Times New Roman" w:hAnsi="Times New Roman" w:cs="Times New Roman"/>
          <w:color w:val="auto"/>
          <w:szCs w:val="28"/>
          <w:highlight w:val="none"/>
        </w:rPr>
      </w:pPr>
      <w:bookmarkStart w:id="314" w:name="_Hlk59456849"/>
      <w:r>
        <w:rPr>
          <w:rFonts w:ascii="Times New Roman" w:hAnsi="Times New Roman" w:cs="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314"/>
    <w:p w14:paraId="2EE55718">
      <w:pPr>
        <w:spacing w:line="360" w:lineRule="auto"/>
        <w:ind w:right="-29" w:rightChars="-14"/>
        <w:rPr>
          <w:rFonts w:ascii="Times New Roman" w:hAnsi="Times New Roman" w:cs="Times New Roman"/>
          <w:color w:val="auto"/>
          <w:szCs w:val="28"/>
          <w:highlight w:val="none"/>
        </w:rPr>
      </w:pPr>
    </w:p>
    <w:p w14:paraId="335A377B">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                                    法人授权代表：</w:t>
      </w:r>
    </w:p>
    <w:p w14:paraId="10A9F760">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（公章）                                    （签</w:t>
      </w:r>
      <w:r>
        <w:rPr>
          <w:rFonts w:hint="eastAsia" w:ascii="Times New Roman" w:hAnsi="Times New Roman" w:cs="Times New Roman"/>
          <w:snapToGrid w:val="0"/>
          <w:color w:val="auto"/>
          <w:kern w:val="0"/>
          <w:szCs w:val="24"/>
          <w:highlight w:val="none"/>
          <w:lang w:val="en-US" w:eastAsia="zh-CN"/>
        </w:rPr>
        <w:t>字或盖</w:t>
      </w:r>
      <w:r>
        <w:rPr>
          <w:rFonts w:ascii="Times New Roman" w:hAnsi="Times New Roman" w:cs="Times New Roman"/>
          <w:snapToGrid w:val="0"/>
          <w:color w:val="auto"/>
          <w:kern w:val="0"/>
          <w:szCs w:val="24"/>
          <w:highlight w:val="none"/>
        </w:rPr>
        <w:t>章）</w:t>
      </w:r>
    </w:p>
    <w:p w14:paraId="07ED29A7">
      <w:pPr>
        <w:spacing w:line="360" w:lineRule="auto"/>
        <w:ind w:right="-29" w:rightChars="-14"/>
        <w:jc w:val="center"/>
        <w:outlineLvl w:val="9"/>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                                       年  月   日</w:t>
      </w:r>
    </w:p>
    <w:p w14:paraId="58A58228">
      <w:pPr>
        <w:snapToGrid w:val="0"/>
        <w:spacing w:line="360" w:lineRule="auto"/>
        <w:ind w:firstLine="0" w:firstLineChars="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有关说明：</w:t>
      </w:r>
    </w:p>
    <w:p w14:paraId="29DFEA0D">
      <w:pPr>
        <w:snapToGrid w:val="0"/>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报价一览表在开标大会上当众宣读，务必填写清楚，准确无误。表格可扩展。本次报价包含上述维护期，比选人不再另行支付该维护期内维护费用。</w:t>
      </w:r>
    </w:p>
    <w:p w14:paraId="329D420D">
      <w:pPr>
        <w:rPr>
          <w:rFonts w:ascii="Times New Roman" w:hAnsi="Times New Roman"/>
          <w:color w:val="auto"/>
          <w:highlight w:val="none"/>
        </w:rPr>
      </w:pPr>
      <w:r>
        <w:rPr>
          <w:rFonts w:ascii="Times New Roman" w:hAnsi="Times New Roman"/>
          <w:color w:val="auto"/>
          <w:highlight w:val="none"/>
        </w:rPr>
        <w:br w:type="page"/>
      </w:r>
    </w:p>
    <w:p w14:paraId="326DEECA">
      <w:pPr>
        <w:pStyle w:val="34"/>
        <w:outlineLvl w:val="1"/>
        <w:rPr>
          <w:rFonts w:hint="default" w:ascii="Times New Roman" w:hAnsi="Times New Roman"/>
          <w:color w:val="auto"/>
          <w:highlight w:val="none"/>
        </w:rPr>
      </w:pPr>
      <w:r>
        <w:rPr>
          <w:rFonts w:ascii="Times New Roman" w:hAnsi="Times New Roman"/>
          <w:color w:val="auto"/>
          <w:highlight w:val="none"/>
        </w:rPr>
        <w:t>三、资格性文件</w:t>
      </w:r>
    </w:p>
    <w:p w14:paraId="25EC0CC2">
      <w:pPr>
        <w:pStyle w:val="35"/>
        <w:outlineLvl w:val="2"/>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C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3D2E8F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75947966">
            <w:pPr>
              <w:spacing w:line="360" w:lineRule="auto"/>
              <w:ind w:firstLine="0" w:firstLineChars="0"/>
              <w:jc w:val="center"/>
              <w:rPr>
                <w:rFonts w:ascii="Times New Roman" w:hAnsi="Times New Roman"/>
                <w:color w:val="auto"/>
                <w:sz w:val="22"/>
                <w:szCs w:val="24"/>
                <w:highlight w:val="none"/>
              </w:rPr>
            </w:pPr>
          </w:p>
        </w:tc>
      </w:tr>
      <w:tr w14:paraId="1D6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C7F988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05BE6D5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FD7F3C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658F4806">
            <w:pPr>
              <w:spacing w:line="360" w:lineRule="auto"/>
              <w:ind w:firstLine="0" w:firstLineChars="0"/>
              <w:jc w:val="center"/>
              <w:rPr>
                <w:rFonts w:ascii="Times New Roman" w:hAnsi="Times New Roman"/>
                <w:color w:val="auto"/>
                <w:sz w:val="22"/>
                <w:szCs w:val="24"/>
                <w:highlight w:val="none"/>
              </w:rPr>
            </w:pPr>
          </w:p>
        </w:tc>
      </w:tr>
      <w:tr w14:paraId="5DB5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9D9F72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967E18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5A5F43A">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8EA1FE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C0F7D72">
            <w:pPr>
              <w:spacing w:line="360" w:lineRule="auto"/>
              <w:ind w:firstLine="0" w:firstLineChars="0"/>
              <w:jc w:val="center"/>
              <w:rPr>
                <w:rFonts w:ascii="Times New Roman" w:hAnsi="Times New Roman"/>
                <w:color w:val="auto"/>
                <w:sz w:val="22"/>
                <w:szCs w:val="24"/>
                <w:highlight w:val="none"/>
              </w:rPr>
            </w:pPr>
          </w:p>
        </w:tc>
      </w:tr>
      <w:tr w14:paraId="3015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F23612B">
            <w:pPr>
              <w:spacing w:line="360" w:lineRule="auto"/>
              <w:ind w:firstLine="0" w:firstLineChars="0"/>
              <w:rPr>
                <w:rFonts w:ascii="Times New Roman" w:hAnsi="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60F496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A027DBD">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D02DEB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5CC3F1F0">
            <w:pPr>
              <w:spacing w:line="360" w:lineRule="auto"/>
              <w:ind w:firstLine="0" w:firstLineChars="0"/>
              <w:jc w:val="center"/>
              <w:rPr>
                <w:rFonts w:ascii="Times New Roman" w:hAnsi="Times New Roman"/>
                <w:color w:val="auto"/>
                <w:sz w:val="22"/>
                <w:szCs w:val="24"/>
                <w:highlight w:val="none"/>
              </w:rPr>
            </w:pPr>
          </w:p>
        </w:tc>
      </w:tr>
      <w:tr w14:paraId="593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01DD9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1CED5CB0">
            <w:pPr>
              <w:spacing w:line="360" w:lineRule="auto"/>
              <w:ind w:firstLine="0" w:firstLineChars="0"/>
              <w:jc w:val="center"/>
              <w:rPr>
                <w:rFonts w:ascii="Times New Roman" w:hAnsi="Times New Roman"/>
                <w:color w:val="auto"/>
                <w:sz w:val="22"/>
                <w:szCs w:val="24"/>
                <w:highlight w:val="none"/>
              </w:rPr>
            </w:pPr>
          </w:p>
        </w:tc>
      </w:tr>
      <w:tr w14:paraId="6F99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136D5E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55DAFA3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D46960C">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95E0DD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5D09C2C">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6352DD4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6AB1334">
            <w:pPr>
              <w:spacing w:line="360" w:lineRule="auto"/>
              <w:ind w:firstLine="0" w:firstLineChars="0"/>
              <w:jc w:val="center"/>
              <w:rPr>
                <w:rFonts w:ascii="Times New Roman" w:hAnsi="Times New Roman"/>
                <w:color w:val="auto"/>
                <w:sz w:val="22"/>
                <w:szCs w:val="24"/>
                <w:highlight w:val="none"/>
              </w:rPr>
            </w:pPr>
          </w:p>
        </w:tc>
      </w:tr>
      <w:tr w14:paraId="58B2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77CB82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181940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073FC17">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E47E9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DED8A7B">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5784B2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1A346BB7">
            <w:pPr>
              <w:spacing w:line="360" w:lineRule="auto"/>
              <w:ind w:firstLine="0" w:firstLineChars="0"/>
              <w:jc w:val="center"/>
              <w:rPr>
                <w:rFonts w:ascii="Times New Roman" w:hAnsi="Times New Roman"/>
                <w:color w:val="auto"/>
                <w:sz w:val="22"/>
                <w:szCs w:val="24"/>
                <w:highlight w:val="none"/>
              </w:rPr>
            </w:pPr>
          </w:p>
        </w:tc>
      </w:tr>
      <w:tr w14:paraId="0A2C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0E9C8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4F38BB95">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7C2D7B5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6E7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2F5CF0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5D2870B">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BC84E6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1A8EF7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32FF46C2">
            <w:pPr>
              <w:spacing w:line="360" w:lineRule="auto"/>
              <w:ind w:firstLine="0" w:firstLineChars="0"/>
              <w:jc w:val="center"/>
              <w:rPr>
                <w:rFonts w:ascii="Times New Roman" w:hAnsi="Times New Roman"/>
                <w:color w:val="auto"/>
                <w:sz w:val="22"/>
                <w:szCs w:val="24"/>
                <w:highlight w:val="none"/>
              </w:rPr>
            </w:pPr>
          </w:p>
        </w:tc>
      </w:tr>
      <w:tr w14:paraId="4ED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A04D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09B01191">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D4AB6A2">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D0F19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4370EF10">
            <w:pPr>
              <w:spacing w:line="360" w:lineRule="auto"/>
              <w:ind w:firstLine="0" w:firstLineChars="0"/>
              <w:jc w:val="center"/>
              <w:rPr>
                <w:rFonts w:ascii="Times New Roman" w:hAnsi="Times New Roman"/>
                <w:color w:val="auto"/>
                <w:sz w:val="22"/>
                <w:szCs w:val="24"/>
                <w:highlight w:val="none"/>
              </w:rPr>
            </w:pPr>
          </w:p>
        </w:tc>
      </w:tr>
      <w:tr w14:paraId="79A5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F7851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B6DF51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5C9433B">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1DADB0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30198FB7">
            <w:pPr>
              <w:spacing w:line="360" w:lineRule="auto"/>
              <w:ind w:firstLine="0" w:firstLineChars="0"/>
              <w:jc w:val="center"/>
              <w:rPr>
                <w:rFonts w:ascii="Times New Roman" w:hAnsi="Times New Roman"/>
                <w:color w:val="auto"/>
                <w:sz w:val="22"/>
                <w:szCs w:val="24"/>
                <w:highlight w:val="none"/>
              </w:rPr>
            </w:pPr>
          </w:p>
        </w:tc>
      </w:tr>
      <w:tr w14:paraId="71BE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1F9D5C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9076D5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176DFC2">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78224B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1F8A4CDE">
            <w:pPr>
              <w:spacing w:line="360" w:lineRule="auto"/>
              <w:ind w:firstLine="0" w:firstLineChars="0"/>
              <w:jc w:val="center"/>
              <w:rPr>
                <w:rFonts w:ascii="Times New Roman" w:hAnsi="Times New Roman"/>
                <w:color w:val="auto"/>
                <w:sz w:val="22"/>
                <w:szCs w:val="24"/>
                <w:highlight w:val="none"/>
              </w:rPr>
            </w:pPr>
          </w:p>
        </w:tc>
      </w:tr>
      <w:tr w14:paraId="54FD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487F3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459748B">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E619116">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623DC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03ECE924">
            <w:pPr>
              <w:spacing w:line="360" w:lineRule="auto"/>
              <w:ind w:firstLine="0" w:firstLineChars="0"/>
              <w:jc w:val="center"/>
              <w:rPr>
                <w:rFonts w:ascii="Times New Roman" w:hAnsi="Times New Roman"/>
                <w:color w:val="auto"/>
                <w:sz w:val="22"/>
                <w:szCs w:val="24"/>
                <w:highlight w:val="none"/>
              </w:rPr>
            </w:pPr>
          </w:p>
        </w:tc>
      </w:tr>
      <w:tr w14:paraId="0935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0C60B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7BEFB6C">
            <w:pPr>
              <w:spacing w:line="360" w:lineRule="auto"/>
              <w:ind w:firstLine="0" w:firstLineChars="0"/>
              <w:jc w:val="center"/>
              <w:rPr>
                <w:rFonts w:ascii="Times New Roman" w:hAnsi="Times New Roman"/>
                <w:color w:val="auto"/>
                <w:sz w:val="22"/>
                <w:szCs w:val="24"/>
                <w:highlight w:val="none"/>
              </w:rPr>
            </w:pPr>
          </w:p>
        </w:tc>
      </w:tr>
      <w:tr w14:paraId="4F30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0C2363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8C4E366">
            <w:pPr>
              <w:spacing w:line="360" w:lineRule="auto"/>
              <w:ind w:firstLine="0" w:firstLineChars="0"/>
              <w:jc w:val="center"/>
              <w:rPr>
                <w:rFonts w:ascii="Times New Roman" w:hAnsi="Times New Roman"/>
                <w:color w:val="auto"/>
                <w:sz w:val="22"/>
                <w:szCs w:val="24"/>
                <w:highlight w:val="none"/>
              </w:rPr>
            </w:pPr>
          </w:p>
        </w:tc>
      </w:tr>
    </w:tbl>
    <w:p w14:paraId="6312F016">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6C3BB3A4">
      <w:pPr>
        <w:pStyle w:val="35"/>
        <w:outlineLvl w:val="2"/>
        <w:rPr>
          <w:rFonts w:ascii="Times New Roman" w:hAnsi="Times New Roman"/>
          <w:color w:val="auto"/>
          <w:highlight w:val="none"/>
        </w:rPr>
      </w:pPr>
      <w:bookmarkStart w:id="315" w:name="_Toc478054435"/>
      <w:bookmarkStart w:id="316" w:name="_Toc472780356"/>
      <w:bookmarkStart w:id="317" w:name="_Toc378234584"/>
      <w:bookmarkStart w:id="318" w:name="_Toc378234770"/>
      <w:bookmarkStart w:id="319" w:name="_Toc478053903"/>
      <w:r>
        <w:rPr>
          <w:rFonts w:ascii="Times New Roman" w:hAnsi="Times New Roman"/>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rFonts w:ascii="Times New Roman" w:hAnsi="Times New Roman"/>
          <w:color w:val="auto"/>
          <w:highlight w:val="none"/>
        </w:rPr>
        <w:t>身份证明及授权委托书</w:t>
      </w:r>
      <w:bookmarkEnd w:id="315"/>
      <w:bookmarkEnd w:id="316"/>
      <w:bookmarkEnd w:id="317"/>
      <w:bookmarkEnd w:id="318"/>
      <w:bookmarkEnd w:id="319"/>
    </w:p>
    <w:p w14:paraId="66D9DBE8">
      <w:pPr>
        <w:pStyle w:val="36"/>
        <w:outlineLvl w:val="9"/>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24C57CB3">
      <w:pPr>
        <w:tabs>
          <w:tab w:val="left" w:pos="6300"/>
        </w:tabs>
        <w:snapToGrid w:val="0"/>
        <w:spacing w:line="360" w:lineRule="auto"/>
        <w:ind w:firstLine="480"/>
        <w:rPr>
          <w:rFonts w:ascii="Times New Roman" w:hAnsi="Times New Roman"/>
          <w:snapToGrid w:val="0"/>
          <w:color w:val="auto"/>
          <w:kern w:val="0"/>
          <w:highlight w:val="none"/>
        </w:rPr>
      </w:pPr>
    </w:p>
    <w:p w14:paraId="6388AA3A">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0D88B45">
      <w:pPr>
        <w:tabs>
          <w:tab w:val="left" w:pos="6300"/>
        </w:tabs>
        <w:snapToGrid w:val="0"/>
        <w:spacing w:line="360" w:lineRule="auto"/>
        <w:ind w:firstLine="480"/>
        <w:rPr>
          <w:rFonts w:ascii="Times New Roman" w:hAnsi="Times New Roman"/>
          <w:snapToGrid w:val="0"/>
          <w:color w:val="auto"/>
          <w:kern w:val="0"/>
          <w:highlight w:val="none"/>
        </w:rPr>
      </w:pPr>
    </w:p>
    <w:p w14:paraId="5135175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ADEB20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w:t>
      </w:r>
    </w:p>
    <w:p w14:paraId="1BCAE02B">
      <w:pPr>
        <w:tabs>
          <w:tab w:val="left" w:pos="6300"/>
        </w:tabs>
        <w:snapToGrid w:val="0"/>
        <w:spacing w:line="360" w:lineRule="auto"/>
        <w:ind w:firstLine="480"/>
        <w:rPr>
          <w:rFonts w:ascii="Times New Roman" w:hAnsi="Times New Roman"/>
          <w:snapToGrid w:val="0"/>
          <w:color w:val="auto"/>
          <w:kern w:val="0"/>
          <w:highlight w:val="none"/>
        </w:rPr>
      </w:pPr>
    </w:p>
    <w:p w14:paraId="1504729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ED23B01">
      <w:pPr>
        <w:tabs>
          <w:tab w:val="left" w:pos="6300"/>
        </w:tabs>
        <w:snapToGrid w:val="0"/>
        <w:spacing w:line="360" w:lineRule="auto"/>
        <w:ind w:firstLine="480"/>
        <w:rPr>
          <w:rFonts w:ascii="Times New Roman" w:hAnsi="Times New Roman"/>
          <w:snapToGrid w:val="0"/>
          <w:color w:val="auto"/>
          <w:kern w:val="0"/>
          <w:highlight w:val="none"/>
        </w:rPr>
      </w:pPr>
    </w:p>
    <w:p w14:paraId="1DDD8B7C">
      <w:pPr>
        <w:tabs>
          <w:tab w:val="left" w:pos="6300"/>
        </w:tabs>
        <w:snapToGrid w:val="0"/>
        <w:spacing w:line="360" w:lineRule="auto"/>
        <w:ind w:firstLine="480"/>
        <w:rPr>
          <w:rFonts w:ascii="Times New Roman" w:hAnsi="Times New Roman"/>
          <w:snapToGrid w:val="0"/>
          <w:color w:val="auto"/>
          <w:kern w:val="0"/>
          <w:highlight w:val="none"/>
        </w:rPr>
      </w:pPr>
    </w:p>
    <w:p w14:paraId="6868BBCD">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628BC4B4">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B421717">
      <w:pPr>
        <w:tabs>
          <w:tab w:val="left" w:pos="6300"/>
        </w:tabs>
        <w:snapToGrid w:val="0"/>
        <w:spacing w:line="360" w:lineRule="auto"/>
        <w:ind w:firstLine="480"/>
        <w:rPr>
          <w:rFonts w:ascii="Times New Roman" w:hAnsi="Times New Roman"/>
          <w:snapToGrid w:val="0"/>
          <w:color w:val="auto"/>
          <w:kern w:val="0"/>
          <w:highlight w:val="none"/>
        </w:rPr>
      </w:pPr>
    </w:p>
    <w:p w14:paraId="2E49600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21E385C4">
      <w:pPr>
        <w:tabs>
          <w:tab w:val="left" w:pos="6300"/>
        </w:tabs>
        <w:snapToGrid w:val="0"/>
        <w:spacing w:line="360" w:lineRule="auto"/>
        <w:ind w:firstLine="480"/>
        <w:rPr>
          <w:rFonts w:ascii="Times New Roman" w:hAnsi="Times New Roman"/>
          <w:snapToGrid w:val="0"/>
          <w:color w:val="auto"/>
          <w:kern w:val="0"/>
          <w:highlight w:val="none"/>
        </w:rPr>
      </w:pPr>
    </w:p>
    <w:p w14:paraId="29BDB63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身份证正反面复印件）</w:t>
      </w:r>
    </w:p>
    <w:p w14:paraId="662F7F82">
      <w:pPr>
        <w:tabs>
          <w:tab w:val="left" w:pos="6300"/>
        </w:tabs>
        <w:snapToGrid w:val="0"/>
        <w:spacing w:line="360" w:lineRule="auto"/>
        <w:ind w:firstLine="480"/>
        <w:rPr>
          <w:rFonts w:ascii="Times New Roman" w:hAnsi="Times New Roman"/>
          <w:snapToGrid w:val="0"/>
          <w:color w:val="auto"/>
          <w:kern w:val="0"/>
          <w:highlight w:val="none"/>
        </w:rPr>
      </w:pPr>
    </w:p>
    <w:p w14:paraId="207D3927">
      <w:pPr>
        <w:tabs>
          <w:tab w:val="left" w:pos="6300"/>
        </w:tabs>
        <w:snapToGrid w:val="0"/>
        <w:spacing w:line="360" w:lineRule="auto"/>
        <w:ind w:firstLine="480"/>
        <w:rPr>
          <w:rFonts w:ascii="Times New Roman" w:hAnsi="Times New Roman"/>
          <w:snapToGrid w:val="0"/>
          <w:color w:val="auto"/>
          <w:kern w:val="0"/>
          <w:highlight w:val="none"/>
        </w:rPr>
      </w:pPr>
    </w:p>
    <w:p w14:paraId="29C2C1AA">
      <w:pPr>
        <w:tabs>
          <w:tab w:val="left" w:pos="6300"/>
        </w:tabs>
        <w:snapToGrid w:val="0"/>
        <w:spacing w:line="360" w:lineRule="auto"/>
        <w:ind w:firstLine="480"/>
        <w:rPr>
          <w:rFonts w:ascii="Times New Roman" w:hAnsi="Times New Roman"/>
          <w:snapToGrid w:val="0"/>
          <w:color w:val="auto"/>
          <w:kern w:val="0"/>
          <w:highlight w:val="none"/>
        </w:rPr>
      </w:pPr>
    </w:p>
    <w:p w14:paraId="538D35D8">
      <w:pPr>
        <w:ind w:firstLine="480"/>
        <w:jc w:val="center"/>
        <w:outlineLvl w:val="9"/>
        <w:rPr>
          <w:rStyle w:val="37"/>
          <w:rFonts w:hint="default" w:ascii="Times New Roman" w:hAnsi="Times New Roman"/>
          <w:color w:val="auto"/>
          <w:highlight w:val="none"/>
        </w:rPr>
      </w:pPr>
      <w:r>
        <w:rPr>
          <w:rFonts w:hint="eastAsia" w:ascii="Times New Roman" w:hAnsi="Times New Roman"/>
          <w:snapToGrid w:val="0"/>
          <w:color w:val="auto"/>
          <w:kern w:val="0"/>
          <w:highlight w:val="none"/>
        </w:rPr>
        <w:br w:type="column"/>
      </w:r>
      <w:r>
        <w:rPr>
          <w:rStyle w:val="37"/>
          <w:rFonts w:hint="default" w:ascii="Times New Roman" w:hAnsi="Times New Roman"/>
          <w:color w:val="auto"/>
          <w:highlight w:val="none"/>
        </w:rPr>
        <w:t>法定代表人</w:t>
      </w:r>
      <w:r>
        <w:rPr>
          <w:rFonts w:hint="eastAsia" w:ascii="Times New Roman" w:hAnsi="Times New Roman"/>
          <w:b/>
          <w:bCs/>
          <w:snapToGrid w:val="0"/>
          <w:color w:val="auto"/>
          <w:highlight w:val="none"/>
        </w:rPr>
        <w:t>（分支机构负责人）</w:t>
      </w:r>
      <w:r>
        <w:rPr>
          <w:rStyle w:val="37"/>
          <w:rFonts w:hint="default" w:ascii="Times New Roman" w:hAnsi="Times New Roman"/>
          <w:color w:val="auto"/>
          <w:highlight w:val="none"/>
        </w:rPr>
        <w:t>授权委托书</w:t>
      </w:r>
    </w:p>
    <w:p w14:paraId="793DC2BF">
      <w:pPr>
        <w:tabs>
          <w:tab w:val="left" w:pos="6300"/>
        </w:tabs>
        <w:snapToGrid w:val="0"/>
        <w:spacing w:line="360" w:lineRule="auto"/>
        <w:ind w:firstLine="480"/>
        <w:rPr>
          <w:rFonts w:ascii="Times New Roman" w:hAnsi="Times New Roman"/>
          <w:snapToGrid w:val="0"/>
          <w:color w:val="auto"/>
          <w:kern w:val="0"/>
          <w:highlight w:val="none"/>
        </w:rPr>
      </w:pPr>
    </w:p>
    <w:p w14:paraId="5415C35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74B41C6">
      <w:pPr>
        <w:tabs>
          <w:tab w:val="left" w:pos="6300"/>
        </w:tabs>
        <w:snapToGrid w:val="0"/>
        <w:spacing w:line="360" w:lineRule="auto"/>
        <w:ind w:firstLine="480"/>
        <w:rPr>
          <w:rFonts w:ascii="Times New Roman" w:hAnsi="Times New Roman"/>
          <w:snapToGrid w:val="0"/>
          <w:color w:val="auto"/>
          <w:kern w:val="0"/>
          <w:highlight w:val="none"/>
        </w:rPr>
      </w:pPr>
    </w:p>
    <w:p w14:paraId="0757B61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60ACBB9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B4C557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0003E1EF">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0930D28B">
      <w:pPr>
        <w:tabs>
          <w:tab w:val="left" w:pos="6300"/>
        </w:tabs>
        <w:snapToGrid w:val="0"/>
        <w:spacing w:line="360" w:lineRule="auto"/>
        <w:ind w:firstLine="480"/>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C5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354187">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7926369F">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w:t>
            </w:r>
          </w:p>
        </w:tc>
      </w:tr>
      <w:tr w14:paraId="4AE5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9BE342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5E74576A">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754E92B8">
      <w:pPr>
        <w:tabs>
          <w:tab w:val="left" w:pos="6300"/>
        </w:tabs>
        <w:snapToGrid w:val="0"/>
        <w:spacing w:line="360" w:lineRule="auto"/>
        <w:ind w:firstLine="480"/>
        <w:rPr>
          <w:rFonts w:ascii="Times New Roman" w:hAnsi="Times New Roman"/>
          <w:snapToGrid w:val="0"/>
          <w:color w:val="auto"/>
          <w:kern w:val="0"/>
          <w:highlight w:val="none"/>
        </w:rPr>
      </w:pPr>
    </w:p>
    <w:p w14:paraId="635B04F8">
      <w:pPr>
        <w:tabs>
          <w:tab w:val="left" w:pos="6300"/>
        </w:tabs>
        <w:snapToGrid w:val="0"/>
        <w:spacing w:line="360" w:lineRule="auto"/>
        <w:ind w:firstLine="480"/>
        <w:rPr>
          <w:rFonts w:ascii="Times New Roman" w:hAnsi="Times New Roman"/>
          <w:snapToGrid w:val="0"/>
          <w:color w:val="auto"/>
          <w:kern w:val="0"/>
          <w:szCs w:val="28"/>
          <w:highlight w:val="none"/>
        </w:rPr>
      </w:pPr>
    </w:p>
    <w:p w14:paraId="4365C789">
      <w:pPr>
        <w:tabs>
          <w:tab w:val="left" w:pos="6300"/>
        </w:tabs>
        <w:snapToGrid w:val="0"/>
        <w:spacing w:line="360" w:lineRule="auto"/>
        <w:ind w:firstLine="480"/>
        <w:rPr>
          <w:rFonts w:ascii="Times New Roman" w:hAnsi="Times New Roman"/>
          <w:snapToGrid w:val="0"/>
          <w:color w:val="auto"/>
          <w:kern w:val="0"/>
          <w:highlight w:val="none"/>
        </w:rPr>
      </w:pPr>
    </w:p>
    <w:p w14:paraId="5FF47869">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054521CF">
      <w:pPr>
        <w:tabs>
          <w:tab w:val="left" w:pos="6300"/>
        </w:tabs>
        <w:snapToGrid w:val="0"/>
        <w:spacing w:line="360" w:lineRule="auto"/>
        <w:ind w:firstLine="480"/>
        <w:rPr>
          <w:rFonts w:ascii="Times New Roman" w:hAnsi="Times New Roman"/>
          <w:snapToGrid w:val="0"/>
          <w:color w:val="auto"/>
          <w:kern w:val="0"/>
          <w:highlight w:val="none"/>
        </w:rPr>
      </w:pPr>
    </w:p>
    <w:p w14:paraId="4811D7CE">
      <w:pPr>
        <w:tabs>
          <w:tab w:val="left" w:pos="6300"/>
        </w:tabs>
        <w:snapToGrid w:val="0"/>
        <w:spacing w:line="360" w:lineRule="auto"/>
        <w:ind w:firstLine="480"/>
        <w:rPr>
          <w:rFonts w:ascii="Times New Roman" w:hAnsi="Times New Roman"/>
          <w:snapToGrid w:val="0"/>
          <w:color w:val="auto"/>
          <w:kern w:val="0"/>
          <w:highlight w:val="none"/>
        </w:rPr>
      </w:pPr>
    </w:p>
    <w:p w14:paraId="6184EC90">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BD2717C">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4E1ED2D5">
      <w:pPr>
        <w:tabs>
          <w:tab w:val="left" w:pos="6300"/>
        </w:tabs>
        <w:snapToGrid w:val="0"/>
        <w:spacing w:line="360" w:lineRule="auto"/>
        <w:ind w:firstLine="480"/>
        <w:rPr>
          <w:rFonts w:ascii="Times New Roman" w:hAnsi="Times New Roman"/>
          <w:snapToGrid w:val="0"/>
          <w:color w:val="auto"/>
          <w:kern w:val="0"/>
          <w:highlight w:val="none"/>
        </w:rPr>
      </w:pPr>
    </w:p>
    <w:p w14:paraId="6FE7035C">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注：1.若为法定代表人（分支机构负责人）办理并签署参选文件的，不提供此文件。</w:t>
      </w:r>
    </w:p>
    <w:p w14:paraId="335B98A8">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219C7C95">
      <w:pPr>
        <w:ind w:firstLine="480"/>
        <w:rPr>
          <w:rFonts w:ascii="Times New Roman" w:hAnsi="Times New Roman"/>
          <w:color w:val="auto"/>
          <w:highlight w:val="none"/>
        </w:rPr>
      </w:pPr>
    </w:p>
    <w:p w14:paraId="5FE526B6">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1451559D">
      <w:pPr>
        <w:pStyle w:val="35"/>
        <w:outlineLvl w:val="2"/>
        <w:rPr>
          <w:rFonts w:ascii="Times New Roman" w:hAnsi="Times New Roman"/>
          <w:color w:val="auto"/>
          <w:highlight w:val="none"/>
        </w:rPr>
      </w:pPr>
      <w:r>
        <w:rPr>
          <w:rFonts w:hint="eastAsia" w:ascii="Times New Roman" w:hAnsi="Times New Roman"/>
          <w:color w:val="auto"/>
          <w:highlight w:val="none"/>
        </w:rPr>
        <w:t>（三）书面声明</w:t>
      </w:r>
    </w:p>
    <w:p w14:paraId="6EE8B86A">
      <w:pPr>
        <w:tabs>
          <w:tab w:val="left" w:pos="6300"/>
        </w:tabs>
        <w:snapToGrid w:val="0"/>
        <w:spacing w:line="360" w:lineRule="auto"/>
        <w:ind w:firstLine="480"/>
        <w:rPr>
          <w:rFonts w:ascii="Times New Roman" w:hAnsi="Times New Roman"/>
          <w:color w:val="auto"/>
          <w:highlight w:val="none"/>
        </w:rPr>
      </w:pPr>
    </w:p>
    <w:p w14:paraId="147E02A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7E3943FD">
      <w:pPr>
        <w:tabs>
          <w:tab w:val="left" w:pos="6300"/>
        </w:tabs>
        <w:snapToGrid w:val="0"/>
        <w:spacing w:line="360" w:lineRule="auto"/>
        <w:ind w:firstLine="480"/>
        <w:rPr>
          <w:rFonts w:ascii="Times New Roman" w:hAnsi="Times New Roman"/>
          <w:color w:val="auto"/>
          <w:highlight w:val="none"/>
        </w:rPr>
      </w:pPr>
    </w:p>
    <w:p w14:paraId="4BE6CA85">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32B3D079">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hint="eastAsia"/>
          <w:color w:val="auto"/>
          <w:highlight w:val="none"/>
          <w:lang w:val="en-US" w:eastAsia="zh-CN"/>
        </w:rPr>
        <w:t>近三年财务状况稳定，</w:t>
      </w:r>
      <w:r>
        <w:rPr>
          <w:rFonts w:hint="eastAsia" w:ascii="Times New Roman" w:hAnsi="Times New Roman"/>
          <w:color w:val="auto"/>
          <w:highlight w:val="none"/>
        </w:rPr>
        <w:t>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AE7CDE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2B2B6602">
      <w:pPr>
        <w:tabs>
          <w:tab w:val="left" w:pos="6300"/>
        </w:tabs>
        <w:snapToGrid w:val="0"/>
        <w:spacing w:line="360" w:lineRule="auto"/>
        <w:ind w:firstLine="480"/>
        <w:rPr>
          <w:rFonts w:ascii="Times New Roman" w:hAnsi="Times New Roman"/>
          <w:color w:val="auto"/>
          <w:highlight w:val="none"/>
        </w:rPr>
      </w:pPr>
    </w:p>
    <w:p w14:paraId="494D097A">
      <w:pPr>
        <w:tabs>
          <w:tab w:val="left" w:pos="6300"/>
        </w:tabs>
        <w:snapToGrid w:val="0"/>
        <w:spacing w:line="360" w:lineRule="auto"/>
        <w:ind w:firstLine="480"/>
        <w:rPr>
          <w:rFonts w:ascii="Times New Roman" w:hAnsi="Times New Roman"/>
          <w:color w:val="auto"/>
          <w:highlight w:val="none"/>
        </w:rPr>
      </w:pPr>
    </w:p>
    <w:p w14:paraId="05466747">
      <w:pPr>
        <w:tabs>
          <w:tab w:val="left" w:pos="6300"/>
        </w:tabs>
        <w:snapToGrid w:val="0"/>
        <w:spacing w:line="360" w:lineRule="auto"/>
        <w:ind w:firstLine="480"/>
        <w:rPr>
          <w:rFonts w:ascii="Times New Roman" w:hAnsi="Times New Roman"/>
          <w:color w:val="auto"/>
          <w:highlight w:val="none"/>
        </w:rPr>
      </w:pPr>
    </w:p>
    <w:p w14:paraId="2FF2234D">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2615F1DC">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710574CA">
      <w:pPr>
        <w:spacing w:line="360" w:lineRule="auto"/>
        <w:ind w:firstLine="480"/>
        <w:jc w:val="left"/>
        <w:rPr>
          <w:rFonts w:ascii="Times New Roman" w:hAnsi="Times New Roman" w:cs="等线 Light"/>
          <w:snapToGrid w:val="0"/>
          <w:color w:val="auto"/>
          <w:kern w:val="0"/>
          <w:szCs w:val="24"/>
          <w:highlight w:val="none"/>
        </w:rPr>
      </w:pPr>
    </w:p>
    <w:p w14:paraId="20C82CE7">
      <w:pPr>
        <w:spacing w:line="360" w:lineRule="auto"/>
        <w:ind w:firstLine="480"/>
        <w:jc w:val="left"/>
        <w:rPr>
          <w:rFonts w:ascii="Times New Roman" w:hAnsi="Times New Roman" w:cs="等线 Light"/>
          <w:snapToGrid w:val="0"/>
          <w:color w:val="auto"/>
          <w:kern w:val="0"/>
          <w:szCs w:val="24"/>
          <w:highlight w:val="none"/>
        </w:rPr>
      </w:pPr>
    </w:p>
    <w:p w14:paraId="2CECFDFC">
      <w:pPr>
        <w:spacing w:line="360" w:lineRule="auto"/>
        <w:ind w:firstLine="480"/>
        <w:jc w:val="left"/>
        <w:rPr>
          <w:rFonts w:ascii="Times New Roman" w:hAnsi="Times New Roman" w:cs="等线 Light"/>
          <w:snapToGrid w:val="0"/>
          <w:color w:val="auto"/>
          <w:kern w:val="0"/>
          <w:szCs w:val="24"/>
          <w:highlight w:val="none"/>
        </w:rPr>
      </w:pPr>
    </w:p>
    <w:p w14:paraId="309E0A65">
      <w:pPr>
        <w:spacing w:line="360" w:lineRule="auto"/>
        <w:ind w:firstLine="480"/>
        <w:jc w:val="left"/>
        <w:rPr>
          <w:rFonts w:ascii="Times New Roman" w:hAnsi="Times New Roman" w:cs="等线 Light"/>
          <w:snapToGrid w:val="0"/>
          <w:color w:val="auto"/>
          <w:kern w:val="0"/>
          <w:szCs w:val="24"/>
          <w:highlight w:val="none"/>
        </w:rPr>
      </w:pPr>
    </w:p>
    <w:p w14:paraId="1665B2A5">
      <w:pPr>
        <w:spacing w:line="360" w:lineRule="auto"/>
        <w:ind w:firstLine="480"/>
        <w:jc w:val="left"/>
        <w:rPr>
          <w:rFonts w:ascii="Times New Roman" w:hAnsi="Times New Roman" w:cs="等线 Light"/>
          <w:snapToGrid w:val="0"/>
          <w:color w:val="auto"/>
          <w:kern w:val="0"/>
          <w:szCs w:val="24"/>
          <w:highlight w:val="none"/>
        </w:rPr>
      </w:pPr>
    </w:p>
    <w:p w14:paraId="39971F99">
      <w:pPr>
        <w:spacing w:line="360" w:lineRule="auto"/>
        <w:ind w:firstLine="480"/>
        <w:jc w:val="left"/>
        <w:rPr>
          <w:rFonts w:ascii="Times New Roman" w:hAnsi="Times New Roman" w:cs="等线 Light"/>
          <w:snapToGrid w:val="0"/>
          <w:color w:val="auto"/>
          <w:kern w:val="0"/>
          <w:szCs w:val="24"/>
          <w:highlight w:val="none"/>
        </w:rPr>
      </w:pPr>
    </w:p>
    <w:p w14:paraId="6096AED5">
      <w:pPr>
        <w:spacing w:line="360" w:lineRule="auto"/>
        <w:ind w:firstLine="480"/>
        <w:jc w:val="left"/>
        <w:rPr>
          <w:rFonts w:ascii="Times New Roman" w:hAnsi="Times New Roman" w:cs="等线 Light"/>
          <w:snapToGrid w:val="0"/>
          <w:color w:val="auto"/>
          <w:kern w:val="0"/>
          <w:szCs w:val="24"/>
          <w:highlight w:val="none"/>
        </w:rPr>
      </w:pPr>
    </w:p>
    <w:p w14:paraId="62D5FCE5">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4EE0AB7">
      <w:pPr>
        <w:pStyle w:val="35"/>
        <w:outlineLvl w:val="2"/>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65F61A70">
      <w:pPr>
        <w:numPr>
          <w:ilvl w:val="-1"/>
          <w:numId w:val="0"/>
        </w:numPr>
        <w:ind w:firstLine="0" w:firstLineChars="0"/>
        <w:jc w:val="center"/>
        <w:outlineLvl w:val="9"/>
        <w:rPr>
          <w:rFonts w:ascii="Times New Roman" w:hAnsi="Times New Roman"/>
          <w:color w:val="auto"/>
          <w:highlight w:val="none"/>
        </w:rPr>
      </w:pPr>
      <w:r>
        <w:rPr>
          <w:rFonts w:ascii="Times New Roman" w:hAnsi="Times New Roman"/>
          <w:color w:val="auto"/>
          <w:highlight w:val="none"/>
        </w:rPr>
        <w:t>（法人及法定代表人中国执行信息公开网截图）</w:t>
      </w:r>
    </w:p>
    <w:p w14:paraId="113E587E">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1.法人</w:t>
      </w:r>
      <w:r>
        <w:rPr>
          <w:rFonts w:hint="default" w:ascii="Times New Roman" w:hAnsi="Times New Roman" w:cs="Times New Roman"/>
          <w:color w:val="auto"/>
          <w:highlight w:val="none"/>
        </w:rPr>
        <w:t>中国执行信息公开网截图</w:t>
      </w:r>
    </w:p>
    <w:p w14:paraId="2B62C6FA">
      <w:pPr>
        <w:ind w:firstLine="48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2.法定代表人</w:t>
      </w:r>
      <w:r>
        <w:rPr>
          <w:rFonts w:hint="default" w:ascii="Times New Roman" w:hAnsi="Times New Roman" w:cs="Times New Roman"/>
          <w:color w:val="auto"/>
          <w:highlight w:val="none"/>
        </w:rPr>
        <w:t>中国执行信息公开网截图</w:t>
      </w:r>
    </w:p>
    <w:p w14:paraId="46F9369C">
      <w:pPr>
        <w:ind w:firstLine="480"/>
        <w:rPr>
          <w:rFonts w:ascii="Times New Roman" w:hAnsi="Times New Roman"/>
          <w:color w:val="auto"/>
          <w:highlight w:val="none"/>
        </w:rPr>
      </w:pPr>
    </w:p>
    <w:p w14:paraId="46CB2CB6">
      <w:pPr>
        <w:ind w:firstLine="480"/>
        <w:rPr>
          <w:rFonts w:ascii="Times New Roman" w:hAnsi="Times New Roman"/>
          <w:color w:val="auto"/>
          <w:highlight w:val="none"/>
        </w:rPr>
      </w:pPr>
    </w:p>
    <w:p w14:paraId="3410E010">
      <w:pPr>
        <w:ind w:firstLine="480"/>
        <w:rPr>
          <w:rFonts w:ascii="Times New Roman" w:hAnsi="Times New Roman"/>
          <w:color w:val="auto"/>
          <w:highlight w:val="none"/>
        </w:rPr>
      </w:pPr>
    </w:p>
    <w:p w14:paraId="3A5281C1">
      <w:pPr>
        <w:ind w:firstLine="480"/>
        <w:rPr>
          <w:rFonts w:ascii="Times New Roman" w:hAnsi="Times New Roman"/>
          <w:color w:val="auto"/>
          <w:highlight w:val="none"/>
        </w:rPr>
      </w:pPr>
    </w:p>
    <w:p w14:paraId="1FD421AF">
      <w:pPr>
        <w:ind w:firstLine="480"/>
        <w:rPr>
          <w:rFonts w:ascii="Times New Roman" w:hAnsi="Times New Roman"/>
          <w:color w:val="auto"/>
          <w:highlight w:val="none"/>
        </w:rPr>
      </w:pPr>
    </w:p>
    <w:p w14:paraId="36A5E390">
      <w:pPr>
        <w:ind w:firstLine="480"/>
        <w:rPr>
          <w:rFonts w:ascii="Times New Roman" w:hAnsi="Times New Roman"/>
          <w:color w:val="auto"/>
          <w:highlight w:val="none"/>
        </w:rPr>
      </w:pPr>
      <w:r>
        <w:rPr>
          <w:rFonts w:hint="eastAsia" w:ascii="Times New Roman" w:hAnsi="Times New Roman"/>
          <w:color w:val="auto"/>
          <w:highlight w:val="none"/>
        </w:rPr>
        <w:br w:type="page"/>
      </w:r>
    </w:p>
    <w:p w14:paraId="3DAD5A9D">
      <w:pPr>
        <w:pStyle w:val="35"/>
        <w:outlineLvl w:val="2"/>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4541D4AE">
      <w:pPr>
        <w:ind w:firstLine="480"/>
        <w:rPr>
          <w:rFonts w:ascii="Times New Roman" w:hAnsi="Times New Roman"/>
          <w:color w:val="auto"/>
          <w:highlight w:val="none"/>
          <w:lang w:val="zh-CN"/>
        </w:rPr>
      </w:pPr>
    </w:p>
    <w:p w14:paraId="56009833">
      <w:pPr>
        <w:ind w:firstLine="480"/>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276D8F34">
      <w:pPr>
        <w:pStyle w:val="35"/>
        <w:outlineLvl w:val="2"/>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六</w:t>
      </w:r>
      <w:r>
        <w:rPr>
          <w:rFonts w:hint="eastAsia" w:ascii="Times New Roman" w:hAnsi="Times New Roman"/>
          <w:color w:val="auto"/>
          <w:highlight w:val="none"/>
        </w:rPr>
        <w:t>）</w:t>
      </w:r>
      <w:r>
        <w:rPr>
          <w:rFonts w:ascii="Times New Roman" w:hAnsi="Times New Roman" w:cs="Times New Roman"/>
          <w:color w:val="auto"/>
          <w:highlight w:val="none"/>
        </w:rPr>
        <w:t>原厂商授权书或确认函</w:t>
      </w:r>
    </w:p>
    <w:p w14:paraId="038FAC17">
      <w:pPr>
        <w:ind w:firstLine="480"/>
        <w:rPr>
          <w:rFonts w:ascii="Times New Roman" w:hAnsi="Times New Roman"/>
          <w:color w:val="auto"/>
          <w:highlight w:val="none"/>
        </w:rPr>
      </w:pPr>
      <w:r>
        <w:rPr>
          <w:rFonts w:hint="eastAsia" w:ascii="Times New Roman" w:hAnsi="Times New Roman"/>
          <w:color w:val="auto"/>
          <w:highlight w:val="none"/>
        </w:rPr>
        <w:t>加盖公章</w:t>
      </w:r>
    </w:p>
    <w:p w14:paraId="1FDD1E27">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004587F3">
      <w:pPr>
        <w:ind w:firstLine="480"/>
        <w:jc w:val="center"/>
        <w:rPr>
          <w:rFonts w:hint="eastAsia"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lang w:val="zh-CN"/>
        </w:rPr>
        <w:t>（七）</w:t>
      </w:r>
      <w:r>
        <w:rPr>
          <w:rFonts w:hint="eastAsia" w:cs="Times New Roman"/>
          <w:color w:val="auto"/>
          <w:highlight w:val="none"/>
        </w:rPr>
        <w:t>ISO相关认证材料</w:t>
      </w:r>
    </w:p>
    <w:p w14:paraId="71DEEC9D">
      <w:pPr>
        <w:ind w:firstLine="480"/>
        <w:jc w:val="center"/>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八</w:t>
      </w:r>
      <w:r>
        <w:rPr>
          <w:rFonts w:hint="eastAsia" w:cs="Times New Roman"/>
          <w:color w:val="auto"/>
          <w:highlight w:val="none"/>
          <w:lang w:eastAsia="zh-CN"/>
        </w:rPr>
        <w:t>）</w:t>
      </w:r>
      <w:r>
        <w:rPr>
          <w:rFonts w:hint="eastAsia" w:cs="Times New Roman"/>
          <w:color w:val="auto"/>
          <w:highlight w:val="none"/>
        </w:rPr>
        <w:t>CMMI</w:t>
      </w:r>
      <w:r>
        <w:rPr>
          <w:rFonts w:hint="eastAsia" w:cs="Times New Roman"/>
          <w:color w:val="auto"/>
          <w:highlight w:val="none"/>
          <w:lang w:val="en-US" w:eastAsia="zh-CN"/>
        </w:rPr>
        <w:t>3</w:t>
      </w:r>
      <w:r>
        <w:rPr>
          <w:rFonts w:hint="eastAsia" w:cs="Times New Roman"/>
          <w:color w:val="auto"/>
          <w:highlight w:val="none"/>
        </w:rPr>
        <w:t>级</w:t>
      </w:r>
      <w:r>
        <w:rPr>
          <w:rFonts w:hint="eastAsia" w:ascii="Times New Roman" w:hAnsi="Times New Roman" w:cs="Times New Roman"/>
          <w:color w:val="auto"/>
          <w:highlight w:val="none"/>
          <w:lang w:val="en-US" w:eastAsia="zh-CN"/>
        </w:rPr>
        <w:t>及以上认证</w:t>
      </w:r>
      <w:r>
        <w:rPr>
          <w:rFonts w:cs="Times New Roman"/>
          <w:color w:val="auto"/>
          <w:highlight w:val="none"/>
        </w:rPr>
        <w:t>相关</w:t>
      </w:r>
      <w:r>
        <w:rPr>
          <w:rFonts w:hint="eastAsia" w:cs="Times New Roman"/>
          <w:color w:val="auto"/>
          <w:highlight w:val="none"/>
        </w:rPr>
        <w:t>材料</w:t>
      </w:r>
    </w:p>
    <w:p w14:paraId="5DA111BB">
      <w:pPr>
        <w:ind w:firstLine="0"/>
        <w:rPr>
          <w:rFonts w:hint="eastAsia" w:cs="Times New Roman"/>
          <w:color w:val="auto"/>
          <w:highlight w:val="none"/>
        </w:rPr>
      </w:pPr>
      <w:r>
        <w:rPr>
          <w:rFonts w:hint="eastAsia" w:cs="Times New Roman"/>
          <w:color w:val="auto"/>
          <w:highlight w:val="none"/>
        </w:rPr>
        <w:br w:type="page"/>
      </w:r>
    </w:p>
    <w:p w14:paraId="5E4802E1">
      <w:pPr>
        <w:ind w:firstLine="480"/>
        <w:jc w:val="center"/>
        <w:rPr>
          <w:rFonts w:hint="eastAsia"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s="Times New Roman"/>
          <w:color w:val="auto"/>
          <w:highlight w:val="none"/>
          <w:lang w:eastAsia="zh-CN"/>
        </w:rPr>
        <w:t>（</w:t>
      </w:r>
      <w:r>
        <w:rPr>
          <w:rFonts w:hint="eastAsia" w:cs="Times New Roman"/>
          <w:color w:val="auto"/>
          <w:highlight w:val="none"/>
          <w:lang w:val="en-US" w:eastAsia="zh-CN"/>
        </w:rPr>
        <w:t>九</w:t>
      </w:r>
      <w:r>
        <w:rPr>
          <w:rFonts w:hint="eastAsia" w:cs="Times New Roman"/>
          <w:color w:val="auto"/>
          <w:highlight w:val="none"/>
          <w:lang w:eastAsia="zh-CN"/>
        </w:rPr>
        <w:t>）</w:t>
      </w:r>
      <w:r>
        <w:rPr>
          <w:rFonts w:cs="Times New Roman"/>
          <w:color w:val="auto"/>
          <w:highlight w:val="none"/>
        </w:rPr>
        <w:t>国家高新技术企业认证</w:t>
      </w:r>
      <w:r>
        <w:rPr>
          <w:rFonts w:hint="eastAsia" w:cs="Times New Roman"/>
          <w:color w:val="auto"/>
          <w:highlight w:val="none"/>
        </w:rPr>
        <w:t>材料</w:t>
      </w:r>
    </w:p>
    <w:p w14:paraId="5074CEED">
      <w:pPr>
        <w:ind w:firstLine="480"/>
        <w:jc w:val="center"/>
        <w:rPr>
          <w:rFonts w:hint="eastAsia"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5043E828">
      <w:pPr>
        <w:ind w:firstLine="480"/>
        <w:jc w:val="center"/>
        <w:rPr>
          <w:rFonts w:hint="eastAsia" w:cs="Times New Roman"/>
          <w:color w:val="auto"/>
          <w:highlight w:val="none"/>
          <w:lang w:val="zh-CN"/>
        </w:rPr>
      </w:pPr>
    </w:p>
    <w:p w14:paraId="7BB8DDA4">
      <w:pPr>
        <w:ind w:firstLine="480"/>
        <w:jc w:val="center"/>
        <w:rPr>
          <w:rFonts w:hint="eastAsia" w:cs="Times New Roman"/>
          <w:color w:val="auto"/>
          <w:highlight w:val="none"/>
        </w:rPr>
      </w:pPr>
    </w:p>
    <w:p w14:paraId="77D56EFA">
      <w:pPr>
        <w:ind w:firstLine="480"/>
        <w:jc w:val="center"/>
        <w:rPr>
          <w:rFonts w:hint="eastAsia" w:cs="Times New Roman"/>
          <w:color w:val="auto"/>
          <w:highlight w:val="none"/>
        </w:rPr>
      </w:pPr>
    </w:p>
    <w:p w14:paraId="68B06BD2">
      <w:pPr>
        <w:ind w:firstLine="480"/>
        <w:rPr>
          <w:rFonts w:ascii="Times New Roman" w:hAnsi="Times New Roman"/>
          <w:color w:val="auto"/>
          <w:highlight w:val="none"/>
        </w:rPr>
      </w:pPr>
    </w:p>
    <w:p w14:paraId="757B935E">
      <w:pPr>
        <w:ind w:firstLine="480"/>
        <w:rPr>
          <w:rFonts w:ascii="Times New Roman" w:hAnsi="Times New Roman"/>
          <w:color w:val="auto"/>
          <w:highlight w:val="none"/>
        </w:rPr>
      </w:pPr>
    </w:p>
    <w:p w14:paraId="0AB182FF">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18EA87C3">
      <w:pPr>
        <w:pStyle w:val="34"/>
        <w:outlineLvl w:val="1"/>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color w:val="auto"/>
          <w:highlight w:val="none"/>
          <w:lang w:val="en-US" w:eastAsia="zh-CN"/>
        </w:rPr>
        <w:t>性文件</w:t>
      </w:r>
    </w:p>
    <w:p w14:paraId="6F00B257">
      <w:pPr>
        <w:pStyle w:val="35"/>
        <w:outlineLvl w:val="2"/>
        <w:rPr>
          <w:rFonts w:ascii="Times New Roman" w:hAnsi="Times New Roman"/>
          <w:color w:val="auto"/>
          <w:highlight w:val="none"/>
        </w:rPr>
      </w:pPr>
      <w:r>
        <w:rPr>
          <w:rFonts w:hint="eastAsia" w:ascii="Times New Roman" w:hAnsi="Times New Roman"/>
          <w:color w:val="auto"/>
          <w:highlight w:val="none"/>
        </w:rPr>
        <w:t>（一）响应承诺函</w:t>
      </w:r>
    </w:p>
    <w:p w14:paraId="580C0D31">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27A743EB">
      <w:pPr>
        <w:rPr>
          <w:color w:val="auto"/>
          <w:highlight w:val="none"/>
        </w:rPr>
      </w:pPr>
    </w:p>
    <w:p w14:paraId="6EDB91DE">
      <w:pPr>
        <w:spacing w:line="480" w:lineRule="exact"/>
        <w:ind w:firstLine="0" w:firstLineChars="0"/>
        <w:rPr>
          <w:color w:val="auto"/>
          <w:highlight w:val="none"/>
        </w:rPr>
      </w:pPr>
      <w:r>
        <w:rPr>
          <w:rFonts w:hint="eastAsia"/>
          <w:color w:val="auto"/>
          <w:highlight w:val="none"/>
        </w:rPr>
        <w:t>致：重庆三峡银行股份有限公司：</w:t>
      </w:r>
    </w:p>
    <w:p w14:paraId="30C83C35">
      <w:pPr>
        <w:rPr>
          <w:color w:val="auto"/>
          <w:highlight w:val="none"/>
        </w:rPr>
      </w:pPr>
    </w:p>
    <w:p w14:paraId="7FBFF816">
      <w:pPr>
        <w:rPr>
          <w:color w:val="auto"/>
          <w:highlight w:val="none"/>
        </w:rPr>
      </w:pPr>
      <w:r>
        <w:rPr>
          <w:rFonts w:hint="eastAsia"/>
          <w:color w:val="auto"/>
          <w:highlight w:val="none"/>
        </w:rPr>
        <w:t>我公司郑重承诺，完全满足第三章“项目要求”所有内容。</w:t>
      </w:r>
    </w:p>
    <w:p w14:paraId="20EDDEAE">
      <w:pPr>
        <w:rPr>
          <w:rFonts w:ascii="Times New Roman" w:hAnsi="Times New Roman" w:cs="Times New Roman"/>
          <w:color w:val="auto"/>
          <w:highlight w:val="none"/>
        </w:rPr>
      </w:pPr>
      <w:r>
        <w:rPr>
          <w:rFonts w:hint="eastAsia"/>
          <w:color w:val="auto"/>
          <w:highlight w:val="none"/>
          <w:lang w:val="en-US" w:eastAsia="zh-CN"/>
        </w:rPr>
        <w:t>我公司中选后，</w:t>
      </w:r>
      <w:r>
        <w:rPr>
          <w:rFonts w:ascii="Times New Roman" w:hAnsi="Times New Roman" w:cs="Times New Roman"/>
          <w:color w:val="auto"/>
          <w:highlight w:val="none"/>
        </w:rPr>
        <w:t>未征得比选人书面同意的情况下不得更换项目成员</w:t>
      </w:r>
      <w:r>
        <w:rPr>
          <w:rFonts w:hint="eastAsia" w:ascii="Times New Roman" w:hAnsi="Times New Roman" w:cs="Times New Roman"/>
          <w:color w:val="auto"/>
          <w:highlight w:val="none"/>
        </w:rPr>
        <w:t>。</w:t>
      </w:r>
    </w:p>
    <w:p w14:paraId="5E5EB32D">
      <w:pPr>
        <w:rPr>
          <w:color w:val="auto"/>
          <w:highlight w:val="none"/>
        </w:rPr>
      </w:pPr>
      <w:r>
        <w:rPr>
          <w:rFonts w:hint="eastAsia"/>
          <w:color w:val="auto"/>
          <w:highlight w:val="none"/>
          <w:lang w:val="en-US" w:eastAsia="zh-CN"/>
        </w:rPr>
        <w:t>我公司中选后，</w:t>
      </w:r>
      <w:r>
        <w:rPr>
          <w:rFonts w:hint="eastAsia"/>
          <w:color w:val="auto"/>
          <w:highlight w:val="none"/>
        </w:rPr>
        <w:t>将根据</w:t>
      </w:r>
      <w:r>
        <w:rPr>
          <w:rFonts w:hint="eastAsia" w:ascii="Times New Roman" w:hAnsi="Times New Roman" w:cs="Times New Roman"/>
          <w:color w:val="auto"/>
          <w:highlight w:val="none"/>
        </w:rPr>
        <w:t>提我公司</w:t>
      </w:r>
      <w:r>
        <w:rPr>
          <w:rFonts w:hint="eastAsia" w:ascii="Times New Roman" w:hAnsi="Times New Roman" w:cs="Times New Roman"/>
          <w:color w:val="auto"/>
          <w:highlight w:val="none"/>
          <w:lang w:val="en-US" w:eastAsia="zh-CN"/>
        </w:rPr>
        <w:t>提</w:t>
      </w:r>
      <w:r>
        <w:rPr>
          <w:rFonts w:hint="eastAsia" w:ascii="Times New Roman" w:hAnsi="Times New Roman" w:cs="Times New Roman"/>
          <w:color w:val="auto"/>
          <w:highlight w:val="none"/>
        </w:rPr>
        <w:t>供的</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进行售后服务和培训。</w:t>
      </w:r>
    </w:p>
    <w:p w14:paraId="1FD6F004">
      <w:pPr>
        <w:rPr>
          <w:color w:val="auto"/>
          <w:highlight w:val="none"/>
        </w:rPr>
      </w:pPr>
    </w:p>
    <w:p w14:paraId="39336192">
      <w:pPr>
        <w:spacing w:line="480" w:lineRule="exact"/>
        <w:ind w:firstLine="0" w:firstLineChars="0"/>
        <w:rPr>
          <w:color w:val="auto"/>
          <w:highlight w:val="none"/>
        </w:rPr>
      </w:pPr>
      <w:r>
        <w:rPr>
          <w:rFonts w:hint="eastAsia"/>
          <w:color w:val="auto"/>
          <w:highlight w:val="none"/>
        </w:rPr>
        <w:t>特此承诺。</w:t>
      </w:r>
    </w:p>
    <w:p w14:paraId="038BFC06">
      <w:pPr>
        <w:tabs>
          <w:tab w:val="left" w:pos="6300"/>
        </w:tabs>
        <w:snapToGrid w:val="0"/>
        <w:spacing w:line="480" w:lineRule="exact"/>
        <w:rPr>
          <w:rFonts w:ascii="宋体"/>
          <w:color w:val="auto"/>
          <w:highlight w:val="none"/>
        </w:rPr>
      </w:pPr>
    </w:p>
    <w:p w14:paraId="7B327F26">
      <w:pPr>
        <w:tabs>
          <w:tab w:val="left" w:pos="6300"/>
        </w:tabs>
        <w:snapToGrid w:val="0"/>
        <w:spacing w:line="480" w:lineRule="exact"/>
        <w:rPr>
          <w:rFonts w:ascii="宋体"/>
          <w:color w:val="auto"/>
          <w:highlight w:val="none"/>
        </w:rPr>
      </w:pPr>
    </w:p>
    <w:p w14:paraId="6217721C">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163B33F4">
      <w:pPr>
        <w:tabs>
          <w:tab w:val="left" w:pos="6300"/>
        </w:tabs>
        <w:snapToGrid w:val="0"/>
        <w:spacing w:line="480" w:lineRule="exact"/>
        <w:ind w:right="480"/>
        <w:jc w:val="right"/>
        <w:rPr>
          <w:rFonts w:hint="eastAsia" w:ascii="宋体"/>
          <w:color w:val="auto"/>
          <w:highlight w:val="none"/>
        </w:rPr>
      </w:pPr>
      <w:r>
        <w:rPr>
          <w:rFonts w:hint="eastAsia" w:ascii="宋体"/>
          <w:color w:val="auto"/>
          <w:highlight w:val="none"/>
        </w:rPr>
        <w:t xml:space="preserve">年   月 </w:t>
      </w:r>
    </w:p>
    <w:p w14:paraId="5E970AB3">
      <w:pPr>
        <w:rPr>
          <w:rFonts w:hint="eastAsia" w:ascii="宋体"/>
          <w:color w:val="auto"/>
          <w:highlight w:val="none"/>
        </w:rPr>
      </w:pPr>
      <w:r>
        <w:rPr>
          <w:rFonts w:hint="eastAsia" w:ascii="宋体"/>
          <w:color w:val="auto"/>
          <w:highlight w:val="none"/>
        </w:rPr>
        <w:br w:type="page"/>
      </w:r>
    </w:p>
    <w:p w14:paraId="1E4869E3">
      <w:pPr>
        <w:spacing w:line="360" w:lineRule="auto"/>
        <w:ind w:left="0" w:leftChars="0" w:firstLine="0" w:firstLineChars="0"/>
        <w:rPr>
          <w:rFonts w:ascii="Times New Roman" w:hAnsi="Times New Roman" w:cs="等线 Light"/>
          <w:snapToGrid w:val="0"/>
          <w:color w:val="auto"/>
          <w:kern w:val="0"/>
          <w:szCs w:val="24"/>
          <w:highlight w:val="none"/>
        </w:rPr>
      </w:pPr>
    </w:p>
    <w:p w14:paraId="6E1C5909">
      <w:pPr>
        <w:autoSpaceDE/>
        <w:autoSpaceDN/>
        <w:ind w:firstLine="0" w:firstLineChars="0"/>
        <w:jc w:val="center"/>
        <w:outlineLvl w:val="2"/>
        <w:rPr>
          <w:rFonts w:ascii="Times New Roman" w:hAnsi="Times New Roman" w:cs="Times New Roman"/>
          <w:color w:val="auto"/>
          <w:highlight w:val="none"/>
        </w:rPr>
      </w:pPr>
      <w:bookmarkStart w:id="320" w:name="_Toc24165"/>
      <w:bookmarkStart w:id="321" w:name="_Toc7810"/>
      <w:r>
        <w:rPr>
          <w:rFonts w:ascii="Times New Roman" w:hAnsi="Times New Roman" w:cs="Times New Roman"/>
          <w:color w:val="auto"/>
          <w:highlight w:val="none"/>
        </w:rPr>
        <w:t>（二）近半年公司为项目组成员缴纳社保的证明材料</w:t>
      </w:r>
      <w:bookmarkEnd w:id="320"/>
      <w:bookmarkEnd w:id="321"/>
    </w:p>
    <w:p w14:paraId="0AB9936F">
      <w:pPr>
        <w:autoSpaceDE/>
        <w:autoSpaceDN/>
        <w:rPr>
          <w:rFonts w:ascii="Times New Roman" w:hAnsi="Times New Roman"/>
          <w:color w:val="auto"/>
          <w:sz w:val="18"/>
          <w:szCs w:val="18"/>
          <w:highlight w:val="none"/>
        </w:rPr>
      </w:pPr>
    </w:p>
    <w:p w14:paraId="71D233DC">
      <w:pPr>
        <w:spacing w:line="360" w:lineRule="auto"/>
        <w:rPr>
          <w:rFonts w:ascii="Times New Roman" w:hAnsi="Times New Roman" w:cs="等线 Light"/>
          <w:snapToGrid w:val="0"/>
          <w:color w:val="auto"/>
          <w:kern w:val="0"/>
          <w:szCs w:val="24"/>
          <w:highlight w:val="none"/>
        </w:rPr>
      </w:pPr>
    </w:p>
    <w:p w14:paraId="3C058970">
      <w:pPr>
        <w:rPr>
          <w:rFonts w:ascii="Times New Roman" w:hAnsi="Times New Roman" w:cs="等线 Light"/>
          <w:color w:val="auto"/>
          <w:sz w:val="21"/>
          <w:szCs w:val="21"/>
          <w:highlight w:val="none"/>
        </w:rPr>
      </w:pPr>
      <w:r>
        <w:rPr>
          <w:rFonts w:ascii="Times New Roman" w:hAnsi="Times New Roman" w:cs="等线 Light"/>
          <w:color w:val="auto"/>
          <w:sz w:val="21"/>
          <w:szCs w:val="21"/>
          <w:highlight w:val="none"/>
        </w:rPr>
        <w:br w:type="page"/>
      </w:r>
    </w:p>
    <w:p w14:paraId="3985F950">
      <w:pPr>
        <w:autoSpaceDE/>
        <w:autoSpaceDN/>
        <w:ind w:firstLine="0" w:firstLineChars="0"/>
        <w:jc w:val="center"/>
        <w:outlineLvl w:val="2"/>
        <w:rPr>
          <w:rFonts w:ascii="Times New Roman" w:hAnsi="Times New Roman" w:cs="Times New Roman"/>
          <w:snapToGrid w:val="0"/>
          <w:color w:val="auto"/>
          <w:kern w:val="0"/>
          <w:highlight w:val="none"/>
        </w:rPr>
      </w:pPr>
      <w:bookmarkStart w:id="322" w:name="_Toc17999"/>
      <w:bookmarkStart w:id="323" w:name="_Toc22709"/>
      <w:r>
        <w:rPr>
          <w:rFonts w:ascii="Times New Roman" w:hAnsi="Times New Roman" w:cs="Times New Roman"/>
          <w:color w:val="auto"/>
          <w:highlight w:val="none"/>
        </w:rPr>
        <w:t>（三）</w:t>
      </w:r>
      <w:r>
        <w:rPr>
          <w:rFonts w:ascii="Times New Roman" w:hAnsi="Times New Roman" w:cs="Times New Roman"/>
          <w:snapToGrid w:val="0"/>
          <w:color w:val="auto"/>
          <w:kern w:val="0"/>
          <w:highlight w:val="none"/>
        </w:rPr>
        <w:t>项目组成员简历信息</w:t>
      </w:r>
      <w:bookmarkEnd w:id="322"/>
      <w:bookmarkEnd w:id="323"/>
    </w:p>
    <w:p w14:paraId="457692BB">
      <w:pPr>
        <w:ind w:firstLine="0" w:firstLineChars="0"/>
        <w:jc w:val="center"/>
        <w:outlineLvl w:val="9"/>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参选人项目组成员简历表（模板）</w:t>
      </w:r>
    </w:p>
    <w:p w14:paraId="39FFF7D6">
      <w:pPr>
        <w:ind w:firstLine="0" w:firstLineChars="0"/>
        <w:rPr>
          <w:rFonts w:ascii="Times New Roman" w:hAnsi="Times New Roman" w:cs="Times New Roman"/>
          <w:b/>
          <w:color w:val="auto"/>
          <w:highlight w:val="none"/>
        </w:rPr>
      </w:pPr>
      <w:r>
        <w:rPr>
          <w:rFonts w:ascii="Times New Roman" w:hAnsi="Times New Roman" w:cs="Times New Roman"/>
          <w:b/>
          <w:color w:val="auto"/>
          <w:highlight w:val="none"/>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2BF5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2AFD2EA5">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基本信息</w:t>
            </w:r>
          </w:p>
        </w:tc>
      </w:tr>
      <w:tr w14:paraId="633B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D8CAD7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DB53AFD">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00B91B">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29CFE2">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A0DE211">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6FC2FDF">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B78A34B">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贴</w:t>
            </w:r>
          </w:p>
          <w:p w14:paraId="2F6A2804">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照</w:t>
            </w:r>
          </w:p>
          <w:p w14:paraId="7388647E">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片</w:t>
            </w:r>
          </w:p>
          <w:p w14:paraId="13C1BEA1">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处</w:t>
            </w:r>
          </w:p>
          <w:p w14:paraId="795818C6">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r>
      <w:tr w14:paraId="5C3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F843B99">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7764E95">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B2528D">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3776D4">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D02CD5F">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53E70A">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9A5259A">
            <w:pPr>
              <w:rPr>
                <w:color w:val="auto"/>
                <w:highlight w:val="none"/>
              </w:rPr>
            </w:pPr>
          </w:p>
        </w:tc>
      </w:tr>
      <w:tr w14:paraId="2221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91F1FF1">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116F3AC6">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BC9BB8">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同类项目</w:t>
            </w:r>
          </w:p>
          <w:p w14:paraId="306AD91E">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84B900">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42B3F6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拟任本</w:t>
            </w:r>
          </w:p>
          <w:p w14:paraId="0005D19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0BACE04">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7FC86D9">
            <w:pPr>
              <w:rPr>
                <w:color w:val="auto"/>
                <w:highlight w:val="none"/>
              </w:rPr>
            </w:pPr>
          </w:p>
        </w:tc>
      </w:tr>
      <w:tr w14:paraId="33F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E7B84F">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学历</w:t>
            </w:r>
          </w:p>
          <w:p w14:paraId="5ACDD3C5">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BDCD02A">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C181D7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毕业院校</w:t>
            </w:r>
          </w:p>
          <w:p w14:paraId="6DB989A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BEAA6FD">
            <w:pPr>
              <w:adjustRightInd w:val="0"/>
              <w:snapToGrid w:val="0"/>
              <w:spacing w:line="280" w:lineRule="exact"/>
              <w:ind w:right="-107" w:rightChars="-51"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6E28760C">
            <w:pPr>
              <w:rPr>
                <w:color w:val="auto"/>
                <w:highlight w:val="none"/>
              </w:rPr>
            </w:pPr>
          </w:p>
        </w:tc>
      </w:tr>
      <w:tr w14:paraId="4052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AE3E5A">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AA478D7">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A5752C5">
            <w:pPr>
              <w:adjustRightInd w:val="0"/>
              <w:snapToGrid w:val="0"/>
              <w:spacing w:line="280" w:lineRule="exact"/>
              <w:ind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1EC429CD">
            <w:pPr>
              <w:adjustRightInd w:val="0"/>
              <w:snapToGrid w:val="0"/>
              <w:spacing w:line="280" w:lineRule="exact"/>
              <w:jc w:val="center"/>
              <w:rPr>
                <w:rFonts w:ascii="Times New Roman" w:hAnsi="Times New Roman" w:eastAsia="仿宋_GB2312" w:cs="Times New Roman"/>
                <w:b/>
                <w:color w:val="auto"/>
                <w:highlight w:val="none"/>
              </w:rPr>
            </w:pPr>
          </w:p>
        </w:tc>
      </w:tr>
      <w:tr w14:paraId="107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3F90720">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225F69A3">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r>
      <w:tr w14:paraId="569E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4A4019FF">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工作及项目经历信息</w:t>
            </w:r>
          </w:p>
        </w:tc>
      </w:tr>
      <w:tr w14:paraId="7273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AA66DF5">
            <w:pPr>
              <w:spacing w:line="300" w:lineRule="auto"/>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712A23">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94B7245">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7037422">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491D664F">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2CA2B0B">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联系方式</w:t>
            </w:r>
          </w:p>
        </w:tc>
      </w:tr>
      <w:tr w14:paraId="413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C06F205">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2ECF7D">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D80C18B">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062637">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F13CE30">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0A5F4BC">
            <w:pPr>
              <w:spacing w:line="300" w:lineRule="auto"/>
              <w:ind w:firstLine="0" w:firstLineChars="0"/>
              <w:jc w:val="both"/>
              <w:rPr>
                <w:rFonts w:ascii="Times New Roman" w:hAnsi="Times New Roman" w:eastAsia="仿宋_GB2312" w:cs="Times New Roman"/>
                <w:color w:val="auto"/>
                <w:highlight w:val="none"/>
              </w:rPr>
            </w:pPr>
          </w:p>
        </w:tc>
      </w:tr>
      <w:tr w14:paraId="0969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2086AF">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0C653EBF">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5EC3DAD1">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5243B286">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5451A814">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A922901">
            <w:pPr>
              <w:spacing w:line="300" w:lineRule="auto"/>
              <w:ind w:firstLine="0" w:firstLineChars="0"/>
              <w:jc w:val="both"/>
              <w:rPr>
                <w:rFonts w:ascii="Times New Roman" w:hAnsi="Times New Roman" w:eastAsia="仿宋_GB2312" w:cs="Times New Roman"/>
                <w:color w:val="auto"/>
                <w:highlight w:val="none"/>
              </w:rPr>
            </w:pPr>
          </w:p>
        </w:tc>
      </w:tr>
      <w:tr w14:paraId="050E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A96338">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0D5AE6E9">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415A7C29">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372FC6C">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36313003">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2418BA23">
            <w:pPr>
              <w:spacing w:line="300" w:lineRule="auto"/>
              <w:ind w:firstLine="0" w:firstLineChars="0"/>
              <w:jc w:val="both"/>
              <w:rPr>
                <w:rFonts w:ascii="Times New Roman" w:hAnsi="Times New Roman" w:eastAsia="仿宋_GB2312" w:cs="Times New Roman"/>
                <w:color w:val="auto"/>
                <w:highlight w:val="none"/>
              </w:rPr>
            </w:pPr>
          </w:p>
        </w:tc>
      </w:tr>
      <w:tr w14:paraId="6944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0445EFE">
            <w:pPr>
              <w:adjustRightInd w:val="0"/>
              <w:snapToGrid w:val="0"/>
              <w:spacing w:line="40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参与同类项目经历</w:t>
            </w:r>
          </w:p>
          <w:p w14:paraId="5BCD69A4">
            <w:pPr>
              <w:adjustRightInd w:val="0"/>
              <w:snapToGrid w:val="0"/>
              <w:spacing w:line="400" w:lineRule="exact"/>
              <w:ind w:firstLine="0" w:firstLineChars="0"/>
              <w:jc w:val="center"/>
              <w:rPr>
                <w:rFonts w:ascii="Times New Roman" w:hAnsi="Times New Roman" w:eastAsia="仿宋_GB2312" w:cs="Times New Roman"/>
                <w:i/>
                <w:color w:val="auto"/>
                <w:szCs w:val="21"/>
                <w:highlight w:val="none"/>
              </w:rPr>
            </w:pPr>
            <w:r>
              <w:rPr>
                <w:rFonts w:ascii="Times New Roman" w:hAnsi="Times New Roman" w:eastAsia="仿宋_GB2312" w:cs="Times New Roman"/>
                <w:i/>
                <w:color w:val="auto"/>
                <w:szCs w:val="21"/>
                <w:highlight w:val="none"/>
              </w:rPr>
              <w:t>(详细</w:t>
            </w:r>
          </w:p>
          <w:p w14:paraId="10F653E4">
            <w:pPr>
              <w:adjustRightInd w:val="0"/>
              <w:snapToGrid w:val="0"/>
              <w:spacing w:line="400" w:lineRule="exact"/>
              <w:ind w:firstLine="0" w:firstLineChars="0"/>
              <w:jc w:val="center"/>
              <w:rPr>
                <w:rFonts w:ascii="Times New Roman" w:hAnsi="Times New Roman" w:eastAsia="仿宋_GB2312" w:cs="Times New Roman"/>
                <w:color w:val="auto"/>
                <w:szCs w:val="21"/>
                <w:highlight w:val="none"/>
              </w:rPr>
            </w:pPr>
            <w:r>
              <w:rPr>
                <w:rFonts w:ascii="Times New Roman" w:hAnsi="Times New Roman" w:eastAsia="仿宋_GB2312" w:cs="Times New Roman"/>
                <w:i/>
                <w:color w:val="auto"/>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886B1B7">
            <w:pPr>
              <w:spacing w:line="360" w:lineRule="auto"/>
              <w:ind w:firstLine="0" w:firstLineChars="0"/>
              <w:rPr>
                <w:rFonts w:ascii="Times New Roman" w:hAnsi="Times New Roman" w:eastAsia="仿宋_GB2312" w:cs="Times New Roman"/>
                <w:b/>
                <w:bCs/>
                <w:color w:val="auto"/>
                <w:highlight w:val="none"/>
              </w:rPr>
            </w:pPr>
            <w:r>
              <w:rPr>
                <w:rFonts w:ascii="Times New Roman" w:hAnsi="Times New Roman" w:eastAsia="仿宋_GB2312" w:cs="Times New Roman"/>
                <w:b/>
                <w:bCs/>
                <w:color w:val="auto"/>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17C8AC8">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10E88E3">
            <w:pPr>
              <w:spacing w:line="360" w:lineRule="auto"/>
              <w:ind w:firstLine="0" w:firstLineChars="0"/>
              <w:jc w:val="both"/>
              <w:rPr>
                <w:rFonts w:ascii="Times New Roman" w:hAnsi="Times New Roman" w:eastAsia="仿宋_GB2312" w:cs="Times New Roman"/>
                <w:color w:val="auto"/>
                <w:highlight w:val="none"/>
              </w:rPr>
            </w:pPr>
            <w:r>
              <w:rPr>
                <w:rFonts w:ascii="Times New Roman" w:hAnsi="Times New Roman" w:eastAsia="仿宋_GB2312" w:cs="Times New Roman"/>
                <w:b/>
                <w:bCs/>
                <w:color w:val="auto"/>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9D33894">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（个）</w:t>
            </w:r>
          </w:p>
        </w:tc>
      </w:tr>
      <w:tr w14:paraId="024F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C58105">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2372959">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CFCD23A">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F19310A">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承担</w:t>
            </w:r>
          </w:p>
          <w:p w14:paraId="6E27D4E7">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C69A3E">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0D83D7B">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项目单位证明人及联系电话</w:t>
            </w:r>
          </w:p>
        </w:tc>
      </w:tr>
      <w:tr w14:paraId="4D5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36A1F2B">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FAF4F3">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5829BE5">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7ACD18D">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D3A3773">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339483">
            <w:pPr>
              <w:spacing w:line="360" w:lineRule="auto"/>
              <w:ind w:firstLine="0" w:firstLineChars="0"/>
              <w:rPr>
                <w:rFonts w:ascii="Times New Roman" w:hAnsi="Times New Roman" w:cs="Times New Roman"/>
                <w:color w:val="auto"/>
                <w:highlight w:val="none"/>
              </w:rPr>
            </w:pPr>
          </w:p>
        </w:tc>
      </w:tr>
      <w:tr w14:paraId="550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654E3E0">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4B9514">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8FA9E27">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2D733D6">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7F460F">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B487650">
            <w:pPr>
              <w:spacing w:line="360" w:lineRule="auto"/>
              <w:ind w:firstLine="0" w:firstLineChars="0"/>
              <w:rPr>
                <w:rFonts w:ascii="Times New Roman" w:hAnsi="Times New Roman" w:cs="Times New Roman"/>
                <w:color w:val="auto"/>
                <w:highlight w:val="none"/>
              </w:rPr>
            </w:pPr>
          </w:p>
        </w:tc>
      </w:tr>
      <w:tr w14:paraId="63EB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BE26429">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21FAF0A">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82A2A3C">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04243C5">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4F805FD">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7E21E08">
            <w:pPr>
              <w:spacing w:line="360" w:lineRule="auto"/>
              <w:ind w:firstLine="0" w:firstLineChars="0"/>
              <w:rPr>
                <w:rFonts w:ascii="Times New Roman" w:hAnsi="Times New Roman" w:cs="Times New Roman"/>
                <w:color w:val="auto"/>
                <w:highlight w:val="none"/>
              </w:rPr>
            </w:pPr>
          </w:p>
        </w:tc>
      </w:tr>
      <w:tr w14:paraId="48A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4459A24">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3460CE">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D11CDF5">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ADCA2D0">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57F0D3E">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B4C890C">
            <w:pPr>
              <w:spacing w:line="360" w:lineRule="auto"/>
              <w:ind w:firstLine="0" w:firstLineChars="0"/>
              <w:rPr>
                <w:rFonts w:ascii="Times New Roman" w:hAnsi="Times New Roman" w:cs="Times New Roman"/>
                <w:color w:val="auto"/>
                <w:highlight w:val="none"/>
              </w:rPr>
            </w:pPr>
          </w:p>
        </w:tc>
      </w:tr>
      <w:tr w14:paraId="4E8F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B81874D">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0C4C3D">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4FC21F9">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46E22C7">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59E4163">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94937CB">
            <w:pPr>
              <w:spacing w:line="360" w:lineRule="auto"/>
              <w:ind w:firstLine="0" w:firstLineChars="0"/>
              <w:rPr>
                <w:rFonts w:ascii="Times New Roman" w:hAnsi="Times New Roman" w:cs="Times New Roman"/>
                <w:color w:val="auto"/>
                <w:highlight w:val="none"/>
              </w:rPr>
            </w:pPr>
          </w:p>
        </w:tc>
      </w:tr>
    </w:tbl>
    <w:p w14:paraId="7777DAD7">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注：以上模板仅供参考，可以根据实际情况进行调整。</w:t>
      </w:r>
    </w:p>
    <w:p w14:paraId="7D3DD277">
      <w:pPr>
        <w:rPr>
          <w:rFonts w:ascii="Times New Roman" w:hAnsi="Times New Roman" w:cs="Times New Roman"/>
          <w:snapToGrid w:val="0"/>
          <w:color w:val="auto"/>
          <w:kern w:val="0"/>
          <w:highlight w:val="none"/>
        </w:rPr>
      </w:pPr>
      <w:bookmarkStart w:id="324" w:name="_Toc9331"/>
      <w:bookmarkStart w:id="325" w:name="_Toc30555"/>
      <w:r>
        <w:rPr>
          <w:rFonts w:ascii="Times New Roman" w:hAnsi="Times New Roman" w:cs="Times New Roman"/>
          <w:snapToGrid w:val="0"/>
          <w:color w:val="auto"/>
          <w:kern w:val="0"/>
          <w:highlight w:val="none"/>
        </w:rPr>
        <w:br w:type="page"/>
      </w:r>
    </w:p>
    <w:bookmarkEnd w:id="324"/>
    <w:bookmarkEnd w:id="325"/>
    <w:p w14:paraId="4664D19F">
      <w:pPr>
        <w:ind w:firstLine="0"/>
        <w:jc w:val="center"/>
        <w:outlineLvl w:val="2"/>
        <w:rPr>
          <w:rFonts w:hint="default"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default" w:cs="Times New Roman"/>
          <w:color w:val="auto"/>
          <w:highlight w:val="none"/>
          <w:lang w:eastAsia="zh-CN"/>
        </w:rPr>
        <w:t>（</w:t>
      </w:r>
      <w:r>
        <w:rPr>
          <w:rFonts w:hint="eastAsia" w:cs="Times New Roman"/>
          <w:color w:val="auto"/>
          <w:highlight w:val="none"/>
          <w:lang w:val="en-US" w:eastAsia="zh-CN"/>
        </w:rPr>
        <w:t>四</w:t>
      </w:r>
      <w:r>
        <w:rPr>
          <w:rFonts w:hint="default" w:cs="Times New Roman"/>
          <w:color w:val="auto"/>
          <w:highlight w:val="none"/>
          <w:lang w:eastAsia="zh-CN"/>
        </w:rPr>
        <w:t>）</w:t>
      </w:r>
      <w:r>
        <w:rPr>
          <w:rFonts w:hint="default" w:ascii="Times New Roman" w:hAnsi="Times New Roman" w:cs="Times New Roman"/>
          <w:color w:val="auto"/>
          <w:highlight w:val="none"/>
        </w:rPr>
        <w:t>售后服务和培训方案</w:t>
      </w:r>
    </w:p>
    <w:p w14:paraId="76696690">
      <w:pPr>
        <w:jc w:val="center"/>
        <w:outlineLvl w:val="2"/>
        <w:rPr>
          <w:rFonts w:hint="default" w:ascii="Times New Roman" w:hAnsi="Times New Roman" w:cs="Times New Roman"/>
          <w:color w:val="auto"/>
          <w:highlight w:val="none"/>
        </w:rPr>
      </w:pPr>
      <w:r>
        <w:rPr>
          <w:rFonts w:hint="default" w:cs="Times New Roman"/>
          <w:color w:val="auto"/>
          <w:highlight w:val="none"/>
          <w:lang w:eastAsia="zh-CN"/>
        </w:rPr>
        <w:t>（</w:t>
      </w:r>
      <w:r>
        <w:rPr>
          <w:rFonts w:hint="eastAsia" w:cs="Times New Roman"/>
          <w:color w:val="auto"/>
          <w:highlight w:val="none"/>
          <w:lang w:val="en-US" w:eastAsia="zh-CN"/>
        </w:rPr>
        <w:t>五</w:t>
      </w:r>
      <w:r>
        <w:rPr>
          <w:rFonts w:hint="default" w:cs="Times New Roman"/>
          <w:color w:val="auto"/>
          <w:highlight w:val="none"/>
          <w:lang w:eastAsia="zh-CN"/>
        </w:rPr>
        <w:t>）</w:t>
      </w:r>
      <w:r>
        <w:rPr>
          <w:rFonts w:hint="default" w:ascii="Times New Roman" w:hAnsi="Times New Roman" w:cs="Times New Roman"/>
          <w:color w:val="auto"/>
          <w:highlight w:val="none"/>
        </w:rPr>
        <w:t>服务连续性预案</w:t>
      </w:r>
    </w:p>
    <w:p w14:paraId="3FDED73D">
      <w:pPr>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34797BB4">
      <w:pPr>
        <w:jc w:val="center"/>
        <w:rPr>
          <w:rFonts w:hint="default" w:ascii="Times New Roman" w:hAnsi="Times New Roman" w:cs="Times New Roman"/>
          <w:color w:val="auto"/>
          <w:highlight w:val="none"/>
        </w:rPr>
      </w:pPr>
    </w:p>
    <w:p w14:paraId="6C4498F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D9F7C0A">
      <w:pPr>
        <w:jc w:val="center"/>
        <w:rPr>
          <w:rFonts w:hint="default" w:ascii="Times New Roman" w:hAnsi="Times New Roman" w:cs="Times New Roman"/>
          <w:color w:val="auto"/>
          <w:highlight w:val="none"/>
        </w:rPr>
      </w:pPr>
    </w:p>
    <w:p w14:paraId="52295093">
      <w:pPr>
        <w:jc w:val="center"/>
        <w:outlineLvl w:val="2"/>
        <w:rPr>
          <w:rFonts w:hint="default" w:eastAsia="宋体" w:cs="Times New Roman"/>
          <w:color w:val="auto"/>
          <w:highlight w:val="none"/>
          <w:lang w:eastAsia="zh-CN"/>
        </w:rPr>
      </w:pPr>
      <w:r>
        <w:rPr>
          <w:rFonts w:hint="default" w:cs="Times New Roman"/>
          <w:color w:val="auto"/>
          <w:highlight w:val="none"/>
          <w:lang w:eastAsia="zh-CN"/>
        </w:rPr>
        <w:t>（</w:t>
      </w:r>
      <w:r>
        <w:rPr>
          <w:rFonts w:hint="eastAsia" w:cs="Times New Roman"/>
          <w:color w:val="auto"/>
          <w:highlight w:val="none"/>
          <w:lang w:val="en-US" w:eastAsia="zh-CN"/>
        </w:rPr>
        <w:t>六</w:t>
      </w:r>
      <w:r>
        <w:rPr>
          <w:rFonts w:hint="default" w:cs="Times New Roman"/>
          <w:color w:val="auto"/>
          <w:highlight w:val="none"/>
          <w:lang w:eastAsia="zh-CN"/>
        </w:rPr>
        <w:t>）</w:t>
      </w:r>
      <w:r>
        <w:rPr>
          <w:rFonts w:hint="default" w:ascii="Times New Roman" w:hAnsi="Times New Roman" w:cs="Times New Roman"/>
          <w:color w:val="auto"/>
          <w:highlight w:val="none"/>
        </w:rPr>
        <w:t>项目实施方案</w:t>
      </w:r>
    </w:p>
    <w:p w14:paraId="046ADB14">
      <w:pPr>
        <w:tabs>
          <w:tab w:val="left" w:pos="6300"/>
        </w:tabs>
        <w:snapToGrid w:val="0"/>
        <w:spacing w:line="480" w:lineRule="exact"/>
        <w:ind w:left="0" w:leftChars="0" w:right="480" w:firstLine="0" w:firstLineChars="0"/>
        <w:jc w:val="center"/>
        <w:rPr>
          <w:rFonts w:hint="eastAsia" w:ascii="宋体"/>
          <w:color w:val="auto"/>
          <w:highlight w:val="none"/>
        </w:rPr>
      </w:pPr>
    </w:p>
    <w:p w14:paraId="2E3ECD12">
      <w:pPr>
        <w:tabs>
          <w:tab w:val="left" w:pos="6300"/>
        </w:tabs>
        <w:snapToGrid w:val="0"/>
        <w:spacing w:line="360" w:lineRule="auto"/>
        <w:ind w:firstLine="480"/>
        <w:jc w:val="center"/>
        <w:outlineLvl w:val="9"/>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20F19896">
      <w:pPr>
        <w:tabs>
          <w:tab w:val="left" w:pos="6300"/>
        </w:tabs>
        <w:snapToGrid w:val="0"/>
        <w:spacing w:line="480" w:lineRule="exact"/>
        <w:ind w:left="0" w:leftChars="0" w:right="480" w:firstLine="0" w:firstLineChars="0"/>
        <w:jc w:val="center"/>
        <w:rPr>
          <w:rFonts w:hint="eastAsia" w:ascii="宋体"/>
          <w:color w:val="auto"/>
          <w:highlight w:val="none"/>
        </w:rPr>
        <w:sectPr>
          <w:pgSz w:w="11906" w:h="16838"/>
          <w:pgMar w:top="1440" w:right="1800" w:bottom="1440" w:left="1800" w:header="851" w:footer="992" w:gutter="0"/>
          <w:pgNumType w:fmt="decimal"/>
          <w:cols w:space="720" w:num="1"/>
          <w:docGrid w:type="lines" w:linePitch="312" w:charSpace="0"/>
        </w:sectPr>
      </w:pPr>
    </w:p>
    <w:p w14:paraId="171BEAF0">
      <w:pPr>
        <w:ind w:firstLine="0"/>
        <w:jc w:val="center"/>
        <w:outlineLvl w:val="9"/>
        <w:rPr>
          <w:rFonts w:hint="default" w:ascii="Times New Roman" w:hAnsi="Times New Roman" w:cs="Times New Roman"/>
          <w:color w:val="auto"/>
          <w:highlight w:val="none"/>
        </w:rPr>
      </w:pPr>
    </w:p>
    <w:p w14:paraId="568701E7">
      <w:pPr>
        <w:pStyle w:val="34"/>
        <w:jc w:val="center"/>
        <w:outlineLvl w:val="1"/>
        <w:rPr>
          <w:rFonts w:hint="default" w:ascii="Times New Roman" w:hAnsi="Times New Roman"/>
          <w:color w:val="auto"/>
          <w:highlight w:val="none"/>
        </w:rPr>
      </w:pPr>
      <w:r>
        <w:rPr>
          <w:rFonts w:ascii="Times New Roman" w:hAnsi="Times New Roman"/>
          <w:color w:val="auto"/>
          <w:highlight w:val="none"/>
        </w:rPr>
        <w:t>五、参选保证金</w:t>
      </w:r>
    </w:p>
    <w:p w14:paraId="4B45F981">
      <w:pPr>
        <w:spacing w:line="360" w:lineRule="auto"/>
        <w:ind w:firstLine="480"/>
        <w:rPr>
          <w:rFonts w:ascii="Times New Roman" w:hAnsi="Times New Roman" w:cs="等线 Light"/>
          <w:color w:val="auto"/>
          <w:highlight w:val="none"/>
        </w:rPr>
      </w:pPr>
    </w:p>
    <w:p w14:paraId="01E78891">
      <w:pPr>
        <w:spacing w:line="360" w:lineRule="auto"/>
        <w:ind w:firstLine="480"/>
        <w:rPr>
          <w:rFonts w:ascii="Times New Roman" w:hAnsi="Times New Roman" w:cs="等线 Light"/>
          <w:color w:val="auto"/>
          <w:highlight w:val="none"/>
        </w:rPr>
      </w:pPr>
    </w:p>
    <w:p w14:paraId="70E8B699">
      <w:pPr>
        <w:spacing w:line="360" w:lineRule="auto"/>
        <w:ind w:firstLine="480"/>
        <w:rPr>
          <w:rFonts w:ascii="Times New Roman" w:hAnsi="Times New Roman" w:cs="等线 Light"/>
          <w:color w:val="auto"/>
          <w:highlight w:val="none"/>
        </w:rPr>
      </w:pPr>
    </w:p>
    <w:p w14:paraId="4EE89BE7">
      <w:pPr>
        <w:spacing w:line="360" w:lineRule="auto"/>
        <w:ind w:firstLine="480"/>
        <w:rPr>
          <w:rFonts w:ascii="Times New Roman" w:hAnsi="Times New Roman" w:cs="等线 Light"/>
          <w:color w:val="auto"/>
          <w:highlight w:val="none"/>
        </w:rPr>
      </w:pPr>
    </w:p>
    <w:p w14:paraId="66C7E5E1">
      <w:pPr>
        <w:spacing w:line="360" w:lineRule="auto"/>
        <w:ind w:firstLine="480"/>
        <w:rPr>
          <w:rFonts w:ascii="Times New Roman" w:hAnsi="Times New Roman" w:cs="等线 Light"/>
          <w:color w:val="auto"/>
          <w:highlight w:val="none"/>
        </w:rPr>
      </w:pPr>
    </w:p>
    <w:p w14:paraId="0C6381EC">
      <w:pPr>
        <w:spacing w:line="360" w:lineRule="auto"/>
        <w:ind w:firstLine="480"/>
        <w:rPr>
          <w:rFonts w:ascii="Times New Roman" w:hAnsi="Times New Roman" w:cs="等线 Light"/>
          <w:color w:val="auto"/>
          <w:highlight w:val="none"/>
        </w:rPr>
      </w:pPr>
    </w:p>
    <w:p w14:paraId="2A101946">
      <w:pPr>
        <w:spacing w:line="360" w:lineRule="auto"/>
        <w:ind w:firstLine="480"/>
        <w:rPr>
          <w:rFonts w:ascii="Times New Roman" w:hAnsi="Times New Roman" w:cs="等线 Light"/>
          <w:color w:val="auto"/>
          <w:highlight w:val="none"/>
        </w:rPr>
      </w:pPr>
    </w:p>
    <w:p w14:paraId="3EEE3481">
      <w:pPr>
        <w:spacing w:line="360" w:lineRule="auto"/>
        <w:ind w:firstLine="480"/>
        <w:rPr>
          <w:rFonts w:ascii="Times New Roman" w:hAnsi="Times New Roman" w:cs="等线 Light"/>
          <w:color w:val="auto"/>
          <w:highlight w:val="none"/>
        </w:rPr>
      </w:pPr>
    </w:p>
    <w:p w14:paraId="37943FAC">
      <w:pPr>
        <w:spacing w:line="360" w:lineRule="auto"/>
        <w:ind w:firstLine="480"/>
        <w:rPr>
          <w:rFonts w:ascii="Times New Roman" w:hAnsi="Times New Roman" w:cs="等线 Light"/>
          <w:color w:val="auto"/>
          <w:highlight w:val="none"/>
        </w:rPr>
      </w:pPr>
    </w:p>
    <w:p w14:paraId="521E28FF">
      <w:pPr>
        <w:spacing w:line="360" w:lineRule="auto"/>
        <w:ind w:firstLine="480"/>
        <w:rPr>
          <w:rFonts w:ascii="Times New Roman" w:hAnsi="Times New Roman" w:cs="等线 Light"/>
          <w:color w:val="auto"/>
          <w:highlight w:val="none"/>
        </w:rPr>
      </w:pPr>
    </w:p>
    <w:p w14:paraId="4130A99E">
      <w:pPr>
        <w:spacing w:line="360" w:lineRule="auto"/>
        <w:ind w:firstLine="480"/>
        <w:rPr>
          <w:rFonts w:ascii="Times New Roman" w:hAnsi="Times New Roman" w:cs="等线 Light"/>
          <w:color w:val="auto"/>
          <w:highlight w:val="none"/>
        </w:rPr>
      </w:pPr>
    </w:p>
    <w:p w14:paraId="34931932">
      <w:pPr>
        <w:spacing w:line="360" w:lineRule="auto"/>
        <w:ind w:firstLine="480"/>
        <w:rPr>
          <w:rFonts w:ascii="Times New Roman" w:hAnsi="Times New Roman" w:cs="等线 Light"/>
          <w:color w:val="auto"/>
          <w:highlight w:val="none"/>
        </w:rPr>
      </w:pPr>
    </w:p>
    <w:p w14:paraId="0CCF878E">
      <w:pPr>
        <w:spacing w:line="360" w:lineRule="auto"/>
        <w:ind w:firstLine="480"/>
        <w:rPr>
          <w:rFonts w:ascii="Times New Roman" w:hAnsi="Times New Roman" w:cs="等线 Light"/>
          <w:color w:val="auto"/>
          <w:highlight w:val="none"/>
        </w:rPr>
      </w:pPr>
    </w:p>
    <w:p w14:paraId="24652F1B">
      <w:pPr>
        <w:spacing w:line="360" w:lineRule="auto"/>
        <w:ind w:firstLine="480"/>
        <w:rPr>
          <w:rFonts w:ascii="Times New Roman" w:hAnsi="Times New Roman" w:cs="等线 Light"/>
          <w:color w:val="auto"/>
          <w:highlight w:val="none"/>
        </w:rPr>
      </w:pPr>
    </w:p>
    <w:p w14:paraId="5E209322">
      <w:pPr>
        <w:spacing w:line="360" w:lineRule="auto"/>
        <w:ind w:firstLine="480"/>
        <w:rPr>
          <w:rFonts w:ascii="Times New Roman" w:hAnsi="Times New Roman" w:cs="等线 Light"/>
          <w:color w:val="auto"/>
          <w:highlight w:val="none"/>
        </w:rPr>
      </w:pPr>
    </w:p>
    <w:p w14:paraId="5FE25190">
      <w:pPr>
        <w:spacing w:line="360" w:lineRule="auto"/>
        <w:ind w:firstLine="480"/>
        <w:rPr>
          <w:rFonts w:ascii="Times New Roman" w:hAnsi="Times New Roman" w:cs="等线 Light"/>
          <w:color w:val="auto"/>
          <w:highlight w:val="none"/>
        </w:rPr>
      </w:pPr>
    </w:p>
    <w:p w14:paraId="0BD912E8">
      <w:pPr>
        <w:spacing w:line="360" w:lineRule="auto"/>
        <w:ind w:firstLine="480"/>
        <w:rPr>
          <w:rFonts w:ascii="Times New Roman" w:hAnsi="Times New Roman" w:cs="等线 Light"/>
          <w:color w:val="auto"/>
          <w:highlight w:val="none"/>
        </w:rPr>
      </w:pPr>
    </w:p>
    <w:p w14:paraId="6E3E146A">
      <w:pPr>
        <w:spacing w:line="360" w:lineRule="auto"/>
        <w:ind w:firstLine="480"/>
        <w:rPr>
          <w:rFonts w:ascii="Times New Roman" w:hAnsi="Times New Roman" w:cs="等线 Light"/>
          <w:color w:val="auto"/>
          <w:highlight w:val="none"/>
        </w:rPr>
      </w:pPr>
    </w:p>
    <w:p w14:paraId="69C48364">
      <w:pPr>
        <w:adjustRightInd w:val="0"/>
        <w:snapToGrid w:val="0"/>
        <w:spacing w:line="360" w:lineRule="auto"/>
        <w:ind w:firstLine="480"/>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35949D55">
      <w:pPr>
        <w:tabs>
          <w:tab w:val="left" w:pos="6300"/>
        </w:tabs>
        <w:snapToGrid w:val="0"/>
        <w:spacing w:line="360" w:lineRule="auto"/>
        <w:ind w:firstLine="480"/>
        <w:outlineLvl w:val="9"/>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138884B">
      <w:pPr>
        <w:spacing w:line="360" w:lineRule="auto"/>
        <w:ind w:firstLine="420"/>
        <w:rPr>
          <w:rFonts w:ascii="Times New Roman" w:hAnsi="Times New Roman" w:cs="等线 Light"/>
          <w:color w:val="auto"/>
          <w:sz w:val="21"/>
          <w:szCs w:val="21"/>
          <w:highlight w:val="none"/>
        </w:rPr>
      </w:pPr>
    </w:p>
    <w:p w14:paraId="46FF41B5">
      <w:pPr>
        <w:spacing w:line="360" w:lineRule="auto"/>
        <w:ind w:firstLine="480"/>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4E334FCE">
      <w:pPr>
        <w:pStyle w:val="34"/>
        <w:outlineLvl w:val="1"/>
        <w:rPr>
          <w:rFonts w:hint="default" w:ascii="Times New Roman" w:hAnsi="Times New Roman"/>
          <w:color w:val="auto"/>
          <w:highlight w:val="none"/>
        </w:rPr>
      </w:pPr>
      <w:r>
        <w:rPr>
          <w:rFonts w:ascii="Times New Roman" w:hAnsi="Times New Roman"/>
          <w:color w:val="auto"/>
          <w:highlight w:val="none"/>
        </w:rPr>
        <w:t>六、服务水平协议（SLA）</w:t>
      </w:r>
    </w:p>
    <w:tbl>
      <w:tblPr>
        <w:tblStyle w:val="21"/>
        <w:tblpPr w:leftFromText="180" w:rightFromText="180" w:vertAnchor="text" w:horzAnchor="page" w:tblpX="441" w:tblpY="477"/>
        <w:tblOverlap w:val="never"/>
        <w:tblW w:w="11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91"/>
        <w:gridCol w:w="875"/>
        <w:gridCol w:w="1550"/>
        <w:gridCol w:w="3148"/>
        <w:gridCol w:w="2482"/>
        <w:gridCol w:w="893"/>
        <w:gridCol w:w="847"/>
      </w:tblGrid>
      <w:tr w14:paraId="7964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C17915A">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序号</w:t>
            </w:r>
          </w:p>
        </w:tc>
        <w:tc>
          <w:tcPr>
            <w:tcW w:w="891" w:type="dxa"/>
            <w:vAlign w:val="center"/>
          </w:tcPr>
          <w:p w14:paraId="06356515">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评价维度</w:t>
            </w:r>
          </w:p>
        </w:tc>
        <w:tc>
          <w:tcPr>
            <w:tcW w:w="875" w:type="dxa"/>
            <w:vAlign w:val="center"/>
          </w:tcPr>
          <w:p w14:paraId="1AFBF781">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评价指标</w:t>
            </w:r>
          </w:p>
        </w:tc>
        <w:tc>
          <w:tcPr>
            <w:tcW w:w="1550" w:type="dxa"/>
            <w:vAlign w:val="center"/>
          </w:tcPr>
          <w:p w14:paraId="3D365BC9">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指标定义</w:t>
            </w:r>
          </w:p>
        </w:tc>
        <w:tc>
          <w:tcPr>
            <w:tcW w:w="3148" w:type="dxa"/>
            <w:vAlign w:val="center"/>
          </w:tcPr>
          <w:p w14:paraId="40884806">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评分</w:t>
            </w:r>
            <w:r>
              <w:rPr>
                <w:rFonts w:hint="eastAsia" w:ascii="宋体" w:hAnsi="宋体" w:eastAsia="宋体" w:cs="Times New Roman"/>
                <w:b/>
                <w:color w:val="auto"/>
                <w:spacing w:val="20"/>
                <w:sz w:val="21"/>
                <w:szCs w:val="21"/>
                <w:highlight w:val="none"/>
              </w:rPr>
              <w:t>/价</w:t>
            </w:r>
            <w:r>
              <w:rPr>
                <w:rFonts w:ascii="宋体" w:hAnsi="宋体" w:eastAsia="宋体" w:cs="Times New Roman"/>
                <w:b/>
                <w:color w:val="auto"/>
                <w:spacing w:val="20"/>
                <w:sz w:val="21"/>
                <w:szCs w:val="21"/>
                <w:highlight w:val="none"/>
              </w:rPr>
              <w:t>标准</w:t>
            </w:r>
          </w:p>
        </w:tc>
        <w:tc>
          <w:tcPr>
            <w:tcW w:w="2482" w:type="dxa"/>
            <w:vAlign w:val="center"/>
          </w:tcPr>
          <w:p w14:paraId="79D0F776">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违约金标准</w:t>
            </w:r>
          </w:p>
        </w:tc>
        <w:tc>
          <w:tcPr>
            <w:tcW w:w="893" w:type="dxa"/>
            <w:vAlign w:val="center"/>
          </w:tcPr>
          <w:p w14:paraId="6ED362AE">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评价结果</w:t>
            </w:r>
          </w:p>
        </w:tc>
        <w:tc>
          <w:tcPr>
            <w:tcW w:w="847" w:type="dxa"/>
            <w:vAlign w:val="center"/>
          </w:tcPr>
          <w:p w14:paraId="33956945">
            <w:pPr>
              <w:autoSpaceDE/>
              <w:autoSpaceDN/>
              <w:spacing w:line="240" w:lineRule="auto"/>
              <w:ind w:firstLine="0" w:firstLineChars="0"/>
              <w:jc w:val="center"/>
              <w:rPr>
                <w:rFonts w:ascii="宋体" w:hAnsi="宋体" w:eastAsia="宋体" w:cs="Times New Roman"/>
                <w:b/>
                <w:color w:val="auto"/>
                <w:spacing w:val="20"/>
                <w:sz w:val="21"/>
                <w:szCs w:val="21"/>
                <w:highlight w:val="none"/>
              </w:rPr>
            </w:pPr>
            <w:r>
              <w:rPr>
                <w:rFonts w:ascii="宋体" w:hAnsi="宋体" w:eastAsia="宋体" w:cs="Times New Roman"/>
                <w:b/>
                <w:color w:val="auto"/>
                <w:spacing w:val="20"/>
                <w:sz w:val="21"/>
                <w:szCs w:val="21"/>
                <w:highlight w:val="none"/>
              </w:rPr>
              <w:t>评价得分</w:t>
            </w:r>
          </w:p>
        </w:tc>
      </w:tr>
      <w:tr w14:paraId="4750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50B735A4">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w:t>
            </w:r>
          </w:p>
        </w:tc>
        <w:tc>
          <w:tcPr>
            <w:tcW w:w="891" w:type="dxa"/>
            <w:vMerge w:val="restart"/>
            <w:vAlign w:val="center"/>
          </w:tcPr>
          <w:p w14:paraId="1B74D165">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服务质量</w:t>
            </w:r>
          </w:p>
        </w:tc>
        <w:tc>
          <w:tcPr>
            <w:tcW w:w="875" w:type="dxa"/>
            <w:vAlign w:val="center"/>
          </w:tcPr>
          <w:p w14:paraId="6B45DB0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交付成果质量</w:t>
            </w:r>
          </w:p>
        </w:tc>
        <w:tc>
          <w:tcPr>
            <w:tcW w:w="1550" w:type="dxa"/>
            <w:vAlign w:val="center"/>
          </w:tcPr>
          <w:p w14:paraId="1186222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所提交的项目交付成果与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要求的项目交付成果的契合度或交付成果质量与合同所约定要求的项目交付成果质量的满足程度</w:t>
            </w:r>
          </w:p>
        </w:tc>
        <w:tc>
          <w:tcPr>
            <w:tcW w:w="3148" w:type="dxa"/>
            <w:vAlign w:val="center"/>
          </w:tcPr>
          <w:p w14:paraId="2F984DA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进行有效的沟通，交付成果高度契合需求，完全满足并超出合同约定的预期目标，给</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带来显著的附加价值</w:t>
            </w:r>
            <w:r>
              <w:rPr>
                <w:rFonts w:hint="eastAsia" w:ascii="宋体" w:hAnsi="宋体" w:eastAsia="宋体" w:cs="Times New Roman"/>
                <w:color w:val="auto"/>
                <w:spacing w:val="20"/>
                <w:sz w:val="21"/>
                <w:szCs w:val="21"/>
                <w:highlight w:val="none"/>
              </w:rPr>
              <w:t>；</w:t>
            </w:r>
          </w:p>
          <w:p w14:paraId="3D44E4E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能够快速响应需求，交付成果达到合同约定的预期目标，基本契合需求，满足合同约定的预期目标</w:t>
            </w:r>
            <w:r>
              <w:rPr>
                <w:rFonts w:hint="eastAsia" w:ascii="宋体" w:hAnsi="宋体" w:eastAsia="宋体" w:cs="Times New Roman"/>
                <w:color w:val="auto"/>
                <w:spacing w:val="20"/>
                <w:sz w:val="21"/>
                <w:szCs w:val="21"/>
                <w:highlight w:val="none"/>
              </w:rPr>
              <w:t>；</w:t>
            </w:r>
          </w:p>
          <w:p w14:paraId="6D0F6B8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能够按要求响应需求，交付成果</w:t>
            </w:r>
            <w:r>
              <w:rPr>
                <w:rFonts w:hint="eastAsia" w:ascii="宋体" w:hAnsi="宋体" w:eastAsia="宋体" w:cs="Times New Roman"/>
                <w:color w:val="auto"/>
                <w:spacing w:val="20"/>
                <w:sz w:val="21"/>
                <w:szCs w:val="21"/>
                <w:highlight w:val="none"/>
              </w:rPr>
              <w:t>基本满足</w:t>
            </w:r>
            <w:r>
              <w:rPr>
                <w:rFonts w:ascii="宋体" w:hAnsi="宋体" w:eastAsia="宋体" w:cs="Times New Roman"/>
                <w:color w:val="auto"/>
                <w:spacing w:val="20"/>
                <w:sz w:val="21"/>
                <w:szCs w:val="21"/>
                <w:highlight w:val="none"/>
              </w:rPr>
              <w:t>需求，但是总体可满足合同约定的预期目标</w:t>
            </w:r>
            <w:r>
              <w:rPr>
                <w:rFonts w:hint="eastAsia" w:ascii="宋体" w:hAnsi="宋体" w:eastAsia="宋体" w:cs="Times New Roman"/>
                <w:color w:val="auto"/>
                <w:spacing w:val="20"/>
                <w:sz w:val="21"/>
                <w:szCs w:val="21"/>
                <w:highlight w:val="none"/>
              </w:rPr>
              <w:t>；</w:t>
            </w:r>
          </w:p>
          <w:p w14:paraId="521B343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乙方未</w:t>
            </w:r>
            <w:r>
              <w:rPr>
                <w:rFonts w:ascii="宋体" w:hAnsi="宋体" w:eastAsia="宋体" w:cs="Times New Roman"/>
                <w:color w:val="auto"/>
                <w:spacing w:val="20"/>
                <w:sz w:val="21"/>
                <w:szCs w:val="21"/>
                <w:highlight w:val="none"/>
              </w:rPr>
              <w:t>能够按要求响应需求，</w:t>
            </w:r>
            <w:r>
              <w:rPr>
                <w:rFonts w:hint="eastAsia" w:ascii="宋体" w:hAnsi="宋体" w:eastAsia="宋体" w:cs="Times New Roman"/>
                <w:color w:val="auto"/>
                <w:spacing w:val="20"/>
                <w:sz w:val="21"/>
                <w:szCs w:val="21"/>
                <w:highlight w:val="none"/>
              </w:rPr>
              <w:t>或</w:t>
            </w:r>
            <w:r>
              <w:rPr>
                <w:rFonts w:ascii="宋体" w:hAnsi="宋体" w:eastAsia="宋体" w:cs="Times New Roman"/>
                <w:color w:val="auto"/>
                <w:spacing w:val="20"/>
                <w:sz w:val="21"/>
                <w:szCs w:val="21"/>
                <w:highlight w:val="none"/>
              </w:rPr>
              <w:t>交付成果与需求</w:t>
            </w:r>
            <w:r>
              <w:rPr>
                <w:rFonts w:hint="eastAsia" w:ascii="宋体" w:hAnsi="宋体" w:eastAsia="宋体" w:cs="Times New Roman"/>
                <w:color w:val="auto"/>
                <w:spacing w:val="20"/>
                <w:sz w:val="21"/>
                <w:szCs w:val="21"/>
                <w:highlight w:val="none"/>
              </w:rPr>
              <w:t>契合度</w:t>
            </w:r>
            <w:r>
              <w:rPr>
                <w:rFonts w:ascii="宋体" w:hAnsi="宋体" w:eastAsia="宋体" w:cs="Times New Roman"/>
                <w:color w:val="auto"/>
                <w:spacing w:val="20"/>
                <w:sz w:val="21"/>
                <w:szCs w:val="21"/>
                <w:highlight w:val="none"/>
              </w:rPr>
              <w:t>差距较大，无法达到合同约定的预期目标</w:t>
            </w:r>
            <w:r>
              <w:rPr>
                <w:rFonts w:hint="eastAsia" w:ascii="宋体" w:hAnsi="宋体" w:eastAsia="宋体" w:cs="Times New Roman"/>
                <w:color w:val="auto"/>
                <w:spacing w:val="20"/>
                <w:sz w:val="21"/>
                <w:szCs w:val="21"/>
                <w:highlight w:val="none"/>
              </w:rPr>
              <w:t>。</w:t>
            </w:r>
          </w:p>
        </w:tc>
        <w:tc>
          <w:tcPr>
            <w:tcW w:w="2482" w:type="dxa"/>
            <w:vAlign w:val="center"/>
          </w:tcPr>
          <w:p w14:paraId="6385641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交付成果每缺少一项扣除乙方金额人民币2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元；每有一项交付成果质量不合格扣除乙方金额人民币2</w:t>
            </w:r>
            <w:r>
              <w:rPr>
                <w:rFonts w:ascii="宋体" w:hAnsi="宋体" w:eastAsia="宋体" w:cs="Times New Roman"/>
                <w:color w:val="auto"/>
                <w:spacing w:val="20"/>
                <w:sz w:val="21"/>
                <w:szCs w:val="21"/>
                <w:highlight w:val="none"/>
              </w:rPr>
              <w:t>000</w:t>
            </w:r>
            <w:r>
              <w:rPr>
                <w:rFonts w:hint="eastAsia" w:ascii="宋体" w:hAnsi="宋体" w:eastAsia="宋体" w:cs="Times New Roman"/>
                <w:color w:val="auto"/>
                <w:spacing w:val="20"/>
                <w:sz w:val="21"/>
                <w:szCs w:val="21"/>
                <w:highlight w:val="none"/>
              </w:rPr>
              <w:t>元。</w:t>
            </w:r>
          </w:p>
        </w:tc>
        <w:tc>
          <w:tcPr>
            <w:tcW w:w="893" w:type="dxa"/>
            <w:vAlign w:val="center"/>
          </w:tcPr>
          <w:p w14:paraId="67AD706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6B6BBDD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5888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F863C1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w:t>
            </w:r>
          </w:p>
        </w:tc>
        <w:tc>
          <w:tcPr>
            <w:tcW w:w="891" w:type="dxa"/>
            <w:vMerge w:val="continue"/>
          </w:tcPr>
          <w:p w14:paraId="6E93A79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7FEB4BD2">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成果交付延期情况</w:t>
            </w:r>
          </w:p>
        </w:tc>
        <w:tc>
          <w:tcPr>
            <w:tcW w:w="1550" w:type="dxa"/>
            <w:vAlign w:val="center"/>
          </w:tcPr>
          <w:p w14:paraId="54AEC2D5">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因乙方原因导致</w:t>
            </w:r>
            <w:r>
              <w:rPr>
                <w:rFonts w:ascii="宋体" w:hAnsi="宋体" w:eastAsia="宋体" w:cs="Times New Roman"/>
                <w:color w:val="auto"/>
                <w:spacing w:val="20"/>
                <w:sz w:val="21"/>
                <w:szCs w:val="21"/>
                <w:highlight w:val="none"/>
              </w:rPr>
              <w:t>项目交付成果时间与合同规定时间之间的差距</w:t>
            </w:r>
          </w:p>
        </w:tc>
        <w:tc>
          <w:tcPr>
            <w:tcW w:w="3148" w:type="dxa"/>
            <w:vAlign w:val="center"/>
          </w:tcPr>
          <w:p w14:paraId="4128E7F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实</w:t>
            </w:r>
            <w:r>
              <w:rPr>
                <w:rFonts w:ascii="宋体" w:hAnsi="宋体" w:eastAsia="宋体" w:cs="Times New Roman"/>
                <w:color w:val="auto"/>
                <w:spacing w:val="20"/>
                <w:sz w:val="21"/>
                <w:szCs w:val="21"/>
                <w:highlight w:val="none"/>
              </w:rPr>
              <w:t>际交付成果日期与合同约定交付日期之差</w:t>
            </w:r>
            <w:r>
              <w:rPr>
                <w:rFonts w:hint="eastAsia" w:ascii="宋体" w:hAnsi="宋体" w:eastAsia="宋体" w:cs="Times New Roman"/>
                <w:b/>
                <w:bCs/>
                <w:color w:val="auto"/>
                <w:spacing w:val="20"/>
                <w:sz w:val="21"/>
                <w:szCs w:val="21"/>
                <w:highlight w:val="none"/>
              </w:rPr>
              <w:t>【得分上限5分】</w:t>
            </w:r>
          </w:p>
          <w:p w14:paraId="6D090D1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无延期：</w:t>
            </w:r>
            <w:r>
              <w:rPr>
                <w:rFonts w:hint="eastAsia" w:ascii="宋体" w:hAnsi="宋体" w:eastAsia="宋体" w:cs="Times New Roman"/>
                <w:color w:val="auto"/>
                <w:spacing w:val="20"/>
                <w:sz w:val="21"/>
                <w:szCs w:val="21"/>
                <w:highlight w:val="none"/>
              </w:rPr>
              <w:t>指未出现延期，该项指标满分；</w:t>
            </w:r>
          </w:p>
          <w:p w14:paraId="2F4681A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0＜延期≤3个月：</w:t>
            </w:r>
            <w:r>
              <w:rPr>
                <w:rFonts w:hint="eastAsia" w:ascii="宋体" w:hAnsi="宋体" w:eastAsia="宋体" w:cs="Times New Roman"/>
                <w:color w:val="auto"/>
                <w:spacing w:val="20"/>
                <w:sz w:val="21"/>
                <w:szCs w:val="21"/>
                <w:highlight w:val="none"/>
              </w:rPr>
              <w:t>扣2分，指出现延期3个月</w:t>
            </w:r>
            <w:r>
              <w:rPr>
                <w:rFonts w:ascii="宋体" w:hAnsi="宋体" w:eastAsia="宋体" w:cs="Times New Roman"/>
                <w:color w:val="auto"/>
                <w:spacing w:val="20"/>
                <w:sz w:val="21"/>
                <w:szCs w:val="21"/>
                <w:highlight w:val="none"/>
              </w:rPr>
              <w:t>（含）</w:t>
            </w:r>
            <w:r>
              <w:rPr>
                <w:rFonts w:hint="eastAsia" w:ascii="宋体" w:hAnsi="宋体" w:eastAsia="宋体" w:cs="Times New Roman"/>
                <w:color w:val="auto"/>
                <w:spacing w:val="20"/>
                <w:sz w:val="21"/>
                <w:szCs w:val="21"/>
                <w:highlight w:val="none"/>
              </w:rPr>
              <w:t>以内；</w:t>
            </w:r>
          </w:p>
          <w:p w14:paraId="566BE72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3＜延期≤6个月：</w:t>
            </w:r>
            <w:r>
              <w:rPr>
                <w:rFonts w:hint="eastAsia" w:ascii="宋体" w:hAnsi="宋体" w:eastAsia="宋体" w:cs="Times New Roman"/>
                <w:color w:val="auto"/>
                <w:spacing w:val="20"/>
                <w:sz w:val="21"/>
                <w:szCs w:val="21"/>
                <w:highlight w:val="none"/>
              </w:rPr>
              <w:t>扣3分，指出现延期大于3个月且小于等于6个月；</w:t>
            </w:r>
          </w:p>
          <w:p w14:paraId="03F2046F">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延期6个月以上：</w:t>
            </w:r>
            <w:r>
              <w:rPr>
                <w:rFonts w:hint="eastAsia" w:ascii="宋体" w:hAnsi="宋体" w:eastAsia="宋体" w:cs="Times New Roman"/>
                <w:color w:val="auto"/>
                <w:spacing w:val="20"/>
                <w:sz w:val="21"/>
                <w:szCs w:val="21"/>
                <w:highlight w:val="none"/>
              </w:rPr>
              <w:t>扣5分，指出现延期6个月以上。</w:t>
            </w:r>
          </w:p>
        </w:tc>
        <w:tc>
          <w:tcPr>
            <w:tcW w:w="2482" w:type="dxa"/>
            <w:vAlign w:val="center"/>
          </w:tcPr>
          <w:p w14:paraId="056182BD">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color w:val="auto"/>
                <w:spacing w:val="20"/>
                <w:sz w:val="21"/>
                <w:szCs w:val="21"/>
                <w:highlight w:val="none"/>
              </w:rPr>
              <w:t>若延期超过1个月，每延期增加一天扣除合同总金额的0.1%（注：最多扣除不超过合同总金额的10%）</w:t>
            </w:r>
          </w:p>
        </w:tc>
        <w:tc>
          <w:tcPr>
            <w:tcW w:w="893" w:type="dxa"/>
            <w:vAlign w:val="center"/>
          </w:tcPr>
          <w:p w14:paraId="230DE86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6FEACE7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1532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7C6A86DB">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3</w:t>
            </w:r>
          </w:p>
        </w:tc>
        <w:tc>
          <w:tcPr>
            <w:tcW w:w="891" w:type="dxa"/>
            <w:vMerge w:val="continue"/>
          </w:tcPr>
          <w:p w14:paraId="59D9983B">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20C265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产品缺陷密度</w:t>
            </w:r>
          </w:p>
        </w:tc>
        <w:tc>
          <w:tcPr>
            <w:tcW w:w="1550" w:type="dxa"/>
            <w:vAlign w:val="center"/>
          </w:tcPr>
          <w:p w14:paraId="2EC7E2AF">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用于记录统计周期内单位功能</w:t>
            </w:r>
            <w:r>
              <w:rPr>
                <w:rFonts w:hint="eastAsia" w:ascii="宋体" w:hAnsi="宋体" w:eastAsia="宋体" w:cs="Times New Roman"/>
                <w:color w:val="auto"/>
                <w:spacing w:val="20"/>
                <w:sz w:val="21"/>
                <w:szCs w:val="21"/>
                <w:highlight w:val="none"/>
              </w:rPr>
              <w:t>（案例）</w:t>
            </w:r>
            <w:r>
              <w:rPr>
                <w:rFonts w:ascii="宋体" w:hAnsi="宋体" w:eastAsia="宋体" w:cs="Times New Roman"/>
                <w:color w:val="auto"/>
                <w:spacing w:val="20"/>
                <w:sz w:val="21"/>
                <w:szCs w:val="21"/>
                <w:highlight w:val="none"/>
              </w:rPr>
              <w:t>点发现的缺陷数量</w:t>
            </w:r>
          </w:p>
        </w:tc>
        <w:tc>
          <w:tcPr>
            <w:tcW w:w="3148" w:type="dxa"/>
            <w:vAlign w:val="center"/>
          </w:tcPr>
          <w:p w14:paraId="76990F2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品缺陷密度=统计周期内发现的该系统有效缺陷数/统计周期内该系统功能点总数</w:t>
            </w:r>
            <w:r>
              <w:rPr>
                <w:rFonts w:hint="eastAsia" w:ascii="宋体" w:hAnsi="宋体" w:eastAsia="宋体" w:cs="Times New Roman"/>
                <w:color w:val="auto"/>
                <w:spacing w:val="20"/>
                <w:sz w:val="21"/>
                <w:szCs w:val="21"/>
                <w:highlight w:val="none"/>
              </w:rPr>
              <w:t>（案例数）</w:t>
            </w:r>
          </w:p>
          <w:p w14:paraId="49B2A23A">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10分【0-5%】</w:t>
            </w:r>
          </w:p>
          <w:p w14:paraId="0B2FA0F4">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5分【5%-20%】</w:t>
            </w:r>
          </w:p>
          <w:p w14:paraId="7C9B746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0分【超过20%】</w:t>
            </w:r>
          </w:p>
        </w:tc>
        <w:tc>
          <w:tcPr>
            <w:tcW w:w="2482" w:type="dxa"/>
            <w:vAlign w:val="center"/>
          </w:tcPr>
          <w:p w14:paraId="5785CD2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产</w:t>
            </w:r>
            <w:r>
              <w:rPr>
                <w:rFonts w:ascii="宋体" w:hAnsi="宋体" w:eastAsia="宋体" w:cs="Times New Roman"/>
                <w:color w:val="auto"/>
                <w:spacing w:val="20"/>
                <w:sz w:val="21"/>
                <w:szCs w:val="21"/>
                <w:highlight w:val="none"/>
              </w:rPr>
              <w:t>品缺</w:t>
            </w:r>
            <w:r>
              <w:rPr>
                <w:rFonts w:hint="eastAsia" w:ascii="宋体" w:hAnsi="宋体" w:eastAsia="宋体" w:cs="Times New Roman"/>
                <w:color w:val="auto"/>
                <w:spacing w:val="20"/>
                <w:sz w:val="21"/>
                <w:szCs w:val="21"/>
                <w:highlight w:val="none"/>
              </w:rPr>
              <w:t>陷</w:t>
            </w:r>
            <w:r>
              <w:rPr>
                <w:rFonts w:ascii="宋体" w:hAnsi="宋体" w:eastAsia="宋体" w:cs="Times New Roman"/>
                <w:color w:val="auto"/>
                <w:spacing w:val="20"/>
                <w:sz w:val="21"/>
                <w:szCs w:val="21"/>
                <w:highlight w:val="none"/>
              </w:rPr>
              <w:t>密度</w:t>
            </w:r>
            <w:r>
              <w:rPr>
                <w:rFonts w:hint="eastAsia" w:ascii="宋体" w:hAnsi="宋体" w:eastAsia="宋体" w:cs="Times New Roman"/>
                <w:color w:val="auto"/>
                <w:spacing w:val="20"/>
                <w:sz w:val="21"/>
                <w:szCs w:val="21"/>
                <w:highlight w:val="none"/>
              </w:rPr>
              <w:t>超过20%，缺陷密度每增加1%扣除合同总金额的0.1%。</w:t>
            </w:r>
          </w:p>
        </w:tc>
        <w:tc>
          <w:tcPr>
            <w:tcW w:w="893" w:type="dxa"/>
            <w:vAlign w:val="center"/>
          </w:tcPr>
          <w:p w14:paraId="3ED84D2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5781D56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A5A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67808F98">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4</w:t>
            </w:r>
          </w:p>
        </w:tc>
        <w:tc>
          <w:tcPr>
            <w:tcW w:w="891" w:type="dxa"/>
            <w:vMerge w:val="continue"/>
          </w:tcPr>
          <w:p w14:paraId="22816BEE">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FEB01A3">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w:t>
            </w:r>
          </w:p>
        </w:tc>
        <w:tc>
          <w:tcPr>
            <w:tcW w:w="1550" w:type="dxa"/>
            <w:vAlign w:val="center"/>
          </w:tcPr>
          <w:p w14:paraId="2471925E">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用于记录统计周期内测试发现的缺陷中已解决缺陷的比例</w:t>
            </w:r>
          </w:p>
        </w:tc>
        <w:tc>
          <w:tcPr>
            <w:tcW w:w="3148" w:type="dxa"/>
            <w:vAlign w:val="center"/>
          </w:tcPr>
          <w:p w14:paraId="050D626D">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缺陷解决率=统计周期内测试发现的有效缺陷中已解决的数量/统计周期内测试发现的有效缺陷总数量</w:t>
            </w:r>
          </w:p>
          <w:p w14:paraId="6C723806">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10分【98%-100%】</w:t>
            </w:r>
          </w:p>
          <w:p w14:paraId="79BFE22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5分【95%-97%】</w:t>
            </w:r>
          </w:p>
          <w:p w14:paraId="7CBEB569">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703404A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w:t>
            </w:r>
            <w:r>
              <w:rPr>
                <w:rFonts w:ascii="宋体" w:hAnsi="宋体" w:eastAsia="宋体" w:cs="Times New Roman"/>
                <w:color w:val="auto"/>
                <w:spacing w:val="20"/>
                <w:sz w:val="21"/>
                <w:szCs w:val="21"/>
                <w:highlight w:val="none"/>
              </w:rPr>
              <w:t>缺陷解决率</w:t>
            </w:r>
            <w:r>
              <w:rPr>
                <w:rFonts w:hint="eastAsia" w:ascii="宋体" w:hAnsi="宋体" w:eastAsia="宋体" w:cs="Times New Roman"/>
                <w:bCs/>
                <w:color w:val="auto"/>
                <w:spacing w:val="20"/>
                <w:sz w:val="21"/>
                <w:szCs w:val="21"/>
                <w:highlight w:val="none"/>
              </w:rPr>
              <w:t>低于95</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缺陷</w:t>
            </w:r>
            <w:r>
              <w:rPr>
                <w:rFonts w:hint="eastAsia" w:ascii="宋体" w:hAnsi="宋体" w:eastAsia="宋体" w:cs="Times New Roman"/>
                <w:color w:val="auto"/>
                <w:spacing w:val="20"/>
                <w:sz w:val="21"/>
                <w:szCs w:val="21"/>
                <w:highlight w:val="none"/>
              </w:rPr>
              <w:t>解决率每低1%扣除合同总金额的0.1%。</w:t>
            </w:r>
          </w:p>
        </w:tc>
        <w:tc>
          <w:tcPr>
            <w:tcW w:w="893" w:type="dxa"/>
            <w:vAlign w:val="center"/>
          </w:tcPr>
          <w:p w14:paraId="55E5420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5A88636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890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2097CD42">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5</w:t>
            </w:r>
          </w:p>
        </w:tc>
        <w:tc>
          <w:tcPr>
            <w:tcW w:w="891" w:type="dxa"/>
            <w:vMerge w:val="restart"/>
            <w:vAlign w:val="center"/>
          </w:tcPr>
          <w:p w14:paraId="1B6088BD">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协议履行</w:t>
            </w:r>
          </w:p>
        </w:tc>
        <w:tc>
          <w:tcPr>
            <w:tcW w:w="875" w:type="dxa"/>
            <w:vAlign w:val="center"/>
          </w:tcPr>
          <w:p w14:paraId="4902CC54">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重大事项报告</w:t>
            </w:r>
          </w:p>
        </w:tc>
        <w:tc>
          <w:tcPr>
            <w:tcW w:w="1550" w:type="dxa"/>
            <w:vAlign w:val="center"/>
          </w:tcPr>
          <w:p w14:paraId="0831E93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148" w:type="dxa"/>
            <w:vAlign w:val="center"/>
          </w:tcPr>
          <w:p w14:paraId="6C3F923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指无重大事项或当发生重大事项时，能够于24小时内</w:t>
            </w:r>
            <w:r>
              <w:rPr>
                <w:rFonts w:hint="eastAsia" w:ascii="宋体" w:hAnsi="宋体" w:eastAsia="宋体" w:cs="Times New Roman"/>
                <w:color w:val="auto"/>
                <w:spacing w:val="20"/>
                <w:sz w:val="21"/>
                <w:szCs w:val="21"/>
                <w:highlight w:val="none"/>
              </w:rPr>
              <w:t>告知甲方；</w:t>
            </w:r>
          </w:p>
          <w:p w14:paraId="4688200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指当发生重大事项时，能够于一周内告知</w:t>
            </w:r>
            <w:r>
              <w:rPr>
                <w:rFonts w:hint="eastAsia" w:ascii="宋体" w:hAnsi="宋体" w:eastAsia="宋体" w:cs="Times New Roman"/>
                <w:color w:val="auto"/>
                <w:spacing w:val="20"/>
                <w:sz w:val="21"/>
                <w:szCs w:val="21"/>
                <w:highlight w:val="none"/>
              </w:rPr>
              <w:t>甲方；</w:t>
            </w:r>
          </w:p>
          <w:p w14:paraId="52DC80A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指当发生重大事项时，能够于一</w:t>
            </w:r>
            <w:r>
              <w:rPr>
                <w:rFonts w:hint="eastAsia" w:ascii="宋体" w:hAnsi="宋体" w:eastAsia="宋体" w:cs="Times New Roman"/>
                <w:color w:val="auto"/>
                <w:spacing w:val="20"/>
                <w:sz w:val="21"/>
                <w:szCs w:val="21"/>
                <w:highlight w:val="none"/>
              </w:rPr>
              <w:t>月</w:t>
            </w:r>
            <w:r>
              <w:rPr>
                <w:rFonts w:ascii="宋体" w:hAnsi="宋体" w:eastAsia="宋体" w:cs="Times New Roman"/>
                <w:color w:val="auto"/>
                <w:spacing w:val="20"/>
                <w:sz w:val="21"/>
                <w:szCs w:val="21"/>
                <w:highlight w:val="none"/>
              </w:rPr>
              <w:t>内告知</w:t>
            </w:r>
            <w:r>
              <w:rPr>
                <w:rFonts w:hint="eastAsia" w:ascii="宋体" w:hAnsi="宋体" w:eastAsia="宋体" w:cs="Times New Roman"/>
                <w:color w:val="auto"/>
                <w:spacing w:val="20"/>
                <w:sz w:val="21"/>
                <w:szCs w:val="21"/>
                <w:highlight w:val="none"/>
              </w:rPr>
              <w:t>甲方；</w:t>
            </w:r>
          </w:p>
          <w:p w14:paraId="4A12DB1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指当发生重大事项时，</w:t>
            </w:r>
            <w:r>
              <w:rPr>
                <w:rFonts w:hint="eastAsia" w:ascii="宋体" w:hAnsi="宋体" w:eastAsia="宋体" w:cs="Times New Roman"/>
                <w:color w:val="auto"/>
                <w:spacing w:val="20"/>
                <w:sz w:val="21"/>
                <w:szCs w:val="21"/>
                <w:highlight w:val="none"/>
              </w:rPr>
              <w:t>未</w:t>
            </w:r>
            <w:r>
              <w:rPr>
                <w:rFonts w:ascii="宋体" w:hAnsi="宋体" w:eastAsia="宋体" w:cs="Times New Roman"/>
                <w:color w:val="auto"/>
                <w:spacing w:val="20"/>
                <w:sz w:val="21"/>
                <w:szCs w:val="21"/>
                <w:highlight w:val="none"/>
              </w:rPr>
              <w:t>告知</w:t>
            </w:r>
            <w:r>
              <w:rPr>
                <w:rFonts w:hint="eastAsia" w:ascii="宋体" w:hAnsi="宋体" w:eastAsia="宋体" w:cs="Times New Roman"/>
                <w:color w:val="auto"/>
                <w:spacing w:val="20"/>
                <w:sz w:val="21"/>
                <w:szCs w:val="21"/>
                <w:highlight w:val="none"/>
              </w:rPr>
              <w:t>甲方。</w:t>
            </w:r>
          </w:p>
        </w:tc>
        <w:tc>
          <w:tcPr>
            <w:tcW w:w="2482" w:type="dxa"/>
            <w:vAlign w:val="center"/>
          </w:tcPr>
          <w:p w14:paraId="4631894F">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评价为较差/差时，甲方根据实际情况有权终止合同，并要求乙方赔偿实际损失。</w:t>
            </w:r>
          </w:p>
        </w:tc>
        <w:tc>
          <w:tcPr>
            <w:tcW w:w="893" w:type="dxa"/>
            <w:vAlign w:val="center"/>
          </w:tcPr>
          <w:p w14:paraId="5718563B">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1509736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941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6BBA6EF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6</w:t>
            </w:r>
          </w:p>
        </w:tc>
        <w:tc>
          <w:tcPr>
            <w:tcW w:w="891" w:type="dxa"/>
            <w:vMerge w:val="continue"/>
          </w:tcPr>
          <w:p w14:paraId="6A371B8D">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2E7905BD">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重大</w:t>
            </w:r>
            <w:r>
              <w:rPr>
                <w:rFonts w:hint="eastAsia" w:ascii="宋体" w:hAnsi="宋体" w:eastAsia="宋体" w:cs="Times New Roman"/>
                <w:color w:val="auto"/>
                <w:spacing w:val="20"/>
                <w:sz w:val="21"/>
                <w:szCs w:val="21"/>
                <w:highlight w:val="none"/>
              </w:rPr>
              <w:t>事件及质量缺陷</w:t>
            </w:r>
          </w:p>
        </w:tc>
        <w:tc>
          <w:tcPr>
            <w:tcW w:w="1550" w:type="dxa"/>
            <w:vAlign w:val="center"/>
          </w:tcPr>
          <w:p w14:paraId="1B8A495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期内出现</w:t>
            </w:r>
            <w:r>
              <w:rPr>
                <w:rFonts w:hint="eastAsia" w:ascii="宋体" w:hAnsi="宋体" w:eastAsia="宋体" w:cs="Times New Roman"/>
                <w:color w:val="auto"/>
                <w:spacing w:val="20"/>
                <w:sz w:val="21"/>
                <w:szCs w:val="21"/>
                <w:highlight w:val="none"/>
              </w:rPr>
              <w:t>以下重大事件及质量缺陷次数：</w:t>
            </w:r>
          </w:p>
          <w:p w14:paraId="5974459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a.应用软件出现I</w:t>
            </w:r>
            <w:r>
              <w:rPr>
                <w:rFonts w:ascii="宋体" w:hAnsi="宋体" w:eastAsia="宋体" w:cs="Times New Roman"/>
                <w:color w:val="auto"/>
                <w:spacing w:val="20"/>
                <w:sz w:val="21"/>
                <w:szCs w:val="21"/>
                <w:highlight w:val="none"/>
              </w:rPr>
              <w:t>II</w:t>
            </w:r>
            <w:r>
              <w:rPr>
                <w:rFonts w:hint="eastAsia" w:ascii="宋体" w:hAnsi="宋体" w:eastAsia="宋体" w:cs="Times New Roman"/>
                <w:color w:val="auto"/>
                <w:spacing w:val="20"/>
                <w:sz w:val="21"/>
                <w:szCs w:val="21"/>
                <w:highlight w:val="none"/>
              </w:rPr>
              <w:t>级（含）以上的运营中断事件；</w:t>
            </w:r>
          </w:p>
          <w:p w14:paraId="0C50E85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b.因乙方原因（含乙方合作的第三方）导致甲方发生网络安全事件；</w:t>
            </w:r>
          </w:p>
          <w:p w14:paraId="76C6C34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c.应用软件出现严重缺陷和致命缺陷。</w:t>
            </w:r>
          </w:p>
        </w:tc>
        <w:tc>
          <w:tcPr>
            <w:tcW w:w="3148" w:type="dxa"/>
            <w:vAlign w:val="center"/>
          </w:tcPr>
          <w:p w14:paraId="33552AE5">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478D36F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及质量缺陷，该项指标满分；</w:t>
            </w:r>
          </w:p>
          <w:p w14:paraId="50A4B8C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0分，指出现1次及以上任意一项</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w:t>
            </w:r>
          </w:p>
        </w:tc>
        <w:tc>
          <w:tcPr>
            <w:tcW w:w="2482" w:type="dxa"/>
            <w:vAlign w:val="center"/>
          </w:tcPr>
          <w:p w14:paraId="4B854C3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w:t>
            </w:r>
            <w:r>
              <w:rPr>
                <w:rFonts w:ascii="宋体" w:hAnsi="宋体" w:eastAsia="宋体" w:cs="Times New Roman"/>
                <w:color w:val="auto"/>
                <w:spacing w:val="20"/>
                <w:sz w:val="21"/>
                <w:szCs w:val="21"/>
                <w:highlight w:val="none"/>
              </w:rPr>
              <w:t>重大事件</w:t>
            </w:r>
            <w:r>
              <w:rPr>
                <w:rFonts w:hint="eastAsia" w:ascii="宋体" w:hAnsi="宋体" w:eastAsia="宋体" w:cs="Times New Roman"/>
                <w:color w:val="auto"/>
                <w:spacing w:val="20"/>
                <w:sz w:val="21"/>
                <w:szCs w:val="21"/>
                <w:highlight w:val="none"/>
              </w:rPr>
              <w:t>或质量缺陷，扣除乙方合同总金额不低于5%（不低于2万元），并要求乙方赔偿实际损失。</w:t>
            </w:r>
          </w:p>
        </w:tc>
        <w:tc>
          <w:tcPr>
            <w:tcW w:w="893" w:type="dxa"/>
            <w:vAlign w:val="center"/>
          </w:tcPr>
          <w:p w14:paraId="470FA79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7078B20C">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3AC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0872C7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7</w:t>
            </w:r>
          </w:p>
        </w:tc>
        <w:tc>
          <w:tcPr>
            <w:tcW w:w="891" w:type="dxa"/>
            <w:vMerge w:val="continue"/>
          </w:tcPr>
          <w:p w14:paraId="780D5590">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5A8F5E8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信息安全管理</w:t>
            </w:r>
          </w:p>
        </w:tc>
        <w:tc>
          <w:tcPr>
            <w:tcW w:w="1550" w:type="dxa"/>
            <w:vAlign w:val="center"/>
          </w:tcPr>
          <w:p w14:paraId="3990000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w:t>
            </w:r>
            <w:r>
              <w:rPr>
                <w:rFonts w:hint="eastAsia" w:ascii="宋体" w:hAnsi="宋体" w:eastAsia="宋体" w:cs="Times New Roman"/>
                <w:color w:val="auto"/>
                <w:spacing w:val="20"/>
                <w:sz w:val="21"/>
                <w:szCs w:val="21"/>
                <w:highlight w:val="none"/>
              </w:rPr>
              <w:t>乙方在服务</w:t>
            </w:r>
            <w:r>
              <w:rPr>
                <w:rFonts w:ascii="宋体" w:hAnsi="宋体" w:eastAsia="宋体" w:cs="Times New Roman"/>
                <w:color w:val="auto"/>
                <w:spacing w:val="20"/>
                <w:sz w:val="21"/>
                <w:szCs w:val="21"/>
                <w:highlight w:val="none"/>
              </w:rPr>
              <w:t>期内</w:t>
            </w:r>
            <w:r>
              <w:rPr>
                <w:rFonts w:hint="eastAsia" w:ascii="宋体" w:hAnsi="宋体" w:eastAsia="宋体" w:cs="Times New Roman"/>
                <w:color w:val="auto"/>
                <w:spacing w:val="20"/>
                <w:sz w:val="21"/>
                <w:szCs w:val="21"/>
                <w:highlight w:val="none"/>
              </w:rPr>
              <w:t>网络和信息安全服务的管理能力，针对发现的安全漏洞及安全缺陷（包括源代码、第三方SDK或第三方小程序、第三方软件产品及开源组件等），须按甲方要求完成整改</w:t>
            </w:r>
          </w:p>
        </w:tc>
        <w:tc>
          <w:tcPr>
            <w:tcW w:w="3148" w:type="dxa"/>
            <w:vAlign w:val="center"/>
          </w:tcPr>
          <w:p w14:paraId="7BCDE7F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互联网或电子银行类系统：</w:t>
            </w:r>
          </w:p>
          <w:p w14:paraId="35D41EA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1.安全漏洞及安全缺陷整改及时率=100%</w:t>
            </w:r>
          </w:p>
          <w:p w14:paraId="3765015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2.安全漏洞及安全缺陷整改通过率=100%</w:t>
            </w:r>
          </w:p>
          <w:p w14:paraId="6051FD5C">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非互联网或电子银行类系统：</w:t>
            </w:r>
          </w:p>
          <w:p w14:paraId="0CD82F6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1.中高危安全漏洞及安全缺陷整改及时率=100%</w:t>
            </w:r>
          </w:p>
          <w:p w14:paraId="7FE0E41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2.中高危安全漏洞及安全缺陷整改通过率=100%</w:t>
            </w:r>
          </w:p>
          <w:p w14:paraId="3689ABE5">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5分，指未出现安全漏洞及安全缺陷，该项指标满分；</w:t>
            </w:r>
          </w:p>
          <w:p w14:paraId="39DDF93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3分，指出现安全漏洞或安全缺陷，但整改及时率、通过率均为100%；</w:t>
            </w:r>
          </w:p>
          <w:p w14:paraId="123EFEE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0分，指出现安全漏洞及安全缺陷，但整改及时率或通过率未达到100%。</w:t>
            </w:r>
          </w:p>
        </w:tc>
        <w:tc>
          <w:tcPr>
            <w:tcW w:w="2482" w:type="dxa"/>
            <w:vAlign w:val="center"/>
          </w:tcPr>
          <w:p w14:paraId="343A735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若出现的安全漏洞或安全缺陷被上级或监管单位通报的，扣除乙方金额人民币不低于2万元；</w:t>
            </w:r>
          </w:p>
          <w:p w14:paraId="3A0550C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若评价为较差/差时，扣除乙方金额人民币不低于2万元，并要求乙方赔偿实际损失。</w:t>
            </w:r>
          </w:p>
        </w:tc>
        <w:tc>
          <w:tcPr>
            <w:tcW w:w="893" w:type="dxa"/>
            <w:vAlign w:val="center"/>
          </w:tcPr>
          <w:p w14:paraId="0DE64465">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2771695E">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9BE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4E1C1D00">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8</w:t>
            </w:r>
          </w:p>
        </w:tc>
        <w:tc>
          <w:tcPr>
            <w:tcW w:w="891" w:type="dxa"/>
            <w:vMerge w:val="continue"/>
          </w:tcPr>
          <w:p w14:paraId="0337AA9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4D7209B6">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外包安全行为</w:t>
            </w:r>
          </w:p>
        </w:tc>
        <w:tc>
          <w:tcPr>
            <w:tcW w:w="1550" w:type="dxa"/>
            <w:vAlign w:val="center"/>
          </w:tcPr>
          <w:p w14:paraId="3A905B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148" w:type="dxa"/>
            <w:vAlign w:val="center"/>
          </w:tcPr>
          <w:p w14:paraId="0E2349C1">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【得分上限10分】</w:t>
            </w:r>
          </w:p>
          <w:p w14:paraId="792D850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指乙方服务未出现外包安全行为风险，该项指标满分；</w:t>
            </w:r>
          </w:p>
          <w:p w14:paraId="5C7343B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指乙方出现1次及以上外包安全行为风险（每次扣5分，最高扣除10分）。</w:t>
            </w:r>
          </w:p>
        </w:tc>
        <w:tc>
          <w:tcPr>
            <w:tcW w:w="2482" w:type="dxa"/>
            <w:vAlign w:val="center"/>
          </w:tcPr>
          <w:p w14:paraId="2E6D8C0E">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每发生一次外包</w:t>
            </w:r>
            <w:r>
              <w:rPr>
                <w:rFonts w:ascii="宋体" w:hAnsi="宋体" w:eastAsia="宋体" w:cs="Times New Roman"/>
                <w:color w:val="auto"/>
                <w:spacing w:val="20"/>
                <w:sz w:val="21"/>
                <w:szCs w:val="21"/>
                <w:highlight w:val="none"/>
              </w:rPr>
              <w:t>安全</w:t>
            </w:r>
            <w:r>
              <w:rPr>
                <w:rFonts w:hint="eastAsia" w:ascii="宋体" w:hAnsi="宋体" w:eastAsia="宋体" w:cs="Times New Roman"/>
                <w:color w:val="auto"/>
                <w:spacing w:val="20"/>
                <w:sz w:val="21"/>
                <w:szCs w:val="21"/>
                <w:highlight w:val="none"/>
              </w:rPr>
              <w:t>行为风险，扣除乙方金额人民币不低于</w:t>
            </w:r>
            <w:r>
              <w:rPr>
                <w:rFonts w:ascii="宋体" w:hAnsi="宋体" w:eastAsia="宋体" w:cs="Times New Roman"/>
                <w:color w:val="auto"/>
                <w:spacing w:val="20"/>
                <w:sz w:val="21"/>
                <w:szCs w:val="21"/>
                <w:highlight w:val="none"/>
              </w:rPr>
              <w:t>1000</w:t>
            </w:r>
            <w:r>
              <w:rPr>
                <w:rFonts w:hint="eastAsia" w:ascii="宋体" w:hAnsi="宋体" w:eastAsia="宋体" w:cs="Times New Roman"/>
                <w:color w:val="auto"/>
                <w:spacing w:val="20"/>
                <w:sz w:val="21"/>
                <w:szCs w:val="21"/>
                <w:highlight w:val="none"/>
              </w:rPr>
              <w:t>元，并要求乙方赔偿实际损失。</w:t>
            </w:r>
          </w:p>
        </w:tc>
        <w:tc>
          <w:tcPr>
            <w:tcW w:w="893" w:type="dxa"/>
            <w:vAlign w:val="center"/>
          </w:tcPr>
          <w:p w14:paraId="7F35545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7B6CA09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629A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8111FB8">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9</w:t>
            </w:r>
          </w:p>
        </w:tc>
        <w:tc>
          <w:tcPr>
            <w:tcW w:w="891" w:type="dxa"/>
            <w:vMerge w:val="continue"/>
          </w:tcPr>
          <w:p w14:paraId="61D6D533">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7C6CC8B">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响应与解决及时性</w:t>
            </w:r>
          </w:p>
        </w:tc>
        <w:tc>
          <w:tcPr>
            <w:tcW w:w="1550" w:type="dxa"/>
            <w:vAlign w:val="center"/>
          </w:tcPr>
          <w:p w14:paraId="6C92EC9A">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的响应与解决的及时性</w:t>
            </w:r>
          </w:p>
        </w:tc>
        <w:tc>
          <w:tcPr>
            <w:tcW w:w="3148" w:type="dxa"/>
            <w:vAlign w:val="center"/>
          </w:tcPr>
          <w:p w14:paraId="1E8738F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或服务项目能够迅速响应需求，主动快速与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进行有效的沟通，第一时间从专业角度给出解决方案并解决问题</w:t>
            </w:r>
            <w:r>
              <w:rPr>
                <w:rFonts w:hint="eastAsia" w:ascii="宋体" w:hAnsi="宋体" w:eastAsia="宋体" w:cs="Times New Roman"/>
                <w:color w:val="auto"/>
                <w:spacing w:val="20"/>
                <w:sz w:val="21"/>
                <w:szCs w:val="21"/>
                <w:highlight w:val="none"/>
              </w:rPr>
              <w:t>；</w:t>
            </w:r>
          </w:p>
          <w:p w14:paraId="0D7E01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或服务项目能够按要求响应需求，及时与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进行有效的沟通，快速给出处理方案并解决问题</w:t>
            </w:r>
            <w:r>
              <w:rPr>
                <w:rFonts w:hint="eastAsia" w:ascii="宋体" w:hAnsi="宋体" w:eastAsia="宋体" w:cs="Times New Roman"/>
                <w:color w:val="auto"/>
                <w:spacing w:val="20"/>
                <w:sz w:val="21"/>
                <w:szCs w:val="21"/>
                <w:highlight w:val="none"/>
              </w:rPr>
              <w:t>；</w:t>
            </w:r>
          </w:p>
          <w:p w14:paraId="001DF18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或服务项目能够基本按要求响应需求</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保持与</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的沟通，按时解决问题</w:t>
            </w:r>
            <w:r>
              <w:rPr>
                <w:rFonts w:hint="eastAsia" w:ascii="宋体" w:hAnsi="宋体" w:eastAsia="宋体" w:cs="Times New Roman"/>
                <w:color w:val="auto"/>
                <w:spacing w:val="20"/>
                <w:sz w:val="21"/>
                <w:szCs w:val="21"/>
                <w:highlight w:val="none"/>
              </w:rPr>
              <w:t>；</w:t>
            </w:r>
          </w:p>
          <w:p w14:paraId="235DB96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w:t>
            </w:r>
          </w:p>
        </w:tc>
        <w:tc>
          <w:tcPr>
            <w:tcW w:w="2482" w:type="dxa"/>
            <w:vAlign w:val="center"/>
          </w:tcPr>
          <w:p w14:paraId="5B8401C0">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评价为较差/差，即乙方</w:t>
            </w:r>
            <w:r>
              <w:rPr>
                <w:rFonts w:ascii="宋体" w:hAnsi="宋体" w:eastAsia="宋体" w:cs="Times New Roman"/>
                <w:color w:val="auto"/>
                <w:spacing w:val="20"/>
                <w:sz w:val="21"/>
                <w:szCs w:val="21"/>
                <w:highlight w:val="none"/>
              </w:rPr>
              <w:t>或服务项目未及时响应需求，或响应需求后无法</w:t>
            </w:r>
            <w:r>
              <w:rPr>
                <w:rFonts w:hint="eastAsia" w:ascii="宋体" w:hAnsi="宋体" w:eastAsia="宋体" w:cs="Times New Roman"/>
                <w:color w:val="auto"/>
                <w:spacing w:val="20"/>
                <w:sz w:val="21"/>
                <w:szCs w:val="21"/>
                <w:highlight w:val="none"/>
              </w:rPr>
              <w:t>及时</w:t>
            </w:r>
            <w:r>
              <w:rPr>
                <w:rFonts w:ascii="宋体" w:hAnsi="宋体" w:eastAsia="宋体" w:cs="Times New Roman"/>
                <w:color w:val="auto"/>
                <w:spacing w:val="20"/>
                <w:sz w:val="21"/>
                <w:szCs w:val="21"/>
                <w:highlight w:val="none"/>
              </w:rPr>
              <w:t>解决问题</w:t>
            </w:r>
            <w:r>
              <w:rPr>
                <w:rFonts w:hint="eastAsia" w:ascii="宋体" w:hAnsi="宋体" w:eastAsia="宋体" w:cs="Times New Roman"/>
                <w:color w:val="auto"/>
                <w:spacing w:val="20"/>
                <w:sz w:val="21"/>
                <w:szCs w:val="21"/>
                <w:highlight w:val="none"/>
              </w:rPr>
              <w:t>，扣除乙方金额人民币不低于1000元。</w:t>
            </w:r>
          </w:p>
        </w:tc>
        <w:tc>
          <w:tcPr>
            <w:tcW w:w="893" w:type="dxa"/>
            <w:vAlign w:val="center"/>
          </w:tcPr>
          <w:p w14:paraId="05B58C0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8C4DE91">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3FE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4962D27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1</w:t>
            </w:r>
            <w:r>
              <w:rPr>
                <w:rFonts w:hint="eastAsia" w:ascii="宋体" w:hAnsi="宋体" w:eastAsia="宋体" w:cs="Times New Roman"/>
                <w:color w:val="auto"/>
                <w:spacing w:val="20"/>
                <w:sz w:val="21"/>
                <w:szCs w:val="21"/>
                <w:highlight w:val="none"/>
              </w:rPr>
              <w:t>0</w:t>
            </w:r>
          </w:p>
        </w:tc>
        <w:tc>
          <w:tcPr>
            <w:tcW w:w="891" w:type="dxa"/>
            <w:vMerge w:val="continue"/>
          </w:tcPr>
          <w:p w14:paraId="3BF56B41">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B3A554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需求排期率</w:t>
            </w:r>
          </w:p>
        </w:tc>
        <w:tc>
          <w:tcPr>
            <w:tcW w:w="1550" w:type="dxa"/>
            <w:vAlign w:val="center"/>
          </w:tcPr>
          <w:p w14:paraId="38AE6B58">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用于记录统计周期内对</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需求进行投产计划安排的比例</w:t>
            </w:r>
          </w:p>
        </w:tc>
        <w:tc>
          <w:tcPr>
            <w:tcW w:w="3148" w:type="dxa"/>
            <w:vAlign w:val="center"/>
          </w:tcPr>
          <w:p w14:paraId="4DAD165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需求排期率=已排期需求数/总需求数</w:t>
            </w:r>
          </w:p>
          <w:p w14:paraId="44B4F46C">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注：已排期需求数指统计周期内已经纳入投产计划的需求个数。总需求数指统计周期内由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提出到达服务商项目组的需求数。</w:t>
            </w:r>
          </w:p>
          <w:p w14:paraId="7763DEA8">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04559E53">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1F4E192C">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03D549CC">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93" w:type="dxa"/>
            <w:vAlign w:val="center"/>
          </w:tcPr>
          <w:p w14:paraId="04DB2066">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4C82A9D0">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075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7F0C93E">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11</w:t>
            </w:r>
          </w:p>
        </w:tc>
        <w:tc>
          <w:tcPr>
            <w:tcW w:w="891" w:type="dxa"/>
            <w:vMerge w:val="continue"/>
          </w:tcPr>
          <w:p w14:paraId="365DEF26">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0C4AF30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需求完成率</w:t>
            </w:r>
          </w:p>
        </w:tc>
        <w:tc>
          <w:tcPr>
            <w:tcW w:w="1550" w:type="dxa"/>
            <w:vAlign w:val="center"/>
          </w:tcPr>
          <w:p w14:paraId="77A6DED1">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用于记录统计周期内</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需求完成投产的比例</w:t>
            </w:r>
          </w:p>
        </w:tc>
        <w:tc>
          <w:tcPr>
            <w:tcW w:w="3148" w:type="dxa"/>
            <w:vAlign w:val="center"/>
          </w:tcPr>
          <w:p w14:paraId="3263255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需</w:t>
            </w:r>
            <w:r>
              <w:rPr>
                <w:rFonts w:ascii="宋体" w:hAnsi="宋体" w:eastAsia="宋体" w:cs="Times New Roman"/>
                <w:color w:val="auto"/>
                <w:spacing w:val="20"/>
                <w:sz w:val="21"/>
                <w:szCs w:val="21"/>
                <w:highlight w:val="none"/>
              </w:rPr>
              <w:t>求完成率=流程完结需求数/总需求数</w:t>
            </w:r>
          </w:p>
          <w:p w14:paraId="1FE4A39B">
            <w:pPr>
              <w:autoSpaceDE/>
              <w:autoSpaceDN/>
              <w:spacing w:line="240" w:lineRule="auto"/>
              <w:ind w:firstLine="0" w:firstLineChars="0"/>
              <w:rPr>
                <w:rFonts w:ascii="宋体" w:hAnsi="宋体" w:eastAsia="宋体" w:cs="Times New Roman"/>
                <w:color w:val="auto"/>
                <w:spacing w:val="20"/>
                <w:sz w:val="21"/>
                <w:szCs w:val="21"/>
                <w:highlight w:val="none"/>
              </w:rPr>
            </w:pPr>
            <w:r>
              <w:rPr>
                <w:rFonts w:ascii="宋体" w:hAnsi="宋体" w:eastAsia="宋体" w:cs="Times New Roman"/>
                <w:color w:val="auto"/>
                <w:spacing w:val="20"/>
                <w:sz w:val="21"/>
                <w:szCs w:val="21"/>
                <w:highlight w:val="none"/>
              </w:rPr>
              <w:t>注：流程完结需求数指统计周期内已完成投产的需求个数</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总需求数指统计周期内由</w:t>
            </w: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提出到达服务商项目组的需求个数。</w:t>
            </w:r>
          </w:p>
          <w:p w14:paraId="1488D8D1">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5分【98%-100%】</w:t>
            </w:r>
          </w:p>
          <w:p w14:paraId="7807611F">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3分【95%-97%】</w:t>
            </w:r>
          </w:p>
          <w:p w14:paraId="572C04DB">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color w:val="auto"/>
                <w:spacing w:val="20"/>
                <w:sz w:val="21"/>
                <w:szCs w:val="21"/>
                <w:highlight w:val="none"/>
              </w:rPr>
              <w:t>0分【低于95%】</w:t>
            </w:r>
          </w:p>
        </w:tc>
        <w:tc>
          <w:tcPr>
            <w:tcW w:w="2482" w:type="dxa"/>
            <w:vAlign w:val="center"/>
          </w:tcPr>
          <w:p w14:paraId="507FBBE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93" w:type="dxa"/>
            <w:vAlign w:val="center"/>
          </w:tcPr>
          <w:p w14:paraId="0D36064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D30B049">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170D158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12</w:t>
            </w:r>
          </w:p>
        </w:tc>
        <w:tc>
          <w:tcPr>
            <w:tcW w:w="891" w:type="dxa"/>
            <w:vMerge w:val="continue"/>
          </w:tcPr>
          <w:p w14:paraId="43772C88">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78A52538">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人员行为规范性</w:t>
            </w:r>
          </w:p>
        </w:tc>
        <w:tc>
          <w:tcPr>
            <w:tcW w:w="1550" w:type="dxa"/>
            <w:vAlign w:val="center"/>
          </w:tcPr>
          <w:p w14:paraId="01BC79A9">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于记录外包场地日常管理或</w:t>
            </w:r>
            <w:r>
              <w:rPr>
                <w:rFonts w:hint="eastAsia" w:ascii="宋体" w:hAnsi="宋体" w:eastAsia="宋体" w:cs="Times New Roman"/>
                <w:color w:val="auto"/>
                <w:spacing w:val="20"/>
                <w:sz w:val="21"/>
                <w:szCs w:val="21"/>
                <w:highlight w:val="none"/>
              </w:rPr>
              <w:t>检查</w:t>
            </w:r>
            <w:r>
              <w:rPr>
                <w:rFonts w:ascii="宋体" w:hAnsi="宋体" w:eastAsia="宋体" w:cs="Times New Roman"/>
                <w:color w:val="auto"/>
                <w:spacing w:val="20"/>
                <w:sz w:val="21"/>
                <w:szCs w:val="21"/>
                <w:highlight w:val="none"/>
              </w:rPr>
              <w:t>过程中发现外包人员</w:t>
            </w:r>
            <w:r>
              <w:rPr>
                <w:rFonts w:hint="eastAsia" w:ascii="宋体" w:hAnsi="宋体" w:eastAsia="宋体" w:cs="Times New Roman"/>
                <w:color w:val="auto"/>
                <w:spacing w:val="20"/>
                <w:sz w:val="21"/>
                <w:szCs w:val="21"/>
                <w:highlight w:val="none"/>
              </w:rPr>
              <w:t>行为</w:t>
            </w:r>
            <w:r>
              <w:rPr>
                <w:rFonts w:ascii="宋体" w:hAnsi="宋体" w:eastAsia="宋体" w:cs="Times New Roman"/>
                <w:color w:val="auto"/>
                <w:spacing w:val="20"/>
                <w:sz w:val="21"/>
                <w:szCs w:val="21"/>
                <w:highlight w:val="none"/>
              </w:rPr>
              <w:t>违</w:t>
            </w:r>
            <w:r>
              <w:rPr>
                <w:rFonts w:hint="eastAsia" w:ascii="宋体" w:hAnsi="宋体" w:eastAsia="宋体" w:cs="Times New Roman"/>
                <w:color w:val="auto"/>
                <w:spacing w:val="20"/>
                <w:sz w:val="21"/>
                <w:szCs w:val="21"/>
                <w:highlight w:val="none"/>
              </w:rPr>
              <w:t>规（包括但不限于办公纪律、造成办公环境物理安全隐患等）</w:t>
            </w:r>
            <w:r>
              <w:rPr>
                <w:rFonts w:ascii="宋体" w:hAnsi="宋体" w:eastAsia="宋体" w:cs="Times New Roman"/>
                <w:color w:val="auto"/>
                <w:spacing w:val="20"/>
                <w:sz w:val="21"/>
                <w:szCs w:val="21"/>
                <w:highlight w:val="none"/>
              </w:rPr>
              <w:t>的次数</w:t>
            </w:r>
          </w:p>
        </w:tc>
        <w:tc>
          <w:tcPr>
            <w:tcW w:w="3148" w:type="dxa"/>
            <w:vAlign w:val="center"/>
          </w:tcPr>
          <w:p w14:paraId="3CFCF5E8">
            <w:pPr>
              <w:autoSpaceDE/>
              <w:autoSpaceDN/>
              <w:spacing w:line="240" w:lineRule="auto"/>
              <w:ind w:firstLine="0" w:firstLineChars="0"/>
              <w:rPr>
                <w:rFonts w:ascii="宋体" w:hAnsi="宋体" w:eastAsia="宋体" w:cs="Times New Roman"/>
                <w:b/>
                <w:bCs/>
                <w:color w:val="auto"/>
                <w:spacing w:val="20"/>
                <w:sz w:val="21"/>
                <w:szCs w:val="21"/>
                <w:highlight w:val="none"/>
              </w:rPr>
            </w:pPr>
            <w:r>
              <w:rPr>
                <w:rFonts w:hint="eastAsia" w:ascii="宋体" w:hAnsi="宋体" w:eastAsia="宋体" w:cs="Times New Roman"/>
                <w:b/>
                <w:bCs/>
                <w:color w:val="auto"/>
                <w:spacing w:val="20"/>
                <w:sz w:val="21"/>
                <w:szCs w:val="21"/>
                <w:highlight w:val="none"/>
              </w:rPr>
              <w:t>【得分上限1</w:t>
            </w:r>
            <w:r>
              <w:rPr>
                <w:rFonts w:ascii="宋体" w:hAnsi="宋体" w:eastAsia="宋体" w:cs="Times New Roman"/>
                <w:b/>
                <w:bCs/>
                <w:color w:val="auto"/>
                <w:spacing w:val="20"/>
                <w:sz w:val="21"/>
                <w:szCs w:val="21"/>
                <w:highlight w:val="none"/>
              </w:rPr>
              <w:t>0</w:t>
            </w:r>
            <w:r>
              <w:rPr>
                <w:rFonts w:hint="eastAsia" w:ascii="宋体" w:hAnsi="宋体" w:eastAsia="宋体" w:cs="Times New Roman"/>
                <w:b/>
                <w:bCs/>
                <w:color w:val="auto"/>
                <w:spacing w:val="20"/>
                <w:sz w:val="21"/>
                <w:szCs w:val="21"/>
                <w:highlight w:val="none"/>
              </w:rPr>
              <w:t>分】</w:t>
            </w:r>
          </w:p>
          <w:p w14:paraId="4AE3252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0次：</w:t>
            </w:r>
            <w:r>
              <w:rPr>
                <w:rFonts w:hint="eastAsia" w:ascii="宋体" w:hAnsi="宋体" w:eastAsia="宋体" w:cs="Times New Roman"/>
                <w:color w:val="auto"/>
                <w:spacing w:val="20"/>
                <w:sz w:val="21"/>
                <w:szCs w:val="21"/>
                <w:highlight w:val="none"/>
              </w:rPr>
              <w:t>指未出现外包人员行为违规，该项指标满分；</w:t>
            </w:r>
          </w:p>
          <w:p w14:paraId="6ACC20F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1次及以上：</w:t>
            </w:r>
            <w:r>
              <w:rPr>
                <w:rFonts w:hint="eastAsia" w:ascii="宋体" w:hAnsi="宋体" w:eastAsia="宋体" w:cs="Times New Roman"/>
                <w:color w:val="auto"/>
                <w:spacing w:val="20"/>
                <w:sz w:val="21"/>
                <w:szCs w:val="21"/>
                <w:highlight w:val="none"/>
              </w:rPr>
              <w:t>指检查发现外包人员行为违规1次及以上（每人次扣5分，最高扣除1</w:t>
            </w:r>
            <w:r>
              <w:rPr>
                <w:rFonts w:ascii="宋体" w:hAnsi="宋体" w:eastAsia="宋体" w:cs="Times New Roman"/>
                <w:color w:val="auto"/>
                <w:spacing w:val="20"/>
                <w:sz w:val="21"/>
                <w:szCs w:val="21"/>
                <w:highlight w:val="none"/>
              </w:rPr>
              <w:t>0</w:t>
            </w:r>
            <w:r>
              <w:rPr>
                <w:rFonts w:hint="eastAsia" w:ascii="宋体" w:hAnsi="宋体" w:eastAsia="宋体" w:cs="Times New Roman"/>
                <w:color w:val="auto"/>
                <w:spacing w:val="20"/>
                <w:sz w:val="21"/>
                <w:szCs w:val="21"/>
                <w:highlight w:val="none"/>
              </w:rPr>
              <w:t>分）</w:t>
            </w:r>
          </w:p>
        </w:tc>
        <w:tc>
          <w:tcPr>
            <w:tcW w:w="2482" w:type="dxa"/>
            <w:vAlign w:val="center"/>
          </w:tcPr>
          <w:p w14:paraId="568BFB3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每出现一次人员行为</w:t>
            </w:r>
            <w:r>
              <w:rPr>
                <w:rFonts w:ascii="宋体" w:hAnsi="宋体" w:eastAsia="宋体" w:cs="Times New Roman"/>
                <w:color w:val="auto"/>
                <w:spacing w:val="20"/>
                <w:sz w:val="21"/>
                <w:szCs w:val="21"/>
                <w:highlight w:val="none"/>
              </w:rPr>
              <w:t>违规</w:t>
            </w:r>
            <w:r>
              <w:rPr>
                <w:rFonts w:hint="eastAsia" w:ascii="宋体" w:hAnsi="宋体" w:eastAsia="宋体" w:cs="Times New Roman"/>
                <w:color w:val="auto"/>
                <w:spacing w:val="20"/>
                <w:sz w:val="21"/>
                <w:szCs w:val="21"/>
                <w:highlight w:val="none"/>
              </w:rPr>
              <w:t>，扣除乙方金额人民币不低于500元。</w:t>
            </w:r>
          </w:p>
        </w:tc>
        <w:tc>
          <w:tcPr>
            <w:tcW w:w="893" w:type="dxa"/>
            <w:vAlign w:val="center"/>
          </w:tcPr>
          <w:p w14:paraId="6CE0FDD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49D5A5C8">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41F3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7325D94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13</w:t>
            </w:r>
          </w:p>
        </w:tc>
        <w:tc>
          <w:tcPr>
            <w:tcW w:w="891" w:type="dxa"/>
            <w:vMerge w:val="continue"/>
          </w:tcPr>
          <w:p w14:paraId="41F93AEF">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413CBFBA">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人员变动率</w:t>
            </w:r>
          </w:p>
        </w:tc>
        <w:tc>
          <w:tcPr>
            <w:tcW w:w="1550" w:type="dxa"/>
            <w:vAlign w:val="center"/>
          </w:tcPr>
          <w:p w14:paraId="7475194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用</w:t>
            </w:r>
            <w:r>
              <w:rPr>
                <w:rFonts w:ascii="宋体" w:hAnsi="宋体" w:eastAsia="宋体" w:cs="Times New Roman"/>
                <w:color w:val="auto"/>
                <w:spacing w:val="20"/>
                <w:sz w:val="21"/>
                <w:szCs w:val="21"/>
                <w:highlight w:val="none"/>
              </w:rPr>
              <w:t>于记录统计周期内</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更换外包人员数量占</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驻场外包人员总数量的比率</w:t>
            </w:r>
          </w:p>
        </w:tc>
        <w:tc>
          <w:tcPr>
            <w:tcW w:w="3148" w:type="dxa"/>
            <w:vAlign w:val="center"/>
          </w:tcPr>
          <w:p w14:paraId="70BAF1B7">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w:t>
            </w:r>
            <w:r>
              <w:rPr>
                <w:rFonts w:ascii="宋体" w:hAnsi="宋体" w:eastAsia="宋体" w:cs="Times New Roman"/>
                <w:color w:val="auto"/>
                <w:spacing w:val="20"/>
                <w:sz w:val="21"/>
                <w:szCs w:val="21"/>
                <w:highlight w:val="none"/>
              </w:rPr>
              <w:t>员变动率=</w:t>
            </w:r>
            <w:r>
              <w:rPr>
                <w:rFonts w:hint="eastAsia" w:ascii="宋体" w:hAnsi="宋体" w:eastAsia="宋体" w:cs="Times New Roman"/>
                <w:color w:val="auto"/>
                <w:spacing w:val="20"/>
                <w:sz w:val="21"/>
                <w:szCs w:val="21"/>
                <w:highlight w:val="none"/>
              </w:rPr>
              <w:t>乙方未经甲方同意</w:t>
            </w:r>
            <w:r>
              <w:rPr>
                <w:rFonts w:ascii="宋体" w:hAnsi="宋体" w:eastAsia="宋体" w:cs="Times New Roman"/>
                <w:color w:val="auto"/>
                <w:spacing w:val="20"/>
                <w:sz w:val="21"/>
                <w:szCs w:val="21"/>
                <w:highlight w:val="none"/>
              </w:rPr>
              <w:t>更换外包人员数量/</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驻场外包人员总数量</w:t>
            </w:r>
          </w:p>
          <w:p w14:paraId="1245BA86">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10分【0-20%】</w:t>
            </w:r>
          </w:p>
          <w:p w14:paraId="4DE43DAC">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5分【20%-40%】</w:t>
            </w:r>
          </w:p>
          <w:p w14:paraId="59EDCF2E">
            <w:pPr>
              <w:autoSpaceDE/>
              <w:autoSpaceDN/>
              <w:spacing w:line="240" w:lineRule="auto"/>
              <w:ind w:firstLine="0" w:firstLineChars="0"/>
              <w:rPr>
                <w:rFonts w:ascii="宋体" w:hAnsi="宋体" w:eastAsia="宋体" w:cs="Times New Roman"/>
                <w:b/>
                <w:color w:val="auto"/>
                <w:spacing w:val="20"/>
                <w:sz w:val="21"/>
                <w:szCs w:val="21"/>
                <w:highlight w:val="none"/>
              </w:rPr>
            </w:pPr>
            <w:r>
              <w:rPr>
                <w:rFonts w:hint="eastAsia" w:ascii="宋体" w:hAnsi="宋体" w:eastAsia="宋体" w:cs="Times New Roman"/>
                <w:b/>
                <w:color w:val="auto"/>
                <w:spacing w:val="20"/>
                <w:sz w:val="21"/>
                <w:szCs w:val="21"/>
                <w:highlight w:val="none"/>
              </w:rPr>
              <w:t>0分【超过40%】</w:t>
            </w:r>
          </w:p>
        </w:tc>
        <w:tc>
          <w:tcPr>
            <w:tcW w:w="2482" w:type="dxa"/>
            <w:vAlign w:val="center"/>
          </w:tcPr>
          <w:p w14:paraId="7E921673">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技术骨干或项目经理未经甲方同意变动，扣除乙方金额人民币不低于3万元；其余人员变动率超过40</w:t>
            </w:r>
            <w:r>
              <w:rPr>
                <w:rFonts w:ascii="宋体" w:hAnsi="宋体" w:eastAsia="宋体" w:cs="Times New Roman"/>
                <w:color w:val="auto"/>
                <w:spacing w:val="20"/>
                <w:sz w:val="21"/>
                <w:szCs w:val="21"/>
                <w:highlight w:val="none"/>
              </w:rPr>
              <w:t>%</w:t>
            </w:r>
            <w:r>
              <w:rPr>
                <w:rFonts w:hint="eastAsia" w:ascii="宋体" w:hAnsi="宋体" w:eastAsia="宋体" w:cs="Times New Roman"/>
                <w:color w:val="auto"/>
                <w:spacing w:val="20"/>
                <w:sz w:val="21"/>
                <w:szCs w:val="21"/>
                <w:highlight w:val="none"/>
              </w:rPr>
              <w:t>，扣除不低于合同总金额的1%。</w:t>
            </w:r>
          </w:p>
        </w:tc>
        <w:tc>
          <w:tcPr>
            <w:tcW w:w="893" w:type="dxa"/>
            <w:vAlign w:val="center"/>
          </w:tcPr>
          <w:p w14:paraId="1078F003">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340E02F2">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74BF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14:paraId="0D90F553">
            <w:pPr>
              <w:autoSpaceDE/>
              <w:autoSpaceDN/>
              <w:spacing w:line="240" w:lineRule="auto"/>
              <w:ind w:firstLine="0" w:firstLineChars="0"/>
              <w:jc w:val="center"/>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14</w:t>
            </w:r>
          </w:p>
        </w:tc>
        <w:tc>
          <w:tcPr>
            <w:tcW w:w="891" w:type="dxa"/>
            <w:vMerge w:val="continue"/>
          </w:tcPr>
          <w:p w14:paraId="29DF93E5">
            <w:pPr>
              <w:autoSpaceDE/>
              <w:autoSpaceDN/>
              <w:spacing w:line="240" w:lineRule="auto"/>
              <w:ind w:firstLine="0" w:firstLineChars="0"/>
              <w:rPr>
                <w:rFonts w:ascii="宋体" w:hAnsi="宋体" w:eastAsia="宋体" w:cs="Times New Roman"/>
                <w:color w:val="auto"/>
                <w:spacing w:val="20"/>
                <w:sz w:val="21"/>
                <w:szCs w:val="21"/>
                <w:highlight w:val="none"/>
              </w:rPr>
            </w:pPr>
          </w:p>
        </w:tc>
        <w:tc>
          <w:tcPr>
            <w:tcW w:w="875" w:type="dxa"/>
            <w:vAlign w:val="center"/>
          </w:tcPr>
          <w:p w14:paraId="395CF75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人员满意度评价</w:t>
            </w:r>
          </w:p>
        </w:tc>
        <w:tc>
          <w:tcPr>
            <w:tcW w:w="1550" w:type="dxa"/>
            <w:vAlign w:val="center"/>
          </w:tcPr>
          <w:p w14:paraId="37C7AFB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甲方</w:t>
            </w:r>
            <w:r>
              <w:rPr>
                <w:rFonts w:ascii="宋体" w:hAnsi="宋体" w:eastAsia="宋体" w:cs="Times New Roman"/>
                <w:color w:val="auto"/>
                <w:spacing w:val="20"/>
                <w:sz w:val="21"/>
                <w:szCs w:val="21"/>
                <w:highlight w:val="none"/>
              </w:rPr>
              <w:t>对</w:t>
            </w:r>
            <w:r>
              <w:rPr>
                <w:rFonts w:hint="eastAsia" w:ascii="宋体" w:hAnsi="宋体" w:eastAsia="宋体" w:cs="Times New Roman"/>
                <w:color w:val="auto"/>
                <w:spacing w:val="20"/>
                <w:sz w:val="21"/>
                <w:szCs w:val="21"/>
                <w:highlight w:val="none"/>
              </w:rPr>
              <w:t>乙方</w:t>
            </w:r>
            <w:r>
              <w:rPr>
                <w:rFonts w:ascii="宋体" w:hAnsi="宋体" w:eastAsia="宋体" w:cs="Times New Roman"/>
                <w:color w:val="auto"/>
                <w:spacing w:val="20"/>
                <w:sz w:val="21"/>
                <w:szCs w:val="21"/>
                <w:highlight w:val="none"/>
              </w:rPr>
              <w:t>外包人员表现的满意度评价</w:t>
            </w:r>
          </w:p>
        </w:tc>
        <w:tc>
          <w:tcPr>
            <w:tcW w:w="3148" w:type="dxa"/>
            <w:vAlign w:val="center"/>
          </w:tcPr>
          <w:p w14:paraId="152EFD3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优秀：</w:t>
            </w:r>
            <w:r>
              <w:rPr>
                <w:rFonts w:hint="eastAsia" w:ascii="宋体" w:hAnsi="宋体" w:eastAsia="宋体" w:cs="Times New Roman"/>
                <w:color w:val="auto"/>
                <w:spacing w:val="20"/>
                <w:sz w:val="21"/>
                <w:szCs w:val="21"/>
                <w:highlight w:val="none"/>
              </w:rPr>
              <w:t>5分，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工作效率高，态度积极主动，</w:t>
            </w:r>
            <w:r>
              <w:rPr>
                <w:rFonts w:ascii="宋体" w:hAnsi="宋体" w:eastAsia="宋体" w:cs="Times New Roman"/>
                <w:color w:val="auto"/>
                <w:spacing w:val="20"/>
                <w:sz w:val="21"/>
                <w:szCs w:val="21"/>
                <w:highlight w:val="none"/>
              </w:rPr>
              <w:t>保质保量完成工作任务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对团队有突出贡献，日常行为能起到模范带头作用</w:t>
            </w:r>
            <w:r>
              <w:rPr>
                <w:rFonts w:hint="eastAsia" w:ascii="宋体" w:hAnsi="宋体" w:eastAsia="宋体" w:cs="Times New Roman"/>
                <w:color w:val="auto"/>
                <w:spacing w:val="20"/>
                <w:sz w:val="21"/>
                <w:szCs w:val="21"/>
                <w:highlight w:val="none"/>
              </w:rPr>
              <w:t>的；</w:t>
            </w:r>
          </w:p>
          <w:p w14:paraId="4EC002A4">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良好：</w:t>
            </w:r>
            <w:r>
              <w:rPr>
                <w:rFonts w:hint="eastAsia" w:ascii="宋体" w:hAnsi="宋体" w:eastAsia="宋体" w:cs="Times New Roman"/>
                <w:color w:val="auto"/>
                <w:spacing w:val="20"/>
                <w:sz w:val="21"/>
                <w:szCs w:val="21"/>
                <w:highlight w:val="none"/>
              </w:rPr>
              <w:t>4分，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工作效率较高，态度比较主动，较好</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w:t>
            </w:r>
            <w:r>
              <w:rPr>
                <w:rFonts w:ascii="宋体" w:hAnsi="宋体" w:eastAsia="宋体" w:cs="Times New Roman"/>
                <w:color w:val="auto"/>
                <w:spacing w:val="20"/>
                <w:sz w:val="21"/>
                <w:szCs w:val="21"/>
                <w:highlight w:val="none"/>
              </w:rPr>
              <w:t>对团队有</w:t>
            </w:r>
            <w:r>
              <w:rPr>
                <w:rFonts w:hint="eastAsia" w:ascii="宋体" w:hAnsi="宋体" w:eastAsia="宋体" w:cs="Times New Roman"/>
                <w:color w:val="auto"/>
                <w:spacing w:val="20"/>
                <w:sz w:val="21"/>
                <w:szCs w:val="21"/>
                <w:highlight w:val="none"/>
              </w:rPr>
              <w:t>一定</w:t>
            </w:r>
            <w:r>
              <w:rPr>
                <w:rFonts w:ascii="宋体" w:hAnsi="宋体" w:eastAsia="宋体" w:cs="Times New Roman"/>
                <w:color w:val="auto"/>
                <w:spacing w:val="20"/>
                <w:sz w:val="21"/>
                <w:szCs w:val="21"/>
                <w:highlight w:val="none"/>
              </w:rPr>
              <w:t>贡献，日常行为</w:t>
            </w:r>
            <w:r>
              <w:rPr>
                <w:rFonts w:hint="eastAsia" w:ascii="宋体" w:hAnsi="宋体" w:eastAsia="宋体" w:cs="Times New Roman"/>
                <w:color w:val="auto"/>
                <w:spacing w:val="20"/>
                <w:sz w:val="21"/>
                <w:szCs w:val="21"/>
                <w:highlight w:val="none"/>
              </w:rPr>
              <w:t>表现较好的；</w:t>
            </w:r>
          </w:p>
          <w:p w14:paraId="1C4C5F22">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合格：</w:t>
            </w:r>
            <w:r>
              <w:rPr>
                <w:rFonts w:hint="eastAsia" w:ascii="宋体" w:hAnsi="宋体" w:eastAsia="宋体" w:cs="Times New Roman"/>
                <w:color w:val="auto"/>
                <w:spacing w:val="20"/>
                <w:sz w:val="21"/>
                <w:szCs w:val="21"/>
                <w:highlight w:val="none"/>
              </w:rPr>
              <w:t>3分，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工作效率一般，态度合格，能够按时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p w14:paraId="49F5D28D">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b/>
                <w:bCs/>
                <w:color w:val="auto"/>
                <w:spacing w:val="20"/>
                <w:sz w:val="21"/>
                <w:szCs w:val="21"/>
                <w:highlight w:val="none"/>
              </w:rPr>
              <w:t>较差/差：</w:t>
            </w:r>
            <w:r>
              <w:rPr>
                <w:rFonts w:hint="eastAsia" w:ascii="宋体" w:hAnsi="宋体" w:eastAsia="宋体" w:cs="Times New Roman"/>
                <w:color w:val="auto"/>
                <w:spacing w:val="20"/>
                <w:sz w:val="21"/>
                <w:szCs w:val="21"/>
                <w:highlight w:val="none"/>
              </w:rPr>
              <w:t>0分，</w:t>
            </w:r>
            <w:r>
              <w:rPr>
                <w:rFonts w:ascii="宋体" w:hAnsi="宋体" w:eastAsia="宋体" w:cs="Times New Roman"/>
                <w:color w:val="auto"/>
                <w:spacing w:val="20"/>
                <w:sz w:val="21"/>
                <w:szCs w:val="21"/>
                <w:highlight w:val="none"/>
              </w:rPr>
              <w:t>指</w:t>
            </w:r>
            <w:r>
              <w:rPr>
                <w:rFonts w:hint="eastAsia" w:ascii="宋体" w:hAnsi="宋体" w:eastAsia="宋体" w:cs="Times New Roman"/>
                <w:color w:val="auto"/>
                <w:spacing w:val="20"/>
                <w:sz w:val="21"/>
                <w:szCs w:val="21"/>
                <w:highlight w:val="none"/>
              </w:rPr>
              <w:t>工作效率低下，态度懈怠散漫，不能按时</w:t>
            </w:r>
            <w:r>
              <w:rPr>
                <w:rFonts w:ascii="宋体" w:hAnsi="宋体" w:eastAsia="宋体" w:cs="Times New Roman"/>
                <w:color w:val="auto"/>
                <w:spacing w:val="20"/>
                <w:sz w:val="21"/>
                <w:szCs w:val="21"/>
                <w:highlight w:val="none"/>
              </w:rPr>
              <w:t>完成工作任务</w:t>
            </w:r>
            <w:r>
              <w:rPr>
                <w:rFonts w:hint="eastAsia" w:ascii="宋体" w:hAnsi="宋体" w:eastAsia="宋体" w:cs="Times New Roman"/>
                <w:color w:val="auto"/>
                <w:spacing w:val="20"/>
                <w:sz w:val="21"/>
                <w:szCs w:val="21"/>
                <w:highlight w:val="none"/>
              </w:rPr>
              <w:t>的。</w:t>
            </w:r>
          </w:p>
        </w:tc>
        <w:tc>
          <w:tcPr>
            <w:tcW w:w="2482" w:type="dxa"/>
            <w:vAlign w:val="center"/>
          </w:tcPr>
          <w:p w14:paraId="770F0201">
            <w:pPr>
              <w:autoSpaceDE/>
              <w:autoSpaceDN/>
              <w:spacing w:line="240" w:lineRule="auto"/>
              <w:ind w:firstLine="0" w:firstLineChars="0"/>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评价为较差/差时，甲方有权要求乙方更换人员并赔偿实际损失。</w:t>
            </w:r>
          </w:p>
        </w:tc>
        <w:tc>
          <w:tcPr>
            <w:tcW w:w="893" w:type="dxa"/>
            <w:vAlign w:val="center"/>
          </w:tcPr>
          <w:p w14:paraId="6AD8732A">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c>
          <w:tcPr>
            <w:tcW w:w="847" w:type="dxa"/>
            <w:vAlign w:val="center"/>
          </w:tcPr>
          <w:p w14:paraId="00CEF294">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065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0" w:type="dxa"/>
            <w:gridSpan w:val="7"/>
            <w:vAlign w:val="center"/>
          </w:tcPr>
          <w:p w14:paraId="0E061F8F">
            <w:pPr>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综合得分：</w:t>
            </w:r>
          </w:p>
        </w:tc>
        <w:tc>
          <w:tcPr>
            <w:tcW w:w="847" w:type="dxa"/>
          </w:tcPr>
          <w:p w14:paraId="13F8FE8F">
            <w:pPr>
              <w:autoSpaceDE/>
              <w:autoSpaceDN/>
              <w:spacing w:line="240" w:lineRule="auto"/>
              <w:ind w:firstLine="0" w:firstLineChars="0"/>
              <w:jc w:val="left"/>
              <w:rPr>
                <w:rFonts w:ascii="宋体" w:hAnsi="宋体" w:eastAsia="宋体" w:cs="Times New Roman"/>
                <w:color w:val="auto"/>
                <w:spacing w:val="20"/>
                <w:sz w:val="21"/>
                <w:szCs w:val="21"/>
                <w:highlight w:val="none"/>
              </w:rPr>
            </w:pPr>
          </w:p>
        </w:tc>
      </w:tr>
      <w:tr w14:paraId="2A16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1227" w:type="dxa"/>
            <w:gridSpan w:val="8"/>
          </w:tcPr>
          <w:p w14:paraId="4B171ED4">
            <w:pPr>
              <w:autoSpaceDE/>
              <w:autoSpaceDN/>
              <w:spacing w:line="240" w:lineRule="auto"/>
              <w:ind w:firstLine="0" w:firstLineChars="0"/>
              <w:jc w:val="lef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综合评价：</w:t>
            </w:r>
          </w:p>
          <w:p w14:paraId="7AEF0796">
            <w:pPr>
              <w:autoSpaceDE/>
              <w:autoSpaceDN/>
              <w:spacing w:line="240" w:lineRule="auto"/>
              <w:ind w:firstLine="0" w:firstLineChars="0"/>
              <w:jc w:val="left"/>
              <w:rPr>
                <w:rFonts w:ascii="宋体" w:hAnsi="宋体" w:eastAsia="宋体" w:cs="Times New Roman"/>
                <w:color w:val="auto"/>
                <w:spacing w:val="20"/>
                <w:sz w:val="21"/>
                <w:szCs w:val="21"/>
                <w:highlight w:val="none"/>
              </w:rPr>
            </w:pPr>
          </w:p>
          <w:p w14:paraId="4DC2AE64">
            <w:pPr>
              <w:wordWrap w:val="0"/>
              <w:autoSpaceDE/>
              <w:autoSpaceDN/>
              <w:spacing w:line="240" w:lineRule="auto"/>
              <w:ind w:firstLine="0" w:firstLineChars="0"/>
              <w:jc w:val="right"/>
              <w:rPr>
                <w:rFonts w:ascii="宋体" w:hAnsi="宋体" w:eastAsia="宋体" w:cs="Times New Roman"/>
                <w:color w:val="auto"/>
                <w:spacing w:val="20"/>
                <w:sz w:val="21"/>
                <w:szCs w:val="21"/>
                <w:highlight w:val="none"/>
              </w:rPr>
            </w:pPr>
            <w:r>
              <w:rPr>
                <w:rFonts w:hint="eastAsia" w:ascii="宋体" w:hAnsi="宋体" w:eastAsia="宋体" w:cs="Times New Roman"/>
                <w:color w:val="auto"/>
                <w:spacing w:val="20"/>
                <w:sz w:val="21"/>
                <w:szCs w:val="21"/>
                <w:highlight w:val="none"/>
              </w:rPr>
              <w:t xml:space="preserve">评价人：                                 </w:t>
            </w:r>
          </w:p>
        </w:tc>
      </w:tr>
    </w:tbl>
    <w:p w14:paraId="5D197D80">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注：综合评价等级划分优秀、良好、合格、差</w:t>
      </w:r>
    </w:p>
    <w:p w14:paraId="41A7A6CF">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优秀：评价得分达90分以上；</w:t>
      </w:r>
    </w:p>
    <w:p w14:paraId="0B89091E">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良好：评价得分达75-90分；</w:t>
      </w:r>
    </w:p>
    <w:p w14:paraId="3DF114A8">
      <w:pPr>
        <w:autoSpaceDE/>
        <w:autoSpaceDN/>
        <w:spacing w:line="360" w:lineRule="auto"/>
        <w:ind w:firstLine="0" w:firstLineChars="0"/>
        <w:rPr>
          <w:rFonts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rPr>
        <w:t>合格：评价得分达60-75分；</w:t>
      </w:r>
    </w:p>
    <w:p w14:paraId="7EE06807">
      <w:pPr>
        <w:spacing w:line="360" w:lineRule="auto"/>
        <w:ind w:firstLine="0" w:firstLineChars="0"/>
        <w:rPr>
          <w:rFonts w:hint="eastAsia" w:ascii="宋体" w:hAnsi="Times New Roman" w:eastAsia="宋体" w:cs="Times New Roman"/>
          <w:color w:val="auto"/>
          <w:spacing w:val="0"/>
          <w:sz w:val="24"/>
          <w:szCs w:val="24"/>
          <w:highlight w:val="none"/>
        </w:rPr>
      </w:pPr>
      <w:r>
        <w:rPr>
          <w:rFonts w:hint="eastAsia" w:ascii="宋体" w:hAnsi="Times New Roman" w:eastAsia="宋体" w:cs="Times New Roman"/>
          <w:color w:val="auto"/>
          <w:spacing w:val="0"/>
          <w:sz w:val="21"/>
          <w:szCs w:val="21"/>
          <w:highlight w:val="none"/>
        </w:rPr>
        <w:t>差：评价得分在60分以下。</w:t>
      </w:r>
    </w:p>
    <w:p w14:paraId="3E13B051">
      <w:pPr>
        <w:spacing w:line="360" w:lineRule="auto"/>
        <w:rPr>
          <w:rFonts w:hint="eastAsia" w:ascii="宋体" w:eastAsia="宋体"/>
          <w:color w:val="auto"/>
          <w:spacing w:val="0"/>
          <w:kern w:val="0"/>
          <w:sz w:val="21"/>
          <w:szCs w:val="24"/>
          <w:highlight w:val="none"/>
        </w:rPr>
      </w:pPr>
      <w:r>
        <w:rPr>
          <w:rFonts w:hint="eastAsia" w:ascii="宋体" w:hAnsi="Times New Roman" w:eastAsia="宋体" w:cs="Times New Roman"/>
          <w:color w:val="auto"/>
          <w:spacing w:val="0"/>
          <w:sz w:val="24"/>
          <w:szCs w:val="24"/>
          <w:highlight w:val="none"/>
        </w:rPr>
        <w:br w:type="page"/>
      </w:r>
    </w:p>
    <w:p w14:paraId="7A6983B1">
      <w:pPr>
        <w:jc w:val="center"/>
        <w:outlineLvl w:val="1"/>
        <w:rPr>
          <w:rFonts w:hint="default" w:ascii="Times New Roman" w:hAnsi="Times New Roman"/>
          <w:color w:val="auto"/>
          <w:highlight w:val="none"/>
        </w:rPr>
      </w:pPr>
      <w:r>
        <w:rPr>
          <w:rFonts w:hint="default"/>
          <w:b w:val="0"/>
          <w:color w:val="auto"/>
          <w:sz w:val="21"/>
          <w:highlight w:val="none"/>
          <w:lang w:val="en-US" w:eastAsia="zh-CN"/>
        </w:rPr>
        <w:t>七</w:t>
      </w:r>
      <w:r>
        <w:rPr>
          <w:rFonts w:hint="eastAsia"/>
          <w:b w:val="0"/>
          <w:color w:val="auto"/>
          <w:sz w:val="21"/>
          <w:highlight w:val="none"/>
          <w:lang w:val="en-US" w:eastAsia="zh-CN"/>
        </w:rPr>
        <w:t>、</w:t>
      </w:r>
      <w:r>
        <w:rPr>
          <w:rFonts w:hint="default"/>
          <w:b w:val="0"/>
          <w:color w:val="auto"/>
          <w:sz w:val="21"/>
          <w:highlight w:val="none"/>
          <w:lang w:val="en-US" w:eastAsia="zh-CN"/>
        </w:rPr>
        <w:t>其他</w:t>
      </w:r>
      <w:r>
        <w:rPr>
          <w:rFonts w:ascii="Times New Roman" w:hAnsi="Times New Roman"/>
          <w:color w:val="auto"/>
          <w:highlight w:val="none"/>
        </w:rPr>
        <w:t>（如有）</w:t>
      </w:r>
    </w:p>
    <w:p w14:paraId="24AD8E33">
      <w:pPr>
        <w:ind w:firstLine="480"/>
        <w:rPr>
          <w:rFonts w:ascii="Times New Roman" w:hAnsi="Times New Roman"/>
          <w:color w:val="auto"/>
          <w:highlight w:val="none"/>
        </w:rPr>
      </w:pPr>
    </w:p>
    <w:p w14:paraId="34BC7105">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4ABB">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5B5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D976">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95AD">
                          <w:pPr>
                            <w:pStyle w:val="16"/>
                            <w:ind w:firstLine="36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CA95AD">
                    <w:pPr>
                      <w:pStyle w:val="16"/>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4461">
    <w:pPr>
      <w:pStyle w:val="1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F4565">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7F4565">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6A31">
    <w:pPr>
      <w:pStyle w:val="16"/>
      <w:framePr w:wrap="around" w:vAnchor="text" w:hAnchor="margin" w:xAlign="center" w:y="1"/>
      <w:rPr>
        <w:rStyle w:val="25"/>
      </w:rPr>
    </w:pPr>
    <w:r>
      <w:fldChar w:fldCharType="begin"/>
    </w:r>
    <w:r>
      <w:rPr>
        <w:rStyle w:val="25"/>
      </w:rPr>
      <w:instrText xml:space="preserve">PAGE  </w:instrText>
    </w:r>
    <w:r>
      <w:fldChar w:fldCharType="separate"/>
    </w:r>
    <w:r>
      <w:t xml:space="preserve"> </w:t>
    </w:r>
    <w:r>
      <w:fldChar w:fldCharType="end"/>
    </w:r>
  </w:p>
  <w:p w14:paraId="51B9CBFA">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45C1">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6D37">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B0F5">
    <w:pPr>
      <w:pStyle w:val="17"/>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EFE0">
    <w:pPr>
      <w:pStyle w:val="17"/>
      <w:jc w:val="left"/>
      <w:rPr>
        <w:rFonts w:hint="eastAsia"/>
      </w:rPr>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5E5B"/>
    <w:multiLevelType w:val="singleLevel"/>
    <w:tmpl w:val="887F5E5B"/>
    <w:lvl w:ilvl="0" w:tentative="0">
      <w:start w:val="2"/>
      <w:numFmt w:val="decimal"/>
      <w:lvlText w:val="(%1)"/>
      <w:lvlJc w:val="left"/>
      <w:pPr>
        <w:tabs>
          <w:tab w:val="left" w:pos="312"/>
        </w:tabs>
      </w:pPr>
    </w:lvl>
  </w:abstractNum>
  <w:abstractNum w:abstractNumId="1">
    <w:nsid w:val="FBBE3D0A"/>
    <w:multiLevelType w:val="singleLevel"/>
    <w:tmpl w:val="FBBE3D0A"/>
    <w:lvl w:ilvl="0" w:tentative="0">
      <w:start w:val="1"/>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380" w:hanging="420"/>
      </w:pPr>
      <w:rPr>
        <w:rFonts w:hint="default" w:ascii="Wingdings" w:hAnsi="Wingdings"/>
      </w:rPr>
    </w:lvl>
    <w:lvl w:ilvl="1" w:tentative="0">
      <w:start w:val="1"/>
      <w:numFmt w:val="bullet"/>
      <w:lvlText w:val=""/>
      <w:lvlJc w:val="left"/>
      <w:pPr>
        <w:tabs>
          <w:tab w:val="left" w:pos="0"/>
        </w:tabs>
        <w:ind w:left="1800" w:hanging="420"/>
      </w:pPr>
      <w:rPr>
        <w:rFonts w:hint="default" w:ascii="Wingdings" w:hAnsi="Wingdings"/>
      </w:rPr>
    </w:lvl>
    <w:lvl w:ilvl="2" w:tentative="0">
      <w:start w:val="1"/>
      <w:numFmt w:val="bullet"/>
      <w:lvlText w:val=""/>
      <w:lvlJc w:val="left"/>
      <w:pPr>
        <w:tabs>
          <w:tab w:val="left" w:pos="0"/>
        </w:tabs>
        <w:ind w:left="2220" w:hanging="420"/>
      </w:pPr>
      <w:rPr>
        <w:rFonts w:hint="default" w:ascii="Wingdings" w:hAnsi="Wingdings"/>
      </w:rPr>
    </w:lvl>
    <w:lvl w:ilvl="3" w:tentative="0">
      <w:start w:val="1"/>
      <w:numFmt w:val="bullet"/>
      <w:lvlText w:val=""/>
      <w:lvlJc w:val="left"/>
      <w:pPr>
        <w:tabs>
          <w:tab w:val="left" w:pos="0"/>
        </w:tabs>
        <w:ind w:left="2640" w:hanging="420"/>
      </w:pPr>
      <w:rPr>
        <w:rFonts w:hint="default" w:ascii="Wingdings" w:hAnsi="Wingdings"/>
      </w:rPr>
    </w:lvl>
    <w:lvl w:ilvl="4" w:tentative="0">
      <w:start w:val="1"/>
      <w:numFmt w:val="bullet"/>
      <w:lvlText w:val=""/>
      <w:lvlJc w:val="left"/>
      <w:pPr>
        <w:tabs>
          <w:tab w:val="left" w:pos="0"/>
        </w:tabs>
        <w:ind w:left="3060" w:hanging="420"/>
      </w:pPr>
      <w:rPr>
        <w:rFonts w:hint="default" w:ascii="Wingdings" w:hAnsi="Wingdings"/>
      </w:rPr>
    </w:lvl>
    <w:lvl w:ilvl="5" w:tentative="0">
      <w:start w:val="1"/>
      <w:numFmt w:val="bullet"/>
      <w:lvlText w:val=""/>
      <w:lvlJc w:val="left"/>
      <w:pPr>
        <w:tabs>
          <w:tab w:val="left" w:pos="0"/>
        </w:tabs>
        <w:ind w:left="3480" w:hanging="420"/>
      </w:pPr>
      <w:rPr>
        <w:rFonts w:hint="default" w:ascii="Wingdings" w:hAnsi="Wingdings"/>
      </w:rPr>
    </w:lvl>
    <w:lvl w:ilvl="6" w:tentative="0">
      <w:start w:val="1"/>
      <w:numFmt w:val="bullet"/>
      <w:lvlText w:val=""/>
      <w:lvlJc w:val="left"/>
      <w:pPr>
        <w:tabs>
          <w:tab w:val="left" w:pos="0"/>
        </w:tabs>
        <w:ind w:left="3900" w:hanging="420"/>
      </w:pPr>
      <w:rPr>
        <w:rFonts w:hint="default" w:ascii="Wingdings" w:hAnsi="Wingdings"/>
      </w:rPr>
    </w:lvl>
    <w:lvl w:ilvl="7" w:tentative="0">
      <w:start w:val="1"/>
      <w:numFmt w:val="bullet"/>
      <w:lvlText w:val=""/>
      <w:lvlJc w:val="left"/>
      <w:pPr>
        <w:tabs>
          <w:tab w:val="left" w:pos="0"/>
        </w:tabs>
        <w:ind w:left="4320" w:hanging="420"/>
      </w:pPr>
      <w:rPr>
        <w:rFonts w:hint="default" w:ascii="Wingdings" w:hAnsi="Wingdings"/>
      </w:rPr>
    </w:lvl>
    <w:lvl w:ilvl="8" w:tentative="0">
      <w:start w:val="1"/>
      <w:numFmt w:val="bullet"/>
      <w:lvlText w:val=""/>
      <w:lvlJc w:val="left"/>
      <w:pPr>
        <w:tabs>
          <w:tab w:val="left" w:pos="0"/>
        </w:tabs>
        <w:ind w:left="4740"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D61B34"/>
    <w:rsid w:val="000014A1"/>
    <w:rsid w:val="00033B9A"/>
    <w:rsid w:val="00052B72"/>
    <w:rsid w:val="00075857"/>
    <w:rsid w:val="000A13F4"/>
    <w:rsid w:val="000D3BC4"/>
    <w:rsid w:val="00130B10"/>
    <w:rsid w:val="00134751"/>
    <w:rsid w:val="00152A7D"/>
    <w:rsid w:val="00182FAF"/>
    <w:rsid w:val="00192BD4"/>
    <w:rsid w:val="001E56DB"/>
    <w:rsid w:val="0022022F"/>
    <w:rsid w:val="002635F5"/>
    <w:rsid w:val="00286690"/>
    <w:rsid w:val="0029648D"/>
    <w:rsid w:val="00306B97"/>
    <w:rsid w:val="00326A4D"/>
    <w:rsid w:val="00333F84"/>
    <w:rsid w:val="00337FEC"/>
    <w:rsid w:val="00365C57"/>
    <w:rsid w:val="00393A02"/>
    <w:rsid w:val="00395B3C"/>
    <w:rsid w:val="003B58D9"/>
    <w:rsid w:val="003C4263"/>
    <w:rsid w:val="003D05E9"/>
    <w:rsid w:val="004104ED"/>
    <w:rsid w:val="00492457"/>
    <w:rsid w:val="00493381"/>
    <w:rsid w:val="004C11B7"/>
    <w:rsid w:val="005340C4"/>
    <w:rsid w:val="005453AD"/>
    <w:rsid w:val="00571D09"/>
    <w:rsid w:val="00581EC9"/>
    <w:rsid w:val="005A4ACF"/>
    <w:rsid w:val="00672D31"/>
    <w:rsid w:val="0067598A"/>
    <w:rsid w:val="006A2DC2"/>
    <w:rsid w:val="006D5EBC"/>
    <w:rsid w:val="006D7A2B"/>
    <w:rsid w:val="006E1936"/>
    <w:rsid w:val="007209EF"/>
    <w:rsid w:val="0076404C"/>
    <w:rsid w:val="00774955"/>
    <w:rsid w:val="00783CFE"/>
    <w:rsid w:val="007D345B"/>
    <w:rsid w:val="007E120C"/>
    <w:rsid w:val="007F007C"/>
    <w:rsid w:val="007F10F6"/>
    <w:rsid w:val="008151D8"/>
    <w:rsid w:val="00836882"/>
    <w:rsid w:val="00874EAD"/>
    <w:rsid w:val="00885688"/>
    <w:rsid w:val="008A436A"/>
    <w:rsid w:val="008C48BF"/>
    <w:rsid w:val="008D6604"/>
    <w:rsid w:val="0091367A"/>
    <w:rsid w:val="009304D3"/>
    <w:rsid w:val="00935154"/>
    <w:rsid w:val="00941D97"/>
    <w:rsid w:val="00975C13"/>
    <w:rsid w:val="009E1E99"/>
    <w:rsid w:val="00A53F48"/>
    <w:rsid w:val="00A77F35"/>
    <w:rsid w:val="00A94973"/>
    <w:rsid w:val="00AC1244"/>
    <w:rsid w:val="00AC4609"/>
    <w:rsid w:val="00AC5BEF"/>
    <w:rsid w:val="00AE4920"/>
    <w:rsid w:val="00AF3442"/>
    <w:rsid w:val="00B11324"/>
    <w:rsid w:val="00B50408"/>
    <w:rsid w:val="00BA4B4F"/>
    <w:rsid w:val="00BD46FD"/>
    <w:rsid w:val="00BD4EBF"/>
    <w:rsid w:val="00BF10CE"/>
    <w:rsid w:val="00C97EB5"/>
    <w:rsid w:val="00CB434D"/>
    <w:rsid w:val="00CC1480"/>
    <w:rsid w:val="00CE5D6A"/>
    <w:rsid w:val="00D07CF9"/>
    <w:rsid w:val="00D3552B"/>
    <w:rsid w:val="00D61B34"/>
    <w:rsid w:val="00D8246A"/>
    <w:rsid w:val="00D93A11"/>
    <w:rsid w:val="00E11FF4"/>
    <w:rsid w:val="00E266A8"/>
    <w:rsid w:val="00E55A4A"/>
    <w:rsid w:val="00E86BB2"/>
    <w:rsid w:val="00EA18FD"/>
    <w:rsid w:val="00EA5ABD"/>
    <w:rsid w:val="00EE3B58"/>
    <w:rsid w:val="01FF5632"/>
    <w:rsid w:val="039B0F15"/>
    <w:rsid w:val="05151950"/>
    <w:rsid w:val="05F92D15"/>
    <w:rsid w:val="05FD666C"/>
    <w:rsid w:val="067B3A34"/>
    <w:rsid w:val="071A2D33"/>
    <w:rsid w:val="08D13DE0"/>
    <w:rsid w:val="08F5187C"/>
    <w:rsid w:val="098A626F"/>
    <w:rsid w:val="09D65B51"/>
    <w:rsid w:val="0A081A83"/>
    <w:rsid w:val="0A0F696E"/>
    <w:rsid w:val="0ACB31DC"/>
    <w:rsid w:val="0BF4406D"/>
    <w:rsid w:val="0C6620D4"/>
    <w:rsid w:val="0F0104EA"/>
    <w:rsid w:val="1106526A"/>
    <w:rsid w:val="12DA0C7B"/>
    <w:rsid w:val="12F47048"/>
    <w:rsid w:val="134A09A8"/>
    <w:rsid w:val="13AB3BAB"/>
    <w:rsid w:val="14151B4C"/>
    <w:rsid w:val="14D17E45"/>
    <w:rsid w:val="153C0833"/>
    <w:rsid w:val="15B30AF5"/>
    <w:rsid w:val="185A1021"/>
    <w:rsid w:val="18BF6B27"/>
    <w:rsid w:val="1A141D7E"/>
    <w:rsid w:val="1A3B37AF"/>
    <w:rsid w:val="1A815081"/>
    <w:rsid w:val="1ADC6D40"/>
    <w:rsid w:val="1BE01FAB"/>
    <w:rsid w:val="1C730B68"/>
    <w:rsid w:val="1DA63635"/>
    <w:rsid w:val="1DD2442A"/>
    <w:rsid w:val="1E6037E4"/>
    <w:rsid w:val="1EEF0BD5"/>
    <w:rsid w:val="1F3E1D77"/>
    <w:rsid w:val="1FCB7224"/>
    <w:rsid w:val="1FED61F0"/>
    <w:rsid w:val="201A5DBA"/>
    <w:rsid w:val="224F429B"/>
    <w:rsid w:val="22511DC1"/>
    <w:rsid w:val="239F1739"/>
    <w:rsid w:val="27D17500"/>
    <w:rsid w:val="280B656E"/>
    <w:rsid w:val="287C121A"/>
    <w:rsid w:val="29E4746D"/>
    <w:rsid w:val="2BB27B17"/>
    <w:rsid w:val="2BBD4D41"/>
    <w:rsid w:val="2C531B32"/>
    <w:rsid w:val="2C642975"/>
    <w:rsid w:val="2DCF44E2"/>
    <w:rsid w:val="2EDF66BE"/>
    <w:rsid w:val="2F1471D4"/>
    <w:rsid w:val="2F642A08"/>
    <w:rsid w:val="2FA31782"/>
    <w:rsid w:val="2FBE036A"/>
    <w:rsid w:val="3086532C"/>
    <w:rsid w:val="31552F50"/>
    <w:rsid w:val="3163741B"/>
    <w:rsid w:val="330558A0"/>
    <w:rsid w:val="36003D9C"/>
    <w:rsid w:val="37A93866"/>
    <w:rsid w:val="38A033E7"/>
    <w:rsid w:val="39E84962"/>
    <w:rsid w:val="3A451DB4"/>
    <w:rsid w:val="3A4D2A17"/>
    <w:rsid w:val="3AEE244B"/>
    <w:rsid w:val="3BE9DC46"/>
    <w:rsid w:val="3D5B32C2"/>
    <w:rsid w:val="3D8E770A"/>
    <w:rsid w:val="3DA74B34"/>
    <w:rsid w:val="3DC36432"/>
    <w:rsid w:val="3E6350CC"/>
    <w:rsid w:val="3FA30C75"/>
    <w:rsid w:val="40055B41"/>
    <w:rsid w:val="40224945"/>
    <w:rsid w:val="402F4DFA"/>
    <w:rsid w:val="403D2B15"/>
    <w:rsid w:val="439408E0"/>
    <w:rsid w:val="458A4B1F"/>
    <w:rsid w:val="45CE2DED"/>
    <w:rsid w:val="46333408"/>
    <w:rsid w:val="468E1FF1"/>
    <w:rsid w:val="47310FB8"/>
    <w:rsid w:val="47B009B8"/>
    <w:rsid w:val="48C77A88"/>
    <w:rsid w:val="48E64762"/>
    <w:rsid w:val="4B441C14"/>
    <w:rsid w:val="4D2B308B"/>
    <w:rsid w:val="504D7229"/>
    <w:rsid w:val="50E61077"/>
    <w:rsid w:val="516C3C72"/>
    <w:rsid w:val="51A2312C"/>
    <w:rsid w:val="51A90A23"/>
    <w:rsid w:val="52402F8A"/>
    <w:rsid w:val="5264103C"/>
    <w:rsid w:val="52727066"/>
    <w:rsid w:val="52767297"/>
    <w:rsid w:val="533B7DA0"/>
    <w:rsid w:val="537F5EDF"/>
    <w:rsid w:val="53C72B28"/>
    <w:rsid w:val="573A3C7D"/>
    <w:rsid w:val="5855720E"/>
    <w:rsid w:val="58922210"/>
    <w:rsid w:val="590548CC"/>
    <w:rsid w:val="5B101B12"/>
    <w:rsid w:val="5B2871BC"/>
    <w:rsid w:val="5CC15DC4"/>
    <w:rsid w:val="5CFD7E74"/>
    <w:rsid w:val="5EB17168"/>
    <w:rsid w:val="60BD3BA3"/>
    <w:rsid w:val="60D03C21"/>
    <w:rsid w:val="612F361F"/>
    <w:rsid w:val="61446072"/>
    <w:rsid w:val="61D33991"/>
    <w:rsid w:val="62612C54"/>
    <w:rsid w:val="632B625F"/>
    <w:rsid w:val="63350368"/>
    <w:rsid w:val="651E19B1"/>
    <w:rsid w:val="68DE221C"/>
    <w:rsid w:val="696D1EDE"/>
    <w:rsid w:val="6A9A4F55"/>
    <w:rsid w:val="6AA945AE"/>
    <w:rsid w:val="6ADC548C"/>
    <w:rsid w:val="6B574143"/>
    <w:rsid w:val="6BD4618D"/>
    <w:rsid w:val="6C47110C"/>
    <w:rsid w:val="6CB22AD0"/>
    <w:rsid w:val="6DE22E9A"/>
    <w:rsid w:val="6EFF5CCE"/>
    <w:rsid w:val="6FDF7997"/>
    <w:rsid w:val="709D579F"/>
    <w:rsid w:val="71381023"/>
    <w:rsid w:val="7173590B"/>
    <w:rsid w:val="727576DB"/>
    <w:rsid w:val="74081181"/>
    <w:rsid w:val="740D5D2E"/>
    <w:rsid w:val="751B6E6F"/>
    <w:rsid w:val="75200194"/>
    <w:rsid w:val="755F7D8C"/>
    <w:rsid w:val="75C63A4C"/>
    <w:rsid w:val="75DB4D9F"/>
    <w:rsid w:val="7621477C"/>
    <w:rsid w:val="762961F2"/>
    <w:rsid w:val="767174B1"/>
    <w:rsid w:val="78540E39"/>
    <w:rsid w:val="78F54622"/>
    <w:rsid w:val="797A667D"/>
    <w:rsid w:val="79BE0C60"/>
    <w:rsid w:val="7A9E122A"/>
    <w:rsid w:val="7B9A6B62"/>
    <w:rsid w:val="7C4E6C66"/>
    <w:rsid w:val="7D6733BC"/>
    <w:rsid w:val="7E3B60FA"/>
    <w:rsid w:val="7E93D784"/>
    <w:rsid w:val="7ECF29EC"/>
    <w:rsid w:val="7F4E0887"/>
    <w:rsid w:val="7F590AE3"/>
    <w:rsid w:val="7FF9114A"/>
    <w:rsid w:val="FAFF757B"/>
    <w:rsid w:val="FBFF9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3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9"/>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8"/>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3">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Body Text"/>
    <w:basedOn w:val="1"/>
    <w:next w:val="1"/>
    <w:qFormat/>
    <w:uiPriority w:val="0"/>
    <w:pPr>
      <w:spacing w:after="120" w:afterLines="0" w:afterAutospacing="0"/>
    </w:p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afterLines="0" w:afterAutospacing="0" w:line="480" w:lineRule="auto"/>
      <w:ind w:left="420" w:leftChars="200"/>
    </w:pPr>
  </w:style>
  <w:style w:type="paragraph" w:styleId="15">
    <w:name w:val="Balloon Text"/>
    <w:basedOn w:val="1"/>
    <w:link w:val="43"/>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0">
    <w:name w:val="annotation subject"/>
    <w:basedOn w:val="9"/>
    <w:next w:val="9"/>
    <w:link w:val="45"/>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rPr>
  </w:style>
  <w:style w:type="character" w:customStyle="1" w:styleId="28">
    <w:name w:val="标题 4 Char"/>
    <w:link w:val="5"/>
    <w:autoRedefine/>
    <w:qFormat/>
    <w:uiPriority w:val="0"/>
    <w:rPr>
      <w:rFonts w:cs="Times New Roman"/>
      <w:bCs/>
      <w:szCs w:val="28"/>
    </w:rPr>
  </w:style>
  <w:style w:type="character" w:customStyle="1" w:styleId="29">
    <w:name w:val="标题 1 Char"/>
    <w:basedOn w:val="23"/>
    <w:link w:val="2"/>
    <w:autoRedefine/>
    <w:qFormat/>
    <w:uiPriority w:val="0"/>
    <w:rPr>
      <w:rFonts w:ascii="Times New Roman" w:hAnsi="Times New Roman" w:eastAsia="宋体" w:cs="等线 Light"/>
      <w:b/>
      <w:snapToGrid w:val="0"/>
      <w:kern w:val="0"/>
      <w:sz w:val="44"/>
      <w:szCs w:val="44"/>
    </w:rPr>
  </w:style>
  <w:style w:type="character" w:customStyle="1" w:styleId="30">
    <w:name w:val="标题 2 Char"/>
    <w:basedOn w:val="23"/>
    <w:link w:val="3"/>
    <w:autoRedefine/>
    <w:qFormat/>
    <w:uiPriority w:val="9"/>
    <w:rPr>
      <w:rFonts w:ascii="Times New Roman" w:hAnsi="Times New Roman" w:eastAsia="宋体" w:cstheme="majorBidi"/>
      <w:b/>
      <w:bCs/>
      <w:snapToGrid w:val="0"/>
      <w:szCs w:val="24"/>
    </w:rPr>
  </w:style>
  <w:style w:type="character" w:customStyle="1" w:styleId="31">
    <w:name w:val="标题 3 Char"/>
    <w:basedOn w:val="23"/>
    <w:link w:val="4"/>
    <w:autoRedefine/>
    <w:qFormat/>
    <w:uiPriority w:val="9"/>
    <w:rPr>
      <w:b/>
      <w:bCs/>
      <w:szCs w:val="32"/>
    </w:rPr>
  </w:style>
  <w:style w:type="table" w:customStyle="1" w:styleId="32">
    <w:name w:val="网格型5"/>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标题 5 Char"/>
    <w:link w:val="6"/>
    <w:autoRedefine/>
    <w:qFormat/>
    <w:uiPriority w:val="0"/>
    <w:rPr>
      <w:rFonts w:ascii="Times New Roman" w:hAnsi="Times New Roman" w:eastAsia="宋体"/>
      <w:b/>
      <w:sz w:val="28"/>
    </w:rPr>
  </w:style>
  <w:style w:type="paragraph" w:customStyle="1" w:styleId="34">
    <w:name w:val="参选文件格式1"/>
    <w:basedOn w:val="1"/>
    <w:next w:val="1"/>
    <w:link w:val="38"/>
    <w:autoRedefine/>
    <w:qFormat/>
    <w:uiPriority w:val="0"/>
    <w:pPr>
      <w:spacing w:line="360" w:lineRule="auto"/>
      <w:ind w:firstLine="0" w:firstLineChars="0"/>
      <w:jc w:val="center"/>
      <w:outlineLvl w:val="1"/>
    </w:pPr>
    <w:rPr>
      <w:rFonts w:hint="eastAsia" w:eastAsia="宋体"/>
      <w:b/>
      <w:sz w:val="28"/>
    </w:rPr>
  </w:style>
  <w:style w:type="paragraph" w:customStyle="1" w:styleId="35">
    <w:name w:val="参选文件格式2"/>
    <w:basedOn w:val="1"/>
    <w:next w:val="1"/>
    <w:link w:val="39"/>
    <w:autoRedefine/>
    <w:qFormat/>
    <w:uiPriority w:val="0"/>
    <w:pPr>
      <w:ind w:firstLine="0" w:firstLineChars="0"/>
      <w:jc w:val="center"/>
      <w:outlineLvl w:val="2"/>
    </w:pPr>
    <w:rPr>
      <w:rFonts w:eastAsia="宋体"/>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参选文件格式1 Char"/>
    <w:link w:val="34"/>
    <w:autoRedefine/>
    <w:qFormat/>
    <w:uiPriority w:val="0"/>
    <w:rPr>
      <w:rFonts w:hint="eastAsia" w:eastAsia="宋体"/>
      <w:b/>
      <w:sz w:val="28"/>
    </w:rPr>
  </w:style>
  <w:style w:type="character" w:customStyle="1" w:styleId="39">
    <w:name w:val="参选文件格式2 Char"/>
    <w:link w:val="35"/>
    <w:autoRedefine/>
    <w:qFormat/>
    <w:uiPriority w:val="0"/>
    <w:rPr>
      <w:rFonts w:eastAsia="宋体"/>
      <w:bCs/>
      <w:szCs w:val="32"/>
    </w:rPr>
  </w:style>
  <w:style w:type="character" w:customStyle="1" w:styleId="40">
    <w:name w:val="font11"/>
    <w:basedOn w:val="23"/>
    <w:qFormat/>
    <w:uiPriority w:val="0"/>
    <w:rPr>
      <w:rFonts w:hint="eastAsia" w:ascii="宋体" w:hAnsi="宋体" w:eastAsia="宋体" w:cs="宋体"/>
      <w:b/>
      <w:bCs/>
      <w:color w:val="000000"/>
      <w:sz w:val="21"/>
      <w:szCs w:val="21"/>
      <w:u w:val="none"/>
    </w:rPr>
  </w:style>
  <w:style w:type="character" w:customStyle="1" w:styleId="41">
    <w:name w:val="font21"/>
    <w:basedOn w:val="23"/>
    <w:qFormat/>
    <w:uiPriority w:val="0"/>
    <w:rPr>
      <w:rFonts w:hint="eastAsia" w:ascii="宋体" w:hAnsi="宋体" w:eastAsia="宋体" w:cs="宋体"/>
      <w:color w:val="000000"/>
      <w:sz w:val="21"/>
      <w:szCs w:val="21"/>
      <w:u w:val="none"/>
    </w:rPr>
  </w:style>
  <w:style w:type="character" w:customStyle="1" w:styleId="42">
    <w:name w:val="font31"/>
    <w:basedOn w:val="23"/>
    <w:qFormat/>
    <w:uiPriority w:val="0"/>
    <w:rPr>
      <w:rFonts w:hint="eastAsia" w:ascii="宋体" w:hAnsi="宋体" w:eastAsia="宋体" w:cs="宋体"/>
      <w:color w:val="FF0000"/>
      <w:sz w:val="21"/>
      <w:szCs w:val="21"/>
      <w:u w:val="none"/>
    </w:rPr>
  </w:style>
  <w:style w:type="character" w:customStyle="1" w:styleId="43">
    <w:name w:val="批注框文本 Char"/>
    <w:link w:val="15"/>
    <w:qFormat/>
    <w:uiPriority w:val="0"/>
    <w:rPr>
      <w:sz w:val="18"/>
    </w:rPr>
  </w:style>
  <w:style w:type="character" w:customStyle="1" w:styleId="44">
    <w:name w:val="批注文字 Char"/>
    <w:link w:val="9"/>
    <w:qFormat/>
    <w:uiPriority w:val="99"/>
  </w:style>
  <w:style w:type="character" w:customStyle="1" w:styleId="45">
    <w:name w:val="批注主题 Char"/>
    <w:link w:val="20"/>
    <w:qFormat/>
    <w:uiPriority w:val="0"/>
    <w:rPr>
      <w:b/>
    </w:rPr>
  </w:style>
  <w:style w:type="paragraph" w:styleId="46">
    <w:name w:val="List Paragraph"/>
    <w:basedOn w:val="1"/>
    <w:qFormat/>
    <w:uiPriority w:val="99"/>
    <w:pPr>
      <w:ind w:firstLine="420"/>
    </w:pPr>
  </w:style>
  <w:style w:type="character" w:customStyle="1" w:styleId="47">
    <w:name w:val="font_text_1"/>
    <w:basedOn w:val="23"/>
    <w:qFormat/>
    <w:uiPriority w:val="0"/>
  </w:style>
  <w:style w:type="character" w:customStyle="1" w:styleId="48">
    <w:name w:val="heading 5 Char"/>
    <w:link w:val="6"/>
    <w:autoRedefine/>
    <w:qFormat/>
    <w:uiPriority w:val="0"/>
    <w:rPr>
      <w:rFonts w:ascii="Times New Roman" w:hAnsi="Times New Roman" w:eastAsia="宋体"/>
      <w:b/>
      <w:sz w:val="28"/>
    </w:rPr>
  </w:style>
  <w:style w:type="character" w:customStyle="1" w:styleId="49">
    <w:name w:val="heading 4 Char"/>
    <w:link w:val="5"/>
    <w:autoRedefine/>
    <w:qFormat/>
    <w:uiPriority w:val="0"/>
    <w:rPr>
      <w:rFonts w:cs="Times New Roman"/>
      <w:bCs/>
      <w:szCs w:val="28"/>
    </w:rPr>
  </w:style>
  <w:style w:type="paragraph" w:customStyle="1" w:styleId="50">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51">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2">
    <w:name w:val="标题2（无级别）"/>
    <w:basedOn w:val="1"/>
    <w:next w:val="1"/>
    <w:link w:val="54"/>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3">
    <w:name w:val="标题3（无级别）"/>
    <w:basedOn w:val="1"/>
    <w:next w:val="1"/>
    <w:qFormat/>
    <w:uiPriority w:val="0"/>
    <w:pPr>
      <w:outlineLvl w:val="9"/>
    </w:pPr>
    <w:rPr>
      <w:rFonts w:hint="eastAsia" w:ascii="Times New Roman" w:hAnsi="Times New Roman"/>
      <w:b/>
      <w:bCs/>
      <w:sz w:val="21"/>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45981</Words>
  <Characters>48886</Characters>
  <Lines>202</Lines>
  <Paragraphs>57</Paragraphs>
  <TotalTime>1</TotalTime>
  <ScaleCrop>false</ScaleCrop>
  <LinksUpToDate>false</LinksUpToDate>
  <CharactersWithSpaces>50011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2024-01-18T06:16:00Z</dcterms:created>
  <dc:creator>admin</dc:creator>
  <cp:lastModifiedBy>张婷</cp:lastModifiedBy>
  <cp:lastPrinted>2024-01-21T09:29:00Z</cp:lastPrinted>
  <dcterms:modified xsi:type="dcterms:W3CDTF">2024-11-11T09:30:50Z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4518B97C50724B4B8970A27261B79C62_13</vt:lpwstr>
  </property>
</Properties>
</file>