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92C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2362C73">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eastAsia="宋体"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110联网报警系统服务采购项目</w:t>
      </w:r>
    </w:p>
    <w:p w14:paraId="4A5184A0">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14:paraId="102F1265">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301ACDA7">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7B12B8B3">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3DA7D39F">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4DE94C34">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635E344E">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14:paraId="306206A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14:paraId="0D141F4D">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3099C81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07BBE0D9">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14:paraId="57256591">
      <w:pPr>
        <w:ind w:left="0" w:firstLine="0" w:firstLineChars="0"/>
        <w:rPr>
          <w:color w:val="auto"/>
          <w:highlight w:val="none"/>
        </w:rPr>
      </w:pPr>
    </w:p>
    <w:p w14:paraId="48009DA3">
      <w:pPr>
        <w:rPr>
          <w:color w:val="auto"/>
          <w:highlight w:val="none"/>
        </w:rPr>
      </w:pPr>
    </w:p>
    <w:p w14:paraId="3DB567D4">
      <w:pPr>
        <w:rPr>
          <w:color w:val="auto"/>
          <w:highlight w:val="none"/>
        </w:rPr>
      </w:pPr>
    </w:p>
    <w:p w14:paraId="6F652A43">
      <w:pPr>
        <w:rPr>
          <w:color w:val="auto"/>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D74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0C8AAE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748716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E19CF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4C44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D4C962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2E46640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11</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70B6975F"/>
        </w:tc>
      </w:tr>
    </w:tbl>
    <w:p w14:paraId="6B603F49">
      <w:pPr>
        <w:bidi w:val="0"/>
        <w:rPr>
          <w:color w:val="auto"/>
          <w:highlight w:val="none"/>
        </w:rPr>
      </w:pPr>
    </w:p>
    <w:p w14:paraId="064FA428">
      <w:pPr>
        <w:bidi w:val="0"/>
        <w:rPr>
          <w:color w:val="auto"/>
          <w:highlight w:val="none"/>
        </w:rPr>
        <w:sectPr>
          <w:pgSz w:w="11906" w:h="16838"/>
          <w:pgMar w:top="1440" w:right="1800" w:bottom="1440" w:left="1800" w:header="851" w:footer="992" w:gutter="0"/>
          <w:pgNumType w:start="1"/>
          <w:cols w:space="720" w:num="1"/>
          <w:docGrid w:type="lines" w:linePitch="312" w:charSpace="0"/>
        </w:sectPr>
      </w:pPr>
    </w:p>
    <w:p w14:paraId="04AAD8BE">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bookmarkStart w:id="0" w:name="_Toc440628903"/>
      <w:bookmarkStart w:id="1" w:name="_Toc24852"/>
      <w:bookmarkStart w:id="2" w:name="_Toc6745"/>
      <w:bookmarkStart w:id="3" w:name="_Toc469574661"/>
      <w:r>
        <w:rPr>
          <w:rFonts w:hint="eastAsia" w:ascii="宋体" w:hAnsi="宋体"/>
          <w:b/>
          <w:snapToGrid w:val="0"/>
          <w:color w:val="auto"/>
          <w:kern w:val="0"/>
          <w:sz w:val="44"/>
          <w:szCs w:val="44"/>
          <w:highlight w:val="none"/>
        </w:rPr>
        <w:t>目录</w:t>
      </w:r>
    </w:p>
    <w:p w14:paraId="4D7FB3F5">
      <w:pPr>
        <w:pStyle w:val="14"/>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_Toc26868 </w:instrText>
      </w:r>
      <w:r>
        <w:rPr>
          <w:rFonts w:ascii="宋体" w:hAnsi="宋体"/>
          <w:snapToGrid w:val="0"/>
          <w:kern w:val="0"/>
          <w:szCs w:val="24"/>
          <w:highlight w:val="none"/>
        </w:rPr>
        <w:fldChar w:fldCharType="separate"/>
      </w:r>
      <w:r>
        <w:rPr>
          <w:rFonts w:hint="eastAsia"/>
        </w:rPr>
        <w:t>第一章 比选公告</w:t>
      </w:r>
      <w:r>
        <w:tab/>
      </w:r>
      <w:r>
        <w:fldChar w:fldCharType="begin"/>
      </w:r>
      <w:r>
        <w:instrText xml:space="preserve"> PAGEREF _Toc26868 \h </w:instrText>
      </w:r>
      <w:r>
        <w:fldChar w:fldCharType="separate"/>
      </w:r>
      <w:r>
        <w:t>1</w:t>
      </w:r>
      <w:r>
        <w:fldChar w:fldCharType="end"/>
      </w:r>
      <w:r>
        <w:rPr>
          <w:rFonts w:ascii="宋体" w:hAnsi="宋体"/>
          <w:snapToGrid w:val="0"/>
          <w:color w:val="auto"/>
          <w:kern w:val="0"/>
          <w:szCs w:val="24"/>
          <w:highlight w:val="none"/>
        </w:rPr>
        <w:fldChar w:fldCharType="end"/>
      </w:r>
    </w:p>
    <w:p w14:paraId="2827D949">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_Toc30368 </w:instrText>
      </w:r>
      <w:r>
        <w:rPr>
          <w:rFonts w:ascii="宋体" w:hAnsi="宋体"/>
          <w:snapToGrid w:val="0"/>
          <w:kern w:val="0"/>
          <w:szCs w:val="24"/>
          <w:highlight w:val="none"/>
        </w:rPr>
        <w:fldChar w:fldCharType="separate"/>
      </w:r>
      <w:r>
        <w:rPr>
          <w:rFonts w:hint="eastAsia"/>
        </w:rPr>
        <w:t>第二章 参选人须知</w:t>
      </w:r>
      <w:r>
        <w:tab/>
      </w:r>
      <w:r>
        <w:fldChar w:fldCharType="begin"/>
      </w:r>
      <w:r>
        <w:instrText xml:space="preserve"> PAGEREF _Toc30368 \h </w:instrText>
      </w:r>
      <w:r>
        <w:fldChar w:fldCharType="separate"/>
      </w:r>
      <w:r>
        <w:t>4</w:t>
      </w:r>
      <w:r>
        <w:fldChar w:fldCharType="end"/>
      </w:r>
      <w:r>
        <w:rPr>
          <w:rFonts w:ascii="宋体" w:hAnsi="宋体"/>
          <w:snapToGrid w:val="0"/>
          <w:color w:val="auto"/>
          <w:kern w:val="0"/>
          <w:szCs w:val="24"/>
          <w:highlight w:val="none"/>
        </w:rPr>
        <w:fldChar w:fldCharType="end"/>
      </w:r>
    </w:p>
    <w:p w14:paraId="6DE1C059">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_Toc16431 </w:instrText>
      </w:r>
      <w:r>
        <w:rPr>
          <w:rFonts w:ascii="宋体" w:hAnsi="宋体"/>
          <w:snapToGrid w:val="0"/>
          <w:kern w:val="0"/>
          <w:szCs w:val="24"/>
          <w:highlight w:val="none"/>
        </w:rPr>
        <w:fldChar w:fldCharType="separate"/>
      </w:r>
      <w:r>
        <w:rPr>
          <w:rFonts w:hint="eastAsia"/>
        </w:rPr>
        <w:t>第三章 项目要求</w:t>
      </w:r>
      <w:r>
        <w:tab/>
      </w:r>
      <w:r>
        <w:fldChar w:fldCharType="begin"/>
      </w:r>
      <w:r>
        <w:instrText xml:space="preserve"> PAGEREF _Toc16431 \h </w:instrText>
      </w:r>
      <w:r>
        <w:fldChar w:fldCharType="separate"/>
      </w:r>
      <w:r>
        <w:t>11</w:t>
      </w:r>
      <w:r>
        <w:fldChar w:fldCharType="end"/>
      </w:r>
      <w:r>
        <w:rPr>
          <w:rFonts w:ascii="宋体" w:hAnsi="宋体"/>
          <w:snapToGrid w:val="0"/>
          <w:color w:val="auto"/>
          <w:kern w:val="0"/>
          <w:szCs w:val="24"/>
          <w:highlight w:val="none"/>
        </w:rPr>
        <w:fldChar w:fldCharType="end"/>
      </w:r>
    </w:p>
    <w:p w14:paraId="002DB5E9">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_Toc4088 </w:instrText>
      </w:r>
      <w:r>
        <w:rPr>
          <w:rFonts w:ascii="宋体" w:hAnsi="宋体"/>
          <w:snapToGrid w:val="0"/>
          <w:kern w:val="0"/>
          <w:szCs w:val="24"/>
          <w:highlight w:val="none"/>
        </w:rPr>
        <w:fldChar w:fldCharType="separate"/>
      </w:r>
      <w:r>
        <w:rPr>
          <w:rFonts w:hint="eastAsia"/>
        </w:rPr>
        <w:t>第四章 评审办法（综合评估法）</w:t>
      </w:r>
      <w:r>
        <w:tab/>
      </w:r>
      <w:r>
        <w:fldChar w:fldCharType="begin"/>
      </w:r>
      <w:r>
        <w:instrText xml:space="preserve"> PAGEREF _Toc4088 \h </w:instrText>
      </w:r>
      <w:r>
        <w:fldChar w:fldCharType="separate"/>
      </w:r>
      <w:r>
        <w:t>15</w:t>
      </w:r>
      <w:r>
        <w:fldChar w:fldCharType="end"/>
      </w:r>
      <w:r>
        <w:rPr>
          <w:rFonts w:ascii="宋体" w:hAnsi="宋体"/>
          <w:snapToGrid w:val="0"/>
          <w:color w:val="auto"/>
          <w:kern w:val="0"/>
          <w:szCs w:val="24"/>
          <w:highlight w:val="none"/>
        </w:rPr>
        <w:fldChar w:fldCharType="end"/>
      </w:r>
    </w:p>
    <w:p w14:paraId="714371AF">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_Toc20139 </w:instrText>
      </w:r>
      <w:r>
        <w:rPr>
          <w:rFonts w:ascii="宋体" w:hAnsi="宋体"/>
          <w:snapToGrid w:val="0"/>
          <w:kern w:val="0"/>
          <w:szCs w:val="24"/>
          <w:highlight w:val="none"/>
        </w:rPr>
        <w:fldChar w:fldCharType="separate"/>
      </w:r>
      <w:r>
        <w:rPr>
          <w:rFonts w:hint="eastAsia"/>
        </w:rPr>
        <w:t>第五章 合同</w:t>
      </w:r>
      <w:r>
        <w:t>模板</w:t>
      </w:r>
      <w:r>
        <w:tab/>
      </w:r>
      <w:r>
        <w:fldChar w:fldCharType="begin"/>
      </w:r>
      <w:r>
        <w:instrText xml:space="preserve"> PAGEREF _Toc20139 \h </w:instrText>
      </w:r>
      <w:r>
        <w:fldChar w:fldCharType="separate"/>
      </w:r>
      <w:r>
        <w:t>21</w:t>
      </w:r>
      <w:r>
        <w:fldChar w:fldCharType="end"/>
      </w:r>
      <w:r>
        <w:rPr>
          <w:rFonts w:ascii="宋体" w:hAnsi="宋体"/>
          <w:snapToGrid w:val="0"/>
          <w:color w:val="auto"/>
          <w:kern w:val="0"/>
          <w:szCs w:val="24"/>
          <w:highlight w:val="none"/>
        </w:rPr>
        <w:fldChar w:fldCharType="end"/>
      </w:r>
    </w:p>
    <w:p w14:paraId="1FDB3748">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_Toc11802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参选文件格式</w:t>
      </w:r>
      <w:r>
        <w:tab/>
      </w:r>
      <w:r>
        <w:fldChar w:fldCharType="begin"/>
      </w:r>
      <w:r>
        <w:instrText xml:space="preserve"> PAGEREF _Toc11802 \h </w:instrText>
      </w:r>
      <w:r>
        <w:fldChar w:fldCharType="separate"/>
      </w:r>
      <w:r>
        <w:t>27</w:t>
      </w:r>
      <w:r>
        <w:fldChar w:fldCharType="end"/>
      </w:r>
      <w:r>
        <w:rPr>
          <w:rFonts w:ascii="宋体" w:hAnsi="宋体"/>
          <w:snapToGrid w:val="0"/>
          <w:color w:val="auto"/>
          <w:kern w:val="0"/>
          <w:szCs w:val="24"/>
          <w:highlight w:val="none"/>
        </w:rPr>
        <w:fldChar w:fldCharType="end"/>
      </w:r>
    </w:p>
    <w:p w14:paraId="1A8AAE55">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640F25CC">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480FA859">
      <w:pPr>
        <w:pStyle w:val="2"/>
        <w:bidi w:val="0"/>
      </w:pPr>
      <w:bookmarkStart w:id="4" w:name="_Toc26868"/>
      <w:r>
        <w:rPr>
          <w:rFonts w:hint="eastAsia"/>
        </w:rPr>
        <w:t>第一章</w:t>
      </w:r>
      <w:bookmarkEnd w:id="0"/>
      <w:r>
        <w:rPr>
          <w:rFonts w:hint="eastAsia"/>
        </w:rPr>
        <w:t xml:space="preserve"> 比选公告</w:t>
      </w:r>
      <w:bookmarkEnd w:id="1"/>
      <w:bookmarkEnd w:id="2"/>
      <w:bookmarkEnd w:id="3"/>
      <w:bookmarkEnd w:id="4"/>
    </w:p>
    <w:p w14:paraId="32C6591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bookmarkStart w:id="5" w:name="_Toc89675127"/>
      <w:bookmarkStart w:id="6" w:name="_Toc55379218"/>
      <w:r>
        <w:rPr>
          <w:rFonts w:hint="eastAsia"/>
        </w:rPr>
        <w:t>根据《银行业安全防范要求》</w:t>
      </w:r>
      <w:r>
        <w:t>（GA38-2021）相关</w:t>
      </w:r>
      <w:r>
        <w:rPr>
          <w:rFonts w:hint="eastAsia"/>
        </w:rPr>
        <w:t>规定，拟对重庆三峡银行110联网报警系统服务采购项目进行公开比选，</w:t>
      </w:r>
      <w:r>
        <w:t>特邀请有</w:t>
      </w:r>
      <w:bookmarkStart w:id="7" w:name="_Hlk59455120"/>
      <w:r>
        <w:t>意向</w:t>
      </w:r>
      <w:bookmarkEnd w:id="7"/>
      <w:r>
        <w:t>的潜在</w:t>
      </w:r>
      <w:r>
        <w:rPr>
          <w:rFonts w:hint="eastAsia"/>
        </w:rPr>
        <w:t>参选</w:t>
      </w:r>
      <w:r>
        <w:t>人进行</w:t>
      </w:r>
      <w:r>
        <w:rPr>
          <w:rFonts w:hint="eastAsia"/>
        </w:rPr>
        <w:t>参选</w:t>
      </w:r>
      <w:r>
        <w:t>。</w:t>
      </w:r>
    </w:p>
    <w:p w14:paraId="1C0AC758">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pPr>
      <w:r>
        <w:rPr>
          <w:rFonts w:hint="eastAsia"/>
        </w:rPr>
        <w:t>1. 比选项目内容</w:t>
      </w:r>
      <w:bookmarkEnd w:id="5"/>
      <w:bookmarkEnd w:id="6"/>
    </w:p>
    <w:p w14:paraId="0CB11411">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bookmarkStart w:id="8" w:name="_Toc55379219"/>
      <w:bookmarkStart w:id="9" w:name="_Toc469574664"/>
      <w:bookmarkStart w:id="10" w:name="_Toc288224935"/>
      <w:bookmarkStart w:id="11" w:name="_Toc89675128"/>
      <w:bookmarkStart w:id="12" w:name="_Toc297817088"/>
      <w:r>
        <w:rPr>
          <w:rFonts w:hint="eastAsia"/>
          <w:lang w:val="en-US" w:eastAsia="zh-CN"/>
        </w:rPr>
        <w:t>1.1 项目名称</w:t>
      </w:r>
    </w:p>
    <w:p w14:paraId="6CBC59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r>
        <w:rPr>
          <w:rFonts w:hint="eastAsia"/>
        </w:rPr>
        <w:t>重庆三峡银行110联网报警系统服务采购项目</w:t>
      </w:r>
    </w:p>
    <w:p w14:paraId="6C141C6D">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r>
        <w:rPr>
          <w:rFonts w:hint="eastAsia"/>
          <w:lang w:val="en-US" w:eastAsia="zh-CN"/>
        </w:rPr>
        <w:t>1.2 最高限价</w:t>
      </w:r>
    </w:p>
    <w:p w14:paraId="4C6E818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eastAsia="zh-CN"/>
        </w:rPr>
      </w:pPr>
      <w:r>
        <w:rPr>
          <w:rFonts w:hint="eastAsia"/>
          <w:lang w:val="en-US" w:eastAsia="zh-CN"/>
        </w:rPr>
        <w:t xml:space="preserve">1.2.1 </w:t>
      </w:r>
      <w:r>
        <w:rPr>
          <w:rFonts w:hint="eastAsia"/>
        </w:rPr>
        <w:t>110联网报警系统服务</w:t>
      </w:r>
      <w:r>
        <w:rPr>
          <w:rFonts w:hint="eastAsia"/>
          <w:lang w:val="en-US" w:eastAsia="zh-CN"/>
        </w:rPr>
        <w:t>费</w:t>
      </w:r>
      <w:r>
        <w:rPr>
          <w:rFonts w:hint="eastAsia"/>
          <w:lang w:eastAsia="zh-CN"/>
        </w:rPr>
        <w:t>，</w:t>
      </w:r>
      <w:r>
        <w:rPr>
          <w:rFonts w:hint="eastAsia"/>
          <w:lang w:val="en-US" w:eastAsia="zh-CN"/>
        </w:rPr>
        <w:t>单个营业网点费用不超过230元/</w:t>
      </w:r>
      <w:r>
        <w:t>月/个</w:t>
      </w:r>
      <w:r>
        <w:rPr>
          <w:rFonts w:hint="eastAsia"/>
          <w:lang w:eastAsia="zh-CN"/>
        </w:rPr>
        <w:t>（</w:t>
      </w:r>
      <w:r>
        <w:rPr>
          <w:rFonts w:hint="eastAsia"/>
          <w:lang w:val="en-US" w:eastAsia="zh-CN"/>
        </w:rPr>
        <w:t>含税</w:t>
      </w:r>
      <w:r>
        <w:rPr>
          <w:rFonts w:hint="eastAsia"/>
          <w:lang w:eastAsia="zh-CN"/>
        </w:rPr>
        <w:t>）；</w:t>
      </w:r>
    </w:p>
    <w:p w14:paraId="4434376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eastAsia="zh-CN"/>
        </w:rPr>
      </w:pPr>
      <w:r>
        <w:rPr>
          <w:rFonts w:hint="eastAsia"/>
          <w:lang w:val="en-US" w:eastAsia="zh-CN"/>
        </w:rPr>
        <w:t xml:space="preserve">1.2.2 </w:t>
      </w:r>
      <w:r>
        <w:rPr>
          <w:rFonts w:hint="eastAsia"/>
        </w:rPr>
        <w:t>110联网报警系统</w:t>
      </w:r>
      <w:r>
        <w:t>初次建设费</w:t>
      </w:r>
      <w:r>
        <w:rPr>
          <w:rFonts w:hint="eastAsia"/>
          <w:lang w:eastAsia="zh-CN"/>
        </w:rPr>
        <w:t>，</w:t>
      </w:r>
      <w:r>
        <w:rPr>
          <w:rFonts w:hint="eastAsia"/>
          <w:lang w:val="en-US" w:eastAsia="zh-CN"/>
        </w:rPr>
        <w:t>单个营业网点费用不超过</w:t>
      </w:r>
      <w:r>
        <w:t>1300元/个</w:t>
      </w:r>
      <w:r>
        <w:rPr>
          <w:rFonts w:hint="eastAsia"/>
          <w:lang w:eastAsia="zh-CN"/>
        </w:rPr>
        <w:t>（</w:t>
      </w:r>
      <w:r>
        <w:rPr>
          <w:rFonts w:hint="eastAsia"/>
          <w:lang w:val="en-US" w:eastAsia="zh-CN"/>
        </w:rPr>
        <w:t>含税</w:t>
      </w:r>
      <w:r>
        <w:rPr>
          <w:rFonts w:hint="eastAsia"/>
          <w:lang w:eastAsia="zh-CN"/>
        </w:rPr>
        <w:t>）。</w:t>
      </w:r>
    </w:p>
    <w:p w14:paraId="6F8ACE13">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r>
        <w:rPr>
          <w:rFonts w:hint="eastAsia"/>
          <w:lang w:val="en-US" w:eastAsia="zh-CN"/>
        </w:rPr>
        <w:t>1.3 中选人数量</w:t>
      </w:r>
    </w:p>
    <w:p w14:paraId="7E50995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lang w:val="en-US" w:eastAsia="zh-CN"/>
        </w:rPr>
      </w:pPr>
      <w:r>
        <w:rPr>
          <w:rFonts w:hint="eastAsia"/>
          <w:lang w:val="en-US" w:eastAsia="zh-CN"/>
        </w:rPr>
        <w:t>1名</w:t>
      </w:r>
    </w:p>
    <w:p w14:paraId="1018B65B">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pPr>
      <w:r>
        <w:rPr>
          <w:rFonts w:hint="eastAsia"/>
        </w:rPr>
        <w:t>2. 参选人资格要求</w:t>
      </w:r>
      <w:bookmarkEnd w:id="8"/>
      <w:bookmarkEnd w:id="9"/>
      <w:bookmarkEnd w:id="10"/>
      <w:bookmarkEnd w:id="11"/>
      <w:bookmarkEnd w:id="12"/>
    </w:p>
    <w:p w14:paraId="1B5D96C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bookmarkStart w:id="13" w:name="_Hlk55488870"/>
      <w:r>
        <w:rPr>
          <w:rFonts w:hint="eastAsia"/>
        </w:rPr>
        <w:t>2.1 具有独立承担民事责任的能力</w:t>
      </w:r>
    </w:p>
    <w:p w14:paraId="44ABD2E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【提供参选人有效营业执照（副本）或事业单位法人证书（副本）或个体工商户营业执照或有效的自然人身份证明；参选人法定代表人身份证明和法定代表人授权委托书。】</w:t>
      </w:r>
    </w:p>
    <w:p w14:paraId="14A1F0D7">
      <w:pPr>
        <w:keepNext w:val="0"/>
        <w:keepLines w:val="0"/>
        <w:pageBreakBefore w:val="0"/>
        <w:widowControl w:val="0"/>
        <w:kinsoku/>
        <w:wordWrap/>
        <w:overflowPunct/>
        <w:topLinePunct w:val="0"/>
        <w:autoSpaceDE w:val="0"/>
        <w:autoSpaceDN w:val="0"/>
        <w:bidi w:val="0"/>
        <w:adjustRightInd/>
        <w:snapToGrid/>
        <w:spacing w:line="600" w:lineRule="exact"/>
        <w:textAlignment w:val="auto"/>
        <w:rPr>
          <w:color w:val="auto"/>
          <w:highlight w:val="none"/>
          <w:lang w:val="en-US" w:eastAsia="zh-CN"/>
        </w:rPr>
      </w:pPr>
      <w:r>
        <w:rPr>
          <w:rFonts w:hint="eastAsia"/>
          <w:color w:val="auto"/>
          <w:highlight w:val="none"/>
          <w:lang w:val="en-US" w:eastAsia="zh-CN"/>
        </w:rPr>
        <w:t>注：若为法定代表人办理并签署参选文件的，不提供授权委托书。</w:t>
      </w:r>
    </w:p>
    <w:p w14:paraId="3474C21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2.2 具有良好的商业信誉和健全的财务会计制度【提供书面声明】；</w:t>
      </w:r>
    </w:p>
    <w:p w14:paraId="7E1147A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2.3 具有履行合同所必需的设备和专业技术能力【提供书面声明】；</w:t>
      </w:r>
    </w:p>
    <w:p w14:paraId="63C52C3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2.4 有依法缴纳税收和社会保障金的良好记录【提供书面声明】；</w:t>
      </w:r>
    </w:p>
    <w:p w14:paraId="5AE7718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2.5 三年内在经营活动中没有重大违法记录【提供书面声明】；</w:t>
      </w:r>
    </w:p>
    <w:p w14:paraId="2F7A9E0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2.6 法人及法定代表人没有被人民法院列为失信被执行人名单【提供中国执行信息公开网截图并加盖单位鲜章】；</w:t>
      </w:r>
    </w:p>
    <w:p w14:paraId="3B934C1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2.7 本项目不允许任何形式的转包【提供书面声明】。</w:t>
      </w:r>
    </w:p>
    <w:p w14:paraId="3920678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eastAsia="宋体"/>
          <w:lang w:eastAsia="zh-CN"/>
        </w:rPr>
      </w:pPr>
      <w:r>
        <w:rPr>
          <w:rFonts w:hint="eastAsia"/>
        </w:rPr>
        <w:t>2.8</w:t>
      </w:r>
      <w:r>
        <w:rPr>
          <w:rFonts w:hint="eastAsia"/>
          <w:lang w:val="en-US" w:eastAsia="zh-CN"/>
        </w:rPr>
        <w:t xml:space="preserve"> </w:t>
      </w:r>
      <w:r>
        <w:t>具有重庆市公共安全技术防范协会颁发的</w:t>
      </w:r>
      <w:r>
        <w:rPr>
          <w:rFonts w:hint="eastAsia"/>
        </w:rPr>
        <w:t>安全技术防范行业设计施工维护能力证书。</w:t>
      </w:r>
      <w:r>
        <w:rPr>
          <w:rFonts w:hint="eastAsia"/>
          <w:lang w:eastAsia="zh-CN"/>
        </w:rPr>
        <w:t>【</w:t>
      </w:r>
      <w:r>
        <w:rPr>
          <w:rFonts w:hint="eastAsia"/>
          <w:lang w:val="en-US" w:eastAsia="zh-CN"/>
        </w:rPr>
        <w:t>提供</w:t>
      </w:r>
      <w:r>
        <w:rPr>
          <w:rFonts w:hint="eastAsia"/>
        </w:rPr>
        <w:t>安全技术防范行业设计施工维护能力证书</w:t>
      </w:r>
      <w:r>
        <w:rPr>
          <w:rFonts w:hint="eastAsia"/>
          <w:lang w:val="en-US" w:eastAsia="zh-CN"/>
        </w:rPr>
        <w:t>复印件</w:t>
      </w:r>
      <w:r>
        <w:rPr>
          <w:rFonts w:hint="eastAsia"/>
          <w:lang w:eastAsia="zh-CN"/>
        </w:rPr>
        <w:t>】</w:t>
      </w:r>
    </w:p>
    <w:p w14:paraId="60749A0C">
      <w:pPr>
        <w:keepNext w:val="0"/>
        <w:keepLines w:val="0"/>
        <w:pageBreakBefore w:val="0"/>
        <w:widowControl w:val="0"/>
        <w:kinsoku/>
        <w:wordWrap/>
        <w:overflowPunct/>
        <w:topLinePunct w:val="0"/>
        <w:autoSpaceDE w:val="0"/>
        <w:autoSpaceDN w:val="0"/>
        <w:bidi w:val="0"/>
        <w:adjustRightInd/>
        <w:snapToGrid/>
        <w:spacing w:line="600" w:lineRule="exact"/>
        <w:textAlignment w:val="auto"/>
        <w:rPr>
          <w:lang w:eastAsia="zh-CN"/>
        </w:rPr>
      </w:pPr>
      <w:r>
        <w:rPr>
          <w:rFonts w:hint="eastAsia"/>
        </w:rPr>
        <w:t>2.9</w:t>
      </w:r>
      <w:r>
        <w:rPr>
          <w:rFonts w:hint="eastAsia"/>
          <w:lang w:val="en-US" w:eastAsia="zh-CN"/>
        </w:rPr>
        <w:t xml:space="preserve"> </w:t>
      </w:r>
      <w:r>
        <w:t>具有重庆市公安局颁发的</w:t>
      </w:r>
      <w:r>
        <w:rPr>
          <w:rFonts w:hint="eastAsia"/>
        </w:rPr>
        <w:t>保安服务许可证。</w:t>
      </w:r>
      <w:r>
        <w:rPr>
          <w:rFonts w:hint="eastAsia"/>
          <w:lang w:eastAsia="zh-CN"/>
        </w:rPr>
        <w:t>【</w:t>
      </w:r>
      <w:r>
        <w:rPr>
          <w:rFonts w:hint="eastAsia"/>
          <w:lang w:val="en-US" w:eastAsia="zh-CN"/>
        </w:rPr>
        <w:t>提供</w:t>
      </w:r>
      <w:r>
        <w:rPr>
          <w:rFonts w:hint="eastAsia"/>
        </w:rPr>
        <w:t>保安服务许可证</w:t>
      </w:r>
      <w:r>
        <w:rPr>
          <w:rFonts w:hint="eastAsia"/>
          <w:lang w:val="en-US" w:eastAsia="zh-CN"/>
        </w:rPr>
        <w:t>复印件</w:t>
      </w:r>
      <w:r>
        <w:rPr>
          <w:rFonts w:hint="eastAsia"/>
          <w:lang w:eastAsia="zh-CN"/>
        </w:rPr>
        <w:t>】</w:t>
      </w:r>
    </w:p>
    <w:p w14:paraId="3741081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eastAsia="宋体"/>
          <w:lang w:eastAsia="zh-CN"/>
        </w:rPr>
      </w:pPr>
      <w:r>
        <w:rPr>
          <w:rFonts w:hint="eastAsia"/>
        </w:rPr>
        <w:t>2.1</w:t>
      </w:r>
      <w:r>
        <w:t>0 具有重庆市公安机关出具</w:t>
      </w:r>
      <w:r>
        <w:rPr>
          <w:rFonts w:hint="eastAsia"/>
          <w:lang w:val="en-US" w:eastAsia="zh-CN"/>
        </w:rPr>
        <w:t>的</w:t>
      </w:r>
      <w:r>
        <w:t>110指挥中心接警平台证明或接入110接处警系统的复函。</w:t>
      </w:r>
      <w:r>
        <w:rPr>
          <w:rFonts w:hint="eastAsia"/>
          <w:lang w:eastAsia="zh-CN"/>
        </w:rPr>
        <w:t>【</w:t>
      </w:r>
      <w:r>
        <w:rPr>
          <w:rFonts w:hint="eastAsia"/>
          <w:lang w:val="en-US" w:eastAsia="zh-CN"/>
        </w:rPr>
        <w:t>提供</w:t>
      </w:r>
      <w:r>
        <w:t>110指挥中心接警平台证明或接入110接处警系统的复函</w:t>
      </w:r>
      <w:r>
        <w:rPr>
          <w:rFonts w:hint="eastAsia"/>
          <w:lang w:val="en-US" w:eastAsia="zh-CN"/>
        </w:rPr>
        <w:t>复印件</w:t>
      </w:r>
      <w:r>
        <w:rPr>
          <w:rFonts w:hint="eastAsia"/>
          <w:lang w:eastAsia="zh-CN"/>
        </w:rPr>
        <w:t>】</w:t>
      </w:r>
    </w:p>
    <w:p w14:paraId="532F2F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2.1</w:t>
      </w:r>
      <w:r>
        <w:t xml:space="preserve">1 </w:t>
      </w:r>
      <w:r>
        <w:rPr>
          <w:rFonts w:hint="eastAsia"/>
        </w:rPr>
        <w:t>本次比选不接受联合体参选。</w:t>
      </w:r>
    </w:p>
    <w:p w14:paraId="5539ED5D">
      <w:pPr>
        <w:keepNext w:val="0"/>
        <w:keepLines w:val="0"/>
        <w:pageBreakBefore w:val="0"/>
        <w:widowControl w:val="0"/>
        <w:kinsoku/>
        <w:wordWrap/>
        <w:overflowPunct/>
        <w:topLinePunct w:val="0"/>
        <w:autoSpaceDE w:val="0"/>
        <w:autoSpaceDN w:val="0"/>
        <w:bidi w:val="0"/>
        <w:adjustRightInd/>
        <w:snapToGrid/>
        <w:spacing w:line="600" w:lineRule="exact"/>
        <w:textAlignment w:val="auto"/>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171EB2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3"/>
    <w:p w14:paraId="162769F5">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pPr>
      <w:bookmarkStart w:id="14" w:name="_Toc55379220"/>
      <w:bookmarkStart w:id="15" w:name="_Toc89675130"/>
      <w:bookmarkStart w:id="16" w:name="_Toc297817090"/>
      <w:bookmarkStart w:id="17" w:name="_Toc469574667"/>
      <w:r>
        <w:rPr>
          <w:rFonts w:hint="eastAsia"/>
        </w:rPr>
        <w:t>3. 比选文件的获取</w:t>
      </w:r>
      <w:bookmarkEnd w:id="14"/>
    </w:p>
    <w:p w14:paraId="568DDB0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3.1 参选截止时间：</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4BEBD6C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29</w:t>
      </w:r>
      <w:r>
        <w:rPr>
          <w:rFonts w:hint="eastAsia"/>
          <w:highlight w:val="none"/>
        </w:rPr>
        <w:t>日到参选截止时间，在重庆市公共资源交易网（www.cqggzy.com）下载比选文件。</w:t>
      </w:r>
    </w:p>
    <w:p w14:paraId="47B6E6F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 xml:space="preserve">3.3 参选人在下载比选文件后，应仔细检查比选文件的所有内容，如有残缺或文字表述不清，以及存在错、碰、漏、缺、概念模糊和有可能出现歧义或理解上的偏差的内容等应在    </w:t>
      </w:r>
      <w:r>
        <w:rPr>
          <w:rFonts w:hint="eastAsia"/>
          <w:highlight w:val="none"/>
          <w:lang w:val="en-US" w:eastAsia="zh-CN"/>
        </w:rPr>
        <w:t>2024</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14:paraId="29BD2A5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8BC7180">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highlight w:val="none"/>
        </w:rPr>
      </w:pPr>
      <w:bookmarkStart w:id="18" w:name="_Toc55379221"/>
      <w:r>
        <w:rPr>
          <w:rFonts w:hint="eastAsia"/>
          <w:highlight w:val="none"/>
        </w:rPr>
        <w:t>4. 参选保证金的递交</w:t>
      </w:r>
      <w:bookmarkEnd w:id="15"/>
      <w:bookmarkEnd w:id="16"/>
      <w:bookmarkEnd w:id="17"/>
      <w:bookmarkEnd w:id="18"/>
    </w:p>
    <w:p w14:paraId="544EB6D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bookmarkStart w:id="19" w:name="_Toc55379222"/>
      <w:bookmarkStart w:id="20" w:name="_Toc89675131"/>
      <w:bookmarkStart w:id="21" w:name="_Toc297817091"/>
      <w:bookmarkStart w:id="22" w:name="_Toc469574668"/>
      <w:r>
        <w:rPr>
          <w:rFonts w:hint="eastAsia"/>
          <w:highlight w:val="none"/>
        </w:rPr>
        <w:t>4.1 参选保证金的金额：</w:t>
      </w:r>
      <w:r>
        <w:rPr>
          <w:highlight w:val="none"/>
          <w:u w:val="single"/>
        </w:rPr>
        <w:t>20000</w:t>
      </w:r>
      <w:r>
        <w:rPr>
          <w:rFonts w:hint="eastAsia"/>
          <w:highlight w:val="none"/>
          <w:u w:val="single"/>
        </w:rPr>
        <w:t xml:space="preserve">.00 </w:t>
      </w:r>
      <w:r>
        <w:rPr>
          <w:rFonts w:hint="eastAsia"/>
          <w:highlight w:val="none"/>
        </w:rPr>
        <w:t>元整（大写：</w:t>
      </w:r>
      <w:r>
        <w:rPr>
          <w:rFonts w:hint="eastAsia"/>
          <w:highlight w:val="none"/>
          <w:u w:val="single"/>
        </w:rPr>
        <w:t>贰</w:t>
      </w:r>
      <w:r>
        <w:rPr>
          <w:highlight w:val="none"/>
          <w:u w:val="single"/>
        </w:rPr>
        <w:t>万</w:t>
      </w:r>
      <w:r>
        <w:rPr>
          <w:rFonts w:hint="eastAsia"/>
          <w:highlight w:val="none"/>
          <w:u w:val="single"/>
        </w:rPr>
        <w:t>元整</w:t>
      </w:r>
      <w:r>
        <w:rPr>
          <w:rFonts w:hint="eastAsia"/>
          <w:highlight w:val="none"/>
        </w:rPr>
        <w:t>）。</w:t>
      </w:r>
    </w:p>
    <w:p w14:paraId="12502E1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97116F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参选人必须在付款凭证备注栏中注明项目简称。可简写成：联网报警系统。</w:t>
      </w:r>
    </w:p>
    <w:p w14:paraId="022E23B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 xml:space="preserve">4.3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highlight w:val="none"/>
        </w:rPr>
        <w:t>。</w:t>
      </w:r>
    </w:p>
    <w:p w14:paraId="493BF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4.</w:t>
      </w:r>
      <w:r>
        <w:rPr>
          <w:highlight w:val="none"/>
        </w:rPr>
        <w:t>4</w:t>
      </w:r>
      <w:r>
        <w:rPr>
          <w:rFonts w:hint="eastAsia"/>
          <w:highlight w:val="none"/>
        </w:rPr>
        <w:t xml:space="preserve"> 参选保证金专用账户如下：</w:t>
      </w:r>
    </w:p>
    <w:p w14:paraId="03E5A29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794BA2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参选保证金以重庆市公共资源交易中心比选现场展示的保证金交纳情况为准。</w:t>
      </w:r>
    </w:p>
    <w:bookmarkEnd w:id="19"/>
    <w:bookmarkEnd w:id="20"/>
    <w:bookmarkEnd w:id="21"/>
    <w:bookmarkEnd w:id="22"/>
    <w:p w14:paraId="1499A32D">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highlight w:val="none"/>
        </w:rPr>
      </w:pPr>
      <w:r>
        <w:rPr>
          <w:rFonts w:hint="eastAsia"/>
          <w:highlight w:val="none"/>
        </w:rPr>
        <w:t>5. 参选文件的递交</w:t>
      </w:r>
    </w:p>
    <w:p w14:paraId="21F3DE5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bookmarkStart w:id="23" w:name="_Toc55379223"/>
      <w:bookmarkStart w:id="24" w:name="_Toc89675132"/>
      <w:bookmarkStart w:id="25" w:name="_Toc469574669"/>
      <w:r>
        <w:rPr>
          <w:rFonts w:hint="eastAsia"/>
          <w:highlight w:val="none"/>
        </w:rPr>
        <w:t>5.1 参选文件现场递交时间为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分(北京时间)至参选截止时间。</w:t>
      </w:r>
    </w:p>
    <w:p w14:paraId="0BC2F6F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28F170D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r>
        <w:rPr>
          <w:rFonts w:hint="eastAsia"/>
          <w:highlight w:val="none"/>
        </w:rPr>
        <w:t>5.3 逾期送达的参选文件，不予接收。</w:t>
      </w:r>
    </w:p>
    <w:p w14:paraId="6B7A8DF1">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highlight w:val="none"/>
        </w:rPr>
      </w:pPr>
      <w:r>
        <w:rPr>
          <w:rFonts w:hint="eastAsia"/>
          <w:highlight w:val="none"/>
        </w:rPr>
        <w:t>6. 发布公告的媒介</w:t>
      </w:r>
      <w:bookmarkEnd w:id="23"/>
      <w:bookmarkEnd w:id="24"/>
      <w:bookmarkEnd w:id="25"/>
    </w:p>
    <w:p w14:paraId="5A6D9C5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highlight w:val="none"/>
        </w:rPr>
      </w:pPr>
      <w:bookmarkStart w:id="26" w:name="_Toc250565211"/>
      <w:bookmarkStart w:id="27" w:name="_Toc469574670"/>
      <w:bookmarkStart w:id="28" w:name="_Toc55379224"/>
      <w:bookmarkStart w:id="29" w:name="_Toc89675133"/>
      <w:r>
        <w:rPr>
          <w:rFonts w:hint="eastAsia"/>
          <w:highlight w:val="none"/>
        </w:rPr>
        <w:t>本次比选公告同时在《重庆市公共资源交易网（www.cqggzy.com）》《重庆三峡银行官网（https://www.ccqtgb.com）》和《中国招标投标公共服务平台（http://www.cebpubservice.com）》上发布。</w:t>
      </w:r>
    </w:p>
    <w:p w14:paraId="1042DE45">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pPr>
      <w:r>
        <w:rPr>
          <w:rFonts w:hint="eastAsia"/>
        </w:rPr>
        <w:t>7. 联系方式</w:t>
      </w:r>
      <w:bookmarkEnd w:id="26"/>
      <w:bookmarkEnd w:id="27"/>
      <w:bookmarkEnd w:id="28"/>
      <w:bookmarkEnd w:id="29"/>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5"/>
        <w:gridCol w:w="4708"/>
      </w:tblGrid>
      <w:tr w14:paraId="5F62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0BC8FCE">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7.1 项目需求咨询</w:t>
            </w:r>
          </w:p>
        </w:tc>
      </w:tr>
      <w:tr w14:paraId="6C63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Borders>
              <w:top w:val="nil"/>
              <w:left w:val="single" w:color="auto" w:sz="4" w:space="0"/>
              <w:bottom w:val="nil"/>
              <w:right w:val="nil"/>
            </w:tcBorders>
          </w:tcPr>
          <w:p w14:paraId="20F4B073">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项目联系人：</w:t>
            </w:r>
            <w:r>
              <w:t>郭红建</w:t>
            </w:r>
          </w:p>
        </w:tc>
        <w:tc>
          <w:tcPr>
            <w:tcW w:w="4708" w:type="dxa"/>
            <w:tcBorders>
              <w:top w:val="nil"/>
              <w:left w:val="nil"/>
              <w:bottom w:val="nil"/>
              <w:right w:val="single" w:color="auto" w:sz="4" w:space="0"/>
            </w:tcBorders>
          </w:tcPr>
          <w:p w14:paraId="6086AE59">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联系方式：</w:t>
            </w:r>
            <w:r>
              <w:t>023-88890587</w:t>
            </w:r>
          </w:p>
        </w:tc>
      </w:tr>
      <w:tr w14:paraId="14A7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A8FFF0">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p>
        </w:tc>
      </w:tr>
      <w:tr w14:paraId="3FD6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9EA311">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7.2 项目流程咨询</w:t>
            </w:r>
          </w:p>
        </w:tc>
      </w:tr>
      <w:tr w14:paraId="2FAE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594A0D">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平台服务机构：重庆联合产权交易所集团股份有限公司</w:t>
            </w:r>
          </w:p>
        </w:tc>
      </w:tr>
      <w:tr w14:paraId="3C7A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Borders>
              <w:top w:val="nil"/>
              <w:left w:val="single" w:color="auto" w:sz="4" w:space="0"/>
              <w:bottom w:val="nil"/>
              <w:right w:val="nil"/>
            </w:tcBorders>
          </w:tcPr>
          <w:p w14:paraId="7413B49E">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lang w:val="en-US" w:eastAsia="zh-CN"/>
              </w:rPr>
            </w:pPr>
            <w:r>
              <w:rPr>
                <w:rFonts w:hint="eastAsia"/>
              </w:rPr>
              <w:t>平台联系人：</w:t>
            </w:r>
            <w:r>
              <w:rPr>
                <w:rFonts w:hint="eastAsia"/>
                <w:lang w:val="en-US" w:eastAsia="zh-CN"/>
              </w:rPr>
              <w:t>罗老师、杜老师</w:t>
            </w:r>
          </w:p>
        </w:tc>
        <w:tc>
          <w:tcPr>
            <w:tcW w:w="4708" w:type="dxa"/>
            <w:tcBorders>
              <w:top w:val="nil"/>
              <w:left w:val="nil"/>
              <w:bottom w:val="nil"/>
              <w:right w:val="single" w:color="auto" w:sz="4" w:space="0"/>
            </w:tcBorders>
          </w:tcPr>
          <w:p w14:paraId="500CBD89">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pPr>
            <w:r>
              <w:rPr>
                <w:rFonts w:hint="eastAsia"/>
              </w:rPr>
              <w:t>联系方式：023-63621694</w:t>
            </w:r>
          </w:p>
        </w:tc>
      </w:tr>
      <w:tr w14:paraId="0A1A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F8EE09">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p>
        </w:tc>
      </w:tr>
      <w:tr w14:paraId="1883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4BCB252">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7.3 比选人联系方式</w:t>
            </w:r>
          </w:p>
        </w:tc>
      </w:tr>
      <w:tr w14:paraId="1030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15" w:type="dxa"/>
            <w:tcBorders>
              <w:top w:val="nil"/>
              <w:left w:val="single" w:color="auto" w:sz="4" w:space="0"/>
              <w:bottom w:val="nil"/>
              <w:right w:val="nil"/>
            </w:tcBorders>
          </w:tcPr>
          <w:p w14:paraId="30980A5F">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eastAsia="宋体"/>
                <w:lang w:val="en-US" w:eastAsia="zh-CN"/>
              </w:rPr>
            </w:pPr>
            <w:r>
              <w:rPr>
                <w:rFonts w:hint="eastAsia"/>
              </w:rPr>
              <w:t>联系人：敬</w:t>
            </w:r>
            <w:r>
              <w:rPr>
                <w:rFonts w:hint="eastAsia"/>
                <w:lang w:val="en-US" w:eastAsia="zh-CN"/>
              </w:rPr>
              <w:t>老师</w:t>
            </w:r>
            <w:bookmarkStart w:id="80" w:name="_GoBack"/>
            <w:bookmarkEnd w:id="80"/>
          </w:p>
        </w:tc>
        <w:tc>
          <w:tcPr>
            <w:tcW w:w="4708" w:type="dxa"/>
            <w:tcBorders>
              <w:top w:val="nil"/>
              <w:left w:val="nil"/>
              <w:bottom w:val="nil"/>
              <w:right w:val="single" w:color="auto" w:sz="4" w:space="0"/>
            </w:tcBorders>
          </w:tcPr>
          <w:p w14:paraId="162BC998">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联系方式：023-88890395</w:t>
            </w:r>
          </w:p>
        </w:tc>
      </w:tr>
      <w:tr w14:paraId="502A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B690FEC">
            <w:pPr>
              <w:pStyle w:val="29"/>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rPr>
            </w:pPr>
            <w:r>
              <w:rPr>
                <w:rFonts w:hint="eastAsia"/>
              </w:rPr>
              <w:t>比选人地址：重庆市渝北区嘉州路88号中渝国际都会4号写字楼21层</w:t>
            </w:r>
          </w:p>
        </w:tc>
      </w:tr>
    </w:tbl>
    <w:p w14:paraId="72D5FE47">
      <w:pPr>
        <w:keepNext w:val="0"/>
        <w:keepLines w:val="0"/>
        <w:pageBreakBefore w:val="0"/>
        <w:widowControl w:val="0"/>
        <w:kinsoku/>
        <w:wordWrap/>
        <w:overflowPunct/>
        <w:topLinePunct w:val="0"/>
        <w:autoSpaceDE w:val="0"/>
        <w:autoSpaceDN w:val="0"/>
        <w:bidi w:val="0"/>
        <w:adjustRightInd/>
        <w:snapToGrid/>
        <w:spacing w:line="600" w:lineRule="exact"/>
        <w:jc w:val="right"/>
        <w:textAlignment w:val="auto"/>
        <w:rPr>
          <w:rFonts w:hint="eastAsia"/>
        </w:rPr>
      </w:pPr>
      <w:r>
        <w:rPr>
          <w:rFonts w:hint="eastAsia"/>
        </w:rPr>
        <w:t>重庆三峡银行股份有限公司</w:t>
      </w:r>
    </w:p>
    <w:p w14:paraId="1DDAA461">
      <w:pPr>
        <w:keepNext w:val="0"/>
        <w:keepLines w:val="0"/>
        <w:pageBreakBefore w:val="0"/>
        <w:widowControl w:val="0"/>
        <w:kinsoku/>
        <w:wordWrap/>
        <w:overflowPunct/>
        <w:topLinePunct w:val="0"/>
        <w:autoSpaceDE w:val="0"/>
        <w:autoSpaceDN w:val="0"/>
        <w:bidi w:val="0"/>
        <w:adjustRightInd/>
        <w:snapToGrid/>
        <w:spacing w:line="600" w:lineRule="exact"/>
        <w:jc w:val="right"/>
        <w:textAlignment w:val="auto"/>
        <w:rPr>
          <w:rFonts w:hint="eastAsia"/>
        </w:rPr>
      </w:pPr>
      <w:r>
        <w:rPr>
          <w:rFonts w:hint="eastAsia"/>
        </w:rPr>
        <w:t>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p w14:paraId="5C250C00">
      <w:pPr>
        <w:rPr>
          <w:rFonts w:hint="eastAsia"/>
        </w:rPr>
      </w:pPr>
    </w:p>
    <w:p w14:paraId="4FDD50FC">
      <w:pPr>
        <w:rPr>
          <w:rFonts w:hint="eastAsia"/>
        </w:rPr>
        <w:sectPr>
          <w:footerReference r:id="rId5" w:type="default"/>
          <w:pgSz w:w="11906" w:h="16838"/>
          <w:pgMar w:top="1440" w:right="1800" w:bottom="1440" w:left="1800" w:header="851" w:footer="992" w:gutter="0"/>
          <w:pgNumType w:start="1"/>
          <w:cols w:space="720" w:num="1"/>
          <w:docGrid w:type="lines" w:linePitch="312" w:charSpace="0"/>
        </w:sectPr>
      </w:pPr>
      <w:bookmarkStart w:id="30" w:name="_Toc303066033"/>
      <w:bookmarkStart w:id="31" w:name="_Toc89675159"/>
    </w:p>
    <w:p w14:paraId="3AA1DA1A">
      <w:pPr>
        <w:pStyle w:val="2"/>
        <w:bidi w:val="0"/>
      </w:pPr>
      <w:bookmarkStart w:id="32" w:name="_Toc30368"/>
      <w:bookmarkStart w:id="33" w:name="_Toc28384"/>
      <w:r>
        <w:rPr>
          <w:rFonts w:hint="eastAsia"/>
        </w:rPr>
        <w:t>第二章 参选人须知</w:t>
      </w:r>
      <w:bookmarkEnd w:id="30"/>
      <w:bookmarkEnd w:id="31"/>
      <w:bookmarkEnd w:id="32"/>
      <w:bookmarkEnd w:id="33"/>
    </w:p>
    <w:p w14:paraId="79A29C36">
      <w:pPr>
        <w:pStyle w:val="3"/>
        <w:bidi w:val="0"/>
      </w:pPr>
      <w:bookmarkStart w:id="34" w:name="_Toc89675160"/>
      <w:r>
        <w:rPr>
          <w:rFonts w:hint="eastAsia"/>
        </w:rPr>
        <w:t>1. 项目信息</w:t>
      </w:r>
    </w:p>
    <w:p w14:paraId="2F812DF5">
      <w:pPr>
        <w:pStyle w:val="4"/>
        <w:bidi w:val="0"/>
        <w:rPr>
          <w:rFonts w:hint="eastAsia"/>
        </w:rPr>
      </w:pPr>
      <w:r>
        <w:rPr>
          <w:rFonts w:hint="eastAsia"/>
        </w:rPr>
        <w:t>1.1 比选人</w:t>
      </w:r>
    </w:p>
    <w:p w14:paraId="72AC4329">
      <w:pPr>
        <w:bidi w:val="0"/>
        <w:rPr>
          <w:rFonts w:hint="eastAsia"/>
        </w:rPr>
      </w:pPr>
      <w:r>
        <w:t>重庆三峡银行股份有限公司</w:t>
      </w:r>
      <w:r>
        <w:rPr>
          <w:rFonts w:hint="eastAsia"/>
        </w:rPr>
        <w:t>。</w:t>
      </w:r>
    </w:p>
    <w:p w14:paraId="57DF70C2">
      <w:pPr>
        <w:pStyle w:val="4"/>
        <w:bidi w:val="0"/>
        <w:rPr>
          <w:rFonts w:hint="eastAsia"/>
        </w:rPr>
      </w:pPr>
      <w:r>
        <w:rPr>
          <w:rFonts w:hint="eastAsia"/>
        </w:rPr>
        <w:t>1.2 最高限价</w:t>
      </w:r>
    </w:p>
    <w:p w14:paraId="599C327E">
      <w:pPr>
        <w:bidi w:val="0"/>
        <w:rPr>
          <w:rFonts w:hint="eastAsia"/>
        </w:rPr>
      </w:pPr>
      <w:r>
        <w:rPr>
          <w:rFonts w:hint="eastAsia"/>
        </w:rPr>
        <w:t>本项目单项最高限价为：</w:t>
      </w:r>
    </w:p>
    <w:p w14:paraId="7E8FBB73">
      <w:pPr>
        <w:rPr>
          <w:rFonts w:hint="eastAsia"/>
          <w:lang w:val="en-US" w:eastAsia="zh-CN"/>
        </w:rPr>
      </w:pPr>
      <w:r>
        <w:rPr>
          <w:rFonts w:hint="eastAsia"/>
          <w:lang w:val="en-US" w:eastAsia="zh-CN"/>
        </w:rPr>
        <w:t>1.2.1 本项目</w:t>
      </w:r>
      <w:r>
        <w:rPr>
          <w:rFonts w:hint="eastAsia"/>
          <w:snapToGrid w:val="0"/>
        </w:rPr>
        <w:t>110联网报警系统服务</w:t>
      </w:r>
      <w:r>
        <w:rPr>
          <w:rFonts w:hint="eastAsia"/>
          <w:lang w:val="en-US" w:eastAsia="zh-CN"/>
        </w:rPr>
        <w:t>费含税最高限价</w:t>
      </w:r>
      <w:r>
        <w:rPr>
          <w:lang w:val="en-US" w:eastAsia="zh-CN"/>
        </w:rPr>
        <w:t>，</w:t>
      </w:r>
      <w:r>
        <w:rPr>
          <w:rFonts w:hint="eastAsia"/>
          <w:lang w:val="en-US" w:eastAsia="zh-CN"/>
        </w:rPr>
        <w:t>单个营业网点费用不超过</w:t>
      </w:r>
      <w:r>
        <w:rPr>
          <w:lang w:val="en-US" w:eastAsia="zh-CN"/>
        </w:rPr>
        <w:t>230</w:t>
      </w:r>
      <w:r>
        <w:rPr>
          <w:rFonts w:hint="eastAsia"/>
          <w:lang w:val="en-US" w:eastAsia="zh-CN"/>
        </w:rPr>
        <w:t>.00元/个/</w:t>
      </w:r>
      <w:r>
        <w:rPr>
          <w:lang w:val="en-US" w:eastAsia="zh-CN"/>
        </w:rPr>
        <w:t>月</w:t>
      </w:r>
      <w:r>
        <w:rPr>
          <w:rFonts w:hint="eastAsia"/>
          <w:lang w:val="en-US" w:eastAsia="zh-CN"/>
        </w:rPr>
        <w:t>。</w:t>
      </w:r>
    </w:p>
    <w:p w14:paraId="37B9BA54">
      <w:pPr>
        <w:rPr>
          <w:lang w:val="en-US" w:eastAsia="zh-CN"/>
        </w:rPr>
      </w:pPr>
      <w:r>
        <w:rPr>
          <w:rFonts w:hint="eastAsia"/>
          <w:lang w:val="en-US" w:eastAsia="zh-CN"/>
        </w:rPr>
        <w:t>1.2.2 本项目</w:t>
      </w:r>
      <w:r>
        <w:rPr>
          <w:rFonts w:hint="eastAsia"/>
          <w:snapToGrid w:val="0"/>
        </w:rPr>
        <w:t>110联网报警系统</w:t>
      </w:r>
      <w:r>
        <w:rPr>
          <w:snapToGrid w:val="0"/>
        </w:rPr>
        <w:t>初次建设费</w:t>
      </w:r>
      <w:r>
        <w:rPr>
          <w:lang w:val="en-US" w:eastAsia="zh-CN"/>
        </w:rPr>
        <w:t>含</w:t>
      </w:r>
      <w:r>
        <w:rPr>
          <w:rFonts w:hint="eastAsia"/>
          <w:lang w:val="en-US" w:eastAsia="zh-CN"/>
        </w:rPr>
        <w:t>税最高限价</w:t>
      </w:r>
      <w:r>
        <w:rPr>
          <w:lang w:val="en-US" w:eastAsia="zh-CN"/>
        </w:rPr>
        <w:t>，</w:t>
      </w:r>
      <w:r>
        <w:rPr>
          <w:rFonts w:hint="eastAsia"/>
          <w:lang w:val="en-US" w:eastAsia="zh-CN"/>
        </w:rPr>
        <w:t>单个</w:t>
      </w:r>
      <w:r>
        <w:rPr>
          <w:lang w:val="en-US" w:eastAsia="zh-CN"/>
        </w:rPr>
        <w:t>营业网点</w:t>
      </w:r>
      <w:r>
        <w:rPr>
          <w:rFonts w:hint="eastAsia"/>
          <w:lang w:val="en-US" w:eastAsia="zh-CN"/>
        </w:rPr>
        <w:t>费用不超过</w:t>
      </w:r>
      <w:r>
        <w:rPr>
          <w:lang w:val="en-US" w:eastAsia="zh-CN"/>
        </w:rPr>
        <w:t>1300.00元/个。</w:t>
      </w:r>
    </w:p>
    <w:p w14:paraId="616E60CA">
      <w:pPr>
        <w:rPr>
          <w:rFonts w:hint="eastAsia"/>
          <w:lang w:val="en-US" w:eastAsia="zh-CN"/>
        </w:rPr>
      </w:pPr>
      <w:r>
        <w:rPr>
          <w:rFonts w:hint="eastAsia"/>
          <w:lang w:val="en-US" w:eastAsia="zh-CN"/>
        </w:rPr>
        <w:t>所涉及</w:t>
      </w:r>
      <w:r>
        <w:rPr>
          <w:lang w:val="en-US" w:eastAsia="zh-CN"/>
        </w:rPr>
        <w:t>新建、搬迁及原址重装营业场所</w:t>
      </w:r>
      <w:r>
        <w:rPr>
          <w:rFonts w:hint="eastAsia"/>
          <w:snapToGrid w:val="0"/>
        </w:rPr>
        <w:t>110联网报警系统</w:t>
      </w:r>
      <w:r>
        <w:rPr>
          <w:snapToGrid w:val="0"/>
        </w:rPr>
        <w:t>建设，必须按照</w:t>
      </w:r>
      <w:r>
        <w:rPr>
          <w:rFonts w:hint="eastAsia" w:eastAsia="宋体"/>
          <w:sz w:val="21"/>
          <w:szCs w:val="20"/>
        </w:rPr>
        <w:t>《银行营业场所安全防范要求》（GA38-2021）</w:t>
      </w:r>
      <w:r>
        <w:t>及属地监管要求，对现金柜台、非现金柜台、加钞间、设备间安装</w:t>
      </w:r>
      <w:r>
        <w:rPr>
          <w:rFonts w:hint="eastAsia"/>
          <w:snapToGrid w:val="0"/>
        </w:rPr>
        <w:t>110联网报警系统</w:t>
      </w:r>
      <w:r>
        <w:rPr>
          <w:snapToGrid w:val="0"/>
        </w:rPr>
        <w:t>（设备包括:</w:t>
      </w:r>
      <w:r>
        <w:rPr>
          <w:rFonts w:hint="eastAsia"/>
        </w:rPr>
        <w:t>主控制板</w:t>
      </w:r>
      <w:r>
        <w:t>、</w:t>
      </w:r>
      <w:r>
        <w:rPr>
          <w:rFonts w:hint="eastAsia"/>
        </w:rPr>
        <w:t xml:space="preserve">无线模块 </w:t>
      </w:r>
      <w:r>
        <w:t>、备用</w:t>
      </w:r>
      <w:r>
        <w:rPr>
          <w:rFonts w:hint="eastAsia"/>
        </w:rPr>
        <w:t>电池</w:t>
      </w:r>
      <w:r>
        <w:t>、红外探测器、</w:t>
      </w:r>
      <w:r>
        <w:rPr>
          <w:rFonts w:hint="eastAsia"/>
        </w:rPr>
        <w:t>振动</w:t>
      </w:r>
      <w:r>
        <w:t>探测器等</w:t>
      </w:r>
      <w:r>
        <w:rPr>
          <w:rFonts w:hint="eastAsia"/>
        </w:rPr>
        <w:t xml:space="preserve"> </w:t>
      </w:r>
      <w:r>
        <w:rPr>
          <w:snapToGrid w:val="0"/>
        </w:rPr>
        <w:t>）。</w:t>
      </w:r>
    </w:p>
    <w:p w14:paraId="72E9EE00">
      <w:pPr>
        <w:pStyle w:val="4"/>
        <w:rPr>
          <w:rFonts w:hint="eastAsia"/>
        </w:rPr>
      </w:pPr>
      <w:r>
        <w:rPr>
          <w:rFonts w:hint="eastAsia"/>
        </w:rPr>
        <w:t>1.3 项目概况</w:t>
      </w:r>
    </w:p>
    <w:bookmarkEnd w:id="34"/>
    <w:p w14:paraId="282B594C">
      <w:pPr>
        <w:rPr>
          <w:rFonts w:hint="eastAsia"/>
          <w:snapToGrid w:val="0"/>
        </w:rPr>
      </w:pPr>
      <w:bookmarkStart w:id="35" w:name="_Toc89675161"/>
      <w:r>
        <w:rPr>
          <w:rFonts w:hint="eastAsia"/>
        </w:rPr>
        <w:t>项目名称：</w:t>
      </w:r>
      <w:r>
        <w:rPr>
          <w:rFonts w:hint="eastAsia"/>
          <w:snapToGrid w:val="0"/>
        </w:rPr>
        <w:t>重庆三峡银行110联网报警系统服务采购项目</w:t>
      </w:r>
    </w:p>
    <w:p w14:paraId="7CD17673">
      <w:pPr>
        <w:rPr>
          <w:rFonts w:hint="eastAsia"/>
        </w:rPr>
      </w:pPr>
      <w:r>
        <w:rPr>
          <w:rFonts w:hint="eastAsia"/>
        </w:rPr>
        <w:t>项目范围：采购</w:t>
      </w:r>
      <w:r>
        <w:t>1</w:t>
      </w:r>
      <w:r>
        <w:rPr>
          <w:rFonts w:hint="eastAsia"/>
        </w:rPr>
        <w:t>家供应商。</w:t>
      </w:r>
    </w:p>
    <w:p w14:paraId="1455C4D4">
      <w:pPr>
        <w:rPr>
          <w:rFonts w:hint="eastAsia"/>
        </w:rPr>
      </w:pPr>
      <w:r>
        <w:rPr>
          <w:rFonts w:hint="eastAsia"/>
        </w:rPr>
        <w:t>项目概况：根据重庆市公安局及相关监管机构下发的各项关于建设金融联网报警系统的</w:t>
      </w:r>
      <w:r>
        <w:t>规定</w:t>
      </w:r>
      <w:r>
        <w:rPr>
          <w:rFonts w:hint="eastAsia"/>
        </w:rPr>
        <w:t>，</w:t>
      </w:r>
      <w:r>
        <w:t>为</w:t>
      </w:r>
      <w:r>
        <w:rPr>
          <w:rFonts w:hint="eastAsia"/>
        </w:rPr>
        <w:t>我行各</w:t>
      </w:r>
      <w:r>
        <w:t>营业网点或经营场所</w:t>
      </w:r>
      <w:r>
        <w:rPr>
          <w:rFonts w:hint="eastAsia"/>
        </w:rPr>
        <w:t>安装110联网报警系统，对突发事件进行及时报警，保障了我行员工及客户的生命、财产安全。</w:t>
      </w:r>
    </w:p>
    <w:bookmarkEnd w:id="35"/>
    <w:p w14:paraId="4866276D">
      <w:pPr>
        <w:pStyle w:val="3"/>
        <w:bidi w:val="0"/>
        <w:rPr>
          <w:color w:val="auto"/>
          <w:highlight w:val="none"/>
        </w:rPr>
      </w:pPr>
      <w:bookmarkStart w:id="36" w:name="_Toc31775"/>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5BECF27D">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7BD1B787">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60FEB47A">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64F0DCFE">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400DCC5F">
      <w:pPr>
        <w:pStyle w:val="3"/>
        <w:bidi w:val="0"/>
        <w:rPr>
          <w:color w:val="auto"/>
          <w:highlight w:val="none"/>
        </w:rPr>
      </w:pPr>
      <w:bookmarkStart w:id="37" w:name="_Toc89675162"/>
      <w:r>
        <w:rPr>
          <w:rFonts w:hint="eastAsia"/>
          <w:color w:val="auto"/>
          <w:highlight w:val="none"/>
          <w:lang w:val="en-US" w:eastAsia="zh-CN"/>
        </w:rPr>
        <w:t xml:space="preserve">3. </w:t>
      </w:r>
      <w:r>
        <w:rPr>
          <w:rFonts w:hint="eastAsia"/>
          <w:color w:val="auto"/>
          <w:highlight w:val="none"/>
        </w:rPr>
        <w:t>比选文件</w:t>
      </w:r>
      <w:bookmarkEnd w:id="37"/>
    </w:p>
    <w:p w14:paraId="29DE9DB3">
      <w:pPr>
        <w:bidi w:val="0"/>
        <w:spacing w:line="560" w:lineRule="exact"/>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4B77CC40">
      <w:pPr>
        <w:bidi w:val="0"/>
        <w:rPr>
          <w:color w:val="auto"/>
          <w:highlight w:val="none"/>
        </w:rPr>
      </w:pPr>
      <w:r>
        <w:rPr>
          <w:rFonts w:hint="eastAsia"/>
          <w:color w:val="auto"/>
          <w:highlight w:val="none"/>
        </w:rPr>
        <w:t>本行对比选文件所作的一切有效的书面通知、修改及补充，都是比选文件不可分割的部分。</w:t>
      </w:r>
    </w:p>
    <w:p w14:paraId="031C36A2">
      <w:pPr>
        <w:pStyle w:val="3"/>
        <w:bidi w:val="0"/>
        <w:rPr>
          <w:color w:val="auto"/>
          <w:highlight w:val="none"/>
        </w:rPr>
      </w:pPr>
      <w:bookmarkStart w:id="38" w:name="_Toc89675163"/>
      <w:r>
        <w:rPr>
          <w:rFonts w:hint="eastAsia"/>
          <w:color w:val="auto"/>
          <w:highlight w:val="none"/>
          <w:lang w:val="en-US" w:eastAsia="zh-CN"/>
        </w:rPr>
        <w:t xml:space="preserve">4. </w:t>
      </w:r>
      <w:r>
        <w:rPr>
          <w:color w:val="auto"/>
          <w:highlight w:val="none"/>
        </w:rPr>
        <w:t>参选</w:t>
      </w:r>
      <w:bookmarkEnd w:id="38"/>
    </w:p>
    <w:p w14:paraId="02C73198">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460F3932">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1640DCE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2B3213C8">
      <w:pPr>
        <w:pStyle w:val="4"/>
        <w:bidi w:val="0"/>
        <w:rPr>
          <w:rFonts w:hint="eastAsia"/>
          <w:color w:val="auto"/>
          <w:highlight w:val="none"/>
          <w:lang w:val="en-US" w:eastAsia="zh-CN"/>
        </w:rPr>
      </w:pPr>
      <w:r>
        <w:rPr>
          <w:rFonts w:hint="eastAsia"/>
          <w:color w:val="auto"/>
          <w:highlight w:val="none"/>
          <w:lang w:val="en-US" w:eastAsia="zh-CN"/>
        </w:rPr>
        <w:t>4.2 联合参选</w:t>
      </w:r>
    </w:p>
    <w:p w14:paraId="404636C1">
      <w:pPr>
        <w:bidi w:val="0"/>
        <w:rPr>
          <w:rFonts w:hint="eastAsia"/>
          <w:color w:val="auto"/>
          <w:highlight w:val="none"/>
        </w:rPr>
      </w:pPr>
      <w:r>
        <w:rPr>
          <w:rFonts w:hint="eastAsia"/>
          <w:color w:val="auto"/>
          <w:highlight w:val="none"/>
        </w:rPr>
        <w:t>本比选项目不接受联合参选</w:t>
      </w:r>
    </w:p>
    <w:p w14:paraId="282D8DE1">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36EF561E">
      <w:pPr>
        <w:bidi w:val="0"/>
        <w:rPr>
          <w:color w:val="auto"/>
          <w:highlight w:val="none"/>
        </w:rPr>
      </w:pPr>
      <w:r>
        <w:rPr>
          <w:rFonts w:hint="eastAsia"/>
          <w:color w:val="auto"/>
          <w:highlight w:val="none"/>
        </w:rPr>
        <w:t>参选有效期为参选截止日期后90天内。</w:t>
      </w:r>
    </w:p>
    <w:p w14:paraId="380252B9">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1306F4B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5EAE4993">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342B61C">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23DD8AB9">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8759432">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72ED4ACC">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0EF348B">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20B59F4">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58421B5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3A06209F">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2A227028">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7AE380AA">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6D31484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4C32155E">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543B7812">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3BFA0F85">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F3E49E8">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BDF653A">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6A383E5F">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6EC603B0">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C898A2A">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68244AE4">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6456FEB">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2FF43FF4">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57A908BC">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28793DB9">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4BB3847E">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466351DC">
      <w:pPr>
        <w:bidi w:val="0"/>
        <w:rPr>
          <w:rFonts w:hint="eastAsia"/>
          <w:color w:val="auto"/>
          <w:highlight w:val="none"/>
        </w:rPr>
      </w:pPr>
      <w:r>
        <w:rPr>
          <w:rFonts w:hint="eastAsia"/>
          <w:color w:val="auto"/>
          <w:highlight w:val="none"/>
        </w:rPr>
        <w:t>4.7.4 参选报价不得高于最高限价。</w:t>
      </w:r>
    </w:p>
    <w:p w14:paraId="55854128">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15254C37">
      <w:pPr>
        <w:bidi w:val="0"/>
        <w:rPr>
          <w:color w:val="auto"/>
          <w:highlight w:val="none"/>
        </w:rPr>
      </w:pPr>
      <w:r>
        <w:rPr>
          <w:rFonts w:hint="eastAsia"/>
          <w:color w:val="auto"/>
          <w:highlight w:val="none"/>
        </w:rPr>
        <w:t>若参选文件出现计算或表达上的错误，修正错误的原则如下：</w:t>
      </w:r>
    </w:p>
    <w:p w14:paraId="75056FF9">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6EA71DDC">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2BC5FADF">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5E605A7A">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5AE48742">
      <w:pPr>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69250F35">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6FC14B9A">
      <w:pPr>
        <w:pStyle w:val="3"/>
        <w:bidi w:val="0"/>
        <w:rPr>
          <w:color w:val="auto"/>
          <w:highlight w:val="none"/>
        </w:rPr>
      </w:pPr>
      <w:bookmarkStart w:id="39" w:name="_Toc89675166"/>
      <w:r>
        <w:rPr>
          <w:rFonts w:hint="eastAsia"/>
          <w:color w:val="auto"/>
          <w:highlight w:val="none"/>
          <w:lang w:val="en-US" w:eastAsia="zh-CN"/>
        </w:rPr>
        <w:t xml:space="preserve">5. </w:t>
      </w:r>
      <w:r>
        <w:rPr>
          <w:rFonts w:hint="eastAsia"/>
          <w:color w:val="auto"/>
          <w:highlight w:val="none"/>
        </w:rPr>
        <w:t>比选程序</w:t>
      </w:r>
    </w:p>
    <w:p w14:paraId="3A0188C3">
      <w:pPr>
        <w:bidi w:val="0"/>
        <w:rPr>
          <w:color w:val="auto"/>
          <w:highlight w:val="none"/>
        </w:rPr>
      </w:pPr>
      <w:r>
        <w:rPr>
          <w:rFonts w:hint="eastAsia"/>
          <w:color w:val="auto"/>
          <w:highlight w:val="none"/>
        </w:rPr>
        <w:t>主持人按下列程序进行比选：</w:t>
      </w:r>
    </w:p>
    <w:p w14:paraId="5AF71A63">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4DC5512E">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408B83B9">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1CBFABCD">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481429E8">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56F230D1">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24E7F27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32CBFC2D">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632E8D6A">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44726EA1">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5043B2CE">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029F891E">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9"/>
    </w:p>
    <w:p w14:paraId="07E8BD6E">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5515866E">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54751EE0">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4FBC3685">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1AEB966E">
      <w:pPr>
        <w:pStyle w:val="3"/>
        <w:bidi w:val="0"/>
        <w:rPr>
          <w:color w:val="auto"/>
          <w:highlight w:val="none"/>
        </w:rPr>
      </w:pPr>
      <w:bookmarkStart w:id="40" w:name="_Toc12245"/>
      <w:bookmarkStart w:id="41" w:name="_Toc89675168"/>
      <w:r>
        <w:rPr>
          <w:rFonts w:hint="eastAsia"/>
          <w:color w:val="auto"/>
          <w:highlight w:val="none"/>
          <w:lang w:val="en-US" w:eastAsia="zh-CN"/>
        </w:rPr>
        <w:t xml:space="preserve">8. </w:t>
      </w:r>
      <w:r>
        <w:rPr>
          <w:rFonts w:hint="eastAsia"/>
          <w:color w:val="auto"/>
          <w:highlight w:val="none"/>
        </w:rPr>
        <w:t>签订合同</w:t>
      </w:r>
      <w:bookmarkEnd w:id="40"/>
      <w:bookmarkEnd w:id="41"/>
    </w:p>
    <w:p w14:paraId="6C3F8510">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68FAEE56">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31191998">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9EA8030">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90A999A">
      <w:pPr>
        <w:bidi w:val="0"/>
        <w:rPr>
          <w:color w:val="auto"/>
          <w:highlight w:val="none"/>
          <w:lang w:val="en-US" w:eastAsia="zh-CN"/>
        </w:rPr>
      </w:pPr>
      <w:r>
        <w:rPr>
          <w:rFonts w:hint="eastAsia"/>
          <w:color w:val="auto"/>
          <w:highlight w:val="none"/>
          <w:lang w:val="en-US" w:eastAsia="zh-CN"/>
        </w:rPr>
        <w:t>8.5 该项目不允许任何形式的转包。</w:t>
      </w:r>
    </w:p>
    <w:p w14:paraId="3B45E786">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4E6D14B9">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649F5FF6">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36DC5AB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2FC97B4">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143C6918">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70BC9805">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373E635F">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7073C8F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50D49747">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5CD76BA2">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79BC3F65">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035C26F0">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3DFAB2A">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52F1A87A">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632EB437">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F2D954E">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85BC70E">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4F28BC88">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71238FD">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3BF6E90D">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7E6F92EA">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04550EB0">
      <w:pPr>
        <w:pStyle w:val="3"/>
        <w:bidi w:val="0"/>
        <w:rPr>
          <w:color w:val="auto"/>
          <w:highlight w:val="none"/>
        </w:rPr>
      </w:pPr>
      <w:bookmarkStart w:id="42" w:name="_Toc89675169"/>
      <w:r>
        <w:rPr>
          <w:rFonts w:hint="eastAsia"/>
          <w:color w:val="auto"/>
          <w:highlight w:val="none"/>
          <w:lang w:val="en-US" w:eastAsia="zh-CN"/>
        </w:rPr>
        <w:t xml:space="preserve">10. </w:t>
      </w:r>
      <w:r>
        <w:rPr>
          <w:rFonts w:hint="eastAsia"/>
          <w:color w:val="auto"/>
          <w:highlight w:val="none"/>
        </w:rPr>
        <w:t>提问、质疑、投诉</w:t>
      </w:r>
    </w:p>
    <w:p w14:paraId="730E5166">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7795CC55">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6DDACBD5">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1FEDB0BB">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F20032D">
      <w:pPr>
        <w:bidi w:val="0"/>
      </w:pPr>
      <w:r>
        <w:rPr>
          <w:rFonts w:hint="eastAsia"/>
        </w:rPr>
        <w:t>采购质疑邮箱：</w:t>
      </w:r>
      <w:r>
        <w:t>sx.jcb@ccqtgb.com</w:t>
      </w:r>
    </w:p>
    <w:p w14:paraId="3630C79D">
      <w:pPr>
        <w:bidi w:val="0"/>
        <w:rPr>
          <w:rFonts w:hint="eastAsia"/>
        </w:rPr>
      </w:pPr>
      <w:r>
        <w:rPr>
          <w:rFonts w:hint="eastAsia"/>
        </w:rPr>
        <w:t>采购投诉邮箱：</w:t>
      </w:r>
      <w:bookmarkStart w:id="43" w:name="_Hlk74215856"/>
      <w:r>
        <w:rPr>
          <w:rFonts w:hint="eastAsia"/>
        </w:rPr>
        <w:t>sxyhjjz@</w:t>
      </w:r>
      <w:r>
        <w:t>ccqtgb</w:t>
      </w:r>
      <w:r>
        <w:rPr>
          <w:rFonts w:hint="eastAsia"/>
        </w:rPr>
        <w:t>.com</w:t>
      </w:r>
      <w:bookmarkEnd w:id="43"/>
    </w:p>
    <w:p w14:paraId="35B36C94">
      <w:pPr>
        <w:pStyle w:val="3"/>
        <w:bidi w:val="0"/>
        <w:rPr>
          <w:rFonts w:hint="eastAsia"/>
          <w:color w:val="auto"/>
          <w:highlight w:val="none"/>
        </w:rPr>
      </w:pPr>
      <w:bookmarkStart w:id="44" w:name="_Toc440628924"/>
      <w:bookmarkStart w:id="45" w:name="_Toc15059431"/>
      <w:bookmarkStart w:id="46" w:name="_Toc275199618"/>
      <w:bookmarkStart w:id="47" w:name="_Toc11439"/>
      <w:bookmarkStart w:id="48" w:name="_Toc89675157"/>
      <w:r>
        <w:rPr>
          <w:rFonts w:hint="eastAsia"/>
          <w:color w:val="auto"/>
          <w:highlight w:val="none"/>
          <w:lang w:val="en-US" w:eastAsia="zh-CN"/>
        </w:rPr>
        <w:t xml:space="preserve">11. </w:t>
      </w:r>
      <w:r>
        <w:rPr>
          <w:rFonts w:hint="eastAsia"/>
          <w:color w:val="auto"/>
          <w:highlight w:val="none"/>
        </w:rPr>
        <w:t>无效参选条款</w:t>
      </w:r>
      <w:bookmarkEnd w:id="44"/>
      <w:bookmarkEnd w:id="45"/>
      <w:bookmarkEnd w:id="46"/>
      <w:bookmarkEnd w:id="47"/>
      <w:bookmarkEnd w:id="48"/>
    </w:p>
    <w:p w14:paraId="239F2B26">
      <w:pPr>
        <w:bidi w:val="0"/>
        <w:rPr>
          <w:color w:val="auto"/>
          <w:highlight w:val="none"/>
        </w:rPr>
      </w:pPr>
      <w:r>
        <w:rPr>
          <w:rFonts w:hint="eastAsia"/>
          <w:color w:val="auto"/>
          <w:highlight w:val="none"/>
        </w:rPr>
        <w:t>参选人或其参选文件出现下列情况之一者，应为无效参选：</w:t>
      </w:r>
    </w:p>
    <w:p w14:paraId="7C37695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7BFBA0F8">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3FA30709">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6BC685C5">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76B3D19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1EDB18E4">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1BDE66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BBDD7C7">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3DDFDBFA">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603D74D2">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5B542E69">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707D1C25">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780FC22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5206ABDB">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2A20E0E1">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4A6D27BC">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6706F79D">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230EA705">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271A2BA8">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2"/>
    </w:p>
    <w:p w14:paraId="472F9646">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52B68AD9">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01AEFDBD">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19598E02">
      <w:pPr>
        <w:bidi w:val="0"/>
        <w:rPr>
          <w:color w:val="auto"/>
          <w:highlight w:val="none"/>
        </w:rPr>
      </w:pPr>
      <w:r>
        <w:rPr>
          <w:rFonts w:hint="eastAsia"/>
          <w:color w:val="auto"/>
          <w:highlight w:val="none"/>
        </w:rPr>
        <w:t>参选人参与本比选项目时，一切与参选有关的费用均由参选人自理。</w:t>
      </w:r>
    </w:p>
    <w:p w14:paraId="2DA144AC">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05F35A15">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4F01B655">
      <w:pPr>
        <w:pStyle w:val="2"/>
        <w:bidi w:val="0"/>
      </w:pPr>
      <w:bookmarkStart w:id="49" w:name="_Toc16431"/>
      <w:r>
        <w:rPr>
          <w:rFonts w:hint="eastAsia"/>
        </w:rPr>
        <w:t>第三章 项目要求</w:t>
      </w:r>
      <w:bookmarkEnd w:id="36"/>
      <w:bookmarkEnd w:id="49"/>
    </w:p>
    <w:p w14:paraId="58861C2E">
      <w:pPr>
        <w:pStyle w:val="3"/>
        <w:bidi w:val="0"/>
        <w:rPr>
          <w:rFonts w:hint="eastAsia"/>
        </w:rPr>
      </w:pPr>
      <w:r>
        <w:rPr>
          <w:rFonts w:hint="eastAsia"/>
        </w:rPr>
        <w:t>一、总体情况</w:t>
      </w:r>
    </w:p>
    <w:p w14:paraId="5B29B935">
      <w:pPr>
        <w:bidi w:val="0"/>
        <w:rPr>
          <w:rFonts w:hint="eastAsia"/>
        </w:rPr>
      </w:pPr>
      <w:r>
        <w:t>为保证我行110联网报警系统服务工作的连续性，根据实际需求，拟对各营业</w:t>
      </w:r>
      <w:r>
        <w:rPr>
          <w:rFonts w:hint="eastAsia"/>
        </w:rPr>
        <w:t>网点110联网报警系统服务</w:t>
      </w:r>
      <w:r>
        <w:t>和建设</w:t>
      </w:r>
      <w:r>
        <w:rPr>
          <w:rFonts w:hint="eastAsia"/>
        </w:rPr>
        <w:t>进行采购。</w:t>
      </w:r>
      <w:r>
        <w:rPr>
          <w:rFonts w:hint="eastAsia"/>
          <w:snapToGrid w:val="0"/>
        </w:rPr>
        <w:t>服务期：</w:t>
      </w:r>
      <w:r>
        <w:rPr>
          <w:snapToGrid w:val="0"/>
        </w:rPr>
        <w:t>3年</w:t>
      </w:r>
      <w:r>
        <w:rPr>
          <w:rFonts w:hint="eastAsia"/>
          <w:snapToGrid w:val="0"/>
        </w:rPr>
        <w:t>；服务地点：</w:t>
      </w:r>
      <w:r>
        <w:rPr>
          <w:snapToGrid w:val="0"/>
        </w:rPr>
        <w:t>重庆三峡银行各营业网点</w:t>
      </w:r>
      <w:r>
        <w:rPr>
          <w:rFonts w:hint="eastAsia"/>
          <w:snapToGrid w:val="0"/>
          <w:u w:val="none"/>
        </w:rPr>
        <w:t xml:space="preserve"> </w:t>
      </w:r>
      <w:r>
        <w:rPr>
          <w:snapToGrid w:val="0"/>
          <w:u w:val="none"/>
        </w:rPr>
        <w:t>。</w:t>
      </w:r>
    </w:p>
    <w:p w14:paraId="1BE5C6FC">
      <w:pPr>
        <w:pStyle w:val="3"/>
        <w:bidi w:val="0"/>
        <w:rPr>
          <w:rFonts w:hint="eastAsia"/>
        </w:rPr>
      </w:pPr>
      <w:r>
        <w:rPr>
          <w:rFonts w:hint="eastAsia"/>
        </w:rPr>
        <w:t>二、服务内容及服务要求</w:t>
      </w:r>
    </w:p>
    <w:p w14:paraId="72FCE573">
      <w:pPr>
        <w:pStyle w:val="4"/>
        <w:bidi w:val="0"/>
        <w:rPr>
          <w:rFonts w:hint="eastAsia"/>
        </w:rPr>
      </w:pPr>
      <w:r>
        <w:rPr>
          <w:rFonts w:hint="eastAsia"/>
        </w:rPr>
        <w:t>（一）服务范围及内容</w:t>
      </w:r>
    </w:p>
    <w:p w14:paraId="7095095C">
      <w:pPr>
        <w:bidi w:val="0"/>
        <w:rPr>
          <w:rFonts w:hint="eastAsia"/>
        </w:rPr>
      </w:pPr>
      <w:r>
        <w:rPr>
          <w:rFonts w:hint="eastAsia"/>
        </w:rPr>
        <w:t>110联网报警系统符合公安及有关部门要求和标准</w:t>
      </w:r>
    </w:p>
    <w:p w14:paraId="0C6F471E">
      <w:pPr>
        <w:bidi w:val="0"/>
      </w:pPr>
      <w:r>
        <w:rPr>
          <w:rFonts w:hint="eastAsia"/>
        </w:rPr>
        <w:t>1、</w:t>
      </w:r>
      <w:r>
        <w:t>110</w:t>
      </w:r>
      <w:r>
        <w:rPr>
          <w:rFonts w:hint="eastAsia"/>
        </w:rPr>
        <w:t>联网报警系统建设，</w:t>
      </w:r>
      <w:r>
        <w:rPr>
          <w:snapToGrid w:val="0"/>
        </w:rPr>
        <w:t>按照</w:t>
      </w:r>
      <w:r>
        <w:rPr>
          <w:rFonts w:hint="eastAsia"/>
        </w:rPr>
        <w:t>《银行营业场所安全防范要求》（GA38-2021）</w:t>
      </w:r>
      <w:r>
        <w:t>、属地监管及</w:t>
      </w:r>
      <w:r>
        <w:rPr>
          <w:rFonts w:hint="eastAsia"/>
        </w:rPr>
        <w:t>比选人要求对指定的营业场所和重点部位110联网报警设施进行方案设计、报警设备器材供应、工程安装施工、设备调试、110报警联网的建设；</w:t>
      </w:r>
      <w:r>
        <w:t>设备安装标准：包括但不限于营业网点现金区每个柜台安装1路报警按钮、安装红外双鉴探测器1个；非现金柜台区至少安装1路报警按钮；加钞间安装报警按钮1路、红外双鉴探测器1个、门磁报警1路；每个ATM自助设备安装振动报警器1个、门磁1个；其他保障110报警系统正常运行所必要的报警控制主机、控制键盘、屏闪灯、警号、备用电池等设备以及各类配套线材等；属地公安机关提出需要安装报警设备的其他防护要求；离行式自助网点、单机、监控中心等其他场所参照营业网点标准执行。</w:t>
      </w:r>
    </w:p>
    <w:p w14:paraId="23822CEC">
      <w:pPr>
        <w:bidi w:val="0"/>
        <w:rPr>
          <w:rFonts w:hint="eastAsia"/>
        </w:rPr>
      </w:pPr>
      <w:r>
        <w:rPr>
          <w:rFonts w:hint="eastAsia"/>
        </w:rPr>
        <w:t>2、联网报警的报警服务，按比选人指定的所属营业场所和重点部位承接110联网报警服务；</w:t>
      </w:r>
    </w:p>
    <w:p w14:paraId="3E38A9B1">
      <w:r>
        <w:rPr>
          <w:rFonts w:hint="eastAsia"/>
        </w:rPr>
        <w:t>3、联网报警系统的维护，按比选人要求对改造营业场所和重点部位在装修建设施工期间报警设施的位置调整，以及所有营业场所和重点部位联网报警系统的维护和保养，确保正常运行。</w:t>
      </w:r>
    </w:p>
    <w:p w14:paraId="480D2B56">
      <w:pPr>
        <w:pStyle w:val="4"/>
        <w:bidi w:val="0"/>
        <w:rPr>
          <w:rFonts w:hint="eastAsia"/>
        </w:rPr>
      </w:pPr>
      <w:r>
        <w:rPr>
          <w:rFonts w:hint="eastAsia"/>
        </w:rPr>
        <w:t>（二）服务需求</w:t>
      </w:r>
    </w:p>
    <w:p w14:paraId="4591FD33">
      <w:pPr>
        <w:bidi w:val="0"/>
        <w:rPr>
          <w:rFonts w:hint="eastAsia"/>
        </w:rPr>
      </w:pPr>
      <w:r>
        <w:rPr>
          <w:rFonts w:hint="eastAsia"/>
        </w:rPr>
        <w:t>1、服务标准</w:t>
      </w:r>
    </w:p>
    <w:p w14:paraId="7BA484B5">
      <w:pPr>
        <w:rPr>
          <w:rFonts w:hint="eastAsia"/>
        </w:rPr>
      </w:pPr>
      <w:r>
        <w:rPr>
          <w:rFonts w:hint="eastAsia"/>
        </w:rPr>
        <w:t>包括但不限于以下标准：</w:t>
      </w:r>
    </w:p>
    <w:p w14:paraId="410DE1E2">
      <w:pPr>
        <w:rPr>
          <w:rFonts w:hint="eastAsia"/>
        </w:rPr>
      </w:pPr>
      <w:r>
        <w:rPr>
          <w:rFonts w:hint="eastAsia"/>
        </w:rPr>
        <w:t>（1）《安全防范工程技术规范》（GB50348-2018）</w:t>
      </w:r>
    </w:p>
    <w:p w14:paraId="5AA4B99B">
      <w:pPr>
        <w:rPr>
          <w:rFonts w:hint="eastAsia"/>
        </w:rPr>
      </w:pPr>
      <w:r>
        <w:rPr>
          <w:rFonts w:hint="eastAsia"/>
        </w:rPr>
        <w:t>（2）《银行安全防范要求》（GA38-2021）</w:t>
      </w:r>
    </w:p>
    <w:p w14:paraId="2D7AB512">
      <w:pPr>
        <w:rPr>
          <w:rFonts w:hint="eastAsia"/>
        </w:rPr>
      </w:pPr>
      <w:r>
        <w:rPr>
          <w:rFonts w:hint="eastAsia"/>
        </w:rPr>
        <w:t>（4）《银行机构安全防范报警监控联网系统技术要求》（GB/T16676-2010）</w:t>
      </w:r>
    </w:p>
    <w:p w14:paraId="7283C812">
      <w:pPr>
        <w:rPr>
          <w:rFonts w:hint="eastAsia"/>
        </w:rPr>
      </w:pPr>
      <w:r>
        <w:rPr>
          <w:rFonts w:hint="eastAsia"/>
        </w:rPr>
        <w:t>（5）《入侵和紧急报警系统 控制指示设备》（GB12663-2019）</w:t>
      </w:r>
    </w:p>
    <w:p w14:paraId="4C6E6362">
      <w:pPr>
        <w:rPr>
          <w:rFonts w:hint="eastAsia"/>
        </w:rPr>
      </w:pPr>
      <w:r>
        <w:rPr>
          <w:rFonts w:hint="eastAsia"/>
        </w:rPr>
        <w:t>（6）《入侵报警系统技术要求》（GA/T368-2001）</w:t>
      </w:r>
    </w:p>
    <w:p w14:paraId="1AADFCE0">
      <w:pPr>
        <w:rPr>
          <w:rFonts w:hint="eastAsia"/>
        </w:rPr>
      </w:pPr>
      <w:r>
        <w:rPr>
          <w:rFonts w:hint="eastAsia"/>
        </w:rPr>
        <w:t>2、服务内容</w:t>
      </w:r>
    </w:p>
    <w:p w14:paraId="18F72F0A">
      <w:pPr>
        <w:rPr>
          <w:rFonts w:hint="eastAsia"/>
        </w:rPr>
      </w:pPr>
      <w:r>
        <w:rPr>
          <w:rFonts w:hint="eastAsia"/>
        </w:rPr>
        <w:t>（1）报警系统建设</w:t>
      </w:r>
    </w:p>
    <w:p w14:paraId="4C2CFC2F">
      <w:pPr>
        <w:rPr>
          <w:rFonts w:hint="eastAsia"/>
        </w:rPr>
      </w:pPr>
      <w:r>
        <w:rPr>
          <w:rFonts w:hint="eastAsia"/>
        </w:rPr>
        <w:t>①</w:t>
      </w:r>
      <w:r>
        <w:rPr>
          <w:rFonts w:hint="eastAsia"/>
          <w:lang w:val="en-US" w:eastAsia="zh-CN"/>
        </w:rPr>
        <w:t>中</w:t>
      </w:r>
      <w:r>
        <w:rPr>
          <w:rFonts w:hint="eastAsia"/>
        </w:rPr>
        <w:t>选人按照我行要求，对我行110联网报警系统服务项目进行整体方案设计，并经我行认可后实施，通过公安机关竣工验收。</w:t>
      </w:r>
    </w:p>
    <w:p w14:paraId="41B11CE6">
      <w:pPr>
        <w:rPr>
          <w:rFonts w:hint="eastAsia"/>
        </w:rPr>
      </w:pPr>
      <w:r>
        <w:rPr>
          <w:rFonts w:hint="eastAsia"/>
        </w:rPr>
        <w:t>②</w:t>
      </w:r>
      <w:r>
        <w:rPr>
          <w:rFonts w:hint="eastAsia"/>
          <w:lang w:val="en-US" w:eastAsia="zh-CN"/>
        </w:rPr>
        <w:t>中</w:t>
      </w:r>
      <w:r>
        <w:rPr>
          <w:rFonts w:hint="eastAsia"/>
        </w:rPr>
        <w:t>选人按照我行审查认可的设计方案，在指定网点或部位部署报警设备，并通过有线电话和无线网络（GPRS）与市、区县两级公安机关110指挥中心、我行监控中心、</w:t>
      </w:r>
      <w:r>
        <w:rPr>
          <w:rFonts w:hint="eastAsia"/>
          <w:lang w:val="en-US" w:eastAsia="zh-CN"/>
        </w:rPr>
        <w:t>中</w:t>
      </w:r>
      <w:r>
        <w:rPr>
          <w:rFonts w:hint="eastAsia"/>
        </w:rPr>
        <w:t>选人的运营服务中心中心，共同组成多级重庆金融联网报警网。</w:t>
      </w:r>
    </w:p>
    <w:p w14:paraId="4D364781">
      <w:pPr>
        <w:rPr>
          <w:rFonts w:hint="eastAsia"/>
        </w:rPr>
      </w:pPr>
      <w:r>
        <w:rPr>
          <w:rFonts w:hint="eastAsia"/>
        </w:rPr>
        <w:t>③我行除提供一条通信正常的电话线路外，其它所有设备、设施、线路的安装、维护、升级均由</w:t>
      </w:r>
      <w:r>
        <w:rPr>
          <w:rFonts w:hint="eastAsia"/>
          <w:lang w:val="en-US" w:eastAsia="zh-CN"/>
        </w:rPr>
        <w:t>中</w:t>
      </w:r>
      <w:r>
        <w:rPr>
          <w:rFonts w:hint="eastAsia"/>
        </w:rPr>
        <w:t>选人负责。无线网络（GPRS）的数据流量费由</w:t>
      </w:r>
      <w:r>
        <w:rPr>
          <w:rFonts w:hint="eastAsia"/>
          <w:lang w:val="en-US" w:eastAsia="zh-CN"/>
        </w:rPr>
        <w:t>中</w:t>
      </w:r>
      <w:r>
        <w:rPr>
          <w:rFonts w:hint="eastAsia"/>
        </w:rPr>
        <w:t>选人负责。</w:t>
      </w:r>
    </w:p>
    <w:p w14:paraId="038D2DF6">
      <w:pPr>
        <w:rPr>
          <w:rFonts w:hint="eastAsia"/>
        </w:rPr>
      </w:pPr>
      <w:r>
        <w:rPr>
          <w:rFonts w:hint="eastAsia"/>
        </w:rPr>
        <w:t>④报警系统安装施应符合我行整体功能布局、使用需要及建筑装饰规范要求，确保安全美观。</w:t>
      </w:r>
    </w:p>
    <w:p w14:paraId="7639869D">
      <w:pPr>
        <w:rPr>
          <w:rFonts w:hint="eastAsia"/>
        </w:rPr>
      </w:pPr>
      <w:r>
        <w:rPr>
          <w:rFonts w:hint="eastAsia"/>
        </w:rPr>
        <w:t>⑤</w:t>
      </w:r>
      <w:r>
        <w:rPr>
          <w:rFonts w:hint="eastAsia"/>
          <w:lang w:val="en-US" w:eastAsia="zh-CN"/>
        </w:rPr>
        <w:t>中</w:t>
      </w:r>
      <w:r>
        <w:rPr>
          <w:rFonts w:hint="eastAsia"/>
        </w:rPr>
        <w:t>选人所使用的报警设备须符合国家相关标准，并取得产品检验报告、合格证等相关资料。</w:t>
      </w:r>
    </w:p>
    <w:p w14:paraId="768595CF">
      <w:pPr>
        <w:rPr>
          <w:rFonts w:hint="eastAsia"/>
        </w:rPr>
      </w:pPr>
      <w:r>
        <w:rPr>
          <w:rFonts w:hint="eastAsia"/>
        </w:rPr>
        <w:t>（2）报警服务</w:t>
      </w:r>
    </w:p>
    <w:p w14:paraId="599E9D2F">
      <w:pPr>
        <w:rPr>
          <w:rFonts w:hint="eastAsia"/>
        </w:rPr>
      </w:pPr>
      <w:r>
        <w:rPr>
          <w:rFonts w:hint="eastAsia"/>
        </w:rPr>
        <w:t>①当网点发生警情触发报警器时，报警信号迅速自动地通过电话线、无线网络方式（GPRS）传送至市、区县两级公安机关110指挥中心、我行监控中心、</w:t>
      </w:r>
      <w:r>
        <w:rPr>
          <w:rFonts w:hint="eastAsia"/>
          <w:lang w:val="en-US" w:eastAsia="zh-CN"/>
        </w:rPr>
        <w:t>中</w:t>
      </w:r>
      <w:r>
        <w:rPr>
          <w:rFonts w:hint="eastAsia"/>
        </w:rPr>
        <w:t>选人运营服务中心。</w:t>
      </w:r>
    </w:p>
    <w:p w14:paraId="5A002723">
      <w:pPr>
        <w:rPr>
          <w:rFonts w:hint="eastAsia"/>
        </w:rPr>
      </w:pPr>
      <w:r>
        <w:rPr>
          <w:rFonts w:hint="eastAsia"/>
        </w:rPr>
        <w:t>②</w:t>
      </w:r>
      <w:r>
        <w:rPr>
          <w:rFonts w:hint="eastAsia"/>
          <w:lang w:val="en-US" w:eastAsia="zh-CN"/>
        </w:rPr>
        <w:t>中</w:t>
      </w:r>
      <w:r>
        <w:rPr>
          <w:rFonts w:hint="eastAsia"/>
        </w:rPr>
        <w:t>选人应在接收到报警信息2分钟内通知我行监控中心值班人员，积极协助公安机关和我行及时核查处置。发生重大突发事件或特殊情况下，应按照我行要求时间赶赴事发现场对报警系统进行技术支撑和恢复重建。</w:t>
      </w:r>
    </w:p>
    <w:p w14:paraId="4CDD9213">
      <w:pPr>
        <w:rPr>
          <w:rFonts w:hint="eastAsia"/>
        </w:rPr>
      </w:pPr>
      <w:r>
        <w:rPr>
          <w:rFonts w:hint="eastAsia"/>
        </w:rPr>
        <w:t>③</w:t>
      </w:r>
      <w:r>
        <w:rPr>
          <w:rFonts w:hint="eastAsia"/>
          <w:bCs/>
        </w:rPr>
        <w:t>为我行每个联网报警机构（含离行式自助银行、设备）按照不低于100万元保额投保(</w:t>
      </w:r>
      <w:r>
        <w:rPr>
          <w:rFonts w:hint="eastAsia"/>
        </w:rPr>
        <w:t>其中财产不低于50万元人民币，人身伤害不低于50万元人民币的责任赔付)，当出现警情时，因产品质量或维护不到位导致报警未成功造成我行财产损失或人员伤亡的，由</w:t>
      </w:r>
      <w:r>
        <w:rPr>
          <w:rFonts w:hint="eastAsia"/>
          <w:lang w:val="en-US" w:eastAsia="zh-CN"/>
        </w:rPr>
        <w:t>中</w:t>
      </w:r>
      <w:r>
        <w:rPr>
          <w:rFonts w:hint="eastAsia"/>
        </w:rPr>
        <w:t>选人进行相应责任赔偿。</w:t>
      </w:r>
    </w:p>
    <w:p w14:paraId="5B210D4D">
      <w:pPr>
        <w:rPr>
          <w:rFonts w:hint="eastAsia"/>
        </w:rPr>
      </w:pPr>
      <w:r>
        <w:rPr>
          <w:rFonts w:hint="eastAsia"/>
        </w:rPr>
        <w:t>（3）报警系统维护</w:t>
      </w:r>
    </w:p>
    <w:p w14:paraId="324ACF48">
      <w:pPr>
        <w:rPr>
          <w:rFonts w:hint="eastAsia"/>
        </w:rPr>
      </w:pPr>
      <w:r>
        <w:rPr>
          <w:rFonts w:hint="eastAsia"/>
          <w:lang w:val="en-US" w:eastAsia="zh-CN"/>
        </w:rPr>
        <w:t>中</w:t>
      </w:r>
      <w:r>
        <w:rPr>
          <w:rFonts w:hint="eastAsia"/>
        </w:rPr>
        <w:t>选人应建立运营服务中心每天自动巡检和专业人员定期和不定期维护检查我行110报警系统机制，对用户前端设备和中心接警设备进行维护管理，保证我行的110联网报警系统及配套安全产品（含辅材）始终处于良好的工作状态，保障正常运行。</w:t>
      </w:r>
    </w:p>
    <w:p w14:paraId="096B28AC">
      <w:pPr>
        <w:rPr>
          <w:rFonts w:hint="eastAsia"/>
        </w:rPr>
      </w:pPr>
      <w:r>
        <w:rPr>
          <w:rFonts w:hint="eastAsia"/>
        </w:rPr>
        <w:t>①</w:t>
      </w:r>
      <w:r>
        <w:rPr>
          <w:rFonts w:hint="eastAsia"/>
          <w:lang w:val="en-US" w:eastAsia="zh-CN"/>
        </w:rPr>
        <w:t>中</w:t>
      </w:r>
      <w:r>
        <w:rPr>
          <w:rFonts w:hint="eastAsia"/>
        </w:rPr>
        <w:t>选人定期或按照我行要求培训我行安全保卫管理人员、监控中心值班人员、网点负责人或兼职安全员，积极配合我行组织开展的安全演练，确保我行正常操作，有效使用。</w:t>
      </w:r>
    </w:p>
    <w:p w14:paraId="348686AF">
      <w:pPr>
        <w:rPr>
          <w:rFonts w:hint="eastAsia"/>
        </w:rPr>
      </w:pPr>
      <w:r>
        <w:rPr>
          <w:rFonts w:hint="eastAsia"/>
        </w:rPr>
        <w:t>②</w:t>
      </w:r>
      <w:r>
        <w:rPr>
          <w:rFonts w:hint="eastAsia"/>
          <w:lang w:val="en-US" w:eastAsia="zh-CN"/>
        </w:rPr>
        <w:t>中</w:t>
      </w:r>
      <w:r>
        <w:rPr>
          <w:rFonts w:hint="eastAsia"/>
        </w:rPr>
        <w:t>选人每季须对我行的110联网报警系统及配套安全产品（含辅材）进行一次实地维护、保养、检查。内容包括但不限于：报警主机运行是否正常(含控制键盘、备用电池、警灯、警号等全部附件），紧急报警按钮、入侵报警、震动、门磁等报警探测器工作是否正常，管、线、螺钉等辅材是否破损或松动，各防区运行是否正常，事件记录和查询功能是否正常，故障检测和显示是否正常并进行安全产品外部清洁，检查通信及远程联网各项指标，保证通信及远程联网系统的正常运转。</w:t>
      </w:r>
    </w:p>
    <w:p w14:paraId="0780F700">
      <w:pPr>
        <w:rPr>
          <w:rFonts w:hint="eastAsia"/>
        </w:rPr>
      </w:pPr>
      <w:r>
        <w:rPr>
          <w:rFonts w:hint="eastAsia"/>
        </w:rPr>
        <w:t>③每次检查维护完毕，</w:t>
      </w:r>
      <w:r>
        <w:rPr>
          <w:rFonts w:hint="eastAsia"/>
          <w:lang w:val="en-US" w:eastAsia="zh-CN"/>
        </w:rPr>
        <w:t>中</w:t>
      </w:r>
      <w:r>
        <w:rPr>
          <w:rFonts w:hint="eastAsia"/>
        </w:rPr>
        <w:t>选人维护人员须填写相关维护维修内容并由我行支行（网点）人员签字确认。每月提供系统运行报告。</w:t>
      </w:r>
    </w:p>
    <w:p w14:paraId="2B98C9A4">
      <w:pPr>
        <w:rPr>
          <w:rFonts w:hint="eastAsia"/>
        </w:rPr>
      </w:pPr>
      <w:r>
        <w:rPr>
          <w:rFonts w:hint="eastAsia"/>
        </w:rPr>
        <w:t>④</w:t>
      </w:r>
      <w:r>
        <w:t>遇</w:t>
      </w:r>
      <w:r>
        <w:rPr>
          <w:rFonts w:hint="eastAsia"/>
        </w:rPr>
        <w:t>重大突发事件、重要节假日或敏感时期</w:t>
      </w:r>
      <w:r>
        <w:t>以及安全检查等情况</w:t>
      </w:r>
      <w:r>
        <w:rPr>
          <w:rFonts w:hint="eastAsia"/>
        </w:rPr>
        <w:t>，</w:t>
      </w:r>
      <w:r>
        <w:rPr>
          <w:rFonts w:hint="eastAsia"/>
          <w:lang w:val="en-US" w:eastAsia="zh-CN"/>
        </w:rPr>
        <w:t>中</w:t>
      </w:r>
      <w:r>
        <w:rPr>
          <w:rFonts w:hint="eastAsia"/>
        </w:rPr>
        <w:t>选人应按照我行要求进行技术支持、巡检或配合应急处置。</w:t>
      </w:r>
    </w:p>
    <w:p w14:paraId="5649C3BF">
      <w:pPr>
        <w:rPr>
          <w:rFonts w:hint="eastAsia"/>
        </w:rPr>
      </w:pPr>
      <w:r>
        <w:rPr>
          <w:rFonts w:hint="eastAsia"/>
        </w:rPr>
        <w:t>⑤</w:t>
      </w:r>
      <w:r>
        <w:t>中选人提供7</w:t>
      </w:r>
      <w:r>
        <w:rPr>
          <w:rFonts w:hint="eastAsia" w:ascii="宋体" w:eastAsia="宋体"/>
        </w:rPr>
        <w:t>×</w:t>
      </w:r>
      <w:r>
        <w:rPr>
          <w:rFonts w:ascii="宋体" w:eastAsia="宋体"/>
        </w:rPr>
        <w:t>24小时服务响应，</w:t>
      </w:r>
      <w:r>
        <w:rPr>
          <w:rFonts w:hint="eastAsia"/>
        </w:rPr>
        <w:t>我行的110联网报警系统及配套安全产品（含辅材）发生故障，</w:t>
      </w:r>
      <w:r>
        <w:rPr>
          <w:rFonts w:hint="eastAsia"/>
          <w:lang w:val="en-US" w:eastAsia="zh-CN"/>
        </w:rPr>
        <w:t>中</w:t>
      </w:r>
      <w:r>
        <w:rPr>
          <w:rFonts w:hint="eastAsia"/>
        </w:rPr>
        <w:t>选人应在接报后，</w:t>
      </w:r>
      <w:r>
        <w:t>主城区</w:t>
      </w:r>
      <w:r>
        <w:rPr>
          <w:rFonts w:hint="eastAsia"/>
        </w:rPr>
        <w:t>在2小时内</w:t>
      </w:r>
      <w:r>
        <w:t>到达现场排除故障，远郊地区在8小时</w:t>
      </w:r>
      <w:r>
        <w:rPr>
          <w:rFonts w:hint="eastAsia"/>
        </w:rPr>
        <w:t>内</w:t>
      </w:r>
      <w:r>
        <w:t>到达现场排除故障</w:t>
      </w:r>
      <w:r>
        <w:rPr>
          <w:rFonts w:hint="eastAsia"/>
        </w:rPr>
        <w:t>。</w:t>
      </w:r>
    </w:p>
    <w:p w14:paraId="3AF8DD5C">
      <w:pPr>
        <w:rPr>
          <w:rFonts w:hint="eastAsia"/>
        </w:rPr>
      </w:pPr>
      <w:r>
        <w:rPr>
          <w:rFonts w:hint="eastAsia"/>
        </w:rPr>
        <w:t>⑥</w:t>
      </w:r>
      <w:r>
        <w:rPr>
          <w:rFonts w:hint="eastAsia"/>
          <w:lang w:val="en-US" w:eastAsia="zh-CN"/>
        </w:rPr>
        <w:t>中</w:t>
      </w:r>
      <w:r>
        <w:rPr>
          <w:rFonts w:hint="eastAsia"/>
        </w:rPr>
        <w:t>选人合同期内免费提供设备系统软件维护，设备系统软件版本升级、微码升级、补丁程序及技术支持等服务。</w:t>
      </w:r>
    </w:p>
    <w:p w14:paraId="0F34A34F">
      <w:r>
        <w:t>（4）比选人有权有对</w:t>
      </w:r>
      <w:r>
        <w:rPr>
          <w:rFonts w:hint="eastAsia"/>
          <w:lang w:val="en-US" w:eastAsia="zh-CN"/>
        </w:rPr>
        <w:t>中</w:t>
      </w:r>
      <w:r>
        <w:rPr>
          <w:rFonts w:hint="eastAsia"/>
        </w:rPr>
        <w:t>选人</w:t>
      </w:r>
      <w:r>
        <w:t>服务质量进行季度、年度考核，当</w:t>
      </w:r>
      <w:r>
        <w:rPr>
          <w:rFonts w:hint="eastAsia"/>
          <w:lang w:val="en-US" w:eastAsia="zh-CN"/>
        </w:rPr>
        <w:t>中</w:t>
      </w:r>
      <w:r>
        <w:rPr>
          <w:rFonts w:hint="eastAsia"/>
        </w:rPr>
        <w:t>选人</w:t>
      </w:r>
      <w:r>
        <w:t>服务质量未达到比选人要求时，比选人有权终止合同，更换</w:t>
      </w:r>
      <w:r>
        <w:rPr>
          <w:rFonts w:hint="eastAsia"/>
          <w:lang w:val="en-US" w:eastAsia="zh-CN"/>
        </w:rPr>
        <w:t>中</w:t>
      </w:r>
      <w:r>
        <w:rPr>
          <w:rFonts w:hint="eastAsia"/>
        </w:rPr>
        <w:t>选人</w:t>
      </w:r>
      <w:r>
        <w:t>，最终考核结果以比选人认定结果为准。</w:t>
      </w:r>
    </w:p>
    <w:p w14:paraId="296EF4F9">
      <w:pPr>
        <w:rPr>
          <w:rFonts w:hint="eastAsia"/>
        </w:rPr>
      </w:pPr>
      <w:r>
        <w:rPr>
          <w:rFonts w:hint="eastAsia"/>
        </w:rPr>
        <w:t>3、其他事宜</w:t>
      </w:r>
    </w:p>
    <w:p w14:paraId="097E7DE8">
      <w:pPr>
        <w:rPr>
          <w:rFonts w:hint="eastAsia"/>
        </w:rPr>
      </w:pPr>
      <w:r>
        <w:rPr>
          <w:rFonts w:hint="eastAsia"/>
        </w:rPr>
        <w:t>其他未尽事宜由</w:t>
      </w:r>
      <w:r>
        <w:t>比选人</w:t>
      </w:r>
      <w:r>
        <w:rPr>
          <w:rFonts w:hint="eastAsia"/>
        </w:rPr>
        <w:t>和确定的</w:t>
      </w:r>
      <w:r>
        <w:rPr>
          <w:rFonts w:hint="eastAsia"/>
          <w:lang w:eastAsia="zh-CN"/>
        </w:rPr>
        <w:t>中选</w:t>
      </w:r>
      <w:r>
        <w:rPr>
          <w:rFonts w:hint="eastAsia"/>
        </w:rPr>
        <w:t>人在合同中详细约定。</w:t>
      </w:r>
    </w:p>
    <w:p w14:paraId="3E1467AE">
      <w:pPr>
        <w:pStyle w:val="4"/>
        <w:bidi w:val="0"/>
        <w:rPr>
          <w:rFonts w:hint="eastAsia"/>
        </w:rPr>
      </w:pPr>
      <w:r>
        <w:rPr>
          <w:rFonts w:hint="eastAsia"/>
        </w:rPr>
        <w:t>（三）技术规范及安装、施工质量要求</w:t>
      </w:r>
    </w:p>
    <w:p w14:paraId="0A444447">
      <w:pPr>
        <w:rPr>
          <w:rFonts w:hint="eastAsia"/>
        </w:rPr>
      </w:pPr>
      <w:r>
        <w:rPr>
          <w:rFonts w:hint="eastAsia"/>
        </w:rPr>
        <w:t>1、</w:t>
      </w:r>
      <w:r>
        <w:rPr>
          <w:rFonts w:hint="eastAsia"/>
          <w:lang w:val="en-US" w:eastAsia="zh-CN"/>
        </w:rPr>
        <w:t>中</w:t>
      </w:r>
      <w:r>
        <w:rPr>
          <w:rFonts w:hint="eastAsia"/>
        </w:rPr>
        <w:t>选人110联网报警的工程设计方案、设备配置和安装施工等必须按国家《银行安全防范报警监控联网系统技术要求》、《银行安全防范要求》（GA38—2021）及重庆市公安局相关要求执行。</w:t>
      </w:r>
    </w:p>
    <w:p w14:paraId="5F9D56E3">
      <w:pPr>
        <w:rPr>
          <w:rFonts w:hint="eastAsia"/>
        </w:rPr>
      </w:pPr>
      <w:r>
        <w:rPr>
          <w:rFonts w:hint="eastAsia"/>
        </w:rPr>
        <w:t>2、</w:t>
      </w:r>
      <w:r>
        <w:rPr>
          <w:rFonts w:hint="eastAsia"/>
          <w:lang w:val="en-US" w:eastAsia="zh-CN"/>
        </w:rPr>
        <w:t>中</w:t>
      </w:r>
      <w:r>
        <w:rPr>
          <w:rFonts w:hint="eastAsia"/>
        </w:rPr>
        <w:t>选人110联网报警设备安装施工质量和标准必须符合国家《安全防范工程技术规范》（GB50348-2004）、《银行安全防范要求》（GA38—2021）、《银行安全防范报警监控联网系统技术要求》等相关规定的标准和要求执行。</w:t>
      </w:r>
    </w:p>
    <w:p w14:paraId="2D703C77">
      <w:pPr>
        <w:rPr>
          <w:rFonts w:hint="eastAsia"/>
        </w:rPr>
      </w:pPr>
      <w:r>
        <w:t>3</w:t>
      </w:r>
      <w:r>
        <w:rPr>
          <w:rFonts w:hint="eastAsia"/>
        </w:rPr>
        <w:t>、</w:t>
      </w:r>
      <w:r>
        <w:rPr>
          <w:rFonts w:hint="eastAsia"/>
          <w:lang w:val="en-US" w:eastAsia="zh-CN"/>
        </w:rPr>
        <w:t>中</w:t>
      </w:r>
      <w:r>
        <w:rPr>
          <w:rFonts w:hint="eastAsia"/>
        </w:rPr>
        <w:t>选人负责对比选人所属营业场所和重点要害部位的联网报警设备与公安局110指挥中心连接，并直接为比选人提供三级联网报警网络。即通过有线电话线路和GPRS无线IP网络双线路报警信息传输的网路系统与市公安局“110”指挥中心，区、县公安分局“110”指挥中心分别联网（一、二级接警、处警中心），110联网报警公司为运营服务中心，组成三级联网报警网（当网点发生警情触发报警器后，报警信号迅速自动地通过电话线和GPRS无线IP网络传送到各级中心，实现接、处警）。</w:t>
      </w:r>
    </w:p>
    <w:p w14:paraId="575190ED">
      <w:pPr>
        <w:rPr>
          <w:rFonts w:hint="eastAsia"/>
        </w:rPr>
      </w:pPr>
      <w:r>
        <w:t>4</w:t>
      </w:r>
      <w:r>
        <w:rPr>
          <w:rFonts w:hint="eastAsia"/>
        </w:rPr>
        <w:t>、</w:t>
      </w:r>
      <w:r>
        <w:rPr>
          <w:rFonts w:hint="eastAsia"/>
          <w:lang w:val="en-US" w:eastAsia="zh-CN"/>
        </w:rPr>
        <w:t>中</w:t>
      </w:r>
      <w:r>
        <w:rPr>
          <w:rFonts w:hint="eastAsia"/>
        </w:rPr>
        <w:t>选人110联网报警系统的相关技术要求和设备安装施工质量应通过公安机构进行验收。工程验收合格后，参选人应及时将110联网报警工程的全套文档资料（施工图纸、设备清单、产品说明书及相关软件等资料）移交给比选人</w:t>
      </w:r>
      <w:r>
        <w:t>安全</w:t>
      </w:r>
      <w:r>
        <w:rPr>
          <w:rFonts w:hint="eastAsia"/>
        </w:rPr>
        <w:t>保卫部存档。</w:t>
      </w:r>
    </w:p>
    <w:p w14:paraId="62AC9204">
      <w:pPr>
        <w:pStyle w:val="3"/>
        <w:rPr>
          <w:rFonts w:hint="eastAsia"/>
          <w:lang w:val="en-US" w:eastAsia="zh-CN"/>
        </w:rPr>
      </w:pPr>
      <w:bookmarkStart w:id="50" w:name="_Toc15059427"/>
      <w:bookmarkStart w:id="51" w:name="_Toc89675153"/>
      <w:r>
        <w:rPr>
          <w:rFonts w:hint="eastAsia" w:cs="宋体"/>
          <w:b/>
          <w:bCs/>
          <w:snapToGrid w:val="0"/>
          <w:color w:val="auto"/>
          <w:kern w:val="2"/>
          <w:sz w:val="21"/>
          <w:szCs w:val="24"/>
          <w:highlight w:val="none"/>
          <w:lang w:val="en-US" w:eastAsia="zh-CN" w:bidi="ar-SA"/>
        </w:rPr>
        <w:t>三、</w:t>
      </w:r>
      <w:r>
        <w:rPr>
          <w:rFonts w:hint="eastAsia"/>
          <w:lang w:val="en-US" w:eastAsia="zh-CN"/>
        </w:rPr>
        <w:t>报价要求</w:t>
      </w:r>
    </w:p>
    <w:p w14:paraId="3D5CC5F8">
      <w:r>
        <w:rPr>
          <w:rFonts w:hint="eastAsia"/>
          <w:lang w:eastAsia="zh-CN"/>
        </w:rPr>
        <w:t>（</w:t>
      </w:r>
      <w:r>
        <w:rPr>
          <w:rFonts w:hint="eastAsia"/>
          <w:lang w:val="en-US" w:eastAsia="zh-CN"/>
        </w:rPr>
        <w:t>1</w:t>
      </w:r>
      <w:r>
        <w:rPr>
          <w:rFonts w:hint="eastAsia"/>
          <w:lang w:eastAsia="zh-CN"/>
        </w:rPr>
        <w:t>）</w:t>
      </w:r>
      <w:r>
        <w:rPr>
          <w:rFonts w:hint="eastAsia"/>
        </w:rPr>
        <w:t>参选人应严格按照《参选文件格式》的“报价一览表”的格式认真填写。</w:t>
      </w:r>
    </w:p>
    <w:p w14:paraId="5C8FBC9B">
      <w:r>
        <w:rPr>
          <w:rFonts w:hint="eastAsia"/>
          <w:lang w:eastAsia="zh-CN"/>
        </w:rPr>
        <w:t>（</w:t>
      </w:r>
      <w:r>
        <w:rPr>
          <w:rFonts w:hint="eastAsia"/>
          <w:lang w:val="en-US" w:eastAsia="zh-CN"/>
        </w:rPr>
        <w:t>2</w:t>
      </w:r>
      <w:r>
        <w:rPr>
          <w:rFonts w:hint="eastAsia"/>
          <w:lang w:eastAsia="zh-CN"/>
        </w:rPr>
        <w:t>）</w:t>
      </w:r>
      <w:r>
        <w:rPr>
          <w:rFonts w:hint="eastAsia"/>
          <w:lang w:val="en-US" w:eastAsia="zh-CN"/>
        </w:rPr>
        <w:t>报价一览表</w:t>
      </w:r>
      <w:r>
        <w:t>上应列明增值税专用发票的税率。</w:t>
      </w:r>
    </w:p>
    <w:p w14:paraId="08F7D93E">
      <w:r>
        <w:rPr>
          <w:rFonts w:hint="eastAsia"/>
          <w:lang w:eastAsia="zh-CN"/>
        </w:rPr>
        <w:t>（</w:t>
      </w:r>
      <w:r>
        <w:rPr>
          <w:rFonts w:hint="eastAsia"/>
          <w:lang w:val="en-US" w:eastAsia="zh-CN"/>
        </w:rPr>
        <w:t>3</w:t>
      </w:r>
      <w:r>
        <w:rPr>
          <w:rFonts w:hint="eastAsia"/>
          <w:lang w:eastAsia="zh-CN"/>
        </w:rPr>
        <w:t>）</w:t>
      </w:r>
      <w:r>
        <w:rPr>
          <w:rFonts w:hint="eastAsia"/>
        </w:rPr>
        <w:t>报价为一次性报价，开标后不可更改。</w:t>
      </w:r>
    </w:p>
    <w:p w14:paraId="32EBDAFB">
      <w:pPr>
        <w:rPr>
          <w:lang w:val="en-US" w:eastAsia="zh-CN"/>
        </w:rPr>
      </w:pPr>
      <w:r>
        <w:rPr>
          <w:rFonts w:hint="eastAsia"/>
        </w:rPr>
        <w:t>（</w:t>
      </w:r>
      <w:r>
        <w:rPr>
          <w:rFonts w:hint="eastAsia"/>
          <w:lang w:val="en-US" w:eastAsia="zh-CN"/>
        </w:rPr>
        <w:t>4</w:t>
      </w:r>
      <w:r>
        <w:rPr>
          <w:rFonts w:hint="eastAsia"/>
        </w:rPr>
        <w:t>）特别说明，本次报价为包含可全额抵扣的6%增值税专用发票税金的价格。</w:t>
      </w:r>
    </w:p>
    <w:p w14:paraId="58FD6FB8">
      <w:pPr>
        <w:pStyle w:val="3"/>
        <w:ind w:left="360" w:hanging="360"/>
        <w:jc w:val="both"/>
        <w:rPr>
          <w:rFonts w:ascii="Times New Roman" w:hAnsi="Times New Roman"/>
          <w:color w:val="auto"/>
          <w:highlight w:val="none"/>
        </w:rPr>
      </w:pPr>
      <w:r>
        <w:rPr>
          <w:rFonts w:hint="eastAsia" w:cs="宋体"/>
          <w:b/>
          <w:bCs/>
          <w:snapToGrid w:val="0"/>
          <w:color w:val="auto"/>
          <w:kern w:val="2"/>
          <w:sz w:val="21"/>
          <w:szCs w:val="24"/>
          <w:highlight w:val="none"/>
          <w:lang w:val="en-US" w:eastAsia="zh-CN" w:bidi="ar-SA"/>
        </w:rPr>
        <w:t>四、</w:t>
      </w:r>
      <w:r>
        <w:rPr>
          <w:rFonts w:hint="eastAsia" w:ascii="Times New Roman" w:hAnsi="Times New Roman"/>
          <w:color w:val="auto"/>
          <w:highlight w:val="none"/>
        </w:rPr>
        <w:t>其他</w:t>
      </w:r>
    </w:p>
    <w:p w14:paraId="6C7FD553">
      <w:pPr>
        <w:bidi w:val="0"/>
        <w:rPr>
          <w:rFonts w:hint="eastAsia"/>
        </w:rPr>
      </w:pPr>
      <w:r>
        <w:rPr>
          <w:rFonts w:hint="eastAsia"/>
          <w:lang w:val="en-US" w:eastAsia="zh-CN"/>
        </w:rPr>
        <w:t>1、</w:t>
      </w:r>
      <w:r>
        <w:rPr>
          <w:rFonts w:hint="eastAsia"/>
        </w:rPr>
        <w:t>参选人必须在响应承诺函中对本章内容做出整体性响应和承诺，承诺内容必须达到本章及比选文件其他条款的要求。</w:t>
      </w:r>
    </w:p>
    <w:p w14:paraId="1E6C0C6E">
      <w:pPr>
        <w:bidi w:val="0"/>
        <w:rPr>
          <w:rFonts w:hint="eastAsia"/>
        </w:rPr>
      </w:pPr>
      <w:r>
        <w:rPr>
          <w:rFonts w:hint="eastAsia"/>
          <w:lang w:val="en-US" w:eastAsia="zh-CN"/>
        </w:rPr>
        <w:t>2、</w:t>
      </w:r>
      <w:r>
        <w:rPr>
          <w:rFonts w:hint="eastAsia"/>
        </w:rPr>
        <w:t>参选人应根据本章内容和要求，提供对应</w:t>
      </w:r>
      <w:r>
        <w:rPr>
          <w:rFonts w:hint="eastAsia"/>
          <w:lang w:val="en-US" w:eastAsia="zh-CN"/>
        </w:rPr>
        <w:t>资料</w:t>
      </w:r>
      <w:r>
        <w:rPr>
          <w:rFonts w:hint="eastAsia"/>
        </w:rPr>
        <w:t>，无遗漏。</w:t>
      </w:r>
    </w:p>
    <w:p w14:paraId="5FF0300D">
      <w:pPr>
        <w:rPr>
          <w:rFonts w:hint="eastAsia"/>
        </w:rPr>
      </w:pPr>
      <w:r>
        <w:rPr>
          <w:rFonts w:hint="eastAsia"/>
          <w:lang w:val="en-US" w:eastAsia="zh-CN"/>
        </w:rPr>
        <w:t>3、</w:t>
      </w:r>
      <w:r>
        <w:rPr>
          <w:rFonts w:hint="eastAsia"/>
        </w:rPr>
        <w:t>其他未尽事宜由供需双方在合同中详细约定。</w:t>
      </w:r>
      <w:bookmarkEnd w:id="50"/>
      <w:bookmarkEnd w:id="51"/>
    </w:p>
    <w:p w14:paraId="4D753D08">
      <w:pPr>
        <w:rPr>
          <w:rFonts w:hint="eastAsia"/>
          <w:snapToGrid w:val="0"/>
        </w:rPr>
      </w:pPr>
      <w:r>
        <w:rPr>
          <w:rFonts w:hint="eastAsia"/>
          <w:snapToGrid w:val="0"/>
        </w:rPr>
        <w:br w:type="page"/>
      </w:r>
    </w:p>
    <w:p w14:paraId="20DCF3A1">
      <w:pPr>
        <w:pStyle w:val="2"/>
      </w:pPr>
      <w:bookmarkStart w:id="52" w:name="_Toc29189"/>
      <w:bookmarkStart w:id="53" w:name="_Toc23148"/>
      <w:bookmarkStart w:id="54" w:name="_Toc4088"/>
      <w:r>
        <w:rPr>
          <w:rFonts w:hint="eastAsia"/>
        </w:rPr>
        <w:t>第四章 评审办法（综合评估法）</w:t>
      </w:r>
      <w:bookmarkEnd w:id="52"/>
      <w:bookmarkEnd w:id="53"/>
      <w:bookmarkEnd w:id="54"/>
    </w:p>
    <w:p w14:paraId="1202876C">
      <w:pPr>
        <w:bidi w:val="0"/>
        <w:rPr>
          <w:rFonts w:hint="eastAsia"/>
          <w:b/>
          <w:bCs/>
          <w:color w:val="auto"/>
          <w:highlight w:val="none"/>
        </w:rPr>
      </w:pPr>
      <w:bookmarkStart w:id="55" w:name="_Toc14810"/>
      <w:bookmarkStart w:id="56" w:name="_Toc2028"/>
      <w:bookmarkStart w:id="57" w:name="_Toc11471"/>
      <w:bookmarkStart w:id="58" w:name="_Toc27076"/>
      <w:r>
        <w:rPr>
          <w:rFonts w:hint="eastAsia"/>
          <w:b/>
          <w:bCs/>
          <w:color w:val="auto"/>
          <w:highlight w:val="none"/>
        </w:rPr>
        <w:t>评审办法前附表</w:t>
      </w:r>
    </w:p>
    <w:p w14:paraId="009CE65B">
      <w:pPr>
        <w:spacing w:line="360" w:lineRule="auto"/>
        <w:ind w:firstLine="420" w:firstLineChars="20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bookmarkEnd w:id="55"/>
    <w:bookmarkEnd w:id="56"/>
    <w:bookmarkEnd w:id="57"/>
    <w:bookmarkEnd w:id="58"/>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280"/>
        <w:gridCol w:w="1511"/>
        <w:gridCol w:w="175"/>
        <w:gridCol w:w="5476"/>
      </w:tblGrid>
      <w:tr w14:paraId="1215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588DA748">
            <w:pPr>
              <w:pStyle w:val="30"/>
              <w:bidi w:val="0"/>
              <w:rPr>
                <w:rFonts w:hint="eastAsia"/>
              </w:rPr>
            </w:pPr>
            <w:bookmarkStart w:id="59" w:name="CQZH1_07"/>
            <w:r>
              <w:rPr>
                <w:rFonts w:hint="eastAsia"/>
              </w:rPr>
              <w:t>条款号</w:t>
            </w:r>
          </w:p>
        </w:tc>
        <w:tc>
          <w:tcPr>
            <w:tcW w:w="1280" w:type="dxa"/>
            <w:vAlign w:val="center"/>
          </w:tcPr>
          <w:p w14:paraId="37D3B8B2">
            <w:pPr>
              <w:pStyle w:val="30"/>
              <w:bidi w:val="0"/>
              <w:rPr>
                <w:rFonts w:hint="eastAsia"/>
              </w:rPr>
            </w:pPr>
            <w:r>
              <w:rPr>
                <w:rFonts w:hint="eastAsia"/>
              </w:rPr>
              <w:t>评审因素</w:t>
            </w:r>
          </w:p>
        </w:tc>
        <w:tc>
          <w:tcPr>
            <w:tcW w:w="7162" w:type="dxa"/>
            <w:gridSpan w:val="3"/>
            <w:vAlign w:val="center"/>
          </w:tcPr>
          <w:p w14:paraId="609B1778">
            <w:pPr>
              <w:pStyle w:val="30"/>
              <w:bidi w:val="0"/>
              <w:rPr>
                <w:rFonts w:hint="eastAsia"/>
              </w:rPr>
            </w:pPr>
            <w:r>
              <w:rPr>
                <w:rFonts w:hint="eastAsia"/>
              </w:rPr>
              <w:t>评审标准</w:t>
            </w:r>
          </w:p>
        </w:tc>
      </w:tr>
      <w:tr w14:paraId="1776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4C0876E9">
            <w:pPr>
              <w:pStyle w:val="29"/>
              <w:bidi w:val="0"/>
              <w:rPr>
                <w:rFonts w:hint="eastAsia"/>
              </w:rPr>
            </w:pPr>
            <w:r>
              <w:rPr>
                <w:rFonts w:hint="eastAsia"/>
              </w:rPr>
              <w:t>1</w:t>
            </w:r>
          </w:p>
        </w:tc>
        <w:tc>
          <w:tcPr>
            <w:tcW w:w="1280" w:type="dxa"/>
            <w:tcBorders>
              <w:left w:val="single" w:color="auto" w:sz="4" w:space="0"/>
            </w:tcBorders>
            <w:vAlign w:val="center"/>
          </w:tcPr>
          <w:p w14:paraId="168ED3FD">
            <w:pPr>
              <w:pStyle w:val="29"/>
              <w:bidi w:val="0"/>
            </w:pPr>
            <w:r>
              <w:rPr>
                <w:rFonts w:hint="eastAsia"/>
              </w:rPr>
              <w:t>评审办法</w:t>
            </w:r>
          </w:p>
        </w:tc>
        <w:tc>
          <w:tcPr>
            <w:tcW w:w="7162" w:type="dxa"/>
            <w:gridSpan w:val="3"/>
            <w:tcBorders>
              <w:left w:val="single" w:color="auto" w:sz="4" w:space="0"/>
            </w:tcBorders>
            <w:vAlign w:val="center"/>
          </w:tcPr>
          <w:p w14:paraId="752C1053">
            <w:pPr>
              <w:pStyle w:val="29"/>
              <w:bidi w:val="0"/>
              <w:rPr>
                <w:rFonts w:hint="eastAsia"/>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企业注册资金大的优先原则排序。</w:t>
            </w:r>
          </w:p>
        </w:tc>
      </w:tr>
      <w:tr w14:paraId="1F3F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22" w:type="dxa"/>
            <w:vAlign w:val="center"/>
          </w:tcPr>
          <w:p w14:paraId="31FB5D46">
            <w:pPr>
              <w:pStyle w:val="29"/>
              <w:bidi w:val="0"/>
              <w:rPr>
                <w:rFonts w:hint="eastAsia"/>
              </w:rPr>
            </w:pPr>
            <w:r>
              <w:rPr>
                <w:rFonts w:hint="eastAsia"/>
              </w:rPr>
              <w:t>2.1</w:t>
            </w:r>
          </w:p>
        </w:tc>
        <w:tc>
          <w:tcPr>
            <w:tcW w:w="1280" w:type="dxa"/>
            <w:tcBorders>
              <w:left w:val="single" w:color="auto" w:sz="4" w:space="0"/>
            </w:tcBorders>
            <w:vAlign w:val="center"/>
          </w:tcPr>
          <w:p w14:paraId="1406ACCC">
            <w:pPr>
              <w:pStyle w:val="29"/>
              <w:bidi w:val="0"/>
              <w:rPr>
                <w:rFonts w:hint="eastAsia"/>
              </w:rPr>
            </w:pPr>
            <w:r>
              <w:rPr>
                <w:rFonts w:hint="eastAsia"/>
              </w:rPr>
              <w:t>初步评审标准</w:t>
            </w:r>
          </w:p>
        </w:tc>
        <w:tc>
          <w:tcPr>
            <w:tcW w:w="7162" w:type="dxa"/>
            <w:gridSpan w:val="3"/>
            <w:tcBorders>
              <w:left w:val="single" w:color="auto" w:sz="4" w:space="0"/>
            </w:tcBorders>
            <w:vAlign w:val="center"/>
          </w:tcPr>
          <w:p w14:paraId="76864754">
            <w:pPr>
              <w:pStyle w:val="29"/>
              <w:bidi w:val="0"/>
              <w:rPr>
                <w:rFonts w:hint="eastAsia"/>
              </w:rPr>
            </w:pPr>
            <w:r>
              <w:rPr>
                <w:rFonts w:hint="eastAsia"/>
              </w:rPr>
              <w:t>所有参选单位进行初步评审。初步评审内容：资格评审、形式评审、响应性评审。</w:t>
            </w:r>
          </w:p>
        </w:tc>
      </w:tr>
      <w:tr w14:paraId="6CFD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22" w:type="dxa"/>
            <w:vAlign w:val="center"/>
          </w:tcPr>
          <w:p w14:paraId="66193BCC">
            <w:pPr>
              <w:pStyle w:val="29"/>
              <w:bidi w:val="0"/>
              <w:rPr>
                <w:rFonts w:hint="eastAsia"/>
              </w:rPr>
            </w:pPr>
            <w:r>
              <w:rPr>
                <w:rFonts w:hint="eastAsia"/>
              </w:rPr>
              <w:t>2.1.1</w:t>
            </w:r>
          </w:p>
        </w:tc>
        <w:tc>
          <w:tcPr>
            <w:tcW w:w="1280" w:type="dxa"/>
            <w:tcBorders>
              <w:left w:val="single" w:color="auto" w:sz="4" w:space="0"/>
            </w:tcBorders>
            <w:vAlign w:val="center"/>
          </w:tcPr>
          <w:p w14:paraId="21310FE1">
            <w:pPr>
              <w:pStyle w:val="29"/>
              <w:bidi w:val="0"/>
              <w:rPr>
                <w:rFonts w:hint="eastAsia"/>
              </w:rPr>
            </w:pPr>
            <w:r>
              <w:rPr>
                <w:rFonts w:hint="eastAsia"/>
              </w:rPr>
              <w:t>资格评审标准</w:t>
            </w:r>
          </w:p>
        </w:tc>
        <w:tc>
          <w:tcPr>
            <w:tcW w:w="1686" w:type="dxa"/>
            <w:gridSpan w:val="2"/>
            <w:tcBorders>
              <w:left w:val="single" w:color="auto" w:sz="4" w:space="0"/>
            </w:tcBorders>
            <w:vAlign w:val="center"/>
          </w:tcPr>
          <w:p w14:paraId="0C609B0A">
            <w:pPr>
              <w:pStyle w:val="29"/>
              <w:bidi w:val="0"/>
              <w:rPr>
                <w:rFonts w:hint="eastAsia"/>
              </w:rPr>
            </w:pPr>
            <w:r>
              <w:rPr>
                <w:rFonts w:hint="eastAsia"/>
              </w:rPr>
              <w:t>资格条件要求</w:t>
            </w:r>
          </w:p>
        </w:tc>
        <w:tc>
          <w:tcPr>
            <w:tcW w:w="5476" w:type="dxa"/>
            <w:tcBorders>
              <w:left w:val="single" w:color="auto" w:sz="4" w:space="0"/>
            </w:tcBorders>
            <w:vAlign w:val="center"/>
          </w:tcPr>
          <w:p w14:paraId="195477D3">
            <w:pPr>
              <w:pStyle w:val="29"/>
              <w:bidi w:val="0"/>
              <w:rPr>
                <w:rFonts w:hint="eastAsia"/>
              </w:rPr>
            </w:pPr>
            <w:r>
              <w:rPr>
                <w:rFonts w:hint="eastAsia"/>
              </w:rPr>
              <w:t>符合第一章“2. 参选人资格要求”规定</w:t>
            </w:r>
          </w:p>
        </w:tc>
      </w:tr>
      <w:tr w14:paraId="0AF9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restart"/>
            <w:vAlign w:val="center"/>
          </w:tcPr>
          <w:p w14:paraId="21A73725">
            <w:pPr>
              <w:pStyle w:val="29"/>
              <w:bidi w:val="0"/>
              <w:rPr>
                <w:rFonts w:hint="eastAsia"/>
              </w:rPr>
            </w:pPr>
            <w:r>
              <w:rPr>
                <w:rFonts w:hint="eastAsia"/>
              </w:rPr>
              <w:t>2.1.2</w:t>
            </w:r>
          </w:p>
        </w:tc>
        <w:tc>
          <w:tcPr>
            <w:tcW w:w="1280" w:type="dxa"/>
            <w:vMerge w:val="restart"/>
            <w:tcBorders>
              <w:left w:val="single" w:color="auto" w:sz="4" w:space="0"/>
            </w:tcBorders>
            <w:vAlign w:val="center"/>
          </w:tcPr>
          <w:p w14:paraId="26DAC7F5">
            <w:pPr>
              <w:pStyle w:val="29"/>
              <w:bidi w:val="0"/>
              <w:rPr>
                <w:rFonts w:hint="eastAsia"/>
              </w:rPr>
            </w:pPr>
            <w:r>
              <w:rPr>
                <w:rFonts w:hint="eastAsia"/>
              </w:rPr>
              <w:t>形式评审标准</w:t>
            </w:r>
          </w:p>
        </w:tc>
        <w:tc>
          <w:tcPr>
            <w:tcW w:w="1686" w:type="dxa"/>
            <w:gridSpan w:val="2"/>
            <w:tcBorders>
              <w:left w:val="single" w:color="auto" w:sz="4" w:space="0"/>
            </w:tcBorders>
            <w:vAlign w:val="center"/>
          </w:tcPr>
          <w:p w14:paraId="70B39EF5">
            <w:pPr>
              <w:pStyle w:val="29"/>
              <w:bidi w:val="0"/>
              <w:rPr>
                <w:rFonts w:hint="eastAsia"/>
              </w:rPr>
            </w:pPr>
            <w:r>
              <w:rPr>
                <w:rFonts w:hint="eastAsia"/>
              </w:rPr>
              <w:t>参选人名称</w:t>
            </w:r>
          </w:p>
        </w:tc>
        <w:tc>
          <w:tcPr>
            <w:tcW w:w="5476" w:type="dxa"/>
            <w:tcBorders>
              <w:left w:val="single" w:color="auto" w:sz="4" w:space="0"/>
            </w:tcBorders>
            <w:vAlign w:val="center"/>
          </w:tcPr>
          <w:p w14:paraId="728D3A90">
            <w:pPr>
              <w:pStyle w:val="29"/>
              <w:bidi w:val="0"/>
              <w:rPr>
                <w:rFonts w:hint="eastAsia"/>
              </w:rPr>
            </w:pPr>
            <w:r>
              <w:rPr>
                <w:rFonts w:hint="eastAsia"/>
              </w:rPr>
              <w:t>与营业执照、资格证明材料一致</w:t>
            </w:r>
          </w:p>
        </w:tc>
      </w:tr>
      <w:tr w14:paraId="7E66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4D8EDB5F"/>
        </w:tc>
        <w:tc>
          <w:tcPr>
            <w:tcW w:w="1280" w:type="dxa"/>
            <w:vMerge w:val="continue"/>
            <w:tcBorders>
              <w:left w:val="single" w:color="auto" w:sz="4" w:space="0"/>
            </w:tcBorders>
            <w:textDirection w:val="tbRlV"/>
            <w:vAlign w:val="center"/>
          </w:tcPr>
          <w:p w14:paraId="3C27C227"/>
        </w:tc>
        <w:tc>
          <w:tcPr>
            <w:tcW w:w="1686" w:type="dxa"/>
            <w:gridSpan w:val="2"/>
            <w:tcBorders>
              <w:left w:val="single" w:color="auto" w:sz="4" w:space="0"/>
            </w:tcBorders>
            <w:vAlign w:val="center"/>
          </w:tcPr>
          <w:p w14:paraId="275A8ADD">
            <w:pPr>
              <w:pStyle w:val="29"/>
              <w:bidi w:val="0"/>
              <w:rPr>
                <w:rFonts w:hint="eastAsia"/>
              </w:rPr>
            </w:pPr>
            <w:r>
              <w:rPr>
                <w:rFonts w:hint="eastAsia"/>
              </w:rPr>
              <w:t>参选文件的签字盖章</w:t>
            </w:r>
          </w:p>
        </w:tc>
        <w:tc>
          <w:tcPr>
            <w:tcW w:w="5476" w:type="dxa"/>
            <w:tcBorders>
              <w:left w:val="single" w:color="auto" w:sz="4" w:space="0"/>
            </w:tcBorders>
            <w:vAlign w:val="center"/>
          </w:tcPr>
          <w:p w14:paraId="57A0875C">
            <w:pPr>
              <w:pStyle w:val="29"/>
              <w:bidi w:val="0"/>
              <w:rPr>
                <w:rFonts w:hint="eastAsia"/>
              </w:rPr>
            </w:pPr>
            <w:r>
              <w:rPr>
                <w:rFonts w:hint="eastAsia"/>
              </w:rPr>
              <w:t>符合第二章“参选人须知”4.5 条规定</w:t>
            </w:r>
          </w:p>
        </w:tc>
      </w:tr>
      <w:tr w14:paraId="5931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4BD20C84"/>
        </w:tc>
        <w:tc>
          <w:tcPr>
            <w:tcW w:w="1280" w:type="dxa"/>
            <w:vMerge w:val="continue"/>
            <w:tcBorders>
              <w:left w:val="single" w:color="auto" w:sz="4" w:space="0"/>
            </w:tcBorders>
            <w:textDirection w:val="tbRlV"/>
            <w:vAlign w:val="center"/>
          </w:tcPr>
          <w:p w14:paraId="162D5AAC"/>
        </w:tc>
        <w:tc>
          <w:tcPr>
            <w:tcW w:w="1686" w:type="dxa"/>
            <w:gridSpan w:val="2"/>
            <w:tcBorders>
              <w:left w:val="single" w:color="auto" w:sz="4" w:space="0"/>
            </w:tcBorders>
            <w:vAlign w:val="center"/>
          </w:tcPr>
          <w:p w14:paraId="03780124">
            <w:pPr>
              <w:pStyle w:val="29"/>
              <w:bidi w:val="0"/>
              <w:rPr>
                <w:rFonts w:hint="eastAsia"/>
              </w:rPr>
            </w:pPr>
            <w:r>
              <w:rPr>
                <w:rFonts w:hint="eastAsia"/>
              </w:rPr>
              <w:t>参选文件的密封</w:t>
            </w:r>
          </w:p>
        </w:tc>
        <w:tc>
          <w:tcPr>
            <w:tcW w:w="5476" w:type="dxa"/>
            <w:tcBorders>
              <w:left w:val="single" w:color="auto" w:sz="4" w:space="0"/>
            </w:tcBorders>
            <w:vAlign w:val="center"/>
          </w:tcPr>
          <w:p w14:paraId="78931716">
            <w:pPr>
              <w:pStyle w:val="29"/>
              <w:bidi w:val="0"/>
              <w:rPr>
                <w:rFonts w:hint="eastAsia"/>
              </w:rPr>
            </w:pPr>
            <w:r>
              <w:rPr>
                <w:rFonts w:hint="eastAsia"/>
              </w:rPr>
              <w:t>符合第二章“参选人须知”4.6 条规定</w:t>
            </w:r>
          </w:p>
        </w:tc>
      </w:tr>
      <w:tr w14:paraId="58EE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09CC668C"/>
        </w:tc>
        <w:tc>
          <w:tcPr>
            <w:tcW w:w="1280" w:type="dxa"/>
            <w:vMerge w:val="continue"/>
            <w:tcBorders>
              <w:left w:val="single" w:color="auto" w:sz="4" w:space="0"/>
            </w:tcBorders>
            <w:textDirection w:val="tbRlV"/>
            <w:vAlign w:val="center"/>
          </w:tcPr>
          <w:p w14:paraId="02F16289"/>
        </w:tc>
        <w:tc>
          <w:tcPr>
            <w:tcW w:w="1686" w:type="dxa"/>
            <w:gridSpan w:val="2"/>
            <w:tcBorders>
              <w:left w:val="single" w:color="auto" w:sz="4" w:space="0"/>
            </w:tcBorders>
            <w:vAlign w:val="center"/>
          </w:tcPr>
          <w:p w14:paraId="166A416F">
            <w:pPr>
              <w:pStyle w:val="29"/>
              <w:bidi w:val="0"/>
              <w:rPr>
                <w:rFonts w:hint="eastAsia"/>
              </w:rPr>
            </w:pPr>
            <w:r>
              <w:rPr>
                <w:rFonts w:hint="eastAsia"/>
              </w:rPr>
              <w:t>参选文件格式</w:t>
            </w:r>
          </w:p>
        </w:tc>
        <w:tc>
          <w:tcPr>
            <w:tcW w:w="5476" w:type="dxa"/>
            <w:tcBorders>
              <w:left w:val="single" w:color="auto" w:sz="4" w:space="0"/>
            </w:tcBorders>
            <w:vAlign w:val="center"/>
          </w:tcPr>
          <w:p w14:paraId="133FAFE8">
            <w:pPr>
              <w:pStyle w:val="29"/>
              <w:bidi w:val="0"/>
              <w:rPr>
                <w:rFonts w:hint="eastAsia"/>
              </w:rPr>
            </w:pPr>
            <w:r>
              <w:rPr>
                <w:rFonts w:hint="eastAsia"/>
              </w:rPr>
              <w:t>符合第六章“参选文件格式”的要求</w:t>
            </w:r>
          </w:p>
        </w:tc>
      </w:tr>
      <w:tr w14:paraId="06F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7A51826F"/>
        </w:tc>
        <w:tc>
          <w:tcPr>
            <w:tcW w:w="1280" w:type="dxa"/>
            <w:vMerge w:val="continue"/>
            <w:tcBorders>
              <w:left w:val="single" w:color="auto" w:sz="4" w:space="0"/>
            </w:tcBorders>
            <w:textDirection w:val="tbRlV"/>
            <w:vAlign w:val="center"/>
          </w:tcPr>
          <w:p w14:paraId="0C537DD7"/>
        </w:tc>
        <w:tc>
          <w:tcPr>
            <w:tcW w:w="1686" w:type="dxa"/>
            <w:gridSpan w:val="2"/>
            <w:tcBorders>
              <w:left w:val="single" w:color="auto" w:sz="4" w:space="0"/>
            </w:tcBorders>
            <w:vAlign w:val="center"/>
          </w:tcPr>
          <w:p w14:paraId="73B80781">
            <w:pPr>
              <w:pStyle w:val="29"/>
              <w:bidi w:val="0"/>
              <w:rPr>
                <w:rFonts w:hint="eastAsia"/>
              </w:rPr>
            </w:pPr>
            <w:r>
              <w:rPr>
                <w:rFonts w:hint="eastAsia"/>
              </w:rPr>
              <w:t>参选文件组成</w:t>
            </w:r>
          </w:p>
        </w:tc>
        <w:tc>
          <w:tcPr>
            <w:tcW w:w="5476" w:type="dxa"/>
            <w:tcBorders>
              <w:left w:val="single" w:color="auto" w:sz="4" w:space="0"/>
            </w:tcBorders>
            <w:vAlign w:val="center"/>
          </w:tcPr>
          <w:p w14:paraId="0667C72A">
            <w:pPr>
              <w:pStyle w:val="29"/>
              <w:bidi w:val="0"/>
              <w:rPr>
                <w:rFonts w:hint="eastAsia"/>
              </w:rPr>
            </w:pPr>
            <w:r>
              <w:rPr>
                <w:rFonts w:hint="eastAsia"/>
              </w:rPr>
              <w:t>符合第二章“参选人须知”4.1 条规定，内容齐全、无遗漏</w:t>
            </w:r>
          </w:p>
        </w:tc>
      </w:tr>
      <w:tr w14:paraId="4B1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2" w:type="dxa"/>
            <w:vMerge w:val="continue"/>
            <w:vAlign w:val="center"/>
          </w:tcPr>
          <w:p w14:paraId="39DABBBF"/>
        </w:tc>
        <w:tc>
          <w:tcPr>
            <w:tcW w:w="1280" w:type="dxa"/>
            <w:vMerge w:val="continue"/>
            <w:tcBorders>
              <w:left w:val="single" w:color="auto" w:sz="4" w:space="0"/>
            </w:tcBorders>
            <w:textDirection w:val="tbRlV"/>
            <w:vAlign w:val="center"/>
          </w:tcPr>
          <w:p w14:paraId="32149E8A"/>
        </w:tc>
        <w:tc>
          <w:tcPr>
            <w:tcW w:w="1686" w:type="dxa"/>
            <w:gridSpan w:val="2"/>
            <w:tcBorders>
              <w:left w:val="single" w:color="auto" w:sz="4" w:space="0"/>
            </w:tcBorders>
            <w:vAlign w:val="center"/>
          </w:tcPr>
          <w:p w14:paraId="52993DAF">
            <w:pPr>
              <w:pStyle w:val="29"/>
              <w:bidi w:val="0"/>
              <w:rPr>
                <w:rFonts w:hint="eastAsia"/>
              </w:rPr>
            </w:pPr>
            <w:r>
              <w:rPr>
                <w:rFonts w:hint="eastAsia"/>
              </w:rPr>
              <w:t>联合体参选</w:t>
            </w:r>
          </w:p>
        </w:tc>
        <w:tc>
          <w:tcPr>
            <w:tcW w:w="5476" w:type="dxa"/>
            <w:tcBorders>
              <w:left w:val="single" w:color="auto" w:sz="4" w:space="0"/>
            </w:tcBorders>
            <w:vAlign w:val="center"/>
          </w:tcPr>
          <w:p w14:paraId="0C5F2091">
            <w:pPr>
              <w:pStyle w:val="29"/>
              <w:bidi w:val="0"/>
              <w:rPr>
                <w:rFonts w:hint="eastAsia"/>
              </w:rPr>
            </w:pPr>
            <w:r>
              <w:rPr>
                <w:rFonts w:hint="eastAsia"/>
              </w:rPr>
              <w:t>符合第一章“2. 参选人资格要求”2.8 条的要求</w:t>
            </w:r>
          </w:p>
        </w:tc>
      </w:tr>
      <w:tr w14:paraId="4B61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022" w:type="dxa"/>
            <w:vMerge w:val="restart"/>
            <w:vAlign w:val="center"/>
          </w:tcPr>
          <w:p w14:paraId="47BC4344">
            <w:pPr>
              <w:pStyle w:val="29"/>
              <w:bidi w:val="0"/>
              <w:rPr>
                <w:rFonts w:hint="eastAsia"/>
              </w:rPr>
            </w:pPr>
            <w:r>
              <w:rPr>
                <w:rFonts w:hint="eastAsia"/>
              </w:rPr>
              <w:t>2.1.3</w:t>
            </w:r>
          </w:p>
        </w:tc>
        <w:tc>
          <w:tcPr>
            <w:tcW w:w="1280" w:type="dxa"/>
            <w:vMerge w:val="restart"/>
            <w:tcBorders>
              <w:left w:val="single" w:color="auto" w:sz="4" w:space="0"/>
            </w:tcBorders>
            <w:vAlign w:val="center"/>
          </w:tcPr>
          <w:p w14:paraId="4CD00892">
            <w:pPr>
              <w:pStyle w:val="29"/>
              <w:bidi w:val="0"/>
              <w:rPr>
                <w:rFonts w:hint="eastAsia"/>
              </w:rPr>
            </w:pPr>
            <w:r>
              <w:rPr>
                <w:rFonts w:hint="eastAsia"/>
              </w:rPr>
              <w:t>响应性评审标准</w:t>
            </w:r>
          </w:p>
        </w:tc>
        <w:tc>
          <w:tcPr>
            <w:tcW w:w="1686" w:type="dxa"/>
            <w:gridSpan w:val="2"/>
            <w:tcBorders>
              <w:left w:val="single" w:color="auto" w:sz="4" w:space="0"/>
            </w:tcBorders>
            <w:vAlign w:val="center"/>
          </w:tcPr>
          <w:p w14:paraId="4C9E45C1">
            <w:pPr>
              <w:pStyle w:val="29"/>
              <w:bidi w:val="0"/>
              <w:rPr>
                <w:rFonts w:hint="eastAsia"/>
              </w:rPr>
            </w:pPr>
            <w:r>
              <w:rPr>
                <w:rFonts w:hint="eastAsia"/>
              </w:rPr>
              <w:t>参选内容</w:t>
            </w:r>
          </w:p>
        </w:tc>
        <w:tc>
          <w:tcPr>
            <w:tcW w:w="5476" w:type="dxa"/>
            <w:tcBorders>
              <w:left w:val="single" w:color="auto" w:sz="4" w:space="0"/>
            </w:tcBorders>
            <w:vAlign w:val="center"/>
          </w:tcPr>
          <w:p w14:paraId="09966370">
            <w:pPr>
              <w:pStyle w:val="29"/>
              <w:bidi w:val="0"/>
              <w:rPr>
                <w:rFonts w:hint="eastAsia"/>
              </w:rPr>
            </w:pPr>
            <w:r>
              <w:rPr>
                <w:rFonts w:hint="eastAsia"/>
              </w:rPr>
              <w:t>1. 在响应承诺函中对第三章“项目要求”内容做出整体承诺；</w:t>
            </w:r>
          </w:p>
          <w:p w14:paraId="2624C9D1">
            <w:pPr>
              <w:pStyle w:val="29"/>
              <w:bidi w:val="0"/>
              <w:rPr>
                <w:rFonts w:hint="eastAsia"/>
              </w:rPr>
            </w:pPr>
            <w:r>
              <w:rPr>
                <w:rFonts w:hint="eastAsia"/>
              </w:rPr>
              <w:t xml:space="preserve">2. 根据第一章“2. </w:t>
            </w:r>
            <w:r>
              <w:t>参选人资格要求”和第三章“项目要</w:t>
            </w:r>
            <w:r>
              <w:rPr>
                <w:rFonts w:hint="eastAsia"/>
              </w:rPr>
              <w:t>求”的要求规定，提供对应</w:t>
            </w:r>
            <w:r>
              <w:t>资料</w:t>
            </w:r>
            <w:r>
              <w:rPr>
                <w:rFonts w:hint="eastAsia"/>
              </w:rPr>
              <w:t>，内容齐全、无遗漏。</w:t>
            </w:r>
          </w:p>
        </w:tc>
      </w:tr>
      <w:tr w14:paraId="6F4B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70D3636B"/>
        </w:tc>
        <w:tc>
          <w:tcPr>
            <w:tcW w:w="1280" w:type="dxa"/>
            <w:vMerge w:val="continue"/>
            <w:tcBorders>
              <w:left w:val="single" w:color="auto" w:sz="4" w:space="0"/>
            </w:tcBorders>
          </w:tcPr>
          <w:p w14:paraId="16828310"/>
        </w:tc>
        <w:tc>
          <w:tcPr>
            <w:tcW w:w="1686" w:type="dxa"/>
            <w:gridSpan w:val="2"/>
            <w:tcBorders>
              <w:left w:val="single" w:color="auto" w:sz="4" w:space="0"/>
            </w:tcBorders>
            <w:vAlign w:val="center"/>
          </w:tcPr>
          <w:p w14:paraId="18D1EBA9">
            <w:pPr>
              <w:pStyle w:val="29"/>
              <w:bidi w:val="0"/>
              <w:rPr>
                <w:rFonts w:hint="eastAsia"/>
              </w:rPr>
            </w:pPr>
            <w:r>
              <w:rPr>
                <w:rFonts w:hint="eastAsia"/>
              </w:rPr>
              <w:t>参选文件份数</w:t>
            </w:r>
          </w:p>
        </w:tc>
        <w:tc>
          <w:tcPr>
            <w:tcW w:w="5476" w:type="dxa"/>
            <w:tcBorders>
              <w:left w:val="single" w:color="auto" w:sz="4" w:space="0"/>
            </w:tcBorders>
            <w:vAlign w:val="center"/>
          </w:tcPr>
          <w:p w14:paraId="3B63B06A">
            <w:pPr>
              <w:pStyle w:val="29"/>
              <w:bidi w:val="0"/>
              <w:rPr>
                <w:rFonts w:hint="eastAsia"/>
              </w:rPr>
            </w:pPr>
            <w:r>
              <w:rPr>
                <w:rFonts w:hint="eastAsia"/>
              </w:rPr>
              <w:t>符合第二章“参选人须知”4.5 条规定</w:t>
            </w:r>
          </w:p>
        </w:tc>
      </w:tr>
      <w:tr w14:paraId="18FB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21DBE0DB"/>
        </w:tc>
        <w:tc>
          <w:tcPr>
            <w:tcW w:w="1280" w:type="dxa"/>
            <w:vMerge w:val="continue"/>
            <w:tcBorders>
              <w:left w:val="single" w:color="auto" w:sz="4" w:space="0"/>
            </w:tcBorders>
          </w:tcPr>
          <w:p w14:paraId="602B9583"/>
        </w:tc>
        <w:tc>
          <w:tcPr>
            <w:tcW w:w="1686" w:type="dxa"/>
            <w:gridSpan w:val="2"/>
            <w:tcBorders>
              <w:left w:val="single" w:color="auto" w:sz="4" w:space="0"/>
            </w:tcBorders>
            <w:vAlign w:val="center"/>
          </w:tcPr>
          <w:p w14:paraId="26EC5C7B">
            <w:pPr>
              <w:pStyle w:val="29"/>
              <w:bidi w:val="0"/>
              <w:rPr>
                <w:rFonts w:hint="eastAsia"/>
              </w:rPr>
            </w:pPr>
            <w:r>
              <w:rPr>
                <w:rFonts w:hint="eastAsia"/>
              </w:rPr>
              <w:t>参选方案唯一</w:t>
            </w:r>
          </w:p>
        </w:tc>
        <w:tc>
          <w:tcPr>
            <w:tcW w:w="5476" w:type="dxa"/>
            <w:tcBorders>
              <w:left w:val="single" w:color="auto" w:sz="4" w:space="0"/>
            </w:tcBorders>
            <w:vAlign w:val="center"/>
          </w:tcPr>
          <w:p w14:paraId="6140C1DC">
            <w:pPr>
              <w:pStyle w:val="29"/>
              <w:bidi w:val="0"/>
              <w:rPr>
                <w:rFonts w:hint="eastAsia"/>
              </w:rPr>
            </w:pPr>
            <w:r>
              <w:rPr>
                <w:rFonts w:hint="eastAsia"/>
              </w:rPr>
              <w:t>只能有一个方案参选。</w:t>
            </w:r>
          </w:p>
        </w:tc>
      </w:tr>
      <w:tr w14:paraId="2B93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09CC6ED6"/>
        </w:tc>
        <w:tc>
          <w:tcPr>
            <w:tcW w:w="1280" w:type="dxa"/>
            <w:vMerge w:val="continue"/>
            <w:tcBorders>
              <w:left w:val="single" w:color="auto" w:sz="4" w:space="0"/>
            </w:tcBorders>
          </w:tcPr>
          <w:p w14:paraId="7281D887"/>
        </w:tc>
        <w:tc>
          <w:tcPr>
            <w:tcW w:w="1686" w:type="dxa"/>
            <w:gridSpan w:val="2"/>
            <w:tcBorders>
              <w:left w:val="single" w:color="auto" w:sz="4" w:space="0"/>
            </w:tcBorders>
            <w:vAlign w:val="center"/>
          </w:tcPr>
          <w:p w14:paraId="68B184E3">
            <w:pPr>
              <w:pStyle w:val="29"/>
              <w:bidi w:val="0"/>
              <w:rPr>
                <w:rFonts w:hint="eastAsia"/>
              </w:rPr>
            </w:pPr>
            <w:r>
              <w:rPr>
                <w:rFonts w:hint="eastAsia"/>
              </w:rPr>
              <w:t>参选报价</w:t>
            </w:r>
          </w:p>
        </w:tc>
        <w:tc>
          <w:tcPr>
            <w:tcW w:w="5476" w:type="dxa"/>
            <w:tcBorders>
              <w:left w:val="single" w:color="auto" w:sz="4" w:space="0"/>
            </w:tcBorders>
            <w:vAlign w:val="center"/>
          </w:tcPr>
          <w:p w14:paraId="12314579">
            <w:pPr>
              <w:pStyle w:val="29"/>
              <w:bidi w:val="0"/>
              <w:rPr>
                <w:rFonts w:hint="eastAsia"/>
              </w:rPr>
            </w:pPr>
            <w:r>
              <w:rPr>
                <w:rFonts w:hint="eastAsia"/>
              </w:rPr>
              <w:t>符合第二章“参选人须知”4.7 条规定</w:t>
            </w:r>
          </w:p>
          <w:p w14:paraId="6CBC000F">
            <w:pPr>
              <w:pStyle w:val="29"/>
              <w:bidi w:val="0"/>
              <w:rPr>
                <w:rFonts w:hint="eastAsia"/>
              </w:rPr>
            </w:pPr>
            <w:r>
              <w:rPr>
                <w:rFonts w:hint="eastAsia"/>
              </w:rPr>
              <w:t>参选人单项报价不得超过单项限价，否则作否决比选处理。</w:t>
            </w:r>
          </w:p>
        </w:tc>
      </w:tr>
      <w:tr w14:paraId="6AA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4688716B"/>
        </w:tc>
        <w:tc>
          <w:tcPr>
            <w:tcW w:w="1280" w:type="dxa"/>
            <w:vMerge w:val="continue"/>
            <w:tcBorders>
              <w:left w:val="single" w:color="auto" w:sz="4" w:space="0"/>
            </w:tcBorders>
          </w:tcPr>
          <w:p w14:paraId="6B267352"/>
        </w:tc>
        <w:tc>
          <w:tcPr>
            <w:tcW w:w="1686" w:type="dxa"/>
            <w:gridSpan w:val="2"/>
            <w:tcBorders>
              <w:left w:val="single" w:color="auto" w:sz="4" w:space="0"/>
            </w:tcBorders>
            <w:vAlign w:val="center"/>
          </w:tcPr>
          <w:p w14:paraId="5D24506F">
            <w:pPr>
              <w:pStyle w:val="29"/>
              <w:bidi w:val="0"/>
              <w:rPr>
                <w:rFonts w:hint="eastAsia"/>
              </w:rPr>
            </w:pPr>
            <w:r>
              <w:rPr>
                <w:rFonts w:hint="eastAsia"/>
              </w:rPr>
              <w:t>参选有效期</w:t>
            </w:r>
          </w:p>
        </w:tc>
        <w:tc>
          <w:tcPr>
            <w:tcW w:w="5476" w:type="dxa"/>
            <w:tcBorders>
              <w:left w:val="single" w:color="auto" w:sz="4" w:space="0"/>
            </w:tcBorders>
          </w:tcPr>
          <w:p w14:paraId="1F204B1B">
            <w:pPr>
              <w:pStyle w:val="29"/>
              <w:bidi w:val="0"/>
              <w:rPr>
                <w:rFonts w:hint="eastAsia"/>
              </w:rPr>
            </w:pPr>
            <w:r>
              <w:rPr>
                <w:rFonts w:hint="eastAsia"/>
              </w:rPr>
              <w:t>符合第二章“参选人须知”4.3 条规定</w:t>
            </w:r>
          </w:p>
        </w:tc>
      </w:tr>
      <w:tr w14:paraId="5503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2" w:type="dxa"/>
            <w:vMerge w:val="continue"/>
          </w:tcPr>
          <w:p w14:paraId="2C44B892"/>
        </w:tc>
        <w:tc>
          <w:tcPr>
            <w:tcW w:w="1280" w:type="dxa"/>
            <w:vMerge w:val="continue"/>
            <w:tcBorders>
              <w:left w:val="single" w:color="auto" w:sz="4" w:space="0"/>
            </w:tcBorders>
          </w:tcPr>
          <w:p w14:paraId="678C618C"/>
        </w:tc>
        <w:tc>
          <w:tcPr>
            <w:tcW w:w="1686" w:type="dxa"/>
            <w:gridSpan w:val="2"/>
            <w:tcBorders>
              <w:left w:val="single" w:color="auto" w:sz="4" w:space="0"/>
            </w:tcBorders>
            <w:vAlign w:val="center"/>
          </w:tcPr>
          <w:p w14:paraId="4AB5AAB8">
            <w:pPr>
              <w:pStyle w:val="29"/>
              <w:bidi w:val="0"/>
              <w:rPr>
                <w:rFonts w:hint="eastAsia"/>
              </w:rPr>
            </w:pPr>
            <w:r>
              <w:rPr>
                <w:rFonts w:hint="eastAsia"/>
              </w:rPr>
              <w:t>参选保证金</w:t>
            </w:r>
          </w:p>
        </w:tc>
        <w:tc>
          <w:tcPr>
            <w:tcW w:w="5476" w:type="dxa"/>
            <w:tcBorders>
              <w:left w:val="single" w:color="auto" w:sz="4" w:space="0"/>
            </w:tcBorders>
          </w:tcPr>
          <w:p w14:paraId="41BE1E76">
            <w:pPr>
              <w:pStyle w:val="29"/>
              <w:bidi w:val="0"/>
              <w:rPr>
                <w:rFonts w:hint="eastAsia"/>
              </w:rPr>
            </w:pPr>
            <w:r>
              <w:rPr>
                <w:rFonts w:hint="eastAsia"/>
              </w:rPr>
              <w:t>符合第二章“参选人须知”4.4 条规定</w:t>
            </w:r>
          </w:p>
        </w:tc>
      </w:tr>
      <w:tr w14:paraId="3665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restart"/>
            <w:vAlign w:val="center"/>
          </w:tcPr>
          <w:p w14:paraId="05A8093C">
            <w:pPr>
              <w:pStyle w:val="29"/>
              <w:bidi w:val="0"/>
              <w:rPr>
                <w:rFonts w:hint="eastAsia"/>
              </w:rPr>
            </w:pPr>
            <w:r>
              <w:rPr>
                <w:rFonts w:hint="eastAsia"/>
              </w:rPr>
              <w:t>2.2</w:t>
            </w:r>
          </w:p>
          <w:p w14:paraId="384873FD">
            <w:pPr>
              <w:pStyle w:val="29"/>
              <w:bidi w:val="0"/>
              <w:rPr>
                <w:rFonts w:hint="eastAsia"/>
              </w:rPr>
            </w:pPr>
          </w:p>
        </w:tc>
        <w:tc>
          <w:tcPr>
            <w:tcW w:w="1280" w:type="dxa"/>
            <w:tcBorders>
              <w:left w:val="single" w:color="auto" w:sz="4" w:space="0"/>
            </w:tcBorders>
            <w:vAlign w:val="center"/>
          </w:tcPr>
          <w:p w14:paraId="66E9FA50">
            <w:pPr>
              <w:pStyle w:val="29"/>
              <w:bidi w:val="0"/>
              <w:rPr>
                <w:rFonts w:hint="eastAsia"/>
              </w:rPr>
            </w:pPr>
            <w:r>
              <w:rPr>
                <w:rFonts w:hint="eastAsia"/>
              </w:rPr>
              <w:t>详细评审</w:t>
            </w:r>
          </w:p>
        </w:tc>
        <w:tc>
          <w:tcPr>
            <w:tcW w:w="1686" w:type="dxa"/>
            <w:gridSpan w:val="2"/>
            <w:tcBorders>
              <w:left w:val="single" w:color="auto" w:sz="4" w:space="0"/>
            </w:tcBorders>
            <w:vAlign w:val="center"/>
          </w:tcPr>
          <w:p w14:paraId="011080D0">
            <w:pPr>
              <w:pStyle w:val="29"/>
              <w:bidi w:val="0"/>
              <w:rPr>
                <w:rFonts w:hint="eastAsia"/>
              </w:rPr>
            </w:pPr>
            <w:r>
              <w:rPr>
                <w:rFonts w:hint="eastAsia"/>
              </w:rPr>
              <w:t>分值构成</w:t>
            </w:r>
          </w:p>
          <w:p w14:paraId="2C84903E">
            <w:pPr>
              <w:pStyle w:val="29"/>
              <w:bidi w:val="0"/>
              <w:rPr>
                <w:rFonts w:hint="eastAsia"/>
              </w:rPr>
            </w:pPr>
            <w:r>
              <w:rPr>
                <w:rFonts w:hint="eastAsia"/>
              </w:rPr>
              <w:t>(总分1OO分)</w:t>
            </w:r>
          </w:p>
        </w:tc>
        <w:tc>
          <w:tcPr>
            <w:tcW w:w="5476" w:type="dxa"/>
            <w:tcBorders>
              <w:left w:val="single" w:color="auto" w:sz="4" w:space="0"/>
            </w:tcBorders>
            <w:vAlign w:val="center"/>
          </w:tcPr>
          <w:p w14:paraId="5457A402">
            <w:pPr>
              <w:pStyle w:val="29"/>
              <w:bidi w:val="0"/>
              <w:rPr>
                <w:rFonts w:hint="eastAsia"/>
              </w:rPr>
            </w:pPr>
            <w:r>
              <w:rPr>
                <w:rFonts w:hint="eastAsia"/>
              </w:rPr>
              <w:t>1、报价部分</w:t>
            </w:r>
            <w:r>
              <w:t>5</w:t>
            </w:r>
            <w:r>
              <w:rPr>
                <w:rFonts w:hint="eastAsia"/>
              </w:rPr>
              <w:t>0分</w:t>
            </w:r>
          </w:p>
          <w:p w14:paraId="4B0AC456">
            <w:pPr>
              <w:pStyle w:val="29"/>
              <w:bidi w:val="0"/>
              <w:rPr>
                <w:rFonts w:hint="eastAsia"/>
              </w:rPr>
            </w:pPr>
            <w:r>
              <w:rPr>
                <w:rFonts w:hint="eastAsia"/>
              </w:rPr>
              <w:t>2、技术部分</w:t>
            </w:r>
            <w:r>
              <w:t>25</w:t>
            </w:r>
            <w:r>
              <w:rPr>
                <w:rFonts w:hint="eastAsia"/>
              </w:rPr>
              <w:t>分</w:t>
            </w:r>
          </w:p>
          <w:p w14:paraId="3AD92315">
            <w:pPr>
              <w:pStyle w:val="29"/>
              <w:bidi w:val="0"/>
              <w:rPr>
                <w:rFonts w:hint="eastAsia"/>
              </w:rPr>
            </w:pPr>
            <w:r>
              <w:rPr>
                <w:rFonts w:hint="eastAsia"/>
              </w:rPr>
              <w:t>3、商务部分</w:t>
            </w:r>
            <w:r>
              <w:t>25</w:t>
            </w:r>
            <w:r>
              <w:rPr>
                <w:rFonts w:hint="eastAsia"/>
              </w:rPr>
              <w:t>分</w:t>
            </w:r>
          </w:p>
        </w:tc>
      </w:tr>
      <w:tr w14:paraId="0C6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60B14792"/>
        </w:tc>
        <w:tc>
          <w:tcPr>
            <w:tcW w:w="1280" w:type="dxa"/>
            <w:vMerge w:val="restart"/>
            <w:tcBorders>
              <w:left w:val="single" w:color="auto" w:sz="4" w:space="0"/>
            </w:tcBorders>
            <w:vAlign w:val="center"/>
          </w:tcPr>
          <w:p w14:paraId="71834143">
            <w:pPr>
              <w:pStyle w:val="29"/>
              <w:bidi w:val="0"/>
              <w:rPr>
                <w:rFonts w:hint="eastAsia"/>
              </w:rPr>
            </w:pPr>
            <w:r>
              <w:rPr>
                <w:rFonts w:hint="eastAsia"/>
              </w:rPr>
              <w:t>评分标准</w:t>
            </w:r>
          </w:p>
        </w:tc>
        <w:tc>
          <w:tcPr>
            <w:tcW w:w="1686" w:type="dxa"/>
            <w:gridSpan w:val="2"/>
            <w:tcBorders>
              <w:left w:val="single" w:color="auto" w:sz="4" w:space="0"/>
            </w:tcBorders>
            <w:vAlign w:val="center"/>
          </w:tcPr>
          <w:p w14:paraId="09BF74F6">
            <w:pPr>
              <w:pStyle w:val="29"/>
              <w:bidi w:val="0"/>
              <w:rPr>
                <w:rFonts w:hint="eastAsia"/>
              </w:rPr>
            </w:pPr>
            <w:r>
              <w:rPr>
                <w:rFonts w:hint="eastAsia"/>
              </w:rPr>
              <w:t>参选报价（</w:t>
            </w:r>
            <w:r>
              <w:t>50</w:t>
            </w:r>
            <w:r>
              <w:rPr>
                <w:rFonts w:hint="eastAsia"/>
              </w:rPr>
              <w:t>分）</w:t>
            </w:r>
          </w:p>
        </w:tc>
        <w:tc>
          <w:tcPr>
            <w:tcW w:w="5476" w:type="dxa"/>
            <w:tcBorders>
              <w:left w:val="single" w:color="auto" w:sz="4" w:space="0"/>
            </w:tcBorders>
            <w:vAlign w:val="center"/>
          </w:tcPr>
          <w:p w14:paraId="09EEEC5B">
            <w:pPr>
              <w:pStyle w:val="29"/>
              <w:bidi w:val="0"/>
              <w:rPr>
                <w:rFonts w:hint="eastAsia"/>
                <w:lang w:val="en-US" w:eastAsia="zh-CN"/>
              </w:rPr>
            </w:pPr>
            <w:r>
              <w:rPr>
                <w:rFonts w:hint="eastAsia"/>
                <w:lang w:val="en-US" w:eastAsia="zh-CN"/>
              </w:rPr>
              <w:t>1. 计算各参选人参选总价；</w:t>
            </w:r>
          </w:p>
          <w:p w14:paraId="0CAD7FFE">
            <w:pPr>
              <w:pStyle w:val="29"/>
              <w:bidi w:val="0"/>
              <w:rPr>
                <w:rFonts w:hint="eastAsia"/>
                <w:lang w:val="en-US" w:eastAsia="zh-CN"/>
              </w:rPr>
            </w:pPr>
            <w:r>
              <w:rPr>
                <w:rFonts w:hint="eastAsia"/>
                <w:lang w:val="en-US" w:eastAsia="zh-CN"/>
              </w:rPr>
              <w:t>参选总价=</w:t>
            </w:r>
            <w:r>
              <w:rPr>
                <w:rFonts w:hint="eastAsia"/>
              </w:rPr>
              <w:t>110联网报警系统服务</w:t>
            </w:r>
            <w:r>
              <w:rPr>
                <w:rFonts w:hint="eastAsia"/>
                <w:lang w:val="en-US" w:eastAsia="zh-CN"/>
              </w:rPr>
              <w:t>费×0.</w:t>
            </w:r>
            <w:r>
              <w:rPr>
                <w:lang w:val="en-US" w:eastAsia="zh-CN"/>
              </w:rPr>
              <w:t>9</w:t>
            </w:r>
            <w:r>
              <w:rPr>
                <w:rFonts w:hint="eastAsia"/>
                <w:lang w:val="en-US" w:eastAsia="zh-CN"/>
              </w:rPr>
              <w:t>+</w:t>
            </w:r>
            <w:r>
              <w:rPr>
                <w:rFonts w:hint="eastAsia"/>
              </w:rPr>
              <w:t>110联网报警系统</w:t>
            </w:r>
            <w:r>
              <w:t>初次建设费</w:t>
            </w:r>
            <w:r>
              <w:rPr>
                <w:rFonts w:hint="eastAsia"/>
                <w:lang w:val="en-US" w:eastAsia="zh-CN"/>
              </w:rPr>
              <w:t>×0.</w:t>
            </w:r>
            <w:r>
              <w:rPr>
                <w:lang w:val="en-US" w:eastAsia="zh-CN"/>
              </w:rPr>
              <w:t>1</w:t>
            </w:r>
          </w:p>
          <w:p w14:paraId="14976600">
            <w:pPr>
              <w:pStyle w:val="29"/>
              <w:bidi w:val="0"/>
              <w:rPr>
                <w:rFonts w:hint="eastAsia"/>
                <w:lang w:val="en-US" w:eastAsia="zh-CN"/>
              </w:rPr>
            </w:pPr>
            <w:r>
              <w:rPr>
                <w:rFonts w:hint="eastAsia"/>
                <w:lang w:val="en-US" w:eastAsia="zh-CN"/>
              </w:rPr>
              <w:t>2. 参选总价最低的作为评审基准价，得满分，50分；</w:t>
            </w:r>
          </w:p>
          <w:p w14:paraId="08B3303A">
            <w:pPr>
              <w:pStyle w:val="29"/>
              <w:bidi w:val="0"/>
              <w:rPr>
                <w:rFonts w:hint="eastAsia"/>
                <w:color w:val="auto"/>
                <w:highlight w:val="none"/>
              </w:rPr>
            </w:pPr>
            <w:r>
              <w:rPr>
                <w:rFonts w:hint="eastAsia"/>
                <w:lang w:val="en-US" w:eastAsia="zh-CN"/>
              </w:rPr>
              <w:t xml:space="preserve">3. </w:t>
            </w:r>
            <w:r>
              <w:rPr>
                <w:rFonts w:hint="eastAsia"/>
                <w:color w:val="auto"/>
                <w:highlight w:val="none"/>
              </w:rPr>
              <w:t>计算各</w:t>
            </w:r>
            <w:r>
              <w:rPr>
                <w:rFonts w:hint="eastAsia"/>
                <w:color w:val="auto"/>
                <w:highlight w:val="none"/>
                <w:lang w:val="en-US" w:eastAsia="zh-CN"/>
              </w:rPr>
              <w:t>参选总价</w:t>
            </w:r>
            <w:r>
              <w:rPr>
                <w:rFonts w:hint="eastAsia"/>
                <w:color w:val="auto"/>
                <w:highlight w:val="none"/>
              </w:rPr>
              <w:t>与</w:t>
            </w:r>
            <w:r>
              <w:rPr>
                <w:rFonts w:hint="eastAsia"/>
                <w:lang w:val="en-US" w:eastAsia="zh-CN"/>
              </w:rPr>
              <w:t>评审基准价</w:t>
            </w:r>
            <w:r>
              <w:rPr>
                <w:rFonts w:hint="eastAsia"/>
                <w:color w:val="auto"/>
                <w:highlight w:val="none"/>
              </w:rPr>
              <w:t>的偏离度。偏离度=（有效报价/评标基准价-1）*100%；</w:t>
            </w:r>
          </w:p>
          <w:p w14:paraId="74F79F33">
            <w:pPr>
              <w:pStyle w:val="29"/>
              <w:bidi w:val="0"/>
              <w:rPr>
                <w:rFonts w:hint="eastAsia" w:eastAsia="宋体"/>
                <w:color w:val="auto"/>
                <w:highlight w:val="none"/>
                <w:lang w:eastAsia="zh-CN"/>
              </w:rPr>
            </w:pPr>
            <w:r>
              <w:rPr>
                <w:rFonts w:hint="eastAsia"/>
                <w:color w:val="auto"/>
                <w:highlight w:val="none"/>
                <w:lang w:val="en-US" w:eastAsia="zh-CN"/>
              </w:rPr>
              <w:t xml:space="preserve">4. </w:t>
            </w:r>
            <w:r>
              <w:rPr>
                <w:rFonts w:hint="eastAsia"/>
                <w:color w:val="auto"/>
                <w:highlight w:val="none"/>
              </w:rPr>
              <w:t>向上每偏离基准价的</w:t>
            </w:r>
            <w:r>
              <w:rPr>
                <w:rFonts w:hint="eastAsia"/>
                <w:color w:val="auto"/>
                <w:highlight w:val="none"/>
                <w:lang w:val="en-US" w:eastAsia="zh-CN"/>
              </w:rPr>
              <w:t>0.5</w:t>
            </w:r>
            <w:r>
              <w:rPr>
                <w:rFonts w:hint="eastAsia"/>
                <w:color w:val="auto"/>
                <w:highlight w:val="none"/>
              </w:rPr>
              <w:t>%扣1分</w:t>
            </w:r>
            <w:r>
              <w:rPr>
                <w:rFonts w:hint="eastAsia"/>
                <w:color w:val="auto"/>
                <w:highlight w:val="none"/>
                <w:lang w:eastAsia="zh-CN"/>
              </w:rPr>
              <w:t>，</w:t>
            </w:r>
            <w:r>
              <w:rPr>
                <w:rFonts w:hint="eastAsia"/>
                <w:color w:val="auto"/>
                <w:highlight w:val="none"/>
                <w:lang w:val="en-US" w:eastAsia="zh-CN"/>
              </w:rPr>
              <w:t>扣完为止</w:t>
            </w:r>
            <w:r>
              <w:rPr>
                <w:rFonts w:hint="eastAsia"/>
                <w:color w:val="auto"/>
                <w:highlight w:val="none"/>
              </w:rPr>
              <w:t>；</w:t>
            </w:r>
          </w:p>
          <w:p w14:paraId="64389070">
            <w:pPr>
              <w:pStyle w:val="29"/>
              <w:bidi w:val="0"/>
              <w:rPr>
                <w:color w:val="auto"/>
                <w:highlight w:val="none"/>
                <w:lang w:val="en-US" w:eastAsia="zh-CN"/>
              </w:rPr>
            </w:pPr>
            <w:r>
              <w:rPr>
                <w:rFonts w:hint="eastAsia"/>
                <w:color w:val="auto"/>
                <w:highlight w:val="none"/>
                <w:lang w:val="en-US" w:eastAsia="zh-CN"/>
              </w:rPr>
              <w:t xml:space="preserve">5. </w:t>
            </w:r>
            <w:r>
              <w:rPr>
                <w:rFonts w:hint="eastAsia"/>
                <w:color w:val="auto"/>
                <w:highlight w:val="none"/>
              </w:rPr>
              <w:t>不足</w:t>
            </w:r>
            <w:r>
              <w:rPr>
                <w:rFonts w:hint="eastAsia"/>
                <w:color w:val="auto"/>
                <w:highlight w:val="none"/>
                <w:lang w:val="en-US" w:eastAsia="zh-CN"/>
              </w:rPr>
              <w:t>0.5</w:t>
            </w:r>
            <w:r>
              <w:rPr>
                <w:rFonts w:hint="eastAsia"/>
                <w:color w:val="auto"/>
                <w:highlight w:val="none"/>
              </w:rPr>
              <w:t>%的不予扣减。</w:t>
            </w:r>
          </w:p>
        </w:tc>
      </w:tr>
      <w:tr w14:paraId="289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2" w:type="dxa"/>
            <w:vMerge w:val="continue"/>
            <w:vAlign w:val="center"/>
          </w:tcPr>
          <w:p w14:paraId="2DC2B0F9"/>
        </w:tc>
        <w:tc>
          <w:tcPr>
            <w:tcW w:w="1280" w:type="dxa"/>
            <w:vMerge w:val="continue"/>
            <w:tcBorders>
              <w:left w:val="single" w:color="auto" w:sz="4" w:space="0"/>
            </w:tcBorders>
            <w:vAlign w:val="center"/>
          </w:tcPr>
          <w:p w14:paraId="10856A3D"/>
        </w:tc>
        <w:tc>
          <w:tcPr>
            <w:tcW w:w="7162" w:type="dxa"/>
            <w:gridSpan w:val="3"/>
            <w:tcBorders>
              <w:left w:val="single" w:color="auto" w:sz="4" w:space="0"/>
            </w:tcBorders>
            <w:vAlign w:val="center"/>
          </w:tcPr>
          <w:p w14:paraId="08C040E2">
            <w:pPr>
              <w:pStyle w:val="29"/>
              <w:bidi w:val="0"/>
              <w:rPr>
                <w:rFonts w:hint="eastAsia"/>
              </w:rPr>
            </w:pPr>
            <w:r>
              <w:rPr>
                <w:rFonts w:hint="eastAsia"/>
              </w:rPr>
              <w:t>技术部分（</w:t>
            </w:r>
            <w:r>
              <w:t>25</w:t>
            </w:r>
            <w:r>
              <w:rPr>
                <w:rFonts w:hint="eastAsia"/>
              </w:rPr>
              <w:t>分）</w:t>
            </w:r>
          </w:p>
        </w:tc>
      </w:tr>
      <w:tr w14:paraId="42F0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55117545"/>
        </w:tc>
        <w:tc>
          <w:tcPr>
            <w:tcW w:w="1280" w:type="dxa"/>
            <w:vMerge w:val="continue"/>
            <w:tcBorders>
              <w:left w:val="single" w:color="auto" w:sz="4" w:space="0"/>
            </w:tcBorders>
            <w:vAlign w:val="center"/>
          </w:tcPr>
          <w:p w14:paraId="7233EBFC"/>
        </w:tc>
        <w:tc>
          <w:tcPr>
            <w:tcW w:w="1686" w:type="dxa"/>
            <w:gridSpan w:val="2"/>
            <w:tcBorders>
              <w:left w:val="single" w:color="auto" w:sz="4" w:space="0"/>
            </w:tcBorders>
            <w:vAlign w:val="center"/>
          </w:tcPr>
          <w:p w14:paraId="46245F1E">
            <w:pPr>
              <w:pStyle w:val="29"/>
              <w:bidi w:val="0"/>
              <w:rPr>
                <w:rFonts w:hint="eastAsia"/>
              </w:rPr>
            </w:pPr>
            <w:r>
              <w:rPr>
                <w:rFonts w:hint="eastAsia"/>
              </w:rPr>
              <w:t>项目实施方案（10分）</w:t>
            </w:r>
          </w:p>
        </w:tc>
        <w:tc>
          <w:tcPr>
            <w:tcW w:w="5476" w:type="dxa"/>
            <w:tcBorders>
              <w:left w:val="single" w:color="auto" w:sz="4" w:space="0"/>
            </w:tcBorders>
            <w:vAlign w:val="center"/>
          </w:tcPr>
          <w:p w14:paraId="2F48E5E9">
            <w:pPr>
              <w:pStyle w:val="9"/>
              <w:bidi w:val="0"/>
              <w:rPr>
                <w:rFonts w:hint="eastAsia"/>
              </w:rPr>
            </w:pPr>
            <w:r>
              <w:rPr>
                <w:rFonts w:hint="eastAsia"/>
              </w:rPr>
              <w:t>根据参选人提供的项目实施方案（方案主要包括：技术人员驻场值守、实施方案、时效、应急预案等）是否符合我行</w:t>
            </w:r>
            <w:r>
              <w:t>110联网报警系统建设服务的连续性、</w:t>
            </w:r>
            <w:r>
              <w:rPr>
                <w:rFonts w:hint="eastAsia"/>
                <w:lang w:val="en-US" w:eastAsia="zh-CN"/>
              </w:rPr>
              <w:t>可行性、完整性等</w:t>
            </w:r>
            <w:r>
              <w:t>。</w:t>
            </w:r>
            <w:r>
              <w:rPr>
                <w:rFonts w:hint="eastAsia"/>
                <w:lang w:eastAsia="zh-CN"/>
              </w:rPr>
              <w:t>，</w:t>
            </w:r>
            <w:r>
              <w:rPr>
                <w:rFonts w:hint="eastAsia"/>
                <w:lang w:val="en-US" w:eastAsia="zh-CN"/>
              </w:rPr>
              <w:t>由评审委员会酌情给分</w:t>
            </w:r>
            <w:r>
              <w:rPr>
                <w:rFonts w:hint="eastAsia"/>
              </w:rPr>
              <w:t>：</w:t>
            </w:r>
          </w:p>
          <w:p w14:paraId="1DBFD384">
            <w:pPr>
              <w:pStyle w:val="29"/>
              <w:bidi w:val="0"/>
              <w:rPr>
                <w:rFonts w:hint="eastAsia"/>
              </w:rPr>
            </w:pPr>
            <w:r>
              <w:rPr>
                <w:rFonts w:hint="eastAsia"/>
              </w:rPr>
              <w:t>1、方案优秀得7-10分；</w:t>
            </w:r>
          </w:p>
          <w:p w14:paraId="3359CC2A">
            <w:pPr>
              <w:pStyle w:val="29"/>
              <w:bidi w:val="0"/>
              <w:rPr>
                <w:rFonts w:hint="eastAsia"/>
              </w:rPr>
            </w:pPr>
            <w:r>
              <w:rPr>
                <w:rFonts w:hint="eastAsia"/>
              </w:rPr>
              <w:t>2、方案良好得4-6分；</w:t>
            </w:r>
          </w:p>
          <w:p w14:paraId="1EAB278E">
            <w:pPr>
              <w:pStyle w:val="29"/>
              <w:bidi w:val="0"/>
              <w:rPr>
                <w:rFonts w:hint="eastAsia"/>
              </w:rPr>
            </w:pPr>
            <w:r>
              <w:rPr>
                <w:rFonts w:hint="eastAsia"/>
              </w:rPr>
              <w:t>3、方案一般得0-3分；</w:t>
            </w:r>
          </w:p>
        </w:tc>
      </w:tr>
      <w:tr w14:paraId="37CA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7227400E"/>
        </w:tc>
        <w:tc>
          <w:tcPr>
            <w:tcW w:w="1280" w:type="dxa"/>
            <w:vMerge w:val="continue"/>
            <w:tcBorders>
              <w:left w:val="single" w:color="auto" w:sz="4" w:space="0"/>
            </w:tcBorders>
            <w:vAlign w:val="center"/>
          </w:tcPr>
          <w:p w14:paraId="179557B8"/>
        </w:tc>
        <w:tc>
          <w:tcPr>
            <w:tcW w:w="1686" w:type="dxa"/>
            <w:gridSpan w:val="2"/>
            <w:tcBorders>
              <w:left w:val="single" w:color="auto" w:sz="4" w:space="0"/>
            </w:tcBorders>
            <w:vAlign w:val="center"/>
          </w:tcPr>
          <w:p w14:paraId="4FD0F85A">
            <w:pPr>
              <w:pStyle w:val="29"/>
              <w:bidi w:val="0"/>
              <w:rPr>
                <w:rFonts w:hint="eastAsia"/>
              </w:rPr>
            </w:pPr>
            <w:r>
              <w:rPr>
                <w:rFonts w:hint="eastAsia"/>
              </w:rPr>
              <w:t>综合实力</w:t>
            </w:r>
          </w:p>
          <w:p w14:paraId="79F917A3">
            <w:pPr>
              <w:pStyle w:val="29"/>
              <w:bidi w:val="0"/>
              <w:rPr>
                <w:rFonts w:hint="eastAsia"/>
              </w:rPr>
            </w:pPr>
            <w:r>
              <w:rPr>
                <w:rFonts w:hint="eastAsia"/>
              </w:rPr>
              <w:t>（</w:t>
            </w:r>
            <w:r>
              <w:t>5</w:t>
            </w:r>
            <w:r>
              <w:rPr>
                <w:rFonts w:hint="eastAsia"/>
              </w:rPr>
              <w:t>分）</w:t>
            </w:r>
          </w:p>
        </w:tc>
        <w:tc>
          <w:tcPr>
            <w:tcW w:w="5476" w:type="dxa"/>
            <w:tcBorders>
              <w:left w:val="single" w:color="auto" w:sz="4" w:space="0"/>
            </w:tcBorders>
            <w:vAlign w:val="center"/>
          </w:tcPr>
          <w:p w14:paraId="5914525C">
            <w:pPr>
              <w:pStyle w:val="29"/>
              <w:bidi w:val="0"/>
              <w:rPr>
                <w:rFonts w:hint="eastAsia"/>
              </w:rPr>
            </w:pPr>
            <w:r>
              <w:rPr>
                <w:rFonts w:hint="eastAsia"/>
              </w:rPr>
              <w:t>参选人或参选人集团公司自有的“金融联网报警系统”或“金融警务可视化安全管理系统”取得计算机软件著作权登记证书，得</w:t>
            </w:r>
            <w:r>
              <w:t>5</w:t>
            </w:r>
            <w:r>
              <w:rPr>
                <w:rFonts w:hint="eastAsia"/>
              </w:rPr>
              <w:t>分。</w:t>
            </w:r>
          </w:p>
          <w:p w14:paraId="2C831D8D">
            <w:pPr>
              <w:pStyle w:val="29"/>
              <w:bidi w:val="0"/>
              <w:rPr>
                <w:rFonts w:hint="eastAsia"/>
              </w:rPr>
            </w:pPr>
            <w:r>
              <w:rPr>
                <w:rFonts w:hint="eastAsia"/>
              </w:rPr>
              <w:t>提供证明材料复印件及证书复印件，并加盖参选人鲜章。</w:t>
            </w:r>
          </w:p>
        </w:tc>
      </w:tr>
      <w:tr w14:paraId="4293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22" w:type="dxa"/>
            <w:vMerge w:val="continue"/>
            <w:vAlign w:val="center"/>
          </w:tcPr>
          <w:p w14:paraId="5025F5FB"/>
        </w:tc>
        <w:tc>
          <w:tcPr>
            <w:tcW w:w="1280" w:type="dxa"/>
            <w:vMerge w:val="continue"/>
            <w:tcBorders>
              <w:left w:val="single" w:color="auto" w:sz="4" w:space="0"/>
            </w:tcBorders>
            <w:vAlign w:val="center"/>
          </w:tcPr>
          <w:p w14:paraId="53D6AE35"/>
        </w:tc>
        <w:tc>
          <w:tcPr>
            <w:tcW w:w="1686" w:type="dxa"/>
            <w:gridSpan w:val="2"/>
            <w:tcBorders>
              <w:left w:val="single" w:color="auto" w:sz="4" w:space="0"/>
            </w:tcBorders>
            <w:vAlign w:val="center"/>
          </w:tcPr>
          <w:p w14:paraId="3B3E4C42">
            <w:pPr>
              <w:pStyle w:val="29"/>
              <w:bidi w:val="0"/>
              <w:rPr>
                <w:rFonts w:hint="eastAsia"/>
              </w:rPr>
            </w:pPr>
            <w:r>
              <w:rPr>
                <w:rFonts w:hint="eastAsia"/>
              </w:rPr>
              <w:t>技术保障能力（</w:t>
            </w:r>
            <w:r>
              <w:t>10</w:t>
            </w:r>
            <w:r>
              <w:rPr>
                <w:rFonts w:hint="eastAsia"/>
              </w:rPr>
              <w:t>分）</w:t>
            </w:r>
          </w:p>
        </w:tc>
        <w:tc>
          <w:tcPr>
            <w:tcW w:w="5476" w:type="dxa"/>
            <w:tcBorders>
              <w:left w:val="single" w:color="auto" w:sz="4" w:space="0"/>
            </w:tcBorders>
            <w:vAlign w:val="center"/>
          </w:tcPr>
          <w:p w14:paraId="6F5D0C5D">
            <w:pPr>
              <w:pStyle w:val="29"/>
              <w:bidi w:val="0"/>
              <w:rPr>
                <w:rFonts w:hint="eastAsia"/>
              </w:rPr>
            </w:pPr>
            <w:r>
              <w:rPr>
                <w:rFonts w:hint="eastAsia"/>
              </w:rPr>
              <w:t>1.参选人具有ISO20000信息技术服务管理体系认证证书，得</w:t>
            </w:r>
            <w:r>
              <w:t>5</w:t>
            </w:r>
            <w:r>
              <w:rPr>
                <w:rFonts w:hint="eastAsia"/>
              </w:rPr>
              <w:t>分；</w:t>
            </w:r>
          </w:p>
          <w:p w14:paraId="53575B4B">
            <w:pPr>
              <w:pStyle w:val="29"/>
              <w:bidi w:val="0"/>
              <w:rPr>
                <w:rFonts w:hint="eastAsia"/>
              </w:rPr>
            </w:pPr>
            <w:r>
              <w:rPr>
                <w:rFonts w:hint="eastAsia"/>
              </w:rPr>
              <w:t>2.参选人具有CCRC信息系统安全运维服务认证证书，得</w:t>
            </w:r>
            <w:r>
              <w:t>5</w:t>
            </w:r>
            <w:r>
              <w:rPr>
                <w:rFonts w:hint="eastAsia"/>
              </w:rPr>
              <w:t>分。</w:t>
            </w:r>
          </w:p>
          <w:p w14:paraId="4B50CB2E">
            <w:pPr>
              <w:pStyle w:val="29"/>
              <w:bidi w:val="0"/>
              <w:rPr>
                <w:rFonts w:hint="eastAsia"/>
              </w:rPr>
            </w:pPr>
            <w:r>
              <w:rPr>
                <w:rFonts w:hint="eastAsia"/>
              </w:rPr>
              <w:t>提供证明材料复印件及证书复印件，并加盖参选人鲜章。</w:t>
            </w:r>
          </w:p>
        </w:tc>
      </w:tr>
      <w:tr w14:paraId="3F0B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2" w:type="dxa"/>
            <w:vMerge w:val="continue"/>
            <w:vAlign w:val="center"/>
          </w:tcPr>
          <w:p w14:paraId="21395126"/>
        </w:tc>
        <w:tc>
          <w:tcPr>
            <w:tcW w:w="1280" w:type="dxa"/>
            <w:vMerge w:val="continue"/>
            <w:tcBorders>
              <w:left w:val="single" w:color="auto" w:sz="4" w:space="0"/>
            </w:tcBorders>
            <w:vAlign w:val="center"/>
          </w:tcPr>
          <w:p w14:paraId="2BEC70DA"/>
        </w:tc>
        <w:tc>
          <w:tcPr>
            <w:tcW w:w="7162" w:type="dxa"/>
            <w:gridSpan w:val="3"/>
            <w:tcBorders>
              <w:left w:val="single" w:color="auto" w:sz="4" w:space="0"/>
            </w:tcBorders>
            <w:vAlign w:val="center"/>
          </w:tcPr>
          <w:p w14:paraId="0732BC65">
            <w:pPr>
              <w:pStyle w:val="29"/>
              <w:bidi w:val="0"/>
              <w:rPr>
                <w:rFonts w:hint="eastAsia"/>
              </w:rPr>
            </w:pPr>
            <w:r>
              <w:t>商务部分</w:t>
            </w:r>
            <w:r>
              <w:rPr>
                <w:rFonts w:hint="eastAsia"/>
              </w:rPr>
              <w:t>（</w:t>
            </w:r>
            <w:r>
              <w:t>25</w:t>
            </w:r>
            <w:r>
              <w:rPr>
                <w:rFonts w:hint="eastAsia"/>
              </w:rPr>
              <w:t>分）</w:t>
            </w:r>
          </w:p>
        </w:tc>
      </w:tr>
      <w:tr w14:paraId="1BE4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vAlign w:val="center"/>
          </w:tcPr>
          <w:p w14:paraId="05C65F5F"/>
        </w:tc>
        <w:tc>
          <w:tcPr>
            <w:tcW w:w="1280" w:type="dxa"/>
            <w:vMerge w:val="continue"/>
            <w:tcBorders>
              <w:left w:val="single" w:color="auto" w:sz="4" w:space="0"/>
            </w:tcBorders>
            <w:vAlign w:val="center"/>
          </w:tcPr>
          <w:p w14:paraId="6129AF46"/>
        </w:tc>
        <w:tc>
          <w:tcPr>
            <w:tcW w:w="1686" w:type="dxa"/>
            <w:gridSpan w:val="2"/>
            <w:tcBorders>
              <w:left w:val="single" w:color="auto" w:sz="4" w:space="0"/>
            </w:tcBorders>
            <w:vAlign w:val="center"/>
          </w:tcPr>
          <w:p w14:paraId="688B2498">
            <w:pPr>
              <w:pStyle w:val="29"/>
              <w:bidi w:val="0"/>
              <w:rPr>
                <w:rFonts w:hint="eastAsia"/>
              </w:rPr>
            </w:pPr>
            <w:r>
              <w:rPr>
                <w:rFonts w:hint="eastAsia"/>
              </w:rPr>
              <w:t>参选人业绩（</w:t>
            </w:r>
            <w:r>
              <w:t>10</w:t>
            </w:r>
            <w:r>
              <w:rPr>
                <w:rFonts w:hint="eastAsia"/>
              </w:rPr>
              <w:t>分）</w:t>
            </w:r>
          </w:p>
        </w:tc>
        <w:tc>
          <w:tcPr>
            <w:tcW w:w="5476" w:type="dxa"/>
            <w:tcBorders>
              <w:left w:val="single" w:color="auto" w:sz="4" w:space="0"/>
            </w:tcBorders>
            <w:vAlign w:val="center"/>
          </w:tcPr>
          <w:p w14:paraId="7DE93540">
            <w:pPr>
              <w:pStyle w:val="29"/>
              <w:bidi w:val="0"/>
              <w:rPr>
                <w:rFonts w:hint="eastAsia"/>
              </w:rPr>
            </w:pPr>
            <w:r>
              <w:rPr>
                <w:rFonts w:hint="eastAsia"/>
              </w:rPr>
              <w:t>参选人自2021年1月1日至本比选文件发出之日（以合同签订时间为准），参选人具有分行级</w:t>
            </w:r>
            <w:r>
              <w:rPr>
                <w:rFonts w:hint="eastAsia"/>
                <w:lang w:val="en-US" w:eastAsia="zh-CN"/>
              </w:rPr>
              <w:t>110</w:t>
            </w:r>
            <w:r>
              <w:rPr>
                <w:rFonts w:hint="eastAsia"/>
              </w:rPr>
              <w:t>联网</w:t>
            </w:r>
            <w:r>
              <w:rPr>
                <w:rFonts w:hint="eastAsia"/>
                <w:lang w:val="en-US" w:eastAsia="zh-CN"/>
              </w:rPr>
              <w:t>案例</w:t>
            </w:r>
            <w:r>
              <w:rPr>
                <w:rFonts w:hint="eastAsia"/>
              </w:rPr>
              <w:t>的，1个得</w:t>
            </w:r>
            <w:r>
              <w:t>2</w:t>
            </w:r>
            <w:r>
              <w:rPr>
                <w:rFonts w:hint="eastAsia"/>
              </w:rPr>
              <w:t>分，最多</w:t>
            </w:r>
            <w:r>
              <w:rPr>
                <w:lang w:val="en-US" w:eastAsia="zh-CN"/>
              </w:rPr>
              <w:t>10</w:t>
            </w:r>
            <w:r>
              <w:rPr>
                <w:rFonts w:hint="eastAsia"/>
              </w:rPr>
              <w:t>分。</w:t>
            </w:r>
          </w:p>
          <w:p w14:paraId="2422B7DE">
            <w:pPr>
              <w:pStyle w:val="29"/>
              <w:bidi w:val="0"/>
              <w:rPr>
                <w:rFonts w:hint="eastAsia"/>
              </w:rPr>
            </w:pPr>
            <w:r>
              <w:rPr>
                <w:rFonts w:hint="eastAsia"/>
                <w:color w:val="auto"/>
                <w:highlight w:val="none"/>
                <w:lang w:val="en-US" w:eastAsia="zh-CN"/>
              </w:rPr>
              <w:t>案例提供合同关键页、项目简介、</w:t>
            </w:r>
            <w:r>
              <w:rPr>
                <w:rFonts w:hint="eastAsia"/>
                <w:color w:val="auto"/>
                <w:highlight w:val="none"/>
              </w:rPr>
              <w:t>合同对应的发票之一和网上税务系统查询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。发票开具日期须晚于合同签订日期、发票购买方须与合同买方一致、发票销售方须与合同卖方（参选人）一致</w:t>
            </w:r>
          </w:p>
          <w:p w14:paraId="2A1B5EAF">
            <w:pPr>
              <w:pStyle w:val="29"/>
              <w:bidi w:val="0"/>
              <w:rPr>
                <w:rFonts w:hint="eastAsia"/>
              </w:rPr>
            </w:pPr>
            <w:r>
              <w:rPr>
                <w:rFonts w:hint="eastAsia"/>
              </w:rPr>
              <w:t>（注：同一银行提供一份合同，同一银行提供多份合同的，按一份计算。）</w:t>
            </w:r>
          </w:p>
        </w:tc>
      </w:tr>
      <w:tr w14:paraId="11C2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2" w:type="dxa"/>
            <w:vMerge w:val="continue"/>
            <w:vAlign w:val="center"/>
          </w:tcPr>
          <w:p w14:paraId="6A9B06A4"/>
        </w:tc>
        <w:tc>
          <w:tcPr>
            <w:tcW w:w="1280" w:type="dxa"/>
            <w:vMerge w:val="continue"/>
            <w:tcBorders>
              <w:left w:val="single" w:color="auto" w:sz="4" w:space="0"/>
            </w:tcBorders>
            <w:vAlign w:val="center"/>
          </w:tcPr>
          <w:p w14:paraId="67CE625E"/>
        </w:tc>
        <w:tc>
          <w:tcPr>
            <w:tcW w:w="1686" w:type="dxa"/>
            <w:gridSpan w:val="2"/>
            <w:tcBorders>
              <w:left w:val="single" w:color="auto" w:sz="4" w:space="0"/>
            </w:tcBorders>
            <w:vAlign w:val="center"/>
          </w:tcPr>
          <w:p w14:paraId="28FF53D7">
            <w:pPr>
              <w:pStyle w:val="29"/>
              <w:bidi w:val="0"/>
              <w:rPr>
                <w:rFonts w:hint="eastAsia"/>
              </w:rPr>
            </w:pPr>
            <w:r>
              <w:rPr>
                <w:rFonts w:hint="eastAsia"/>
              </w:rPr>
              <w:t>服务</w:t>
            </w:r>
            <w:r>
              <w:t>能力</w:t>
            </w:r>
          </w:p>
          <w:p w14:paraId="2CCE9B45">
            <w:pPr>
              <w:pStyle w:val="29"/>
              <w:bidi w:val="0"/>
              <w:rPr>
                <w:rFonts w:hint="eastAsia"/>
              </w:rPr>
            </w:pPr>
            <w:r>
              <w:t>（10</w:t>
            </w:r>
            <w:r>
              <w:rPr>
                <w:rFonts w:hint="eastAsia"/>
              </w:rPr>
              <w:t>分</w:t>
            </w:r>
            <w:r>
              <w:t>）</w:t>
            </w:r>
          </w:p>
        </w:tc>
        <w:tc>
          <w:tcPr>
            <w:tcW w:w="5476" w:type="dxa"/>
            <w:tcBorders>
              <w:left w:val="single" w:color="auto" w:sz="4" w:space="0"/>
            </w:tcBorders>
            <w:vAlign w:val="center"/>
          </w:tcPr>
          <w:p w14:paraId="57B12329">
            <w:pPr>
              <w:pStyle w:val="29"/>
              <w:bidi w:val="0"/>
              <w:rPr>
                <w:rFonts w:hint="eastAsia"/>
              </w:rPr>
            </w:pPr>
            <w:r>
              <w:rPr>
                <w:rFonts w:hint="eastAsia"/>
              </w:rPr>
              <w:t>1.参选人具有安全技术防范行业设计施工维护能力二级证书得1分；一级证书得2分。</w:t>
            </w:r>
          </w:p>
          <w:p w14:paraId="095A95D3">
            <w:pPr>
              <w:pStyle w:val="29"/>
              <w:bidi w:val="0"/>
              <w:rPr>
                <w:rFonts w:hint="eastAsia"/>
              </w:rPr>
            </w:pPr>
            <w:r>
              <w:rPr>
                <w:rFonts w:hint="eastAsia"/>
              </w:rPr>
              <w:t>2.参选人具有涉密信息系统集成资质证书（业务种类:运行维护），得</w:t>
            </w:r>
            <w:r>
              <w:t>2</w:t>
            </w:r>
            <w:r>
              <w:rPr>
                <w:rFonts w:hint="eastAsia"/>
              </w:rPr>
              <w:t>分。</w:t>
            </w:r>
          </w:p>
          <w:p w14:paraId="645F1916">
            <w:pPr>
              <w:pStyle w:val="29"/>
              <w:bidi w:val="0"/>
              <w:rPr>
                <w:rFonts w:hint="eastAsia"/>
              </w:rPr>
            </w:pPr>
            <w:r>
              <w:rPr>
                <w:rFonts w:hint="eastAsia"/>
              </w:rPr>
              <w:t>3.参选人具有</w:t>
            </w:r>
            <w:r>
              <w:t>100</w:t>
            </w:r>
            <w:r>
              <w:rPr>
                <w:rFonts w:hint="eastAsia"/>
              </w:rPr>
              <w:t>万元</w:t>
            </w:r>
            <w:r>
              <w:t>及以上</w:t>
            </w:r>
            <w:r>
              <w:rPr>
                <w:rFonts w:hint="eastAsia"/>
              </w:rPr>
              <w:t>产品责任险保单或产品质量险保单，得</w:t>
            </w:r>
            <w:r>
              <w:t>6</w:t>
            </w:r>
            <w:r>
              <w:rPr>
                <w:rFonts w:hint="eastAsia"/>
              </w:rPr>
              <w:t>分。</w:t>
            </w:r>
          </w:p>
          <w:p w14:paraId="3127E97F">
            <w:pPr>
              <w:pStyle w:val="29"/>
              <w:bidi w:val="0"/>
              <w:rPr>
                <w:rFonts w:hint="eastAsia"/>
              </w:rPr>
            </w:pPr>
            <w:r>
              <w:rPr>
                <w:rFonts w:hint="eastAsia"/>
              </w:rPr>
              <w:t>提供证明材料复印件及证书复印件，并加盖参选人鲜章。</w:t>
            </w:r>
          </w:p>
        </w:tc>
      </w:tr>
      <w:tr w14:paraId="50BA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022" w:type="dxa"/>
            <w:vMerge w:val="continue"/>
            <w:vAlign w:val="center"/>
          </w:tcPr>
          <w:p w14:paraId="4AFAB159"/>
        </w:tc>
        <w:tc>
          <w:tcPr>
            <w:tcW w:w="1280" w:type="dxa"/>
            <w:vMerge w:val="continue"/>
            <w:tcBorders>
              <w:left w:val="single" w:color="auto" w:sz="4" w:space="0"/>
            </w:tcBorders>
            <w:vAlign w:val="center"/>
          </w:tcPr>
          <w:p w14:paraId="49BE810C"/>
        </w:tc>
        <w:tc>
          <w:tcPr>
            <w:tcW w:w="1686" w:type="dxa"/>
            <w:gridSpan w:val="2"/>
            <w:tcBorders>
              <w:left w:val="single" w:color="auto" w:sz="4" w:space="0"/>
            </w:tcBorders>
            <w:vAlign w:val="center"/>
          </w:tcPr>
          <w:p w14:paraId="21710236">
            <w:pPr>
              <w:pStyle w:val="29"/>
              <w:bidi w:val="0"/>
              <w:rPr>
                <w:rFonts w:hint="eastAsia"/>
              </w:rPr>
            </w:pPr>
            <w:r>
              <w:rPr>
                <w:rFonts w:hint="eastAsia"/>
              </w:rPr>
              <w:t>服务人员</w:t>
            </w:r>
          </w:p>
          <w:p w14:paraId="467241E1">
            <w:pPr>
              <w:pStyle w:val="29"/>
              <w:bidi w:val="0"/>
              <w:rPr>
                <w:rFonts w:hint="eastAsia"/>
              </w:rPr>
            </w:pPr>
            <w:r>
              <w:rPr>
                <w:rFonts w:hint="eastAsia"/>
              </w:rPr>
              <w:t>（</w:t>
            </w:r>
            <w:r>
              <w:t>5</w:t>
            </w:r>
            <w:r>
              <w:rPr>
                <w:rFonts w:hint="eastAsia"/>
              </w:rPr>
              <w:t>分）</w:t>
            </w:r>
          </w:p>
        </w:tc>
        <w:tc>
          <w:tcPr>
            <w:tcW w:w="5476" w:type="dxa"/>
            <w:tcBorders>
              <w:left w:val="single" w:color="auto" w:sz="4" w:space="0"/>
            </w:tcBorders>
            <w:vAlign w:val="center"/>
          </w:tcPr>
          <w:p w14:paraId="3BFE8D07">
            <w:pPr>
              <w:pStyle w:val="29"/>
              <w:bidi w:val="0"/>
              <w:rPr>
                <w:rFonts w:hint="eastAsia"/>
              </w:rPr>
            </w:pPr>
            <w:r>
              <w:rPr>
                <w:rFonts w:hint="eastAsia"/>
              </w:rPr>
              <w:t>1.参选人为本地</w:t>
            </w:r>
            <w:r>
              <w:t>110金融联网报警服务投入服务人员20人以内得1分；21人以上得3分。</w:t>
            </w:r>
          </w:p>
          <w:p w14:paraId="0C5B68C2">
            <w:pPr>
              <w:pStyle w:val="29"/>
              <w:bidi w:val="0"/>
              <w:rPr>
                <w:rFonts w:hint="eastAsia"/>
              </w:rPr>
            </w:pPr>
            <w:r>
              <w:rPr>
                <w:rFonts w:hint="eastAsia"/>
              </w:rPr>
              <w:t>2.参选人投入服务人员中具有高级工程师证书，得1分。</w:t>
            </w:r>
          </w:p>
          <w:p w14:paraId="458A5BAD">
            <w:pPr>
              <w:pStyle w:val="29"/>
              <w:bidi w:val="0"/>
              <w:rPr>
                <w:rFonts w:hint="eastAsia"/>
              </w:rPr>
            </w:pPr>
            <w:r>
              <w:rPr>
                <w:rFonts w:hint="eastAsia"/>
              </w:rPr>
              <w:t>3.参选人投入服务人员中具有一级注册消防工程师证书，得1分。</w:t>
            </w:r>
          </w:p>
          <w:p w14:paraId="371001F2">
            <w:pPr>
              <w:pStyle w:val="29"/>
              <w:bidi w:val="0"/>
              <w:rPr>
                <w:rFonts w:hint="eastAsia"/>
              </w:rPr>
            </w:pPr>
            <w:r>
              <w:rPr>
                <w:rFonts w:hint="eastAsia"/>
              </w:rPr>
              <w:t>提供人员证书</w:t>
            </w:r>
            <w:r>
              <w:rPr>
                <w:rFonts w:hint="eastAsia"/>
                <w:lang w:val="en-US" w:eastAsia="zh-CN"/>
              </w:rPr>
              <w:t>证明材料</w:t>
            </w:r>
            <w:r>
              <w:rPr>
                <w:rFonts w:hint="eastAsia"/>
              </w:rPr>
              <w:t>及近一个月参选人为其缴纳的养老保险证明复印件，并加盖参选人鲜章</w:t>
            </w:r>
            <w:r>
              <w:rPr>
                <w:rFonts w:hint="eastAsia"/>
                <w:lang w:eastAsia="zh-CN"/>
              </w:rPr>
              <w:t>（</w:t>
            </w:r>
            <w:r>
              <w:rPr>
                <w:rFonts w:hint="eastAsia"/>
                <w:lang w:val="en-US" w:eastAsia="zh-CN"/>
              </w:rPr>
              <w:t>社保参保单位应为参选人</w:t>
            </w:r>
            <w:r>
              <w:rPr>
                <w:rFonts w:hint="eastAsia"/>
                <w:lang w:eastAsia="zh-CN"/>
              </w:rPr>
              <w:t>）</w:t>
            </w:r>
            <w:r>
              <w:rPr>
                <w:rFonts w:hint="eastAsia"/>
              </w:rPr>
              <w:t>。</w:t>
            </w:r>
          </w:p>
        </w:tc>
      </w:tr>
      <w:tr w14:paraId="0FA1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1022" w:type="dxa"/>
            <w:vAlign w:val="center"/>
          </w:tcPr>
          <w:p w14:paraId="7D6D15D5">
            <w:pPr>
              <w:pStyle w:val="29"/>
              <w:bidi w:val="0"/>
              <w:rPr>
                <w:rFonts w:hint="eastAsia"/>
              </w:rPr>
            </w:pPr>
            <w:r>
              <w:rPr>
                <w:rFonts w:hint="eastAsia"/>
              </w:rPr>
              <w:t>3</w:t>
            </w:r>
          </w:p>
        </w:tc>
        <w:tc>
          <w:tcPr>
            <w:tcW w:w="1280" w:type="dxa"/>
            <w:tcBorders>
              <w:left w:val="single" w:color="auto" w:sz="4" w:space="0"/>
            </w:tcBorders>
            <w:vAlign w:val="center"/>
          </w:tcPr>
          <w:p w14:paraId="479AD2A1">
            <w:pPr>
              <w:pStyle w:val="29"/>
              <w:bidi w:val="0"/>
              <w:rPr>
                <w:rFonts w:hint="eastAsia"/>
              </w:rPr>
            </w:pPr>
            <w:r>
              <w:rPr>
                <w:rFonts w:hint="eastAsia"/>
              </w:rPr>
              <w:t>评审程序</w:t>
            </w:r>
          </w:p>
        </w:tc>
        <w:tc>
          <w:tcPr>
            <w:tcW w:w="7162" w:type="dxa"/>
            <w:gridSpan w:val="3"/>
            <w:tcBorders>
              <w:left w:val="single" w:color="auto" w:sz="4" w:space="0"/>
            </w:tcBorders>
          </w:tcPr>
          <w:p w14:paraId="4F2F75B1">
            <w:pPr>
              <w:pStyle w:val="29"/>
              <w:bidi w:val="0"/>
              <w:rPr>
                <w:rFonts w:hint="eastAsia"/>
              </w:rPr>
            </w:pPr>
            <w:r>
              <w:t>1.评审委员会在初步评审前，按本章第3.1.3项的规定对参选报价有算术性错误的进行算术性错误修正。</w:t>
            </w:r>
          </w:p>
          <w:p w14:paraId="41E8305F">
            <w:pPr>
              <w:pStyle w:val="29"/>
              <w:bidi w:val="0"/>
              <w:rPr>
                <w:rFonts w:hint="eastAsia"/>
              </w:rPr>
            </w:pPr>
            <w:r>
              <w:t>2.评审委员会对参选文件进行初步评审。</w:t>
            </w:r>
          </w:p>
          <w:p w14:paraId="49A41598">
            <w:pPr>
              <w:pStyle w:val="29"/>
              <w:bidi w:val="0"/>
              <w:rPr>
                <w:rFonts w:hint="eastAsia"/>
              </w:rPr>
            </w:pPr>
            <w:r>
              <w:t>3.评审委员会对初步评审合格的参选文件进行详细评审，主观评审部分由各专家独立评审打分，最后取平均得分，保留2位小数。</w:t>
            </w:r>
          </w:p>
          <w:p w14:paraId="034662F9">
            <w:pPr>
              <w:pStyle w:val="29"/>
              <w:bidi w:val="0"/>
              <w:rPr>
                <w:rFonts w:hint="eastAsia"/>
              </w:rPr>
            </w:pPr>
            <w:r>
              <w:t>4.</w:t>
            </w:r>
            <w:r>
              <w:rPr>
                <w:rFonts w:hint="eastAsia" w:ascii="宋体" w:hAnsi="宋体" w:cs="宋体"/>
                <w:color w:val="auto"/>
                <w:sz w:val="21"/>
                <w:szCs w:val="21"/>
                <w:highlight w:val="none"/>
              </w:rPr>
              <w:t>根据综合得分由高至低进行排序，推荐1-3家合格的中选候选人。并依次为第一、二、三中选候选人。</w:t>
            </w:r>
          </w:p>
        </w:tc>
      </w:tr>
      <w:tr w14:paraId="23B8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FE59AB8">
            <w:pPr>
              <w:pStyle w:val="29"/>
              <w:bidi w:val="0"/>
              <w:rPr>
                <w:rFonts w:hint="eastAsia"/>
              </w:rPr>
            </w:pPr>
            <w:r>
              <w:rPr>
                <w:rFonts w:hint="eastAsia"/>
              </w:rPr>
              <w:t>3.2.3</w:t>
            </w:r>
          </w:p>
        </w:tc>
        <w:tc>
          <w:tcPr>
            <w:tcW w:w="1511" w:type="dxa"/>
            <w:tcBorders>
              <w:left w:val="single" w:color="auto" w:sz="4" w:space="0"/>
            </w:tcBorders>
            <w:vAlign w:val="center"/>
          </w:tcPr>
          <w:p w14:paraId="50161A1E">
            <w:pPr>
              <w:pStyle w:val="29"/>
              <w:bidi w:val="0"/>
              <w:rPr>
                <w:rFonts w:hint="eastAsia"/>
              </w:rPr>
            </w:pPr>
            <w:r>
              <w:rPr>
                <w:rFonts w:hint="eastAsia"/>
              </w:rPr>
              <w:t>参选人得分</w:t>
            </w:r>
          </w:p>
        </w:tc>
        <w:tc>
          <w:tcPr>
            <w:tcW w:w="5651" w:type="dxa"/>
            <w:gridSpan w:val="2"/>
            <w:tcBorders>
              <w:left w:val="single" w:color="auto" w:sz="4" w:space="0"/>
            </w:tcBorders>
            <w:vAlign w:val="center"/>
          </w:tcPr>
          <w:p w14:paraId="15DE4E1B">
            <w:pPr>
              <w:pStyle w:val="29"/>
              <w:bidi w:val="0"/>
              <w:rPr>
                <w:rFonts w:hint="eastAsia"/>
              </w:rPr>
            </w:pPr>
            <w:r>
              <w:t>参选人得分=参选报价得分+</w:t>
            </w:r>
            <w:r>
              <w:rPr>
                <w:rFonts w:hint="eastAsia"/>
              </w:rPr>
              <w:t>技术</w:t>
            </w:r>
            <w:r>
              <w:t>部分得分+</w:t>
            </w:r>
            <w:r>
              <w:rPr>
                <w:rFonts w:hint="eastAsia"/>
              </w:rPr>
              <w:t>商务</w:t>
            </w:r>
            <w:r>
              <w:t>部分得分</w:t>
            </w:r>
          </w:p>
        </w:tc>
      </w:tr>
      <w:bookmarkEnd w:id="59"/>
    </w:tbl>
    <w:p w14:paraId="405C8B4E">
      <w:pPr>
        <w:rPr>
          <w:rFonts w:hint="eastAsia"/>
          <w:snapToGrid w:val="0"/>
        </w:rPr>
      </w:pPr>
      <w:bookmarkStart w:id="60" w:name="_Toc21111"/>
      <w:bookmarkStart w:id="61" w:name="_Toc636"/>
      <w:r>
        <w:rPr>
          <w:rFonts w:hint="eastAsia"/>
          <w:snapToGrid w:val="0"/>
        </w:rPr>
        <w:br w:type="page"/>
      </w:r>
    </w:p>
    <w:bookmarkEnd w:id="60"/>
    <w:bookmarkEnd w:id="61"/>
    <w:p w14:paraId="47692102">
      <w:pPr>
        <w:pStyle w:val="3"/>
        <w:bidi w:val="0"/>
        <w:rPr>
          <w:color w:val="auto"/>
          <w:highlight w:val="none"/>
          <w:lang w:val="en-US" w:eastAsia="zh-CN"/>
        </w:rPr>
      </w:pPr>
      <w:bookmarkStart w:id="62" w:name="_Toc27234"/>
      <w:bookmarkStart w:id="63" w:name="_Toc18283"/>
      <w:bookmarkStart w:id="64" w:name="_Toc28684"/>
      <w:bookmarkStart w:id="65" w:name="_Toc150953074"/>
      <w:bookmarkStart w:id="66" w:name="_Toc28567"/>
      <w:bookmarkStart w:id="67" w:name="_Toc303066034"/>
      <w:bookmarkStart w:id="68" w:name="_Toc89675170"/>
      <w:r>
        <w:rPr>
          <w:rFonts w:hint="eastAsia"/>
          <w:color w:val="auto"/>
          <w:highlight w:val="none"/>
          <w:lang w:val="en-US" w:eastAsia="zh-CN"/>
        </w:rPr>
        <w:t>1. 评审方法</w:t>
      </w:r>
    </w:p>
    <w:p w14:paraId="247F5379">
      <w:pPr>
        <w:bidi w:val="0"/>
        <w:rPr>
          <w:color w:val="auto"/>
          <w:highlight w:val="none"/>
        </w:rPr>
      </w:pPr>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40D1F7E4">
      <w:pPr>
        <w:pStyle w:val="3"/>
        <w:bidi w:val="0"/>
        <w:rPr>
          <w:color w:val="auto"/>
          <w:highlight w:val="none"/>
          <w:lang w:val="en-US" w:eastAsia="zh-CN"/>
        </w:rPr>
      </w:pPr>
      <w:r>
        <w:rPr>
          <w:rFonts w:hint="eastAsia"/>
          <w:color w:val="auto"/>
          <w:highlight w:val="none"/>
          <w:lang w:val="en-US" w:eastAsia="zh-CN"/>
        </w:rPr>
        <w:t>2. 评审标准</w:t>
      </w:r>
    </w:p>
    <w:p w14:paraId="4AA5A661">
      <w:pPr>
        <w:pStyle w:val="4"/>
        <w:bidi w:val="0"/>
        <w:rPr>
          <w:color w:val="auto"/>
          <w:highlight w:val="none"/>
          <w:lang w:val="en-US" w:eastAsia="zh-CN"/>
        </w:rPr>
      </w:pPr>
      <w:r>
        <w:rPr>
          <w:rFonts w:hint="eastAsia"/>
          <w:color w:val="auto"/>
          <w:highlight w:val="none"/>
          <w:lang w:val="en-US" w:eastAsia="zh-CN"/>
        </w:rPr>
        <w:t>2.1 初步评审标准</w:t>
      </w:r>
    </w:p>
    <w:p w14:paraId="40015236">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11564C88">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526A4E5">
      <w:pPr>
        <w:bidi w:val="0"/>
        <w:rPr>
          <w:color w:val="auto"/>
          <w:highlight w:val="none"/>
        </w:rPr>
      </w:pPr>
      <w:r>
        <w:rPr>
          <w:rFonts w:hint="eastAsia"/>
          <w:color w:val="auto"/>
          <w:highlight w:val="none"/>
        </w:rPr>
        <w:t>2.1.3 响应性评审标准：见评审办法前附表。</w:t>
      </w:r>
    </w:p>
    <w:p w14:paraId="346AB48C">
      <w:pPr>
        <w:pStyle w:val="4"/>
        <w:bidi w:val="0"/>
        <w:rPr>
          <w:color w:val="auto"/>
          <w:highlight w:val="none"/>
          <w:lang w:val="en-US" w:eastAsia="zh-CN"/>
        </w:rPr>
      </w:pPr>
      <w:r>
        <w:rPr>
          <w:rFonts w:hint="eastAsia"/>
          <w:color w:val="auto"/>
          <w:highlight w:val="none"/>
          <w:lang w:val="en-US" w:eastAsia="zh-CN"/>
        </w:rPr>
        <w:t>2.2 分值构成与评分标准</w:t>
      </w:r>
    </w:p>
    <w:p w14:paraId="336E5532">
      <w:pPr>
        <w:bidi w:val="0"/>
        <w:rPr>
          <w:color w:val="auto"/>
          <w:highlight w:val="none"/>
        </w:rPr>
      </w:pPr>
      <w:r>
        <w:rPr>
          <w:rFonts w:hint="eastAsia"/>
          <w:color w:val="auto"/>
          <w:highlight w:val="none"/>
        </w:rPr>
        <w:t xml:space="preserve">2.2.1 分值构成：见评审办法前附表。 </w:t>
      </w:r>
    </w:p>
    <w:p w14:paraId="2AD2DD9F">
      <w:pPr>
        <w:bidi w:val="0"/>
        <w:rPr>
          <w:color w:val="auto"/>
          <w:highlight w:val="none"/>
        </w:rPr>
      </w:pPr>
      <w:r>
        <w:rPr>
          <w:rFonts w:hint="eastAsia"/>
          <w:color w:val="auto"/>
          <w:highlight w:val="none"/>
        </w:rPr>
        <w:t>2.2.2 评审基准价计算方法：见评审办法前附表。</w:t>
      </w:r>
    </w:p>
    <w:p w14:paraId="19D27122">
      <w:pPr>
        <w:bidi w:val="0"/>
        <w:rPr>
          <w:color w:val="auto"/>
          <w:highlight w:val="none"/>
        </w:rPr>
      </w:pPr>
      <w:r>
        <w:rPr>
          <w:rFonts w:hint="eastAsia"/>
          <w:color w:val="auto"/>
          <w:highlight w:val="none"/>
        </w:rPr>
        <w:t>2.2.3 评分标准：</w:t>
      </w:r>
    </w:p>
    <w:p w14:paraId="2078B520">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7316B94A">
      <w:pPr>
        <w:bidi w:val="0"/>
        <w:rPr>
          <w:rFonts w:hint="eastAsia"/>
          <w:color w:val="auto"/>
          <w:highlight w:val="none"/>
        </w:rPr>
      </w:pPr>
      <w:r>
        <w:rPr>
          <w:rFonts w:hint="eastAsia"/>
          <w:color w:val="auto"/>
          <w:highlight w:val="none"/>
        </w:rPr>
        <w:t>（2）商务部分评分标准：见评审办法前附表；</w:t>
      </w:r>
    </w:p>
    <w:p w14:paraId="2CD8E418">
      <w:pPr>
        <w:bidi w:val="0"/>
        <w:rPr>
          <w:rFonts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70C71607">
      <w:pPr>
        <w:pStyle w:val="3"/>
        <w:bidi w:val="0"/>
        <w:rPr>
          <w:color w:val="auto"/>
          <w:highlight w:val="none"/>
          <w:lang w:val="en-US" w:eastAsia="zh-CN"/>
        </w:rPr>
      </w:pPr>
      <w:r>
        <w:rPr>
          <w:rFonts w:hint="eastAsia"/>
          <w:color w:val="auto"/>
          <w:highlight w:val="none"/>
          <w:lang w:val="en-US" w:eastAsia="zh-CN"/>
        </w:rPr>
        <w:t>3. 评审程序</w:t>
      </w:r>
    </w:p>
    <w:p w14:paraId="3328B6CA">
      <w:pPr>
        <w:pStyle w:val="4"/>
        <w:bidi w:val="0"/>
        <w:rPr>
          <w:color w:val="auto"/>
          <w:highlight w:val="none"/>
          <w:lang w:val="en-US" w:eastAsia="zh-CN"/>
        </w:rPr>
      </w:pPr>
      <w:r>
        <w:rPr>
          <w:rFonts w:hint="eastAsia"/>
          <w:color w:val="auto"/>
          <w:highlight w:val="none"/>
          <w:lang w:val="en-US" w:eastAsia="zh-CN"/>
        </w:rPr>
        <w:t>3.1 初步评审</w:t>
      </w:r>
    </w:p>
    <w:p w14:paraId="2CBA7868">
      <w:pPr>
        <w:bidi w:val="0"/>
        <w:rPr>
          <w:color w:val="auto"/>
          <w:highlight w:val="none"/>
        </w:rPr>
      </w:pPr>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p>
    <w:p w14:paraId="596ABE45">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530E63F5">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5916899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823504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0953277">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76DCCAC9">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CFBF179">
      <w:pPr>
        <w:pStyle w:val="4"/>
        <w:bidi w:val="0"/>
        <w:rPr>
          <w:color w:val="auto"/>
          <w:highlight w:val="none"/>
          <w:lang w:val="en-US" w:eastAsia="zh-CN"/>
        </w:rPr>
      </w:pPr>
      <w:r>
        <w:rPr>
          <w:rFonts w:hint="eastAsia"/>
          <w:color w:val="auto"/>
          <w:highlight w:val="none"/>
          <w:lang w:val="en-US" w:eastAsia="zh-CN"/>
        </w:rPr>
        <w:t>3.2 详细评审</w:t>
      </w:r>
    </w:p>
    <w:p w14:paraId="1F80BF1F">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4001096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3F789C58">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57E10C1E">
      <w:pPr>
        <w:bidi w:val="0"/>
        <w:rPr>
          <w:color w:val="auto"/>
          <w:highlight w:val="none"/>
        </w:rPr>
      </w:pPr>
      <w:r>
        <w:rPr>
          <w:rFonts w:hint="eastAsia"/>
          <w:color w:val="auto"/>
          <w:highlight w:val="none"/>
        </w:rPr>
        <w:t>3.2.2 评分分值计算保留小数点后两位，小数点后第三位“四舍五入”。</w:t>
      </w:r>
    </w:p>
    <w:p w14:paraId="565861BA">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20933143">
      <w:pPr>
        <w:pStyle w:val="4"/>
        <w:bidi w:val="0"/>
        <w:rPr>
          <w:color w:val="auto"/>
          <w:highlight w:val="none"/>
          <w:lang w:val="en-US" w:eastAsia="zh-CN"/>
        </w:rPr>
      </w:pPr>
      <w:r>
        <w:rPr>
          <w:rFonts w:hint="eastAsia"/>
          <w:color w:val="auto"/>
          <w:highlight w:val="none"/>
          <w:lang w:val="en-US" w:eastAsia="zh-CN"/>
        </w:rPr>
        <w:t>3.3 参选文件的澄清和补正</w:t>
      </w:r>
    </w:p>
    <w:p w14:paraId="6173117D">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29312E7B">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52EA9A85">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3AE49EA6">
      <w:pPr>
        <w:pStyle w:val="4"/>
        <w:bidi w:val="0"/>
        <w:rPr>
          <w:color w:val="auto"/>
          <w:highlight w:val="none"/>
          <w:lang w:val="en-US" w:eastAsia="zh-CN"/>
        </w:rPr>
      </w:pPr>
      <w:r>
        <w:rPr>
          <w:rFonts w:hint="eastAsia"/>
          <w:color w:val="auto"/>
          <w:highlight w:val="none"/>
          <w:lang w:val="en-US" w:eastAsia="zh-CN"/>
        </w:rPr>
        <w:t>3.4 评审结果</w:t>
      </w:r>
    </w:p>
    <w:p w14:paraId="4412B81F">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4C759528">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4007BE0E">
      <w:pPr>
        <w:bidi w:val="0"/>
        <w:rPr>
          <w:rFonts w:hint="eastAsia"/>
          <w:color w:val="auto"/>
          <w:highlight w:val="none"/>
        </w:rPr>
      </w:pPr>
      <w:r>
        <w:rPr>
          <w:rFonts w:hint="eastAsia"/>
          <w:color w:val="auto"/>
          <w:highlight w:val="none"/>
          <w:lang w:val="en-US" w:eastAsia="zh-CN"/>
        </w:rPr>
        <w:t>3.4.3 有效参选不足两个的，</w:t>
      </w:r>
      <w:r>
        <w:rPr>
          <w:rFonts w:hint="eastAsia"/>
          <w:color w:val="auto"/>
          <w:highlight w:val="none"/>
        </w:rPr>
        <w:t>经评审</w:t>
      </w:r>
      <w:r>
        <w:rPr>
          <w:rFonts w:hint="eastAsia"/>
          <w:color w:val="auto"/>
          <w:highlight w:val="none"/>
          <w:lang w:val="en-US" w:eastAsia="zh-CN"/>
        </w:rPr>
        <w:t>委员会</w:t>
      </w:r>
      <w:r>
        <w:rPr>
          <w:rFonts w:hint="eastAsia"/>
          <w:color w:val="auto"/>
          <w:highlight w:val="none"/>
        </w:rPr>
        <w:t>判定，</w:t>
      </w:r>
      <w:r>
        <w:rPr>
          <w:rFonts w:hint="eastAsia"/>
          <w:color w:val="auto"/>
          <w:highlight w:val="none"/>
          <w:lang w:val="en-US" w:eastAsia="zh-CN"/>
        </w:rPr>
        <w:t>参选人</w:t>
      </w:r>
      <w:r>
        <w:rPr>
          <w:rFonts w:hint="eastAsia"/>
          <w:color w:val="auto"/>
          <w:highlight w:val="none"/>
        </w:rPr>
        <w:t>具有相对行业竞争力的，可继续进行评审</w:t>
      </w:r>
      <w:r>
        <w:rPr>
          <w:rFonts w:hint="eastAsia"/>
          <w:color w:val="auto"/>
          <w:highlight w:val="none"/>
          <w:lang w:val="en-US" w:eastAsia="zh-CN"/>
        </w:rPr>
        <w:t>。</w:t>
      </w:r>
    </w:p>
    <w:p w14:paraId="1B21B8CC">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1875D737">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A4CB5A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481EB28">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0882062">
      <w:pPr>
        <w:bidi w:val="0"/>
        <w:rPr>
          <w:color w:val="auto"/>
          <w:highlight w:val="none"/>
        </w:rPr>
      </w:pPr>
    </w:p>
    <w:p w14:paraId="31420A27">
      <w:pPr>
        <w:bidi w:val="0"/>
        <w:rPr>
          <w:rFonts w:hint="eastAsia"/>
          <w:color w:val="auto"/>
          <w:highlight w:val="none"/>
        </w:rPr>
      </w:pPr>
      <w:r>
        <w:rPr>
          <w:rFonts w:hint="eastAsia"/>
          <w:color w:val="auto"/>
          <w:highlight w:val="none"/>
        </w:rPr>
        <w:br w:type="page"/>
      </w:r>
    </w:p>
    <w:bookmarkEnd w:id="62"/>
    <w:bookmarkEnd w:id="63"/>
    <w:bookmarkEnd w:id="64"/>
    <w:p w14:paraId="16DA0E03">
      <w:pPr>
        <w:pStyle w:val="2"/>
        <w:bidi w:val="0"/>
      </w:pPr>
      <w:bookmarkStart w:id="69" w:name="_Toc20139"/>
      <w:r>
        <w:rPr>
          <w:rFonts w:hint="eastAsia"/>
        </w:rPr>
        <w:t>第五章 合同</w:t>
      </w:r>
      <w:r>
        <w:t>模板</w:t>
      </w:r>
      <w:bookmarkEnd w:id="65"/>
      <w:bookmarkEnd w:id="66"/>
      <w:bookmarkEnd w:id="69"/>
    </w:p>
    <w:p w14:paraId="7ACA18AD">
      <w:pPr>
        <w:spacing w:line="240" w:lineRule="auto"/>
      </w:pPr>
      <w:r>
        <w:rPr>
          <w:rFonts w:hint="eastAsia"/>
        </w:rPr>
        <w:t>（本章节的合同条款及格式仅供参考，具体以合同签订时为准）</w:t>
      </w:r>
    </w:p>
    <w:p w14:paraId="0EEBAD88">
      <w:pPr>
        <w:keepNext w:val="0"/>
        <w:keepLines w:val="0"/>
        <w:pageBreakBefore w:val="0"/>
        <w:kinsoku/>
        <w:wordWrap/>
        <w:overflowPunct/>
        <w:topLinePunct w:val="0"/>
        <w:autoSpaceDE w:val="0"/>
        <w:autoSpaceDN w:val="0"/>
        <w:bidi w:val="0"/>
        <w:spacing w:line="600" w:lineRule="exact"/>
        <w:textAlignment w:val="auto"/>
        <w:outlineLvl w:val="9"/>
        <w:rPr>
          <w:rFonts w:eastAsia="方正小标宋_GBK"/>
          <w:b/>
          <w:sz w:val="44"/>
          <w:szCs w:val="44"/>
        </w:rPr>
      </w:pPr>
      <w:r>
        <w:rPr>
          <w:rFonts w:eastAsia="方正小标宋_GBK"/>
          <w:color w:val="000000"/>
          <w:szCs w:val="21"/>
        </w:rPr>
        <w:t xml:space="preserve">                                                    编号：</w:t>
      </w:r>
    </w:p>
    <w:p w14:paraId="559717D3">
      <w:pPr>
        <w:keepNext w:val="0"/>
        <w:keepLines w:val="0"/>
        <w:pageBreakBefore w:val="0"/>
        <w:kinsoku/>
        <w:wordWrap/>
        <w:overflowPunct/>
        <w:topLinePunct w:val="0"/>
        <w:autoSpaceDE w:val="0"/>
        <w:autoSpaceDN w:val="0"/>
        <w:bidi w:val="0"/>
        <w:spacing w:line="600" w:lineRule="exact"/>
        <w:jc w:val="center"/>
        <w:textAlignment w:val="auto"/>
        <w:outlineLvl w:val="9"/>
        <w:rPr>
          <w:rFonts w:hint="eastAsia" w:ascii="方正小标宋_GBK" w:eastAsia="方正小标宋_GBK" w:cs="方正小标宋_GBK"/>
          <w:sz w:val="44"/>
          <w:szCs w:val="44"/>
          <w:lang w:bidi="ar-SA"/>
        </w:rPr>
      </w:pPr>
      <w:r>
        <w:rPr>
          <w:rFonts w:hint="eastAsia" w:ascii="方正小标宋_GBK" w:eastAsia="方正小标宋_GBK" w:cs="方正小标宋_GBK"/>
          <w:sz w:val="44"/>
          <w:szCs w:val="44"/>
          <w:lang w:bidi="ar-SA"/>
        </w:rPr>
        <w:t>重庆三峡银行110联网报警系统服务合同</w:t>
      </w:r>
    </w:p>
    <w:p w14:paraId="7F2F6F30">
      <w:pPr>
        <w:bidi w:val="0"/>
        <w:rPr>
          <w:rFonts w:hint="eastAsia"/>
        </w:rPr>
      </w:pPr>
    </w:p>
    <w:p w14:paraId="654A4906">
      <w:pPr>
        <w:bidi w:val="0"/>
      </w:pPr>
      <w:r>
        <w:t>甲方：</w:t>
      </w:r>
    </w:p>
    <w:p w14:paraId="27C12E47">
      <w:pPr>
        <w:bidi w:val="0"/>
      </w:pPr>
      <w:r>
        <w:t>地址：</w:t>
      </w:r>
    </w:p>
    <w:p w14:paraId="3EC96F4C">
      <w:pPr>
        <w:bidi w:val="0"/>
      </w:pPr>
      <w:r>
        <w:t>法定代表人：</w:t>
      </w:r>
    </w:p>
    <w:p w14:paraId="534FCD0C">
      <w:pPr>
        <w:bidi w:val="0"/>
      </w:pPr>
      <w:r>
        <w:t>联系人：</w:t>
      </w:r>
    </w:p>
    <w:p w14:paraId="7C03456E">
      <w:pPr>
        <w:bidi w:val="0"/>
      </w:pPr>
      <w:r>
        <w:t>联系电话：</w:t>
      </w:r>
    </w:p>
    <w:p w14:paraId="5D5BC8AE">
      <w:pPr>
        <w:bidi w:val="0"/>
      </w:pPr>
      <w:r>
        <w:t>邮政编码：</w:t>
      </w:r>
    </w:p>
    <w:p w14:paraId="73AB48A1">
      <w:pPr>
        <w:bidi w:val="0"/>
      </w:pPr>
    </w:p>
    <w:p w14:paraId="5BBDCB57">
      <w:pPr>
        <w:bidi w:val="0"/>
      </w:pPr>
      <w:r>
        <w:t>乙方：</w:t>
      </w:r>
    </w:p>
    <w:p w14:paraId="3A8DD647">
      <w:pPr>
        <w:spacing w:line="240" w:lineRule="auto"/>
        <w:ind w:left="0" w:firstLine="0" w:firstLineChars="0"/>
      </w:pPr>
      <w:r>
        <w:t>地址：</w:t>
      </w:r>
    </w:p>
    <w:p w14:paraId="169DC9CE">
      <w:pPr>
        <w:bidi w:val="0"/>
      </w:pPr>
      <w:r>
        <w:t>法定代表人：</w:t>
      </w:r>
    </w:p>
    <w:p w14:paraId="1C7E2009">
      <w:pPr>
        <w:bidi w:val="0"/>
      </w:pPr>
      <w:r>
        <w:t>联系人：</w:t>
      </w:r>
    </w:p>
    <w:p w14:paraId="3B4BC930">
      <w:pPr>
        <w:bidi w:val="0"/>
      </w:pPr>
      <w:r>
        <w:t>联系电话：</w:t>
      </w:r>
    </w:p>
    <w:p w14:paraId="0790C137">
      <w:pPr>
        <w:bidi w:val="0"/>
      </w:pPr>
      <w:r>
        <w:t>邮政编码：</w:t>
      </w:r>
    </w:p>
    <w:p w14:paraId="384F4273">
      <w:pPr>
        <w:bidi w:val="0"/>
      </w:pPr>
    </w:p>
    <w:p w14:paraId="70F7B1EB">
      <w:pPr>
        <w:bidi w:val="0"/>
      </w:pPr>
      <w:r>
        <w:t>依照《中华人民共和国民法典》及其他有关法律、行政法规，遵循平等、自愿、公平和诚实信用的原则，按照重庆市公安局下发的《关于进一步落实〈公安机关与金融单位联网报警系统管理规定〉有关问题的通知》（渝公经保[1999]73号）、重庆市公安局下发的《重庆市公安局关于建设全市金融联网报警系统的通知》（渝公经保发[1999]100号）文的精神、重庆市公安局[2005]80号文件以及公安部《银行营业场所安全防范要求》（GA38-2021）等规范要求，经重庆市公安局批准同意，由乙方进行重庆市金融报警网（以下简称重庆市金融网）的建设及运营服务管理工作。经协商达成一致意见，为明确双方的权利义务，特订立本合同。</w:t>
      </w:r>
    </w:p>
    <w:p w14:paraId="01AF8A2A">
      <w:pPr>
        <w:pStyle w:val="31"/>
        <w:bidi w:val="0"/>
      </w:pPr>
      <w:r>
        <w:t>一、组网方案</w:t>
      </w:r>
    </w:p>
    <w:p w14:paraId="3DF2D991">
      <w:pPr>
        <w:bidi w:val="0"/>
      </w:pPr>
      <w:r>
        <w:t>重庆金融报警网是重庆市范围内唯一与公安局110指挥中心连接并直接为金融单位提供报警服务的报警网络，主管部门为重庆市公安局和人民银行重庆营业管理部。</w:t>
      </w:r>
    </w:p>
    <w:p w14:paraId="093152CD">
      <w:pPr>
        <w:bidi w:val="0"/>
      </w:pPr>
      <w:r>
        <w:t>用户报警设备为网络的报警前端，市公安局“110”指挥中心，区、县公安分局“110”指挥中心分别为一、二级接警、处警中心，乙方为巡检管理中心，共同组成多级联网报警网。</w:t>
      </w:r>
    </w:p>
    <w:p w14:paraId="3DF75224">
      <w:pPr>
        <w:bidi w:val="0"/>
      </w:pPr>
      <w:r>
        <w:t>当网点发生警情触发报警器后，报警信号迅速自动地通过电话线传到各级中心，实现接、处警。</w:t>
      </w:r>
    </w:p>
    <w:p w14:paraId="06806A05">
      <w:pPr>
        <w:bidi w:val="0"/>
      </w:pPr>
      <w:r>
        <w:t>重庆市金融报警网的运营服务模式采用由乙方向甲方提供报警网络设备租赁和巡检维护服务并收取相应服务费用的方式。</w:t>
      </w:r>
    </w:p>
    <w:p w14:paraId="5831F6BD">
      <w:pPr>
        <w:pStyle w:val="31"/>
        <w:bidi w:val="0"/>
      </w:pPr>
      <w:r>
        <w:t>二、甲、乙双方权利、义务及责任：</w:t>
      </w:r>
    </w:p>
    <w:p w14:paraId="64DB2753">
      <w:pPr>
        <w:bidi w:val="0"/>
        <w:ind w:left="0" w:firstLine="210" w:firstLineChars="100"/>
      </w:pPr>
      <w:r>
        <w:t>（一）甲方</w:t>
      </w:r>
    </w:p>
    <w:p w14:paraId="0EDCC10D">
      <w:pPr>
        <w:bidi w:val="0"/>
      </w:pPr>
      <w:r>
        <w:t>1.积极配合乙方的工程安装，配合乙方做好操作培训和巡检维护工作。</w:t>
      </w:r>
    </w:p>
    <w:p w14:paraId="22DE29B6">
      <w:pPr>
        <w:bidi w:val="0"/>
      </w:pPr>
      <w:r>
        <w:t>2.按《操作手册》要求正确使用设备，尽可能避免人为误报。</w:t>
      </w:r>
    </w:p>
    <w:p w14:paraId="73839EC1">
      <w:pPr>
        <w:bidi w:val="0"/>
      </w:pPr>
      <w:r>
        <w:t>3.报警设备只用报警专用，如超出约定使用，责任自负。</w:t>
      </w:r>
    </w:p>
    <w:p w14:paraId="394FC445">
      <w:pPr>
        <w:bidi w:val="0"/>
      </w:pPr>
      <w:r>
        <w:t>4.按约定缴纳安装费和租赁巡检维修服务费。</w:t>
      </w:r>
    </w:p>
    <w:p w14:paraId="6A6D3BBC">
      <w:pPr>
        <w:bidi w:val="0"/>
      </w:pPr>
      <w:r>
        <w:t>5.若发生损失需索赔时，应积极配合乙方按保险条例办理相关手续，首先电话通知乙方，并在案发时间24小时内用书面方式通知乙方。</w:t>
      </w:r>
    </w:p>
    <w:p w14:paraId="330A9462">
      <w:pPr>
        <w:bidi w:val="0"/>
      </w:pPr>
      <w:r>
        <w:t xml:space="preserve">6.如有警情，应准确、及时按动按钮，将警情传递到公安“110”指挥中心。 </w:t>
      </w:r>
    </w:p>
    <w:p w14:paraId="3CD836AD">
      <w:pPr>
        <w:bidi w:val="0"/>
      </w:pPr>
      <w:r>
        <w:t>7.出现警情时，因产品质量问题报警未成功（由乙方安装的产品），所造成的直接损失每个网点一次将获得最高总额为100万元的责任赔付，其中：财产损失50万元、人身伤害50万元（赔付细则以保险合同内容为准），前述赔付不足以赔偿甲方损失的，乙方还应补足。</w:t>
      </w:r>
    </w:p>
    <w:p w14:paraId="3581A8D7">
      <w:pPr>
        <w:bidi w:val="0"/>
        <w:ind w:left="0" w:firstLine="315" w:firstLineChars="150"/>
      </w:pPr>
      <w:r>
        <w:t>（二）乙方</w:t>
      </w:r>
    </w:p>
    <w:p w14:paraId="03BDF4AE">
      <w:pPr>
        <w:bidi w:val="0"/>
      </w:pPr>
      <w:r>
        <w:t>1.乙方应严格按照公安部下发的《银行营业场所安全防范要求》（GA38-2021）等国家安全防范有关规范进行设计、安装、验收，并保证质量。如乙方违约或工程质量不达标等情况发生时，甲方有权追究乙方相关经济责任。如因乙方违约或工程质量不达标等情况引发案件，并给甲方造成损失的，由乙方承担全部责任。乙方应严格按照施工要求及进度（施工要求及进度以甲方通知的为准）进行施工，如因乙方原因导致施工延期，乙方应支付相应的违约金，计算公式为：违约金=甲方应支付金额*0.1‰*逾期天数。</w:t>
      </w:r>
    </w:p>
    <w:p w14:paraId="0341A6C1">
      <w:pPr>
        <w:bidi w:val="0"/>
      </w:pPr>
      <w:r>
        <w:t>2.向甲方提供《操作手册》，并培训有关人员，保障甲方能掌握正确的使用和保养方法。</w:t>
      </w:r>
    </w:p>
    <w:p w14:paraId="173EEAC7">
      <w:pPr>
        <w:bidi w:val="0"/>
      </w:pPr>
      <w:r>
        <w:t>3.如发生警情报警后，应对设备进行检查及复位工作。</w:t>
      </w:r>
    </w:p>
    <w:p w14:paraId="4230CD37">
      <w:pPr>
        <w:bidi w:val="0"/>
      </w:pPr>
      <w:r>
        <w:t>4.每季度对所安装的110联网报警设备进行实地巡检，并向甲方出具巡检报告。</w:t>
      </w:r>
    </w:p>
    <w:p w14:paraId="32F1B105">
      <w:pPr>
        <w:bidi w:val="0"/>
      </w:pPr>
      <w:r>
        <w:t>5.为客户每个网点一次最高赔付额为100万元的保险投保（参见甲方第7条）。</w:t>
      </w:r>
    </w:p>
    <w:p w14:paraId="2F4517AB">
      <w:pPr>
        <w:bidi w:val="0"/>
      </w:pPr>
      <w:r>
        <w:t>6.按约定收取费用。对逾期未缴纳费用的，若甲方未按时缴纳费用，逾期天数达30天以上，乙方可收取滞纳金，采取上述措施前，乙方必须书面告知甲方。</w:t>
      </w:r>
    </w:p>
    <w:p w14:paraId="2EAE9B77">
      <w:pPr>
        <w:bidi w:val="0"/>
      </w:pPr>
      <w:r>
        <w:t>7. 通过乙方网管中心每天对甲方用户端设备进行不间断监控，保障设备全天候处于正常工作状态，对出现的故障的设备主动查明原因并在4小时内修复正常。乙方网管中心24小时服务电话：      。</w:t>
      </w:r>
    </w:p>
    <w:p w14:paraId="4C03ECC2">
      <w:pPr>
        <w:bidi w:val="0"/>
      </w:pPr>
      <w:r>
        <w:t>8.乙方接收到异常信号或甲方保修通知时，乙方应及时派遣巡检人员到达现场进行处理。</w:t>
      </w:r>
    </w:p>
    <w:p w14:paraId="56DC29F5">
      <w:pPr>
        <w:bidi w:val="0"/>
      </w:pPr>
      <w:r>
        <w:t>9.乙方应向甲方提供维护人员信息进行备案，在处理故障时并且需经过甲方相应网点负责人同意才能进入甲方营业区域进行检查。</w:t>
      </w:r>
    </w:p>
    <w:p w14:paraId="23327A50">
      <w:pPr>
        <w:bidi w:val="0"/>
      </w:pPr>
      <w:r>
        <w:t>10.派巡检人员到用户现场进行常规检测维护,乙方应在检测到设备故障或接到用户设备报修电话4小时内赶往现场对设备进行修复，因未及时修复，给甲方造成损失的，由乙方承担全部赔偿责任。</w:t>
      </w:r>
    </w:p>
    <w:p w14:paraId="48BE6AAB">
      <w:pPr>
        <w:bidi w:val="0"/>
      </w:pPr>
      <w:r>
        <w:t>11.甲方不能正常设定或解除报警设备时，应立即打电话与乙方联系，乙方应立即派遣巡检人员前往并在4个小时内到达现场，如因乙方原因导致甲方不能正常设定或解除报警设备，由此产生的法律及经济责任与损失均由乙方承担。</w:t>
      </w:r>
    </w:p>
    <w:p w14:paraId="15C5AB2E">
      <w:pPr>
        <w:bidi w:val="0"/>
      </w:pPr>
      <w:r>
        <w:t>12.乙方报警中心负责监控前端设备的有线电话、无线GPRS模块的运行情况，收到断线警情后，应立即派出专人查实，并通知甲方到现场协助查实。因乙方未及时将断线警情通知甲方而造成甲方损失的，则责任由乙方承担。如果断线是乙方责任，由乙方及时处理故障，恢复系统正常运行，在故障恢复前，由此产生的法律及经济责任与损失均由乙方承担。</w:t>
      </w:r>
    </w:p>
    <w:p w14:paraId="69AFA4E3">
      <w:pPr>
        <w:bidi w:val="0"/>
      </w:pPr>
      <w:r>
        <w:t>13.乙方为甲方营业网点现金业务区每个柜台均安装紧急报警按钮。紧急报警按钮应安装在隐蔽、便于操作的位置，应具有防误操作功能。紧急报警按钮应设置不少于2路的独立防区，每路防区上串联的紧急报警按钮不得多于4个。</w:t>
      </w:r>
    </w:p>
    <w:p w14:paraId="3E55BD56">
      <w:pPr>
        <w:bidi w:val="0"/>
      </w:pPr>
      <w:r>
        <w:t>14.乙方应对有声或无声报警按钮进行清楚、区别标识。</w:t>
      </w:r>
    </w:p>
    <w:p w14:paraId="65D55D55">
      <w:pPr>
        <w:bidi w:val="0"/>
      </w:pPr>
      <w:r>
        <w:t>15.乙方应为甲方指定的网点加装有线、无线（GPRS）双路由互为检测报警升级模块，并保证安装的110联网报警应具备防破坏功能（包含但不限于）：1、实现有线被剪断或短路、无线信号被屏蔽互为检测报警。2、实现有线、无线同时出现被破坏或故障时设备离线报警。3、支持GPRS在线检测。4、同时支持有线、GSM、GPRS通讯方式。</w:t>
      </w:r>
    </w:p>
    <w:p w14:paraId="01CF0D6D">
      <w:pPr>
        <w:bidi w:val="0"/>
      </w:pPr>
      <w:r>
        <w:t>16.乙方为甲方安装的紧急报警装置必须符合《银行营业场所安全防范要求》（GA38-2021）、《银行自助设备、自助银行安全防范要求》（GA745-2019）等国家规范要求。因乙方提供不符合上述国家规范要求的设备，而造成甲方损失的，由乙方承担全部赔偿责任。</w:t>
      </w:r>
    </w:p>
    <w:p w14:paraId="6C2E7277">
      <w:pPr>
        <w:bidi w:val="0"/>
      </w:pPr>
      <w:r>
        <w:t>（三）报警与处警</w:t>
      </w:r>
    </w:p>
    <w:p w14:paraId="564D0FFA">
      <w:pPr>
        <w:bidi w:val="0"/>
      </w:pPr>
      <w:r>
        <w:t>1.紧急报警。当用户端发生紧急情况时，用户触发紧急按钮，报警控制器会立即自动地通过电话线路向预置的公安接警平台发出报警信息。</w:t>
      </w:r>
    </w:p>
    <w:p w14:paraId="28586000">
      <w:pPr>
        <w:bidi w:val="0"/>
      </w:pPr>
      <w:r>
        <w:t>接处警。公安接警中心接到报警后，根据处警预案通过“110”调度系统调度警力出警。在接警中心接警的同时，乙方网管中心也将收到报警信息，网管中心立即与甲方报警网点相关人员（双方约定）电话确认是否误报，如非误报，乙方巡检人员立即赶往现场，待案情处理完毕后进行设备修复。</w:t>
      </w:r>
    </w:p>
    <w:p w14:paraId="4F9E620B">
      <w:pPr>
        <w:bidi w:val="0"/>
      </w:pPr>
      <w:r>
        <w:t>2.防盗报警。当ATM机遇外力撬砸时、有人闯入布防区域时、有人开门进入加钞间时报警控制器会立即自动地通过电话线路向预置的管理平台发出报警信息。</w:t>
      </w:r>
    </w:p>
    <w:p w14:paraId="6F0A364E">
      <w:pPr>
        <w:bidi w:val="0"/>
      </w:pPr>
      <w:r>
        <w:t>接处警：红外、振动、门磁的延时报警报往网管中心，网管中心值班人员接到报警必须在第一时间给甲方监控中心联系，由监控中心调阅监控图像来核实前端情况或派保安人员前往现场核实；完成了对接以后，值班人员要做好记录情况形成月报表送甲方安全保卫部备案。</w:t>
      </w:r>
    </w:p>
    <w:p w14:paraId="371D41CB">
      <w:pPr>
        <w:bidi w:val="0"/>
      </w:pPr>
      <w:r>
        <w:t>（四）其它事项</w:t>
      </w:r>
    </w:p>
    <w:p w14:paraId="2FC946AB">
      <w:pPr>
        <w:bidi w:val="0"/>
      </w:pPr>
      <w:r>
        <w:t xml:space="preserve"> 1.甲方未经乙方同意不能擅自改动报警装置的部位和相关部分，如需移机应通知乙方派员并按工程变更约定收取费用。</w:t>
      </w:r>
    </w:p>
    <w:p w14:paraId="0B437AFB">
      <w:pPr>
        <w:bidi w:val="0"/>
      </w:pPr>
      <w:r>
        <w:t xml:space="preserve"> 2.乙方应在保险公司投保，保证期间为甲方网点入网重庆市金融网正式开通运行之日起至合同期满为止。在甲方用户受到侵害使用乙方报警设备时，因乙方报警设备的产品质量问题不能起到报警作用，给甲方用户造成的直接经济损失，由保险公司向甲方用户赔偿，每个网点一次最高赔付额为100万元(财产损失50万元和人身伤害50万元)。</w:t>
      </w:r>
    </w:p>
    <w:p w14:paraId="24320A29">
      <w:pPr>
        <w:bidi w:val="0"/>
      </w:pPr>
      <w:r>
        <w:t xml:space="preserve"> 3.在合同期内，如非乙方原因导致设备不能正常运行，仍将按时计费。</w:t>
      </w:r>
    </w:p>
    <w:p w14:paraId="0DBB37BE">
      <w:pPr>
        <w:bidi w:val="0"/>
      </w:pPr>
      <w:r>
        <w:t xml:space="preserve"> 4.甲方如要对报警设备进行测试，乙方应协助甲方完成与公安接警中心及管理中心的报备工作，同时，乙方应根据甲方的要求安排维护人员配合甲方进行现场测试，并在预定时间内完成测试。</w:t>
      </w:r>
    </w:p>
    <w:p w14:paraId="177AEFAC">
      <w:pPr>
        <w:bidi w:val="0"/>
      </w:pPr>
      <w:r>
        <w:t xml:space="preserve"> 5.报警电话线路的维护由甲方向电信部门申请，由电信部门负责，乙方应协助维护。</w:t>
      </w:r>
    </w:p>
    <w:p w14:paraId="16215615">
      <w:pPr>
        <w:bidi w:val="0"/>
      </w:pPr>
      <w:r>
        <w:t xml:space="preserve"> 6.本合同期限自   年  月   日起至    年  月   日止。合同未尽事宜，双方应本着友好协商、互利互谅的原则解决。双方如发生异议，可报请重庆市公安局和人民银行重庆营业管理部协调处理，必要时可向本合同首部载明的甲方地址所在地有管辖权的人民法院起诉。</w:t>
      </w:r>
    </w:p>
    <w:p w14:paraId="447A41E6">
      <w:pPr>
        <w:bidi w:val="0"/>
      </w:pPr>
      <w:r>
        <w:t xml:space="preserve"> 7.在合同期内，除不可抗力和甲方人为损坏外，乙方将免费维修和更换设备。</w:t>
      </w:r>
    </w:p>
    <w:p w14:paraId="241C6757">
      <w:pPr>
        <w:bidi w:val="0"/>
      </w:pPr>
      <w:r>
        <w:t xml:space="preserve"> 8.甲方营业网点的联网报警设备安装完毕后，从乙方通知甲方验收之日起，两周内甲方应安排时间进行验收，如验收不合格，乙方应提供包括但不限于免费更换设备等直至验收通过，由此造成的损失及费用由乙方承担。</w:t>
      </w:r>
    </w:p>
    <w:p w14:paraId="4D2C33F3">
      <w:pPr>
        <w:pStyle w:val="31"/>
        <w:bidi w:val="0"/>
      </w:pPr>
      <w:r>
        <w:t>三、费用及付款方式：</w:t>
      </w:r>
    </w:p>
    <w:p w14:paraId="7CB6DDEF">
      <w:pPr>
        <w:bidi w:val="0"/>
      </w:pPr>
      <w:r>
        <w:rPr>
          <w:b/>
          <w:bCs/>
        </w:rPr>
        <w:t>每年的年租赁费用及巡检服务费以当年实际网点报警设备配置数量计算，结算时以甲乙双方确认的网点清单为准。即：年度租赁费用=月租赁及巡检服务费×网点数量×12个月。</w:t>
      </w:r>
      <w:r>
        <w:t>（注：服务时间未满   个月的网点按实际运行月数计算，服务时间未满一个月的网点按甲乙双方确认的实际使用天数计算。）</w:t>
      </w:r>
    </w:p>
    <w:p w14:paraId="5EB50D11">
      <w:pPr>
        <w:bidi w:val="0"/>
      </w:pPr>
      <w:r>
        <w:t>（一）初装费</w:t>
      </w:r>
    </w:p>
    <w:p w14:paraId="5521BCB3">
      <w:pPr>
        <w:bidi w:val="0"/>
      </w:pPr>
      <w:r>
        <w:t>每个营业网点一次性收取初次安装调试费</w:t>
      </w:r>
      <w:r>
        <w:rPr>
          <w:u w:val="single"/>
        </w:rPr>
        <w:t xml:space="preserve">   </w:t>
      </w:r>
      <w:r>
        <w:t>元（含税），以上价格包含报警设备、辅材及人工费。</w:t>
      </w:r>
    </w:p>
    <w:p w14:paraId="0938A71A">
      <w:pPr>
        <w:bidi w:val="0"/>
        <w:ind w:left="0" w:firstLine="420" w:firstLineChars="200"/>
      </w:pPr>
      <w:r>
        <w:t>（二）设备月度租赁及巡检服务费</w:t>
      </w:r>
    </w:p>
    <w:p w14:paraId="058E16F2">
      <w:r>
        <w:t>月租赁及巡检服务费：单个网点月租赁费</w:t>
      </w:r>
      <w:r>
        <w:rPr>
          <w:u w:val="single"/>
        </w:rPr>
        <w:t xml:space="preserve">    </w:t>
      </w:r>
      <w:r>
        <w:t>元/月，月租赁及巡检服务费从报警设备入网营业网点至安装完毕，甲方验收通过之日起开始计费。</w:t>
      </w:r>
    </w:p>
    <w:p w14:paraId="7B4A4F40">
      <w:pPr>
        <w:bidi w:val="0"/>
      </w:pPr>
      <w:r>
        <w:t>本合同项下费用均为含税价。除前述列明的费用外，甲方不另行支付任何费用。</w:t>
      </w:r>
    </w:p>
    <w:p w14:paraId="6118C7AA">
      <w:pPr>
        <w:bidi w:val="0"/>
      </w:pPr>
      <w:r>
        <w:t>（三）付款方式：服务费用为一年一付，经甲乙双方对年租赁费用及巡检服务费进行确认后，每年   月   日前，乙方应开具足额、有效地增值税专用发票向甲方申请当年的服务费用，甲方在收到乙方开出的足额、有效地增值税专用发票后30日内(遇特殊情况，可在收到正式发票后60日内)将服务费用划入乙方下列银行账户。乙方未按约开具发票的，甲方有权不予付款且不承担逾期付款的违约责任。</w:t>
      </w:r>
    </w:p>
    <w:p w14:paraId="0B57A95E">
      <w:pPr>
        <w:bidi w:val="0"/>
      </w:pPr>
      <w:r>
        <w:t>乙方户名：</w:t>
      </w:r>
    </w:p>
    <w:p w14:paraId="7F51BFD6">
      <w:pPr>
        <w:bidi w:val="0"/>
      </w:pPr>
      <w:r>
        <w:t xml:space="preserve">帐    号： </w:t>
      </w:r>
    </w:p>
    <w:p w14:paraId="5502EDB0">
      <w:pPr>
        <w:bidi w:val="0"/>
      </w:pPr>
      <w:r>
        <w:t>开户银行：</w:t>
      </w:r>
    </w:p>
    <w:p w14:paraId="6B40EB6F">
      <w:pPr>
        <w:bidi w:val="0"/>
      </w:pPr>
      <w:r>
        <w:t>（四）滞纳金</w:t>
      </w:r>
    </w:p>
    <w:p w14:paraId="560E16A9">
      <w:pPr>
        <w:bidi w:val="0"/>
      </w:pPr>
      <w:r>
        <w:t>滞纳金=应支付款×0.1‰×逾期天数</w:t>
      </w:r>
    </w:p>
    <w:p w14:paraId="1FD6D486">
      <w:pPr>
        <w:pStyle w:val="31"/>
        <w:bidi w:val="0"/>
      </w:pPr>
      <w:r>
        <w:t>四、保密条款</w:t>
      </w:r>
    </w:p>
    <w:p w14:paraId="50CDAB87">
      <w:pPr>
        <w:bidi w:val="0"/>
      </w:pPr>
      <w:r>
        <w:t>1.乙方及其所派工作人员应严守在履行本合同中以口头、书面或其他任何方式知悉的甲方的商业秘密、技术秘密和其他商业及业务信息，不得向任何人泄露。</w:t>
      </w:r>
    </w:p>
    <w:p w14:paraId="150DEBDB">
      <w:pPr>
        <w:bidi w:val="0"/>
      </w:pPr>
      <w:r>
        <w:t>2.服务完成后，乙方及其所派工作人员应按照甲方要求按时移交服务过程中取得的各种材料，不得擅自存留。</w:t>
      </w:r>
    </w:p>
    <w:p w14:paraId="7D2B0285">
      <w:pPr>
        <w:bidi w:val="0"/>
      </w:pPr>
      <w:r>
        <w:t>3．若因乙方原因造成甲方商业秘密、技术秘密和其他商业及业务信息的泄露，乙方应承担因此给甲方造成的全部损失。</w:t>
      </w:r>
    </w:p>
    <w:p w14:paraId="4A97B6B6">
      <w:pPr>
        <w:pStyle w:val="31"/>
        <w:bidi w:val="0"/>
      </w:pPr>
      <w:r>
        <w:t>五、其他事项</w:t>
      </w:r>
    </w:p>
    <w:p w14:paraId="54133FB1">
      <w:pPr>
        <w:bidi w:val="0"/>
      </w:pPr>
      <w:r>
        <w:t>1.本合同履行中双方发生任何争议，应协商解决，协商不成的，任何一方均可向本合同首部载明的甲方地址所在地有管辖权的人民法院起诉。</w:t>
      </w:r>
    </w:p>
    <w:p w14:paraId="497E57C3">
      <w:pPr>
        <w:bidi w:val="0"/>
      </w:pPr>
      <w:r>
        <w:t>2.本合同一式肆份，甲乙双方各执贰份，双方签章之日起生效。</w:t>
      </w:r>
    </w:p>
    <w:p w14:paraId="550A4462">
      <w:pPr>
        <w:bidi w:val="0"/>
      </w:pPr>
    </w:p>
    <w:p w14:paraId="1A834253">
      <w:pPr>
        <w:bidi w:val="0"/>
      </w:pPr>
    </w:p>
    <w:p w14:paraId="4CD045F7">
      <w:pPr>
        <w:bidi w:val="0"/>
      </w:pPr>
      <w:r>
        <w:t>甲方（盖章）：             乙方（盖章）：</w:t>
      </w:r>
    </w:p>
    <w:p w14:paraId="63334E4B">
      <w:pPr>
        <w:bidi w:val="0"/>
      </w:pPr>
    </w:p>
    <w:p w14:paraId="17CCDE86">
      <w:pPr>
        <w:bidi w:val="0"/>
      </w:pPr>
      <w:r>
        <w:t>签订日期： 年   月   日</w:t>
      </w:r>
    </w:p>
    <w:p w14:paraId="6A600784">
      <w:pPr>
        <w:bidi w:val="0"/>
        <w:rPr>
          <w:rFonts w:hint="eastAsia"/>
        </w:rPr>
      </w:pPr>
    </w:p>
    <w:bookmarkEnd w:id="67"/>
    <w:bookmarkEnd w:id="68"/>
    <w:p w14:paraId="51738624">
      <w:pPr>
        <w:bidi w:val="0"/>
        <w:sectPr>
          <w:pgSz w:w="11906" w:h="16838"/>
          <w:pgMar w:top="1440" w:right="1800" w:bottom="1440" w:left="1800" w:header="851" w:footer="992" w:gutter="0"/>
          <w:cols w:space="720" w:num="1"/>
          <w:docGrid w:type="lines" w:linePitch="312" w:charSpace="0"/>
        </w:sectPr>
      </w:pPr>
      <w:bookmarkStart w:id="70" w:name="_Toc13316"/>
    </w:p>
    <w:p w14:paraId="57C88D2B">
      <w:pPr>
        <w:pStyle w:val="2"/>
        <w:bidi w:val="0"/>
        <w:rPr>
          <w:rFonts w:hint="eastAsia" w:eastAsia="宋体"/>
          <w:color w:val="auto"/>
          <w:highlight w:val="none"/>
          <w:lang w:eastAsia="zh-CN"/>
        </w:rPr>
      </w:pPr>
      <w:bookmarkStart w:id="71" w:name="_Toc11802"/>
      <w:r>
        <w:rPr>
          <w:rFonts w:hint="eastAsia"/>
          <w:color w:val="auto"/>
          <w:highlight w:val="none"/>
        </w:rPr>
        <w:t>第</w:t>
      </w:r>
      <w:r>
        <w:rPr>
          <w:rFonts w:hint="eastAsia"/>
          <w:color w:val="auto"/>
          <w:highlight w:val="none"/>
          <w:lang w:val="en-US" w:eastAsia="zh-CN"/>
        </w:rPr>
        <w:t>六</w:t>
      </w:r>
      <w:r>
        <w:rPr>
          <w:rFonts w:hint="eastAsia"/>
          <w:color w:val="auto"/>
          <w:highlight w:val="none"/>
        </w:rPr>
        <w:t>章 参选文件</w:t>
      </w:r>
      <w:bookmarkStart w:id="72" w:name="_Toc303066035"/>
      <w:r>
        <w:rPr>
          <w:rFonts w:hint="eastAsia"/>
          <w:color w:val="auto"/>
          <w:highlight w:val="none"/>
        </w:rPr>
        <w:t>格式</w:t>
      </w:r>
      <w:bookmarkEnd w:id="71"/>
    </w:p>
    <w:bookmarkEnd w:id="72"/>
    <w:p w14:paraId="7D935D8B">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57588215">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530F60C6">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110联网报警系统服务采购项目</w:t>
      </w:r>
    </w:p>
    <w:p w14:paraId="20E4F708">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5E2A0F9D">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44"/>
          <w:highlight w:val="none"/>
        </w:rPr>
      </w:pPr>
    </w:p>
    <w:p w14:paraId="4AC6F516">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031E709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color w:val="auto"/>
          <w:kern w:val="0"/>
          <w:sz w:val="16"/>
          <w:highlight w:val="none"/>
        </w:rPr>
      </w:pPr>
    </w:p>
    <w:p w14:paraId="51F42E1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532C35B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00CE9AD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24271CF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01E37D5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6ED8705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7EC1302F">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118EE4B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7949BA6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sz w:val="20"/>
          <w:highlight w:val="none"/>
        </w:rPr>
      </w:pPr>
    </w:p>
    <w:p w14:paraId="61FEF30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0F5858B1">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43A66C3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538C7BAF">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rPr>
      </w:pPr>
    </w:p>
    <w:p w14:paraId="2551E35D">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647A7914">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pPr>
    </w:p>
    <w:p w14:paraId="187642D1">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right="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cols w:space="720" w:num="1"/>
          <w:docGrid w:type="lines" w:linePitch="312" w:charSpace="0"/>
        </w:sectPr>
      </w:pPr>
    </w:p>
    <w:p w14:paraId="7D81F860">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hint="eastAsia" w:ascii="宋体" w:hAnsi="Cambria Math"/>
          <w:b/>
          <w:snapToGrid w:val="0"/>
          <w:color w:val="auto"/>
          <w:kern w:val="0"/>
          <w:sz w:val="36"/>
          <w:szCs w:val="28"/>
          <w:highlight w:val="none"/>
        </w:rPr>
      </w:pPr>
      <w:r>
        <w:rPr>
          <w:rFonts w:hint="eastAsia" w:ascii="宋体" w:hAnsi="Cambria Math"/>
          <w:b/>
          <w:snapToGrid w:val="0"/>
          <w:color w:val="auto"/>
          <w:kern w:val="0"/>
          <w:sz w:val="36"/>
          <w:szCs w:val="28"/>
          <w:highlight w:val="none"/>
        </w:rPr>
        <w:t>目  录</w:t>
      </w:r>
      <w:bookmarkEnd w:id="70"/>
    </w:p>
    <w:p w14:paraId="623BD95B">
      <w:pPr>
        <w:rPr>
          <w:rFonts w:hint="eastAsia"/>
        </w:rPr>
      </w:pPr>
      <w:r>
        <w:rPr>
          <w:rFonts w:hint="eastAsia"/>
        </w:rPr>
        <w:t>一、参选函</w:t>
      </w:r>
    </w:p>
    <w:p w14:paraId="4B7FFAE9">
      <w:pPr>
        <w:rPr>
          <w:rFonts w:hint="eastAsia"/>
        </w:rPr>
      </w:pPr>
      <w:r>
        <w:rPr>
          <w:rFonts w:hint="eastAsia"/>
        </w:rPr>
        <w:t>二、报价一览表</w:t>
      </w:r>
    </w:p>
    <w:p w14:paraId="7C650354">
      <w:pPr>
        <w:rPr>
          <w:rFonts w:hint="eastAsia"/>
        </w:rPr>
      </w:pPr>
      <w:r>
        <w:rPr>
          <w:rFonts w:hint="eastAsia"/>
        </w:rPr>
        <w:t>三、分项报价明细表</w:t>
      </w:r>
    </w:p>
    <w:p w14:paraId="0245157F">
      <w:pPr>
        <w:rPr>
          <w:rFonts w:hint="eastAsia"/>
        </w:rPr>
      </w:pPr>
      <w:r>
        <w:rPr>
          <w:rFonts w:hint="eastAsia"/>
        </w:rPr>
        <w:t>四、资格性文件</w:t>
      </w:r>
    </w:p>
    <w:p w14:paraId="0466543D">
      <w:pPr>
        <w:rPr>
          <w:rFonts w:hint="eastAsia"/>
        </w:rPr>
      </w:pPr>
      <w:r>
        <w:rPr>
          <w:rFonts w:hint="eastAsia"/>
        </w:rPr>
        <w:t>（一）参选人基本情况介绍，资质证明等</w:t>
      </w:r>
    </w:p>
    <w:p w14:paraId="3C9B018D">
      <w:pPr>
        <w:rPr>
          <w:rFonts w:hint="eastAsia"/>
        </w:rPr>
      </w:pPr>
      <w:r>
        <w:rPr>
          <w:rFonts w:hint="eastAsia"/>
        </w:rPr>
        <w:t>（二）法定代表人身份证明及授权委托书</w:t>
      </w:r>
    </w:p>
    <w:p w14:paraId="6343C9FD">
      <w:pPr>
        <w:rPr>
          <w:rFonts w:hint="eastAsia"/>
        </w:rPr>
      </w:pPr>
      <w:r>
        <w:rPr>
          <w:rFonts w:hint="eastAsia"/>
        </w:rPr>
        <w:t>（三）书面声明</w:t>
      </w:r>
    </w:p>
    <w:p w14:paraId="3167D547">
      <w:pPr>
        <w:rPr>
          <w:rFonts w:hint="eastAsia"/>
        </w:rPr>
      </w:pPr>
      <w:r>
        <w:rPr>
          <w:rFonts w:hint="eastAsia"/>
        </w:rPr>
        <w:t>（四）中国执行信息公开网截图</w:t>
      </w:r>
    </w:p>
    <w:p w14:paraId="7A04133B">
      <w:pPr>
        <w:rPr>
          <w:rFonts w:hint="eastAsia"/>
        </w:rPr>
      </w:pPr>
      <w:r>
        <w:rPr>
          <w:rFonts w:hint="eastAsia"/>
        </w:rPr>
        <w:t>（五）安全技术防范行业设计施工维护能力证书复印件</w:t>
      </w:r>
    </w:p>
    <w:p w14:paraId="13BB5871">
      <w:pPr>
        <w:rPr>
          <w:rFonts w:hint="eastAsia"/>
        </w:rPr>
      </w:pPr>
      <w:r>
        <w:rPr>
          <w:rFonts w:hint="eastAsia"/>
        </w:rPr>
        <w:t>（六）保安服务许可证复印件</w:t>
      </w:r>
    </w:p>
    <w:p w14:paraId="6D11AD90">
      <w:pPr>
        <w:rPr>
          <w:rFonts w:hint="eastAsia"/>
        </w:rPr>
      </w:pPr>
      <w:r>
        <w:rPr>
          <w:rFonts w:hint="eastAsia"/>
        </w:rPr>
        <w:t>（七）110指挥中心接警平台证明或接入110接处警系统的复函复印件</w:t>
      </w:r>
    </w:p>
    <w:p w14:paraId="2F51E1AF">
      <w:pPr>
        <w:rPr>
          <w:rFonts w:hint="eastAsia"/>
        </w:rPr>
      </w:pPr>
      <w:r>
        <w:rPr>
          <w:rFonts w:hint="eastAsia"/>
        </w:rPr>
        <w:t>（八）其他（如有）</w:t>
      </w:r>
    </w:p>
    <w:p w14:paraId="4729B832">
      <w:pPr>
        <w:rPr>
          <w:rFonts w:hint="eastAsia"/>
        </w:rPr>
      </w:pPr>
      <w:r>
        <w:rPr>
          <w:rFonts w:hint="eastAsia"/>
        </w:rPr>
        <w:t>五、响应性文件</w:t>
      </w:r>
    </w:p>
    <w:p w14:paraId="112967F7">
      <w:pPr>
        <w:rPr>
          <w:rFonts w:hint="eastAsia"/>
        </w:rPr>
      </w:pPr>
      <w:r>
        <w:rPr>
          <w:rFonts w:hint="eastAsia"/>
        </w:rPr>
        <w:t>（一）响应承诺函</w:t>
      </w:r>
    </w:p>
    <w:p w14:paraId="0955204E">
      <w:pPr>
        <w:rPr>
          <w:rFonts w:hint="eastAsia"/>
        </w:rPr>
      </w:pPr>
      <w:r>
        <w:rPr>
          <w:rFonts w:hint="eastAsia"/>
        </w:rPr>
        <w:t>（二）参选保证金</w:t>
      </w:r>
    </w:p>
    <w:p w14:paraId="3B656A06">
      <w:pPr>
        <w:rPr>
          <w:rFonts w:hint="eastAsia"/>
        </w:rPr>
      </w:pPr>
      <w:r>
        <w:rPr>
          <w:rFonts w:hint="eastAsia"/>
        </w:rPr>
        <w:t>（三）其他（如有）</w:t>
      </w:r>
    </w:p>
    <w:p w14:paraId="59FF6DA0">
      <w:pPr>
        <w:rPr>
          <w:rFonts w:hint="eastAsia"/>
        </w:rPr>
      </w:pPr>
      <w:r>
        <w:rPr>
          <w:rFonts w:hint="eastAsia"/>
        </w:rPr>
        <w:t>六、商务技术文件（如有）</w:t>
      </w:r>
    </w:p>
    <w:p w14:paraId="0BE01458">
      <w:pPr>
        <w:rPr>
          <w:rFonts w:hint="eastAsia"/>
        </w:rPr>
      </w:pPr>
      <w:r>
        <w:rPr>
          <w:rFonts w:hint="eastAsia"/>
        </w:rPr>
        <w:t>七、其他（如有）</w:t>
      </w:r>
    </w:p>
    <w:p w14:paraId="08A797B6">
      <w:pPr>
        <w:rPr>
          <w:rFonts w:hint="eastAsia"/>
        </w:rPr>
      </w:pPr>
    </w:p>
    <w:p w14:paraId="02463155">
      <w:pPr>
        <w:pStyle w:val="17"/>
        <w:rPr>
          <w:rStyle w:val="24"/>
          <w:rFonts w:hint="eastAsia"/>
          <w:b w:val="0"/>
        </w:rPr>
      </w:pPr>
      <w:r>
        <w:rPr>
          <w:rFonts w:hint="eastAsia" w:ascii="宋体" w:hAnsi="宋体" w:cs="宋体"/>
        </w:rPr>
        <w:br w:type="page"/>
      </w:r>
      <w:r>
        <w:rPr>
          <w:rFonts w:hint="eastAsia"/>
        </w:rPr>
        <w:t>一、参选函</w:t>
      </w:r>
    </w:p>
    <w:p w14:paraId="47378942">
      <w:pPr>
        <w:rPr>
          <w:rFonts w:hint="eastAsia"/>
          <w:snapToGrid w:val="0"/>
        </w:rPr>
      </w:pPr>
      <w:r>
        <w:rPr>
          <w:rFonts w:hint="eastAsia"/>
          <w:snapToGrid w:val="0"/>
        </w:rPr>
        <w:t>重庆三峡银行股份有限公司：</w:t>
      </w:r>
    </w:p>
    <w:p w14:paraId="45773A51">
      <w:pPr>
        <w:rPr>
          <w:rFonts w:hint="eastAsia"/>
          <w:snapToGrid w:val="0"/>
        </w:rPr>
      </w:pPr>
      <w:r>
        <w:rPr>
          <w:rFonts w:hint="eastAsia"/>
          <w:snapToGrid w:val="0"/>
        </w:rPr>
        <w:t>我方收到___________________比选文件，经详细研究，决定参加该比选项目的</w:t>
      </w:r>
      <w:r>
        <w:rPr>
          <w:rFonts w:hint="eastAsia" w:cs="Cambria"/>
          <w:snapToGrid w:val="0"/>
        </w:rPr>
        <w:t>参选</w:t>
      </w:r>
      <w:r>
        <w:rPr>
          <w:rFonts w:hint="eastAsia"/>
          <w:snapToGrid w:val="0"/>
        </w:rPr>
        <w:t>。</w:t>
      </w:r>
    </w:p>
    <w:p w14:paraId="367FB117">
      <w:pPr>
        <w:rPr>
          <w:rFonts w:hint="eastAsia"/>
          <w:snapToGrid w:val="0"/>
          <w:u w:val="single"/>
        </w:rPr>
      </w:pPr>
      <w:r>
        <w:rPr>
          <w:rFonts w:hint="eastAsia"/>
          <w:snapToGrid w:val="0"/>
        </w:rPr>
        <w:t>1、愿意按照比选文件中的一切要求，以</w:t>
      </w:r>
      <w:r>
        <w:rPr>
          <w:rFonts w:hint="eastAsia"/>
          <w:snapToGrid w:val="0"/>
          <w:lang w:val="en-US" w:eastAsia="zh-CN"/>
        </w:rPr>
        <w:t>报价一览表中的价格</w:t>
      </w:r>
      <w:r>
        <w:rPr>
          <w:rFonts w:hint="eastAsia"/>
          <w:snapToGrid w:val="0"/>
        </w:rPr>
        <w:t>承担和完成本项目。服务期：_________；服务地点：</w:t>
      </w:r>
      <w:r>
        <w:rPr>
          <w:rFonts w:hint="eastAsia"/>
          <w:snapToGrid w:val="0"/>
          <w:u w:val="single"/>
        </w:rPr>
        <w:t xml:space="preserve">         </w:t>
      </w:r>
      <w:r>
        <w:rPr>
          <w:rFonts w:hint="eastAsia"/>
          <w:snapToGrid w:val="0"/>
        </w:rPr>
        <w:t xml:space="preserve"> 。</w:t>
      </w:r>
    </w:p>
    <w:p w14:paraId="6D179D44">
      <w:pPr>
        <w:rPr>
          <w:rFonts w:hint="eastAsia"/>
          <w:snapToGrid w:val="0"/>
        </w:rPr>
      </w:pPr>
      <w:r>
        <w:rPr>
          <w:rFonts w:hint="eastAsia"/>
          <w:snapToGrid w:val="0"/>
        </w:rPr>
        <w:t>2、我方现提交的</w:t>
      </w:r>
      <w:r>
        <w:rPr>
          <w:rFonts w:hint="eastAsia" w:cs="Cambria"/>
          <w:snapToGrid w:val="0"/>
        </w:rPr>
        <w:t>参选</w:t>
      </w:r>
      <w:r>
        <w:rPr>
          <w:rFonts w:hint="eastAsia"/>
          <w:snapToGrid w:val="0"/>
        </w:rPr>
        <w:t>文件为：</w:t>
      </w:r>
      <w:r>
        <w:rPr>
          <w:rFonts w:hint="eastAsia" w:cs="Cambria"/>
          <w:snapToGrid w:val="0"/>
        </w:rPr>
        <w:t>参选</w:t>
      </w:r>
      <w:r>
        <w:rPr>
          <w:rFonts w:hint="eastAsia"/>
          <w:snapToGrid w:val="0"/>
        </w:rPr>
        <w:t>文件正本一份，副本一份，电子文件一份。</w:t>
      </w:r>
    </w:p>
    <w:p w14:paraId="379BE135">
      <w:pPr>
        <w:rPr>
          <w:rFonts w:hint="eastAsia"/>
          <w:snapToGrid w:val="0"/>
        </w:rPr>
      </w:pPr>
      <w:r>
        <w:rPr>
          <w:rFonts w:hint="eastAsia"/>
          <w:snapToGrid w:val="0"/>
        </w:rPr>
        <w:t>3、如果我方</w:t>
      </w:r>
      <w:r>
        <w:rPr>
          <w:rFonts w:hint="eastAsia" w:cs="Cambria"/>
          <w:snapToGrid w:val="0"/>
        </w:rPr>
        <w:t>参选</w:t>
      </w:r>
      <w:r>
        <w:rPr>
          <w:rFonts w:hint="eastAsia"/>
          <w:snapToGrid w:val="0"/>
        </w:rPr>
        <w:t>文件被接受，我方将履行比选文件中规定的各项要求，按相关法律法规和合同约定条款承担我方的责任。</w:t>
      </w:r>
    </w:p>
    <w:p w14:paraId="441D2BBB">
      <w:pPr>
        <w:rPr>
          <w:rFonts w:hint="eastAsia"/>
          <w:snapToGrid w:val="0"/>
        </w:rPr>
      </w:pPr>
      <w:r>
        <w:rPr>
          <w:rFonts w:hint="eastAsia"/>
          <w:snapToGrid w:val="0"/>
        </w:rPr>
        <w:t>4、我方愿意提供比选文件中要求的所有资料，并对其真实性负责。</w:t>
      </w:r>
    </w:p>
    <w:p w14:paraId="1F51FB05">
      <w:pPr>
        <w:rPr>
          <w:rFonts w:hint="eastAsia"/>
          <w:snapToGrid w:val="0"/>
        </w:rPr>
      </w:pPr>
      <w:r>
        <w:rPr>
          <w:rFonts w:hint="eastAsia"/>
          <w:snapToGrid w:val="0"/>
        </w:rPr>
        <w:t>5、我方理解最低价格不是中选的唯一条件。</w:t>
      </w:r>
    </w:p>
    <w:p w14:paraId="4798FA19">
      <w:pPr>
        <w:rPr>
          <w:rFonts w:hint="eastAsia"/>
          <w:snapToGrid w:val="0"/>
        </w:rPr>
      </w:pPr>
      <w:r>
        <w:rPr>
          <w:rFonts w:hint="eastAsia"/>
          <w:snapToGrid w:val="0"/>
        </w:rPr>
        <w:t>6、</w:t>
      </w:r>
      <w:r>
        <w:rPr>
          <w:rFonts w:hint="eastAsia" w:cs="Cambria"/>
          <w:snapToGrid w:val="0"/>
        </w:rPr>
        <w:t>参选</w:t>
      </w:r>
      <w:r>
        <w:rPr>
          <w:rFonts w:hint="eastAsia"/>
          <w:snapToGrid w:val="0"/>
        </w:rPr>
        <w:t>有效期为</w:t>
      </w:r>
      <w:r>
        <w:rPr>
          <w:rFonts w:hint="eastAsia" w:cs="Cambria"/>
          <w:snapToGrid w:val="0"/>
        </w:rPr>
        <w:t>参选</w:t>
      </w:r>
      <w:r>
        <w:rPr>
          <w:rFonts w:hint="eastAsia"/>
          <w:snapToGrid w:val="0"/>
        </w:rPr>
        <w:t>截止日期后90天内。</w:t>
      </w:r>
    </w:p>
    <w:p w14:paraId="14D6FBA2">
      <w:pPr>
        <w:rPr>
          <w:rFonts w:hint="eastAsia"/>
          <w:snapToGrid w:val="0"/>
        </w:rPr>
      </w:pPr>
      <w:r>
        <w:rPr>
          <w:rFonts w:hint="eastAsia"/>
          <w:snapToGrid w:val="0"/>
        </w:rPr>
        <w:t>7、若我方中选，我方开具税率为</w:t>
      </w:r>
      <w:r>
        <w:rPr>
          <w:rFonts w:hint="eastAsia"/>
          <w:snapToGrid w:val="0"/>
          <w:u w:val="single"/>
          <w:lang w:val="en-US" w:eastAsia="zh-CN"/>
        </w:rPr>
        <w:t xml:space="preserve"> </w:t>
      </w:r>
      <w:r>
        <w:rPr>
          <w:rFonts w:hint="eastAsia"/>
          <w:snapToGrid w:val="0"/>
          <w:u w:val="single"/>
        </w:rPr>
        <w:t>6</w:t>
      </w:r>
      <w:r>
        <w:rPr>
          <w:rFonts w:hint="eastAsia"/>
          <w:snapToGrid w:val="0"/>
          <w:u w:val="single"/>
          <w:lang w:val="en-US" w:eastAsia="zh-CN"/>
        </w:rPr>
        <w:t xml:space="preserve"> </w:t>
      </w:r>
      <w:r>
        <w:rPr>
          <w:rFonts w:hint="eastAsia"/>
          <w:snapToGrid w:val="0"/>
        </w:rPr>
        <w:t>%的增值税专用发票；</w:t>
      </w:r>
    </w:p>
    <w:p w14:paraId="24AC2D37">
      <w:pPr>
        <w:rPr>
          <w:rFonts w:hint="eastAsia"/>
          <w:snapToGrid w:val="0"/>
        </w:rPr>
      </w:pPr>
    </w:p>
    <w:p w14:paraId="60D98FD9">
      <w:pPr>
        <w:rPr>
          <w:rFonts w:hint="eastAsia"/>
          <w:snapToGrid w:val="0"/>
        </w:rPr>
      </w:pPr>
      <w:r>
        <w:rPr>
          <w:rFonts w:hint="eastAsia" w:cs="Cambria"/>
          <w:snapToGrid w:val="0"/>
        </w:rPr>
        <w:t>参选</w:t>
      </w:r>
      <w:r>
        <w:rPr>
          <w:rFonts w:hint="eastAsia"/>
          <w:snapToGrid w:val="0"/>
        </w:rPr>
        <w:t>人（公章）：</w:t>
      </w:r>
    </w:p>
    <w:p w14:paraId="5D9EE642">
      <w:pPr>
        <w:rPr>
          <w:rFonts w:hint="eastAsia"/>
          <w:snapToGrid w:val="0"/>
        </w:rPr>
      </w:pPr>
      <w:r>
        <w:rPr>
          <w:rFonts w:hint="eastAsia"/>
          <w:snapToGrid w:val="0"/>
        </w:rPr>
        <w:t xml:space="preserve">地址：                            电话：                          </w:t>
      </w:r>
    </w:p>
    <w:p w14:paraId="6176A458">
      <w:pPr>
        <w:rPr>
          <w:rFonts w:hint="eastAsia"/>
          <w:snapToGrid w:val="0"/>
        </w:rPr>
      </w:pPr>
      <w:r>
        <w:rPr>
          <w:rFonts w:hint="eastAsia"/>
          <w:snapToGrid w:val="0"/>
        </w:rPr>
        <w:t xml:space="preserve">传真：                            网址：                         </w:t>
      </w:r>
    </w:p>
    <w:p w14:paraId="5BFE57A7">
      <w:pPr>
        <w:rPr>
          <w:rFonts w:hint="eastAsia"/>
          <w:snapToGrid w:val="0"/>
        </w:rPr>
      </w:pPr>
    </w:p>
    <w:p w14:paraId="43F006FA">
      <w:pPr>
        <w:rPr>
          <w:rFonts w:hint="eastAsia"/>
          <w:snapToGrid w:val="0"/>
        </w:rPr>
      </w:pPr>
      <w:r>
        <w:rPr>
          <w:rFonts w:hint="eastAsia"/>
          <w:snapToGrid w:val="0"/>
        </w:rPr>
        <w:t>年     月     日</w:t>
      </w:r>
    </w:p>
    <w:p w14:paraId="008EF52E">
      <w:pPr>
        <w:rPr>
          <w:rFonts w:hint="eastAsia"/>
          <w:snapToGrid w:val="0"/>
        </w:rPr>
      </w:pPr>
    </w:p>
    <w:p w14:paraId="4514DB59">
      <w:pPr>
        <w:rPr>
          <w:rFonts w:hint="eastAsia" w:ascii="宋体"/>
          <w:snapToGrid w:val="0"/>
          <w:szCs w:val="24"/>
        </w:rPr>
      </w:pPr>
      <w:r>
        <w:rPr>
          <w:rFonts w:hint="eastAsia"/>
        </w:rPr>
        <w:br w:type="page"/>
      </w:r>
    </w:p>
    <w:p w14:paraId="263E1F44">
      <w:pPr>
        <w:pStyle w:val="17"/>
        <w:rPr>
          <w:rFonts w:hint="eastAsia"/>
        </w:rPr>
      </w:pPr>
      <w:r>
        <w:t>二、报价一览表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830"/>
        <w:gridCol w:w="2831"/>
      </w:tblGrid>
      <w:tr w14:paraId="5171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C333B48">
            <w:pPr>
              <w:pStyle w:val="29"/>
              <w:bidi w:val="0"/>
              <w:rPr>
                <w:rFonts w:hint="eastAsia"/>
              </w:rPr>
            </w:pPr>
            <w:r>
              <w:rPr>
                <w:rFonts w:hint="eastAsia"/>
              </w:rPr>
              <w:t>参选人全称</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4C727C40">
            <w:pPr>
              <w:pStyle w:val="29"/>
              <w:bidi w:val="0"/>
              <w:rPr>
                <w:rFonts w:hint="eastAsia"/>
              </w:rPr>
            </w:pPr>
          </w:p>
        </w:tc>
      </w:tr>
      <w:tr w14:paraId="6259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A39479">
            <w:pPr>
              <w:pStyle w:val="29"/>
              <w:bidi w:val="0"/>
              <w:rPr>
                <w:rFonts w:hint="eastAsia"/>
              </w:rPr>
            </w:pPr>
            <w:r>
              <w:rPr>
                <w:rFonts w:hint="eastAsia"/>
              </w:rPr>
              <w:t>比选项目名称</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7EE94F8C">
            <w:pPr>
              <w:pStyle w:val="29"/>
              <w:bidi w:val="0"/>
              <w:rPr>
                <w:rFonts w:hint="eastAsia"/>
              </w:rPr>
            </w:pPr>
          </w:p>
        </w:tc>
      </w:tr>
      <w:tr w14:paraId="341D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vMerge w:val="restart"/>
            <w:tcBorders>
              <w:top w:val="single" w:color="auto" w:sz="4" w:space="0"/>
              <w:left w:val="single" w:color="auto" w:sz="4" w:space="0"/>
              <w:right w:val="single" w:color="auto" w:sz="4" w:space="0"/>
            </w:tcBorders>
            <w:vAlign w:val="center"/>
          </w:tcPr>
          <w:p w14:paraId="42596A5E">
            <w:pPr>
              <w:pStyle w:val="29"/>
              <w:bidi w:val="0"/>
              <w:rPr>
                <w:rFonts w:eastAsia="宋体"/>
                <w:lang w:val="en-US" w:eastAsia="zh-CN"/>
              </w:rPr>
            </w:pPr>
            <w:r>
              <w:rPr>
                <w:rFonts w:hint="eastAsia"/>
                <w:lang w:val="en-US" w:eastAsia="zh-CN"/>
              </w:rPr>
              <w:t>参选报价（含税）</w:t>
            </w:r>
          </w:p>
        </w:tc>
        <w:tc>
          <w:tcPr>
            <w:tcW w:w="2830" w:type="dxa"/>
            <w:tcBorders>
              <w:top w:val="single" w:color="auto" w:sz="4" w:space="0"/>
              <w:left w:val="single" w:color="auto" w:sz="4" w:space="0"/>
              <w:bottom w:val="single" w:color="auto" w:sz="4" w:space="0"/>
              <w:right w:val="single" w:color="auto" w:sz="4" w:space="0"/>
            </w:tcBorders>
            <w:vAlign w:val="center"/>
          </w:tcPr>
          <w:p w14:paraId="4BEE7DF0">
            <w:pPr>
              <w:pStyle w:val="29"/>
              <w:bidi w:val="0"/>
              <w:rPr>
                <w:rFonts w:hint="eastAsia"/>
                <w:lang w:val="en-US" w:eastAsia="zh-CN"/>
              </w:rPr>
            </w:pPr>
            <w:r>
              <w:rPr>
                <w:rFonts w:hint="eastAsia"/>
              </w:rPr>
              <w:t>110联网报警系统服务</w:t>
            </w:r>
            <w:r>
              <w:rPr>
                <w:rFonts w:hint="eastAsia"/>
                <w:lang w:val="en-US" w:eastAsia="zh-CN"/>
              </w:rPr>
              <w:t>费</w:t>
            </w:r>
          </w:p>
          <w:p w14:paraId="7B2DEDAF">
            <w:pPr>
              <w:pStyle w:val="29"/>
              <w:bidi w:val="0"/>
              <w:rPr>
                <w:rFonts w:hint="eastAsia"/>
                <w:lang w:val="en-US" w:eastAsia="zh-CN"/>
              </w:rPr>
            </w:pPr>
            <w:r>
              <w:rPr>
                <w:rFonts w:hint="eastAsia"/>
                <w:lang w:val="en-US" w:eastAsia="zh-CN"/>
              </w:rPr>
              <w:t>（元/</w:t>
            </w:r>
            <w:r>
              <w:t>月/个</w:t>
            </w:r>
            <w:r>
              <w:rPr>
                <w:rFonts w:hint="eastAsia"/>
                <w:lang w:val="en-US" w:eastAsia="zh-CN"/>
              </w:rPr>
              <w:t>）</w:t>
            </w:r>
          </w:p>
        </w:tc>
        <w:tc>
          <w:tcPr>
            <w:tcW w:w="2831" w:type="dxa"/>
            <w:tcBorders>
              <w:top w:val="single" w:color="auto" w:sz="4" w:space="0"/>
              <w:left w:val="single" w:color="auto" w:sz="4" w:space="0"/>
              <w:bottom w:val="single" w:color="auto" w:sz="4" w:space="0"/>
              <w:right w:val="single" w:color="auto" w:sz="4" w:space="0"/>
            </w:tcBorders>
            <w:vAlign w:val="center"/>
          </w:tcPr>
          <w:p w14:paraId="163B3743">
            <w:pPr>
              <w:pStyle w:val="29"/>
              <w:bidi w:val="0"/>
              <w:rPr>
                <w:rFonts w:hint="eastAsia"/>
              </w:rPr>
            </w:pPr>
            <w:r>
              <w:t>小写</w:t>
            </w:r>
            <w:r>
              <w:rPr>
                <w:rFonts w:hint="eastAsia"/>
              </w:rPr>
              <w:t xml:space="preserve">：            </w:t>
            </w:r>
            <w:r>
              <w:t>人民币</w:t>
            </w:r>
          </w:p>
          <w:p w14:paraId="577A1182">
            <w:pPr>
              <w:pStyle w:val="29"/>
              <w:bidi w:val="0"/>
              <w:rPr>
                <w:rFonts w:hint="eastAsia"/>
              </w:rPr>
            </w:pPr>
            <w:r>
              <w:rPr>
                <w:rFonts w:hint="eastAsia"/>
              </w:rPr>
              <w:t>大写：            人民币</w:t>
            </w:r>
          </w:p>
        </w:tc>
      </w:tr>
      <w:tr w14:paraId="5342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vMerge w:val="continue"/>
            <w:tcBorders>
              <w:left w:val="single" w:color="auto" w:sz="4" w:space="0"/>
              <w:bottom w:val="single" w:color="auto" w:sz="4" w:space="0"/>
              <w:right w:val="single" w:color="auto" w:sz="4" w:space="0"/>
            </w:tcBorders>
            <w:vAlign w:val="center"/>
          </w:tcPr>
          <w:p w14:paraId="66C8ED45"/>
        </w:tc>
        <w:tc>
          <w:tcPr>
            <w:tcW w:w="2830" w:type="dxa"/>
            <w:tcBorders>
              <w:top w:val="single" w:color="auto" w:sz="4" w:space="0"/>
              <w:left w:val="single" w:color="auto" w:sz="4" w:space="0"/>
              <w:bottom w:val="single" w:color="auto" w:sz="4" w:space="0"/>
              <w:right w:val="single" w:color="auto" w:sz="4" w:space="0"/>
            </w:tcBorders>
            <w:vAlign w:val="center"/>
          </w:tcPr>
          <w:p w14:paraId="3445F8DD">
            <w:pPr>
              <w:pStyle w:val="29"/>
              <w:bidi w:val="0"/>
            </w:pPr>
            <w:r>
              <w:rPr>
                <w:rFonts w:hint="eastAsia"/>
              </w:rPr>
              <w:t>110联网报警系统</w:t>
            </w:r>
            <w:r>
              <w:rPr>
                <w:rFonts w:hint="eastAsia"/>
                <w:lang w:val="en-US" w:eastAsia="zh-CN"/>
              </w:rPr>
              <w:t>初次</w:t>
            </w:r>
            <w:r>
              <w:t>建设费</w:t>
            </w:r>
          </w:p>
          <w:p w14:paraId="151D4E6D">
            <w:pPr>
              <w:pStyle w:val="29"/>
              <w:bidi w:val="0"/>
              <w:rPr>
                <w:rFonts w:hint="eastAsia" w:eastAsia="宋体"/>
                <w:lang w:eastAsia="zh-CN"/>
              </w:rPr>
            </w:pPr>
            <w:r>
              <w:rPr>
                <w:rFonts w:hint="eastAsia"/>
                <w:lang w:eastAsia="zh-CN"/>
              </w:rPr>
              <w:t>（</w:t>
            </w:r>
            <w:r>
              <w:t>元/个</w:t>
            </w:r>
            <w:r>
              <w:rPr>
                <w:rFonts w:hint="eastAsia"/>
                <w:lang w:eastAsia="zh-CN"/>
              </w:rPr>
              <w:t>）</w:t>
            </w:r>
          </w:p>
        </w:tc>
        <w:tc>
          <w:tcPr>
            <w:tcW w:w="2831" w:type="dxa"/>
            <w:tcBorders>
              <w:top w:val="single" w:color="auto" w:sz="4" w:space="0"/>
              <w:left w:val="single" w:color="auto" w:sz="4" w:space="0"/>
              <w:bottom w:val="single" w:color="auto" w:sz="4" w:space="0"/>
              <w:right w:val="single" w:color="auto" w:sz="4" w:space="0"/>
            </w:tcBorders>
            <w:vAlign w:val="center"/>
          </w:tcPr>
          <w:p w14:paraId="4ABA8A62">
            <w:pPr>
              <w:pStyle w:val="29"/>
              <w:bidi w:val="0"/>
              <w:rPr>
                <w:rFonts w:hint="eastAsia"/>
              </w:rPr>
            </w:pPr>
            <w:r>
              <w:t>小写</w:t>
            </w:r>
            <w:r>
              <w:rPr>
                <w:rFonts w:hint="eastAsia"/>
              </w:rPr>
              <w:t xml:space="preserve">：            </w:t>
            </w:r>
            <w:r>
              <w:t>人民币</w:t>
            </w:r>
          </w:p>
          <w:p w14:paraId="2D0BCB01">
            <w:pPr>
              <w:pStyle w:val="29"/>
              <w:bidi w:val="0"/>
              <w:rPr>
                <w:rFonts w:hint="eastAsia"/>
              </w:rPr>
            </w:pPr>
            <w:r>
              <w:rPr>
                <w:rFonts w:hint="eastAsia"/>
              </w:rPr>
              <w:t>大写：            人民币</w:t>
            </w:r>
          </w:p>
        </w:tc>
      </w:tr>
      <w:tr w14:paraId="279C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B0EB199">
            <w:pPr>
              <w:pStyle w:val="29"/>
              <w:bidi w:val="0"/>
              <w:rPr>
                <w:rFonts w:hint="eastAsia"/>
              </w:rPr>
            </w:pPr>
            <w:r>
              <w:rPr>
                <w:rFonts w:hint="eastAsia"/>
              </w:rPr>
              <w:t>开具发票类型</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5F505E3C">
            <w:pPr>
              <w:pStyle w:val="29"/>
              <w:bidi w:val="0"/>
              <w:rPr>
                <w:rFonts w:hint="eastAsia"/>
              </w:rPr>
            </w:pPr>
            <w:r>
              <w:rPr>
                <w:rFonts w:hint="eastAsia"/>
              </w:rPr>
              <w:t>税率为6 %的增值税专用发票</w:t>
            </w:r>
          </w:p>
        </w:tc>
      </w:tr>
      <w:tr w14:paraId="0632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3"/>
            <w:tcBorders>
              <w:top w:val="single" w:color="auto" w:sz="4" w:space="0"/>
              <w:left w:val="single" w:color="auto" w:sz="4" w:space="0"/>
              <w:bottom w:val="single" w:color="auto" w:sz="4" w:space="0"/>
              <w:right w:val="single" w:color="auto" w:sz="4" w:space="0"/>
            </w:tcBorders>
          </w:tcPr>
          <w:p w14:paraId="019A7AC2">
            <w:pPr>
              <w:pStyle w:val="29"/>
              <w:bidi w:val="0"/>
              <w:rPr>
                <w:rFonts w:hint="eastAsia"/>
              </w:rPr>
            </w:pPr>
            <w:r>
              <w:rPr>
                <w:rFonts w:hint="eastAsia"/>
              </w:rPr>
              <w:t>备注：</w:t>
            </w:r>
          </w:p>
          <w:p w14:paraId="41130215">
            <w:pPr>
              <w:pStyle w:val="29"/>
              <w:bidi w:val="0"/>
              <w:rPr>
                <w:rFonts w:hint="eastAsia"/>
              </w:rPr>
            </w:pPr>
          </w:p>
        </w:tc>
      </w:tr>
    </w:tbl>
    <w:p w14:paraId="50E1FABA">
      <w:pPr>
        <w:rPr>
          <w:rFonts w:hint="eastAsia"/>
        </w:rPr>
      </w:pPr>
    </w:p>
    <w:p w14:paraId="7676758D">
      <w:pPr>
        <w:rPr>
          <w:rFonts w:hint="eastAsia"/>
        </w:rPr>
      </w:pPr>
    </w:p>
    <w:p w14:paraId="13DB54E4">
      <w:pPr>
        <w:rPr>
          <w:rFonts w:hint="eastAsia"/>
        </w:rPr>
      </w:pPr>
      <w:r>
        <w:rPr>
          <w:rFonts w:hint="eastAsia"/>
        </w:rPr>
        <w:t>注：上述税率为推荐税率，因国家政策产生的特殊情况除外，若有税收优惠请附相关凭证。若遇国家税率调整，则保持不含税价不变，重新计算含税价格。</w:t>
      </w:r>
    </w:p>
    <w:p w14:paraId="6AB54F1E">
      <w:pPr>
        <w:rPr>
          <w:rFonts w:hint="eastAsia"/>
        </w:rPr>
      </w:pPr>
    </w:p>
    <w:p w14:paraId="328180B4">
      <w:pPr>
        <w:rPr>
          <w:rFonts w:hint="eastAsia"/>
          <w:snapToGrid w:val="0"/>
        </w:rPr>
      </w:pPr>
      <w:r>
        <w:rPr>
          <w:rFonts w:hint="eastAsia" w:cs="等线 Light"/>
          <w:snapToGrid w:val="0"/>
        </w:rPr>
        <w:t>参选</w:t>
      </w:r>
      <w:r>
        <w:rPr>
          <w:rFonts w:hint="eastAsia"/>
          <w:snapToGrid w:val="0"/>
        </w:rPr>
        <w:t>人：                              法人授权代表：</w:t>
      </w:r>
    </w:p>
    <w:p w14:paraId="4506E294">
      <w:pPr>
        <w:rPr>
          <w:rFonts w:hint="eastAsia"/>
          <w:snapToGrid w:val="0"/>
        </w:rPr>
      </w:pPr>
      <w:r>
        <w:rPr>
          <w:rFonts w:hint="eastAsia"/>
          <w:snapToGrid w:val="0"/>
        </w:rPr>
        <w:t xml:space="preserve">  （公章）                               （签字或盖章）</w:t>
      </w:r>
    </w:p>
    <w:p w14:paraId="407AE8FD">
      <w:pPr>
        <w:rPr>
          <w:rFonts w:hint="eastAsia"/>
          <w:snapToGrid w:val="0"/>
        </w:rPr>
      </w:pPr>
      <w:r>
        <w:rPr>
          <w:rFonts w:hint="eastAsia"/>
          <w:snapToGrid w:val="0"/>
        </w:rPr>
        <w:t xml:space="preserve">                                     年     月     日</w:t>
      </w:r>
    </w:p>
    <w:p w14:paraId="45F779ED">
      <w:pPr>
        <w:rPr>
          <w:rFonts w:hint="eastAsia"/>
          <w:snapToGrid w:val="0"/>
        </w:rPr>
      </w:pPr>
    </w:p>
    <w:p w14:paraId="29D4862E">
      <w:pPr>
        <w:rPr>
          <w:rFonts w:hint="eastAsia"/>
          <w:snapToGrid w:val="0"/>
        </w:rPr>
      </w:pPr>
    </w:p>
    <w:p w14:paraId="1BA61E1C">
      <w:pPr>
        <w:rPr>
          <w:rFonts w:hint="eastAsia"/>
          <w:snapToGrid w:val="0"/>
        </w:rPr>
      </w:pPr>
      <w:r>
        <w:rPr>
          <w:rFonts w:hint="eastAsia"/>
          <w:snapToGrid w:val="0"/>
        </w:rPr>
        <w:t>有关说明：</w:t>
      </w:r>
    </w:p>
    <w:p w14:paraId="2298480A">
      <w:pPr>
        <w:rPr>
          <w:rFonts w:hint="eastAsia"/>
          <w:snapToGrid w:val="0"/>
        </w:rPr>
      </w:pPr>
      <w:r>
        <w:rPr>
          <w:rFonts w:hint="eastAsia"/>
          <w:snapToGrid w:val="0"/>
        </w:rPr>
        <w:t>报价一览表在开标大会上当众宣读，务必填写清楚，准确无误。表格可扩展。</w:t>
      </w:r>
    </w:p>
    <w:p w14:paraId="0B7AD47F">
      <w:pPr>
        <w:rPr>
          <w:rFonts w:hint="eastAsia"/>
          <w:snapToGrid w:val="0"/>
        </w:rPr>
      </w:pPr>
    </w:p>
    <w:p w14:paraId="09DD4F36">
      <w:pPr>
        <w:rPr>
          <w:rFonts w:hint="eastAsia"/>
          <w:snapToGrid w:val="0"/>
        </w:rPr>
        <w:sectPr>
          <w:pgSz w:w="11906" w:h="16838"/>
          <w:pgMar w:top="1440" w:right="1800" w:bottom="1440" w:left="1800" w:header="851" w:footer="992" w:gutter="0"/>
          <w:cols w:space="720" w:num="1"/>
          <w:docGrid w:type="lines" w:linePitch="312" w:charSpace="0"/>
        </w:sectPr>
      </w:pPr>
    </w:p>
    <w:p w14:paraId="7FB0D7A7">
      <w:pPr>
        <w:pStyle w:val="17"/>
        <w:rPr>
          <w:rFonts w:hint="eastAsia"/>
        </w:rPr>
      </w:pPr>
      <w:r>
        <w:t>三、分项报价明细表</w:t>
      </w:r>
    </w:p>
    <w:p w14:paraId="6D8830C1">
      <w:pPr>
        <w:jc w:val="right"/>
        <w:rPr>
          <w:rFonts w:eastAsia="宋体"/>
          <w:sz w:val="18"/>
          <w:szCs w:val="18"/>
          <w:lang w:val="en-US" w:eastAsia="zh-CN"/>
        </w:rPr>
      </w:pPr>
      <w:r>
        <w:rPr>
          <w:rFonts w:hint="eastAsia"/>
          <w:sz w:val="18"/>
          <w:szCs w:val="18"/>
          <w:lang w:val="en-US" w:eastAsia="zh-CN"/>
        </w:rPr>
        <w:t>单位：套、月、元</w:t>
      </w:r>
    </w:p>
    <w:tbl>
      <w:tblPr>
        <w:tblStyle w:val="18"/>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862"/>
        <w:gridCol w:w="2387"/>
        <w:gridCol w:w="3092"/>
        <w:gridCol w:w="2227"/>
        <w:gridCol w:w="2377"/>
      </w:tblGrid>
      <w:tr w14:paraId="7DFB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88" w:type="pct"/>
          </w:tcPr>
          <w:p w14:paraId="0CDA3511">
            <w:pPr>
              <w:pStyle w:val="30"/>
              <w:bidi w:val="0"/>
            </w:pPr>
            <w:r>
              <w:t>序号</w:t>
            </w:r>
          </w:p>
        </w:tc>
        <w:tc>
          <w:tcPr>
            <w:tcW w:w="1019" w:type="pct"/>
          </w:tcPr>
          <w:p w14:paraId="6C7A3362">
            <w:pPr>
              <w:pStyle w:val="30"/>
            </w:pPr>
            <w:r>
              <w:t>产品/服务名称</w:t>
            </w:r>
          </w:p>
        </w:tc>
        <w:tc>
          <w:tcPr>
            <w:tcW w:w="850" w:type="pct"/>
          </w:tcPr>
          <w:p w14:paraId="4A9059EC">
            <w:pPr>
              <w:pStyle w:val="30"/>
              <w:bidi w:val="0"/>
              <w:rPr>
                <w:lang w:val="en-US" w:eastAsia="zh-CN"/>
              </w:rPr>
            </w:pPr>
            <w:r>
              <w:rPr>
                <w:rFonts w:hint="eastAsia"/>
                <w:lang w:val="en-US" w:eastAsia="zh-CN"/>
              </w:rPr>
              <w:t>服务时间</w:t>
            </w:r>
          </w:p>
        </w:tc>
        <w:tc>
          <w:tcPr>
            <w:tcW w:w="1101" w:type="pct"/>
          </w:tcPr>
          <w:p w14:paraId="39570C19">
            <w:pPr>
              <w:pStyle w:val="30"/>
              <w:bidi w:val="0"/>
            </w:pPr>
            <w:r>
              <w:t>单价</w:t>
            </w:r>
            <w:r>
              <w:rPr>
                <w:rFonts w:hint="eastAsia"/>
                <w:lang w:val="en-US" w:eastAsia="zh-CN"/>
              </w:rPr>
              <w:t>月</w:t>
            </w:r>
            <w:r>
              <w:rPr>
                <w:lang w:val="en-US" w:eastAsia="zh-CN"/>
              </w:rPr>
              <w:t>/</w:t>
            </w:r>
            <w:r>
              <w:t>元（含税）</w:t>
            </w:r>
          </w:p>
        </w:tc>
        <w:tc>
          <w:tcPr>
            <w:tcW w:w="793" w:type="pct"/>
          </w:tcPr>
          <w:p w14:paraId="7132A642">
            <w:pPr>
              <w:pStyle w:val="30"/>
              <w:bidi w:val="0"/>
            </w:pPr>
            <w:r>
              <w:t>税率</w:t>
            </w:r>
          </w:p>
        </w:tc>
        <w:tc>
          <w:tcPr>
            <w:tcW w:w="846" w:type="pct"/>
          </w:tcPr>
          <w:p w14:paraId="40678433">
            <w:pPr>
              <w:pStyle w:val="30"/>
              <w:bidi w:val="0"/>
            </w:pPr>
            <w:r>
              <w:t>备注</w:t>
            </w:r>
          </w:p>
        </w:tc>
      </w:tr>
      <w:tr w14:paraId="6A5A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88" w:type="pct"/>
          </w:tcPr>
          <w:p w14:paraId="69E14FB3">
            <w:pPr>
              <w:spacing w:line="600" w:lineRule="exact"/>
              <w:rPr>
                <w:rFonts w:ascii="Times New Roman" w:hAnsi="Times New Roman" w:cs="Times New Roman"/>
                <w:color w:val="0B0B0B"/>
                <w:kern w:val="0"/>
                <w:sz w:val="18"/>
                <w:szCs w:val="18"/>
              </w:rPr>
            </w:pPr>
          </w:p>
        </w:tc>
        <w:tc>
          <w:tcPr>
            <w:tcW w:w="1019" w:type="pct"/>
            <w:tcBorders>
              <w:left w:val="single" w:color="auto" w:sz="4" w:space="0"/>
            </w:tcBorders>
          </w:tcPr>
          <w:p w14:paraId="40FB157D">
            <w:pPr>
              <w:spacing w:line="600" w:lineRule="exact"/>
              <w:rPr>
                <w:rFonts w:ascii="Times New Roman" w:hAnsi="Times New Roman" w:cs="Times New Roman"/>
                <w:color w:val="0B0B0B"/>
                <w:kern w:val="0"/>
                <w:sz w:val="18"/>
                <w:szCs w:val="18"/>
              </w:rPr>
            </w:pPr>
          </w:p>
        </w:tc>
        <w:tc>
          <w:tcPr>
            <w:tcW w:w="850" w:type="pct"/>
            <w:tcBorders>
              <w:left w:val="single" w:color="auto" w:sz="4" w:space="0"/>
            </w:tcBorders>
          </w:tcPr>
          <w:p w14:paraId="1ED1EBE8">
            <w:pPr>
              <w:spacing w:line="600" w:lineRule="exact"/>
              <w:rPr>
                <w:rFonts w:ascii="Times New Roman" w:hAnsi="Times New Roman" w:eastAsia="宋体" w:cs="Times New Roman"/>
                <w:color w:val="0B0B0B"/>
                <w:kern w:val="0"/>
                <w:sz w:val="18"/>
                <w:szCs w:val="18"/>
                <w:lang w:val="en-US" w:eastAsia="zh-CN"/>
              </w:rPr>
            </w:pPr>
          </w:p>
        </w:tc>
        <w:tc>
          <w:tcPr>
            <w:tcW w:w="1101" w:type="pct"/>
            <w:tcBorders>
              <w:left w:val="single" w:color="auto" w:sz="4" w:space="0"/>
            </w:tcBorders>
          </w:tcPr>
          <w:p w14:paraId="6588EED8">
            <w:pPr>
              <w:spacing w:line="600" w:lineRule="exact"/>
              <w:rPr>
                <w:rFonts w:ascii="Times New Roman" w:hAnsi="Times New Roman" w:cs="Times New Roman"/>
                <w:color w:val="0B0B0B"/>
                <w:kern w:val="0"/>
                <w:sz w:val="18"/>
                <w:szCs w:val="18"/>
              </w:rPr>
            </w:pPr>
          </w:p>
        </w:tc>
        <w:tc>
          <w:tcPr>
            <w:tcW w:w="793" w:type="pct"/>
            <w:tcBorders>
              <w:left w:val="single" w:color="auto" w:sz="4" w:space="0"/>
            </w:tcBorders>
          </w:tcPr>
          <w:p w14:paraId="04CDF8B1">
            <w:pPr>
              <w:spacing w:line="600" w:lineRule="exact"/>
              <w:rPr>
                <w:rFonts w:ascii="Times New Roman" w:hAnsi="Times New Roman" w:cs="Times New Roman"/>
                <w:color w:val="0B0B0B"/>
                <w:kern w:val="0"/>
                <w:sz w:val="18"/>
                <w:szCs w:val="18"/>
              </w:rPr>
            </w:pPr>
          </w:p>
        </w:tc>
        <w:tc>
          <w:tcPr>
            <w:tcW w:w="846" w:type="pct"/>
            <w:tcBorders>
              <w:left w:val="single" w:color="auto" w:sz="4" w:space="0"/>
            </w:tcBorders>
          </w:tcPr>
          <w:p w14:paraId="42A6C154">
            <w:pPr>
              <w:spacing w:line="600" w:lineRule="exact"/>
              <w:rPr>
                <w:rFonts w:ascii="Times New Roman" w:hAnsi="Times New Roman" w:eastAsia="方正仿宋_GBK" w:cs="Times New Roman"/>
                <w:color w:val="0B0B0B"/>
                <w:kern w:val="0"/>
                <w:sz w:val="18"/>
                <w:szCs w:val="18"/>
                <w:lang w:val="en-US" w:eastAsia="zh-CN"/>
              </w:rPr>
            </w:pPr>
          </w:p>
        </w:tc>
      </w:tr>
      <w:tr w14:paraId="32FA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88" w:type="pct"/>
          </w:tcPr>
          <w:p w14:paraId="2190541D">
            <w:pPr>
              <w:spacing w:line="600" w:lineRule="exact"/>
              <w:rPr>
                <w:rFonts w:ascii="Times New Roman" w:hAnsi="Times New Roman" w:cs="Times New Roman"/>
                <w:color w:val="0B0B0B"/>
                <w:kern w:val="0"/>
                <w:sz w:val="18"/>
                <w:szCs w:val="18"/>
              </w:rPr>
            </w:pPr>
          </w:p>
        </w:tc>
        <w:tc>
          <w:tcPr>
            <w:tcW w:w="1019" w:type="pct"/>
            <w:tcBorders>
              <w:left w:val="single" w:color="auto" w:sz="4" w:space="0"/>
            </w:tcBorders>
          </w:tcPr>
          <w:p w14:paraId="59A34386">
            <w:pPr>
              <w:spacing w:line="600" w:lineRule="exact"/>
              <w:rPr>
                <w:rFonts w:ascii="Times New Roman" w:hAnsi="Times New Roman" w:cs="Times New Roman"/>
                <w:color w:val="0B0B0B"/>
                <w:kern w:val="0"/>
                <w:sz w:val="18"/>
                <w:szCs w:val="18"/>
              </w:rPr>
            </w:pPr>
          </w:p>
        </w:tc>
        <w:tc>
          <w:tcPr>
            <w:tcW w:w="850" w:type="pct"/>
            <w:tcBorders>
              <w:left w:val="single" w:color="auto" w:sz="4" w:space="0"/>
            </w:tcBorders>
          </w:tcPr>
          <w:p w14:paraId="122F64D5">
            <w:pPr>
              <w:spacing w:line="600" w:lineRule="exact"/>
              <w:rPr>
                <w:rFonts w:ascii="Times New Roman" w:hAnsi="Times New Roman" w:cs="Times New Roman"/>
                <w:color w:val="0B0B0B"/>
                <w:kern w:val="0"/>
                <w:sz w:val="18"/>
                <w:szCs w:val="18"/>
              </w:rPr>
            </w:pPr>
          </w:p>
        </w:tc>
        <w:tc>
          <w:tcPr>
            <w:tcW w:w="1101" w:type="pct"/>
            <w:tcBorders>
              <w:left w:val="single" w:color="auto" w:sz="4" w:space="0"/>
            </w:tcBorders>
          </w:tcPr>
          <w:p w14:paraId="6A0572C1">
            <w:pPr>
              <w:spacing w:line="600" w:lineRule="exact"/>
              <w:rPr>
                <w:rFonts w:ascii="Times New Roman" w:hAnsi="Times New Roman" w:cs="Times New Roman"/>
                <w:color w:val="0B0B0B"/>
                <w:kern w:val="0"/>
                <w:sz w:val="18"/>
                <w:szCs w:val="18"/>
              </w:rPr>
            </w:pPr>
          </w:p>
        </w:tc>
        <w:tc>
          <w:tcPr>
            <w:tcW w:w="793" w:type="pct"/>
            <w:tcBorders>
              <w:left w:val="single" w:color="auto" w:sz="4" w:space="0"/>
            </w:tcBorders>
          </w:tcPr>
          <w:p w14:paraId="01E46317">
            <w:pPr>
              <w:spacing w:line="600" w:lineRule="exact"/>
              <w:rPr>
                <w:rFonts w:ascii="Times New Roman" w:hAnsi="Times New Roman" w:cs="Times New Roman"/>
                <w:color w:val="0B0B0B"/>
                <w:kern w:val="0"/>
                <w:sz w:val="18"/>
                <w:szCs w:val="18"/>
              </w:rPr>
            </w:pPr>
          </w:p>
        </w:tc>
        <w:tc>
          <w:tcPr>
            <w:tcW w:w="846" w:type="pct"/>
            <w:tcBorders>
              <w:left w:val="single" w:color="auto" w:sz="4" w:space="0"/>
            </w:tcBorders>
          </w:tcPr>
          <w:p w14:paraId="7256C88E">
            <w:pPr>
              <w:spacing w:line="600" w:lineRule="exact"/>
              <w:rPr>
                <w:rFonts w:ascii="Times New Roman" w:hAnsi="Times New Roman" w:cs="Times New Roman"/>
                <w:color w:val="0B0B0B"/>
                <w:kern w:val="0"/>
                <w:sz w:val="18"/>
                <w:szCs w:val="18"/>
              </w:rPr>
            </w:pPr>
          </w:p>
        </w:tc>
      </w:tr>
    </w:tbl>
    <w:p w14:paraId="638A09D6">
      <w:pPr>
        <w:rPr>
          <w:rFonts w:hint="eastAsia" w:cs="等线 Light"/>
          <w:snapToGrid w:val="0"/>
        </w:rPr>
      </w:pPr>
    </w:p>
    <w:p w14:paraId="6DD12379">
      <w:pPr>
        <w:rPr>
          <w:rFonts w:hint="eastAsia" w:cs="等线 Light"/>
          <w:snapToGrid w:val="0"/>
        </w:rPr>
      </w:pPr>
    </w:p>
    <w:p w14:paraId="53311EA4">
      <w:pPr>
        <w:rPr>
          <w:rFonts w:hint="eastAsia"/>
          <w:snapToGrid w:val="0"/>
        </w:rPr>
      </w:pPr>
      <w:r>
        <w:rPr>
          <w:rFonts w:hint="eastAsia" w:cs="等线 Light"/>
          <w:snapToGrid w:val="0"/>
        </w:rPr>
        <w:t>参选</w:t>
      </w:r>
      <w:r>
        <w:rPr>
          <w:rFonts w:hint="eastAsia"/>
          <w:snapToGrid w:val="0"/>
        </w:rPr>
        <w:t xml:space="preserve">人：                    </w:t>
      </w:r>
      <w:r>
        <w:rPr>
          <w:rFonts w:hint="eastAsia"/>
          <w:snapToGrid w:val="0"/>
          <w:lang w:val="en-US" w:eastAsia="zh-CN"/>
        </w:rPr>
        <w:t xml:space="preserve">                                     </w:t>
      </w:r>
      <w:r>
        <w:rPr>
          <w:rFonts w:hint="eastAsia"/>
          <w:snapToGrid w:val="0"/>
        </w:rPr>
        <w:t xml:space="preserve">          法人授权代表：</w:t>
      </w:r>
    </w:p>
    <w:p w14:paraId="0CB3A812">
      <w:pPr>
        <w:rPr>
          <w:rFonts w:hint="eastAsia"/>
          <w:snapToGrid w:val="0"/>
        </w:rPr>
      </w:pPr>
      <w:r>
        <w:rPr>
          <w:rFonts w:hint="eastAsia"/>
          <w:snapToGrid w:val="0"/>
        </w:rPr>
        <w:t xml:space="preserve">  （公章）                 </w:t>
      </w:r>
      <w:r>
        <w:rPr>
          <w:rFonts w:hint="eastAsia"/>
          <w:snapToGrid w:val="0"/>
          <w:lang w:val="en-US" w:eastAsia="zh-CN"/>
        </w:rPr>
        <w:t xml:space="preserve">                            </w:t>
      </w:r>
      <w:r>
        <w:rPr>
          <w:rFonts w:hint="eastAsia"/>
          <w:snapToGrid w:val="0"/>
        </w:rPr>
        <w:t xml:space="preserve">                   （签字或盖章）</w:t>
      </w:r>
    </w:p>
    <w:p w14:paraId="4A581E92">
      <w:pPr>
        <w:rPr>
          <w:rFonts w:hint="eastAsia"/>
          <w:snapToGrid w:val="0"/>
          <w:lang w:val="en-US" w:eastAsia="zh-CN"/>
        </w:rPr>
      </w:pPr>
      <w:r>
        <w:rPr>
          <w:rFonts w:hint="eastAsia"/>
          <w:snapToGrid w:val="0"/>
        </w:rPr>
        <w:t xml:space="preserve">                   </w:t>
      </w:r>
      <w:r>
        <w:rPr>
          <w:rFonts w:hint="eastAsia"/>
          <w:snapToGrid w:val="0"/>
          <w:lang w:val="en-US" w:eastAsia="zh-CN"/>
        </w:rPr>
        <w:t xml:space="preserve">                                                                </w:t>
      </w:r>
    </w:p>
    <w:p w14:paraId="44DB7A09">
      <w:pPr>
        <w:rPr>
          <w:rFonts w:hint="eastAsia"/>
          <w:snapToGrid w:val="0"/>
        </w:rPr>
      </w:pPr>
      <w:r>
        <w:rPr>
          <w:rFonts w:hint="eastAsia"/>
          <w:snapToGrid w:val="0"/>
        </w:rPr>
        <w:t xml:space="preserve">            </w:t>
      </w:r>
      <w:r>
        <w:rPr>
          <w:rFonts w:hint="eastAsia"/>
          <w:snapToGrid w:val="0"/>
          <w:lang w:val="en-US" w:eastAsia="zh-CN"/>
        </w:rPr>
        <w:t xml:space="preserve">                                                                                   </w:t>
      </w:r>
      <w:r>
        <w:rPr>
          <w:rFonts w:hint="eastAsia"/>
          <w:snapToGrid w:val="0"/>
        </w:rPr>
        <w:t xml:space="preserve">      年     月     日</w:t>
      </w:r>
    </w:p>
    <w:p w14:paraId="2388CED0">
      <w:pPr>
        <w:rPr>
          <w:rFonts w:hint="eastAsia"/>
          <w:snapToGrid w:val="0"/>
        </w:rPr>
      </w:pPr>
    </w:p>
    <w:p w14:paraId="308C8330">
      <w:pPr>
        <w:rPr>
          <w:rFonts w:hint="eastAsia"/>
          <w:snapToGrid w:val="0"/>
        </w:rPr>
      </w:pPr>
    </w:p>
    <w:p w14:paraId="5BF56B5A">
      <w:pPr>
        <w:rPr>
          <w:rFonts w:hint="eastAsia"/>
        </w:rPr>
        <w:sectPr>
          <w:pgSz w:w="16838" w:h="11906" w:orient="landscape"/>
          <w:pgMar w:top="1800" w:right="1440" w:bottom="1800" w:left="1440" w:header="851" w:footer="992" w:gutter="0"/>
          <w:cols w:space="720" w:num="1"/>
          <w:docGrid w:type="lines" w:linePitch="312" w:charSpace="0"/>
        </w:sectPr>
      </w:pPr>
    </w:p>
    <w:p w14:paraId="183AA39B">
      <w:pPr>
        <w:pStyle w:val="17"/>
        <w:rPr>
          <w:rFonts w:hint="eastAsia"/>
        </w:rPr>
      </w:pPr>
      <w:r>
        <w:t>四、资格性文件</w:t>
      </w:r>
    </w:p>
    <w:p w14:paraId="4761F45A">
      <w:pPr>
        <w:pStyle w:val="28"/>
        <w:bidi w:val="0"/>
        <w:rPr>
          <w:color w:val="auto"/>
          <w:highlight w:val="none"/>
        </w:rPr>
      </w:pPr>
      <w:r>
        <w:rPr>
          <w:color w:val="auto"/>
          <w:highlight w:val="none"/>
          <w:lang w:eastAsia="zh-CN"/>
        </w:rPr>
        <w:t>（</w:t>
      </w:r>
      <w:r>
        <w:rPr>
          <w:color w:val="auto"/>
          <w:highlight w:val="none"/>
          <w:lang w:val="en-US" w:eastAsia="zh-CN"/>
        </w:rPr>
        <w:t>一</w:t>
      </w:r>
      <w:r>
        <w:rPr>
          <w:color w:val="auto"/>
          <w:highlight w:val="none"/>
          <w:lang w:eastAsia="zh-CN"/>
        </w:rPr>
        <w:t>）</w:t>
      </w:r>
      <w:r>
        <w:rPr>
          <w:color w:val="auto"/>
          <w:highlight w:val="none"/>
        </w:rPr>
        <w:t>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6E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D7D1A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0B0C81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46D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DD39D4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9CD59A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3DCCD7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Borders>
              <w:left w:val="single" w:color="auto" w:sz="4" w:space="0"/>
            </w:tcBorders>
          </w:tcPr>
          <w:p w14:paraId="1F0FAA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352F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EB02D5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33955F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70A67F9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3E0352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Borders>
              <w:left w:val="single" w:color="auto" w:sz="4" w:space="0"/>
            </w:tcBorders>
          </w:tcPr>
          <w:p w14:paraId="73EEF6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80E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9BF0DE7"/>
        </w:tc>
        <w:tc>
          <w:tcPr>
            <w:tcW w:w="1077" w:type="dxa"/>
            <w:tcBorders>
              <w:top w:val="single" w:color="auto" w:sz="4" w:space="0"/>
              <w:left w:val="single" w:color="auto" w:sz="4" w:space="0"/>
              <w:right w:val="single" w:color="auto" w:sz="4" w:space="0"/>
            </w:tcBorders>
            <w:vAlign w:val="center"/>
          </w:tcPr>
          <w:p w14:paraId="12AFC32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3550776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FFA5A1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Borders>
              <w:left w:val="single" w:color="auto" w:sz="4" w:space="0"/>
            </w:tcBorders>
          </w:tcPr>
          <w:p w14:paraId="2226837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491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A63B1E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tcBorders>
              <w:left w:val="single" w:color="auto" w:sz="4" w:space="0"/>
            </w:tcBorders>
            <w:vAlign w:val="center"/>
          </w:tcPr>
          <w:p w14:paraId="15EDD28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199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6C1D51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03839D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3E048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B43251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74E08B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9436A6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Borders>
              <w:left w:val="single" w:color="auto" w:sz="4" w:space="0"/>
            </w:tcBorders>
          </w:tcPr>
          <w:p w14:paraId="3987CF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B12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B1BBB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2F2B7A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F6E60F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AC7EB6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A944F1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D4BAE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Borders>
              <w:left w:val="single" w:color="auto" w:sz="4" w:space="0"/>
            </w:tcBorders>
          </w:tcPr>
          <w:p w14:paraId="1EFD1AD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C5C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484A0D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1CFCDFF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Borders>
              <w:left w:val="single" w:color="auto" w:sz="4" w:space="0"/>
            </w:tcBorders>
          </w:tcPr>
          <w:p w14:paraId="34E30FD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4C4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6A9605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32746B3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4E391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7EAF9F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Borders>
              <w:left w:val="single" w:color="auto" w:sz="4" w:space="0"/>
            </w:tcBorders>
          </w:tcPr>
          <w:p w14:paraId="6171F76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E68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F29EB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A15776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A440054"/>
        </w:tc>
        <w:tc>
          <w:tcPr>
            <w:tcW w:w="2039" w:type="dxa"/>
            <w:gridSpan w:val="3"/>
            <w:tcBorders>
              <w:top w:val="single" w:color="auto" w:sz="4" w:space="0"/>
              <w:left w:val="single" w:color="auto" w:sz="4" w:space="0"/>
              <w:right w:val="single" w:color="auto" w:sz="4" w:space="0"/>
            </w:tcBorders>
            <w:vAlign w:val="center"/>
          </w:tcPr>
          <w:p w14:paraId="19DFB66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Borders>
              <w:left w:val="single" w:color="auto" w:sz="4" w:space="0"/>
            </w:tcBorders>
          </w:tcPr>
          <w:p w14:paraId="7355015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3A4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832F5C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4990B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BFB2A35"/>
        </w:tc>
        <w:tc>
          <w:tcPr>
            <w:tcW w:w="2039" w:type="dxa"/>
            <w:gridSpan w:val="3"/>
            <w:tcBorders>
              <w:top w:val="single" w:color="auto" w:sz="4" w:space="0"/>
              <w:left w:val="single" w:color="auto" w:sz="4" w:space="0"/>
              <w:right w:val="single" w:color="auto" w:sz="4" w:space="0"/>
            </w:tcBorders>
            <w:vAlign w:val="center"/>
          </w:tcPr>
          <w:p w14:paraId="1F7866A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Borders>
              <w:left w:val="single" w:color="auto" w:sz="4" w:space="0"/>
            </w:tcBorders>
          </w:tcPr>
          <w:p w14:paraId="051E4E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257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5019C8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43DBAB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44DDD70"/>
        </w:tc>
        <w:tc>
          <w:tcPr>
            <w:tcW w:w="2039" w:type="dxa"/>
            <w:gridSpan w:val="3"/>
            <w:tcBorders>
              <w:top w:val="single" w:color="auto" w:sz="4" w:space="0"/>
              <w:left w:val="single" w:color="auto" w:sz="4" w:space="0"/>
              <w:right w:val="single" w:color="auto" w:sz="4" w:space="0"/>
            </w:tcBorders>
            <w:vAlign w:val="center"/>
          </w:tcPr>
          <w:p w14:paraId="1B89A9C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Borders>
              <w:left w:val="single" w:color="auto" w:sz="4" w:space="0"/>
            </w:tcBorders>
          </w:tcPr>
          <w:p w14:paraId="10FF0B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C4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59AB42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293228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6E3D330"/>
        </w:tc>
        <w:tc>
          <w:tcPr>
            <w:tcW w:w="2039" w:type="dxa"/>
            <w:gridSpan w:val="3"/>
            <w:tcBorders>
              <w:top w:val="single" w:color="auto" w:sz="4" w:space="0"/>
              <w:left w:val="single" w:color="auto" w:sz="4" w:space="0"/>
              <w:right w:val="single" w:color="auto" w:sz="4" w:space="0"/>
            </w:tcBorders>
            <w:vAlign w:val="center"/>
          </w:tcPr>
          <w:p w14:paraId="425759C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Borders>
              <w:left w:val="single" w:color="auto" w:sz="4" w:space="0"/>
            </w:tcBorders>
          </w:tcPr>
          <w:p w14:paraId="1914A05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6A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097C7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Borders>
              <w:left w:val="single" w:color="auto" w:sz="4" w:space="0"/>
            </w:tcBorders>
          </w:tcPr>
          <w:p w14:paraId="42A144B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9DC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6DA52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Borders>
              <w:left w:val="single" w:color="auto" w:sz="4" w:space="0"/>
            </w:tcBorders>
          </w:tcPr>
          <w:p w14:paraId="7C1FE2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69EEF2E8">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宋体"/>
          <w:color w:val="auto"/>
          <w:sz w:val="20"/>
          <w:szCs w:val="21"/>
          <w:highlight w:val="none"/>
        </w:rPr>
        <w:t>注：附营业执照（副本）、资质证明复印件等。</w:t>
      </w:r>
    </w:p>
    <w:p w14:paraId="7F905A39">
      <w:pPr>
        <w:pStyle w:val="28"/>
        <w:rPr>
          <w:rFonts w:hint="eastAsia" w:ascii="Times New Roman" w:hAnsi="Times New Roman" w:eastAsia="宋体"/>
          <w:color w:val="auto"/>
          <w:highlight w:val="none"/>
          <w:lang w:eastAsia="zh-CN"/>
        </w:rPr>
      </w:pPr>
      <w:bookmarkStart w:id="73" w:name="_Toc8213"/>
      <w:bookmarkStart w:id="74" w:name="_Toc14270"/>
      <w:bookmarkStart w:id="75" w:name="_Toc378234770"/>
      <w:bookmarkStart w:id="76" w:name="_Toc378234584"/>
      <w:bookmarkStart w:id="77" w:name="_Toc478053903"/>
      <w:bookmarkStart w:id="78" w:name="_Toc478054435"/>
      <w:bookmarkStart w:id="79" w:name="_Toc472780356"/>
      <w:r>
        <w:rPr>
          <w:rFonts w:ascii="Times New Roman" w:hAnsi="Times New Roman"/>
          <w:color w:val="auto"/>
          <w:highlight w:val="none"/>
        </w:rPr>
        <w:t>（二）法定代表人身份证明及授权委托书</w:t>
      </w:r>
      <w:bookmarkEnd w:id="73"/>
      <w:bookmarkEnd w:id="74"/>
    </w:p>
    <w:p w14:paraId="47EA194C">
      <w:pPr>
        <w:pStyle w:val="11"/>
        <w:rPr>
          <w:rFonts w:ascii="Times New Roman" w:hAnsi="Times New Roman"/>
          <w:color w:val="auto"/>
          <w:highlight w:val="none"/>
        </w:rPr>
      </w:pPr>
      <w:r>
        <w:rPr>
          <w:rFonts w:ascii="Times New Roman" w:hAnsi="Times New Roman"/>
          <w:color w:val="auto"/>
          <w:highlight w:val="none"/>
        </w:rPr>
        <w:t>法定代表人身份证明书</w:t>
      </w:r>
    </w:p>
    <w:p w14:paraId="4AA1C9A4">
      <w:pPr>
        <w:tabs>
          <w:tab w:val="left" w:pos="6300"/>
        </w:tabs>
        <w:snapToGrid w:val="0"/>
        <w:spacing w:line="360" w:lineRule="auto"/>
        <w:rPr>
          <w:rFonts w:ascii="Times New Roman" w:hAnsi="Times New Roman"/>
          <w:snapToGrid w:val="0"/>
          <w:color w:val="auto"/>
          <w:kern w:val="0"/>
          <w:highlight w:val="none"/>
        </w:rPr>
      </w:pPr>
    </w:p>
    <w:p w14:paraId="235BBFE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0DA532B">
      <w:pPr>
        <w:tabs>
          <w:tab w:val="left" w:pos="6300"/>
        </w:tabs>
        <w:snapToGrid w:val="0"/>
        <w:spacing w:line="360" w:lineRule="auto"/>
        <w:rPr>
          <w:rFonts w:ascii="Times New Roman" w:hAnsi="Times New Roman"/>
          <w:snapToGrid w:val="0"/>
          <w:color w:val="auto"/>
          <w:kern w:val="0"/>
          <w:highlight w:val="none"/>
        </w:rPr>
      </w:pPr>
    </w:p>
    <w:p w14:paraId="02AC2C0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B604C4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761F2DC4">
      <w:pPr>
        <w:tabs>
          <w:tab w:val="left" w:pos="6300"/>
        </w:tabs>
        <w:snapToGrid w:val="0"/>
        <w:spacing w:line="360" w:lineRule="auto"/>
        <w:rPr>
          <w:rFonts w:ascii="Times New Roman" w:hAnsi="Times New Roman"/>
          <w:snapToGrid w:val="0"/>
          <w:color w:val="auto"/>
          <w:kern w:val="0"/>
          <w:highlight w:val="none"/>
        </w:rPr>
      </w:pPr>
    </w:p>
    <w:p w14:paraId="3A3A3DB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0E3281B">
      <w:pPr>
        <w:tabs>
          <w:tab w:val="left" w:pos="6300"/>
        </w:tabs>
        <w:snapToGrid w:val="0"/>
        <w:spacing w:line="360" w:lineRule="auto"/>
        <w:rPr>
          <w:rFonts w:ascii="Times New Roman" w:hAnsi="Times New Roman"/>
          <w:snapToGrid w:val="0"/>
          <w:color w:val="auto"/>
          <w:kern w:val="0"/>
          <w:highlight w:val="none"/>
        </w:rPr>
      </w:pPr>
    </w:p>
    <w:p w14:paraId="21460E7E">
      <w:pPr>
        <w:tabs>
          <w:tab w:val="left" w:pos="6300"/>
        </w:tabs>
        <w:snapToGrid w:val="0"/>
        <w:spacing w:line="360" w:lineRule="auto"/>
        <w:rPr>
          <w:rFonts w:ascii="Times New Roman" w:hAnsi="Times New Roman"/>
          <w:snapToGrid w:val="0"/>
          <w:color w:val="auto"/>
          <w:kern w:val="0"/>
          <w:highlight w:val="none"/>
        </w:rPr>
      </w:pPr>
    </w:p>
    <w:p w14:paraId="2E8859F9">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3567935E">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1259BA58">
      <w:pPr>
        <w:tabs>
          <w:tab w:val="left" w:pos="6300"/>
        </w:tabs>
        <w:snapToGrid w:val="0"/>
        <w:spacing w:line="360" w:lineRule="auto"/>
        <w:rPr>
          <w:rFonts w:ascii="Times New Roman" w:hAnsi="Times New Roman"/>
          <w:snapToGrid w:val="0"/>
          <w:color w:val="auto"/>
          <w:kern w:val="0"/>
          <w:highlight w:val="none"/>
        </w:rPr>
      </w:pPr>
    </w:p>
    <w:p w14:paraId="59A3EE6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4D89A35D">
      <w:pPr>
        <w:tabs>
          <w:tab w:val="left" w:pos="6300"/>
        </w:tabs>
        <w:snapToGrid w:val="0"/>
        <w:spacing w:line="360" w:lineRule="auto"/>
        <w:rPr>
          <w:rFonts w:ascii="Times New Roman" w:hAnsi="Times New Roman"/>
          <w:snapToGrid w:val="0"/>
          <w:color w:val="auto"/>
          <w:kern w:val="0"/>
          <w:highlight w:val="none"/>
        </w:rPr>
      </w:pPr>
    </w:p>
    <w:p w14:paraId="2756D81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61968028">
      <w:pPr>
        <w:tabs>
          <w:tab w:val="left" w:pos="6300"/>
        </w:tabs>
        <w:snapToGrid w:val="0"/>
        <w:spacing w:line="360" w:lineRule="auto"/>
        <w:rPr>
          <w:rFonts w:ascii="Times New Roman" w:hAnsi="Times New Roman"/>
          <w:snapToGrid w:val="0"/>
          <w:color w:val="auto"/>
          <w:kern w:val="0"/>
          <w:highlight w:val="none"/>
        </w:rPr>
      </w:pPr>
    </w:p>
    <w:p w14:paraId="158C640D">
      <w:pPr>
        <w:tabs>
          <w:tab w:val="left" w:pos="6300"/>
        </w:tabs>
        <w:snapToGrid w:val="0"/>
        <w:spacing w:line="360" w:lineRule="auto"/>
        <w:rPr>
          <w:rFonts w:ascii="Times New Roman" w:hAnsi="Times New Roman"/>
          <w:snapToGrid w:val="0"/>
          <w:color w:val="auto"/>
          <w:kern w:val="0"/>
          <w:highlight w:val="none"/>
        </w:rPr>
      </w:pPr>
    </w:p>
    <w:p w14:paraId="5D936776">
      <w:pPr>
        <w:tabs>
          <w:tab w:val="left" w:pos="6300"/>
        </w:tabs>
        <w:snapToGrid w:val="0"/>
        <w:spacing w:line="360" w:lineRule="auto"/>
        <w:rPr>
          <w:rFonts w:ascii="Times New Roman" w:hAnsi="Times New Roman"/>
          <w:snapToGrid w:val="0"/>
          <w:color w:val="auto"/>
          <w:kern w:val="0"/>
          <w:highlight w:val="none"/>
        </w:rPr>
      </w:pPr>
    </w:p>
    <w:p w14:paraId="569B33F5">
      <w:pPr>
        <w:jc w:val="center"/>
        <w:rPr>
          <w:rStyle w:val="27"/>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27"/>
          <w:rFonts w:ascii="Times New Roman" w:hAnsi="Times New Roman"/>
          <w:color w:val="auto"/>
          <w:highlight w:val="none"/>
        </w:rPr>
        <w:t>法定代表人授权委托书</w:t>
      </w:r>
    </w:p>
    <w:p w14:paraId="7656B987">
      <w:pPr>
        <w:tabs>
          <w:tab w:val="left" w:pos="6300"/>
        </w:tabs>
        <w:snapToGrid w:val="0"/>
        <w:spacing w:line="360" w:lineRule="auto"/>
        <w:rPr>
          <w:rFonts w:ascii="Times New Roman" w:hAnsi="Times New Roman"/>
          <w:snapToGrid w:val="0"/>
          <w:color w:val="auto"/>
          <w:kern w:val="0"/>
          <w:highlight w:val="none"/>
        </w:rPr>
      </w:pPr>
    </w:p>
    <w:p w14:paraId="76D56E4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1E8F7265">
      <w:pPr>
        <w:tabs>
          <w:tab w:val="left" w:pos="6300"/>
        </w:tabs>
        <w:snapToGrid w:val="0"/>
        <w:spacing w:line="360" w:lineRule="auto"/>
        <w:rPr>
          <w:rFonts w:ascii="Times New Roman" w:hAnsi="Times New Roman"/>
          <w:snapToGrid w:val="0"/>
          <w:color w:val="auto"/>
          <w:kern w:val="0"/>
          <w:highlight w:val="none"/>
        </w:rPr>
      </w:pPr>
    </w:p>
    <w:p w14:paraId="74CA491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4176800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325710A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FEF1DF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17078C9D">
      <w:pPr>
        <w:tabs>
          <w:tab w:val="left" w:pos="6300"/>
        </w:tabs>
        <w:snapToGrid w:val="0"/>
        <w:spacing w:line="360" w:lineRule="auto"/>
        <w:rPr>
          <w:rFonts w:ascii="Times New Roman" w:hAnsi="Times New Roman"/>
          <w:snapToGrid w:val="0"/>
          <w:color w:val="auto"/>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D70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2F3E9C4">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31EFFD37">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20FE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BCBF09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61914A6">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C5D1DBD">
      <w:pPr>
        <w:tabs>
          <w:tab w:val="left" w:pos="6300"/>
        </w:tabs>
        <w:snapToGrid w:val="0"/>
        <w:spacing w:line="360" w:lineRule="auto"/>
        <w:rPr>
          <w:rFonts w:ascii="Times New Roman" w:hAnsi="Times New Roman"/>
          <w:snapToGrid w:val="0"/>
          <w:color w:val="auto"/>
          <w:kern w:val="0"/>
          <w:highlight w:val="none"/>
        </w:rPr>
      </w:pPr>
    </w:p>
    <w:p w14:paraId="0C7A4661">
      <w:pPr>
        <w:tabs>
          <w:tab w:val="left" w:pos="6300"/>
        </w:tabs>
        <w:snapToGrid w:val="0"/>
        <w:spacing w:line="360" w:lineRule="auto"/>
        <w:rPr>
          <w:rFonts w:ascii="Times New Roman" w:hAnsi="Times New Roman"/>
          <w:snapToGrid w:val="0"/>
          <w:color w:val="auto"/>
          <w:kern w:val="0"/>
          <w:szCs w:val="28"/>
          <w:highlight w:val="none"/>
        </w:rPr>
      </w:pPr>
    </w:p>
    <w:p w14:paraId="5660CF5C">
      <w:pPr>
        <w:tabs>
          <w:tab w:val="left" w:pos="6300"/>
        </w:tabs>
        <w:snapToGrid w:val="0"/>
        <w:spacing w:line="360" w:lineRule="auto"/>
        <w:rPr>
          <w:rFonts w:ascii="Times New Roman" w:hAnsi="Times New Roman"/>
          <w:snapToGrid w:val="0"/>
          <w:color w:val="auto"/>
          <w:kern w:val="0"/>
          <w:highlight w:val="none"/>
        </w:rPr>
      </w:pPr>
    </w:p>
    <w:p w14:paraId="325367E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EBFFAF3">
      <w:pPr>
        <w:tabs>
          <w:tab w:val="left" w:pos="6300"/>
        </w:tabs>
        <w:snapToGrid w:val="0"/>
        <w:spacing w:line="360" w:lineRule="auto"/>
        <w:rPr>
          <w:rFonts w:ascii="Times New Roman" w:hAnsi="Times New Roman"/>
          <w:snapToGrid w:val="0"/>
          <w:color w:val="auto"/>
          <w:kern w:val="0"/>
          <w:highlight w:val="none"/>
        </w:rPr>
      </w:pPr>
    </w:p>
    <w:p w14:paraId="06F2DF6A">
      <w:pPr>
        <w:tabs>
          <w:tab w:val="left" w:pos="6300"/>
        </w:tabs>
        <w:snapToGrid w:val="0"/>
        <w:spacing w:line="360" w:lineRule="auto"/>
        <w:rPr>
          <w:rFonts w:ascii="Times New Roman" w:hAnsi="Times New Roman"/>
          <w:snapToGrid w:val="0"/>
          <w:color w:val="auto"/>
          <w:kern w:val="0"/>
          <w:highlight w:val="none"/>
        </w:rPr>
      </w:pPr>
    </w:p>
    <w:p w14:paraId="619EE182">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D77F23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7AC06309">
      <w:pPr>
        <w:tabs>
          <w:tab w:val="left" w:pos="6300"/>
        </w:tabs>
        <w:snapToGrid w:val="0"/>
        <w:spacing w:line="360" w:lineRule="auto"/>
        <w:rPr>
          <w:rFonts w:ascii="Times New Roman" w:hAnsi="Times New Roman"/>
          <w:snapToGrid w:val="0"/>
          <w:color w:val="auto"/>
          <w:kern w:val="0"/>
          <w:highlight w:val="none"/>
        </w:rPr>
      </w:pPr>
    </w:p>
    <w:p w14:paraId="0A93CDB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07B3AFED">
      <w:pPr>
        <w:rPr>
          <w:rFonts w:ascii="Times New Roman" w:hAnsi="Times New Roman"/>
          <w:color w:val="auto"/>
          <w:highlight w:val="none"/>
        </w:rPr>
      </w:pPr>
    </w:p>
    <w:p w14:paraId="04F6621D">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bookmarkEnd w:id="75"/>
    <w:bookmarkEnd w:id="76"/>
    <w:bookmarkEnd w:id="77"/>
    <w:bookmarkEnd w:id="78"/>
    <w:bookmarkEnd w:id="79"/>
    <w:p w14:paraId="3A1D9127">
      <w:pPr>
        <w:pStyle w:val="28"/>
        <w:rPr>
          <w:rFonts w:hint="eastAsia"/>
        </w:rPr>
      </w:pPr>
      <w:r>
        <w:rPr>
          <w:rFonts w:hint="eastAsia"/>
        </w:rPr>
        <w:t>（三）书面声明</w:t>
      </w:r>
    </w:p>
    <w:p w14:paraId="31505EA4">
      <w:pPr>
        <w:rPr>
          <w:rFonts w:hint="eastAsia"/>
        </w:rPr>
      </w:pPr>
    </w:p>
    <w:p w14:paraId="75DF0B7F">
      <w:pPr>
        <w:rPr>
          <w:rFonts w:hint="eastAsia"/>
        </w:rPr>
      </w:pPr>
      <w:r>
        <w:rPr>
          <w:rFonts w:hint="eastAsia"/>
          <w:szCs w:val="28"/>
        </w:rPr>
        <w:t>项目名称</w:t>
      </w:r>
      <w:r>
        <w:rPr>
          <w:rFonts w:hint="eastAsia"/>
        </w:rPr>
        <w:t>：</w:t>
      </w:r>
      <w:r>
        <w:rPr>
          <w:rFonts w:hint="eastAsia"/>
          <w:snapToGrid w:val="0"/>
        </w:rPr>
        <w:t>__________________</w:t>
      </w:r>
    </w:p>
    <w:p w14:paraId="4CD499EE">
      <w:pPr>
        <w:rPr>
          <w:rFonts w:hint="eastAsia"/>
        </w:rPr>
      </w:pPr>
    </w:p>
    <w:p w14:paraId="083F2513">
      <w:pPr>
        <w:rPr>
          <w:rFonts w:hint="eastAsia"/>
        </w:rPr>
      </w:pPr>
      <w:r>
        <w:rPr>
          <w:rFonts w:hint="eastAsia"/>
        </w:rPr>
        <w:t>致：</w:t>
      </w:r>
      <w:r>
        <w:rPr>
          <w:rFonts w:hint="eastAsia"/>
          <w:snapToGrid w:val="0"/>
        </w:rPr>
        <w:t>重庆三峡银行股份有限公司</w:t>
      </w:r>
      <w:r>
        <w:rPr>
          <w:rFonts w:hint="eastAsia"/>
        </w:rPr>
        <w:t>：</w:t>
      </w:r>
    </w:p>
    <w:p w14:paraId="3787B947">
      <w:pPr>
        <w:rPr>
          <w:rFonts w:hint="eastAsia"/>
        </w:rPr>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hAnsi="宋体" w:cs="Cambria"/>
          <w:szCs w:val="24"/>
        </w:rPr>
        <w:t>我公司本次如若中选，中选后不会对项目进行转包</w:t>
      </w:r>
      <w:r>
        <w:rPr>
          <w:rFonts w:hint="eastAsia"/>
        </w:rPr>
        <w:t>。我方对以上声明负全部法律责任。</w:t>
      </w:r>
    </w:p>
    <w:p w14:paraId="4747D4F8">
      <w:pPr>
        <w:rPr>
          <w:rFonts w:hint="eastAsia"/>
        </w:rPr>
      </w:pPr>
      <w:r>
        <w:rPr>
          <w:rFonts w:hint="eastAsia"/>
        </w:rPr>
        <w:t>特此声明。</w:t>
      </w:r>
    </w:p>
    <w:p w14:paraId="55CB1372">
      <w:pPr>
        <w:rPr>
          <w:rFonts w:hint="eastAsia"/>
        </w:rPr>
      </w:pPr>
    </w:p>
    <w:p w14:paraId="50D32781">
      <w:pPr>
        <w:rPr>
          <w:rFonts w:hint="eastAsia"/>
        </w:rPr>
      </w:pPr>
    </w:p>
    <w:p w14:paraId="7794F46F">
      <w:pPr>
        <w:rPr>
          <w:rFonts w:hint="eastAsia"/>
        </w:rPr>
      </w:pPr>
    </w:p>
    <w:p w14:paraId="7191A9D1">
      <w:pPr>
        <w:jc w:val="right"/>
        <w:rPr>
          <w:rFonts w:hint="eastAsia"/>
        </w:rPr>
      </w:pPr>
      <w:r>
        <w:rPr>
          <w:rFonts w:hint="eastAsia"/>
        </w:rPr>
        <w:t>（</w:t>
      </w:r>
      <w:r>
        <w:rPr>
          <w:rFonts w:hint="eastAsia" w:cs="等线 Light"/>
          <w:snapToGrid w:val="0"/>
          <w:kern w:val="0"/>
          <w:szCs w:val="24"/>
        </w:rPr>
        <w:t>参选</w:t>
      </w:r>
      <w:r>
        <w:rPr>
          <w:rFonts w:hint="eastAsia"/>
        </w:rPr>
        <w:t>人公章）</w:t>
      </w:r>
    </w:p>
    <w:p w14:paraId="6189B4E6">
      <w:pPr>
        <w:jc w:val="right"/>
        <w:rPr>
          <w:rFonts w:hint="eastAsia"/>
        </w:rPr>
      </w:pPr>
      <w:r>
        <w:rPr>
          <w:rFonts w:hint="eastAsia"/>
        </w:rPr>
        <w:t>年   月   日</w:t>
      </w:r>
    </w:p>
    <w:p w14:paraId="39980CE2">
      <w:pPr>
        <w:rPr>
          <w:rFonts w:hint="eastAsia"/>
          <w:snapToGrid w:val="0"/>
        </w:rPr>
      </w:pPr>
    </w:p>
    <w:p w14:paraId="36D32F6C">
      <w:pPr>
        <w:rPr>
          <w:rFonts w:hint="eastAsia"/>
          <w:snapToGrid w:val="0"/>
        </w:rPr>
      </w:pPr>
    </w:p>
    <w:p w14:paraId="3B87BBBF">
      <w:pPr>
        <w:rPr>
          <w:rFonts w:hint="eastAsia"/>
          <w:snapToGrid w:val="0"/>
        </w:rPr>
      </w:pPr>
    </w:p>
    <w:p w14:paraId="56B3E016">
      <w:pPr>
        <w:rPr>
          <w:rFonts w:hint="eastAsia"/>
          <w:snapToGrid w:val="0"/>
        </w:rPr>
      </w:pPr>
    </w:p>
    <w:p w14:paraId="7D6D100B">
      <w:pPr>
        <w:rPr>
          <w:rFonts w:hint="eastAsia"/>
          <w:snapToGrid w:val="0"/>
        </w:rPr>
      </w:pPr>
    </w:p>
    <w:p w14:paraId="02E567A8">
      <w:pPr>
        <w:rPr>
          <w:rFonts w:hint="eastAsia"/>
          <w:snapToGrid w:val="0"/>
        </w:rPr>
      </w:pPr>
    </w:p>
    <w:p w14:paraId="70193AC1">
      <w:pPr>
        <w:rPr>
          <w:rFonts w:hint="eastAsia"/>
          <w:snapToGrid w:val="0"/>
        </w:rPr>
      </w:pPr>
    </w:p>
    <w:p w14:paraId="02ED678B">
      <w:pPr>
        <w:rPr>
          <w:rFonts w:hint="eastAsia"/>
        </w:rPr>
      </w:pPr>
      <w:r>
        <w:rPr>
          <w:rFonts w:hint="eastAsia"/>
        </w:rPr>
        <w:br w:type="page"/>
      </w:r>
    </w:p>
    <w:p w14:paraId="21A01A86">
      <w:pPr>
        <w:pStyle w:val="28"/>
        <w:rPr>
          <w:rFonts w:hint="eastAsia"/>
        </w:rPr>
      </w:pPr>
      <w:r>
        <w:t>（</w:t>
      </w:r>
      <w:r>
        <w:rPr>
          <w:rFonts w:hint="eastAsia"/>
        </w:rPr>
        <w:t>四</w:t>
      </w:r>
      <w:r>
        <w:t>）中国执行信息公开网截图</w:t>
      </w:r>
    </w:p>
    <w:p w14:paraId="6625C3B3">
      <w:pPr>
        <w:rPr>
          <w:rFonts w:hint="eastAsia"/>
        </w:rPr>
      </w:pPr>
      <w:r>
        <w:rPr>
          <w:rFonts w:hint="eastAsia"/>
        </w:rPr>
        <w:t>1.法人</w:t>
      </w:r>
      <w:r>
        <w:t>中国执行信息公开网截图</w:t>
      </w:r>
    </w:p>
    <w:p w14:paraId="60FB2396">
      <w:pPr>
        <w:rPr>
          <w:rFonts w:hint="eastAsia"/>
        </w:rPr>
      </w:pPr>
      <w:r>
        <w:t>2.</w:t>
      </w:r>
      <w:r>
        <w:rPr>
          <w:rFonts w:hint="eastAsia"/>
        </w:rPr>
        <w:t>法定代表人中国执行信息公开网截图</w:t>
      </w:r>
    </w:p>
    <w:p w14:paraId="560A57A2">
      <w:pPr>
        <w:rPr>
          <w:rFonts w:hint="eastAsia"/>
          <w:highlight w:val="yellow"/>
        </w:rPr>
      </w:pPr>
    </w:p>
    <w:p w14:paraId="53E0F917">
      <w:pPr>
        <w:rPr>
          <w:rFonts w:hint="eastAsia"/>
        </w:rPr>
      </w:pPr>
    </w:p>
    <w:p w14:paraId="645AACDB">
      <w:pPr>
        <w:rPr>
          <w:rFonts w:hint="eastAsia"/>
        </w:rPr>
      </w:pPr>
    </w:p>
    <w:p w14:paraId="4CE85533">
      <w:pPr>
        <w:rPr>
          <w:rFonts w:hint="eastAsia"/>
        </w:rPr>
      </w:pPr>
    </w:p>
    <w:p w14:paraId="3DADA9EC">
      <w:pPr>
        <w:rPr>
          <w:rFonts w:hint="eastAsia"/>
        </w:rPr>
      </w:pPr>
      <w:r>
        <w:rPr>
          <w:rFonts w:hint="eastAsia"/>
        </w:rPr>
        <w:br w:type="page"/>
      </w:r>
    </w:p>
    <w:p w14:paraId="0EE38738">
      <w:pPr>
        <w:pStyle w:val="28"/>
        <w:rPr>
          <w:rFonts w:hint="eastAsia"/>
          <w:lang w:val="zh-CN"/>
        </w:rPr>
      </w:pPr>
      <w:r>
        <w:rPr>
          <w:rFonts w:hint="eastAsia"/>
          <w:lang w:val="zh-CN"/>
        </w:rPr>
        <w:t>（</w:t>
      </w:r>
      <w:r>
        <w:rPr>
          <w:rFonts w:hint="eastAsia"/>
        </w:rPr>
        <w:t>五</w:t>
      </w:r>
      <w:r>
        <w:rPr>
          <w:rFonts w:hint="eastAsia"/>
          <w:lang w:val="zh-CN"/>
        </w:rPr>
        <w:t>）</w:t>
      </w:r>
      <w:r>
        <w:rPr>
          <w:rFonts w:hint="eastAsia"/>
        </w:rPr>
        <w:t>安全技术防范行业设计施工维护能力证书</w:t>
      </w:r>
      <w:r>
        <w:rPr>
          <w:rFonts w:hint="eastAsia"/>
          <w:lang w:val="en-US" w:eastAsia="zh-CN"/>
        </w:rPr>
        <w:t>复印件</w:t>
      </w:r>
    </w:p>
    <w:p w14:paraId="22572FF7">
      <w:pPr>
        <w:rPr>
          <w:rFonts w:hint="eastAsia"/>
          <w:lang w:val="zh-CN"/>
        </w:rPr>
      </w:pPr>
    </w:p>
    <w:p w14:paraId="44D5F172">
      <w:pPr>
        <w:rPr>
          <w:rFonts w:hint="eastAsia"/>
          <w:lang w:val="zh-CN"/>
        </w:rPr>
      </w:pPr>
    </w:p>
    <w:p w14:paraId="1BCFC7D4">
      <w:pPr>
        <w:rPr>
          <w:rFonts w:hint="eastAsia"/>
          <w:lang w:val="zh-CN"/>
        </w:rPr>
      </w:pPr>
    </w:p>
    <w:p w14:paraId="4C1E0B92">
      <w:pPr>
        <w:rPr>
          <w:rFonts w:hint="eastAsia"/>
          <w:lang w:val="zh-CN"/>
        </w:rPr>
      </w:pPr>
      <w:r>
        <w:rPr>
          <w:rFonts w:hint="eastAsia"/>
          <w:lang w:val="zh-CN"/>
        </w:rPr>
        <w:br w:type="page"/>
      </w:r>
    </w:p>
    <w:p w14:paraId="1B9D9940">
      <w:pPr>
        <w:pStyle w:val="28"/>
        <w:rPr>
          <w:rFonts w:hint="eastAsia"/>
          <w:lang w:val="zh-CN"/>
        </w:rPr>
      </w:pPr>
      <w:r>
        <w:rPr>
          <w:rFonts w:hint="eastAsia"/>
          <w:lang w:val="zh-CN"/>
        </w:rPr>
        <w:t>（</w:t>
      </w:r>
      <w:r>
        <w:rPr>
          <w:rFonts w:hint="eastAsia"/>
          <w:lang w:val="en-US" w:eastAsia="zh-CN"/>
        </w:rPr>
        <w:t>六</w:t>
      </w:r>
      <w:r>
        <w:rPr>
          <w:rFonts w:hint="eastAsia"/>
          <w:lang w:val="zh-CN"/>
        </w:rPr>
        <w:t>）</w:t>
      </w:r>
      <w:r>
        <w:rPr>
          <w:rFonts w:hint="eastAsia"/>
        </w:rPr>
        <w:t>保安服务许可证</w:t>
      </w:r>
      <w:r>
        <w:rPr>
          <w:rFonts w:hint="eastAsia"/>
          <w:lang w:val="en-US" w:eastAsia="zh-CN"/>
        </w:rPr>
        <w:t>复印件</w:t>
      </w:r>
    </w:p>
    <w:p w14:paraId="5CCE542E">
      <w:pPr>
        <w:rPr>
          <w:rFonts w:hint="eastAsia"/>
          <w:lang w:val="zh-CN"/>
        </w:rPr>
      </w:pPr>
    </w:p>
    <w:p w14:paraId="42B05FDD">
      <w:pPr>
        <w:rPr>
          <w:rFonts w:hint="eastAsia"/>
          <w:lang w:val="zh-CN"/>
        </w:rPr>
      </w:pPr>
    </w:p>
    <w:p w14:paraId="65304C15">
      <w:pPr>
        <w:rPr>
          <w:rFonts w:hint="eastAsia"/>
          <w:lang w:val="zh-CN"/>
        </w:rPr>
      </w:pPr>
    </w:p>
    <w:p w14:paraId="5A0E38AB">
      <w:pPr>
        <w:rPr>
          <w:rFonts w:hint="eastAsia"/>
          <w:lang w:val="zh-CN"/>
        </w:rPr>
      </w:pPr>
      <w:r>
        <w:rPr>
          <w:rFonts w:hint="eastAsia"/>
          <w:lang w:val="zh-CN"/>
        </w:rPr>
        <w:br w:type="page"/>
      </w:r>
    </w:p>
    <w:p w14:paraId="2D6BD149">
      <w:pPr>
        <w:pStyle w:val="28"/>
        <w:rPr>
          <w:rFonts w:hint="eastAsia"/>
          <w:lang w:val="zh-CN"/>
        </w:rPr>
      </w:pPr>
      <w:r>
        <w:rPr>
          <w:rFonts w:hint="eastAsia"/>
          <w:lang w:val="zh-CN"/>
        </w:rPr>
        <w:t>（</w:t>
      </w:r>
      <w:r>
        <w:rPr>
          <w:rFonts w:hint="eastAsia"/>
          <w:lang w:val="en-US" w:eastAsia="zh-CN"/>
        </w:rPr>
        <w:t>七</w:t>
      </w:r>
      <w:r>
        <w:rPr>
          <w:rFonts w:hint="eastAsia"/>
          <w:lang w:val="zh-CN"/>
        </w:rPr>
        <w:t>）</w:t>
      </w:r>
      <w:r>
        <w:t>110指挥中心接警平台证明或接入110接处警系统的复函</w:t>
      </w:r>
      <w:r>
        <w:rPr>
          <w:rFonts w:hint="eastAsia"/>
          <w:lang w:val="en-US" w:eastAsia="zh-CN"/>
        </w:rPr>
        <w:t>复印件</w:t>
      </w:r>
    </w:p>
    <w:p w14:paraId="624A4D99">
      <w:pPr>
        <w:rPr>
          <w:rFonts w:hint="eastAsia"/>
          <w:lang w:val="zh-CN"/>
        </w:rPr>
      </w:pPr>
    </w:p>
    <w:p w14:paraId="0A3FF2B4">
      <w:pPr>
        <w:rPr>
          <w:rFonts w:hint="eastAsia"/>
          <w:lang w:val="zh-CN"/>
        </w:rPr>
      </w:pPr>
    </w:p>
    <w:p w14:paraId="7A41B904">
      <w:pPr>
        <w:rPr>
          <w:rFonts w:hint="eastAsia"/>
          <w:lang w:val="zh-CN"/>
        </w:rPr>
      </w:pPr>
    </w:p>
    <w:p w14:paraId="74B1FD25">
      <w:pPr>
        <w:rPr>
          <w:rFonts w:hint="eastAsia"/>
          <w:lang w:val="zh-CN"/>
        </w:rPr>
      </w:pPr>
      <w:r>
        <w:rPr>
          <w:rFonts w:hint="eastAsia"/>
          <w:lang w:val="zh-CN"/>
        </w:rPr>
        <w:br w:type="page"/>
      </w:r>
    </w:p>
    <w:p w14:paraId="1B0FE278">
      <w:pPr>
        <w:pStyle w:val="28"/>
        <w:rPr>
          <w:rFonts w:hint="eastAsia"/>
          <w:lang w:val="zh-CN"/>
        </w:rPr>
      </w:pPr>
      <w:r>
        <w:rPr>
          <w:rFonts w:hint="eastAsia"/>
          <w:lang w:val="zh-CN"/>
        </w:rPr>
        <w:t>（</w:t>
      </w:r>
      <w:r>
        <w:rPr>
          <w:rFonts w:hint="eastAsia"/>
          <w:lang w:val="en-US" w:eastAsia="zh-CN"/>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799CBAD8">
      <w:pPr>
        <w:rPr>
          <w:rFonts w:hint="eastAsia"/>
          <w:lang w:val="zh-CN"/>
        </w:rPr>
      </w:pPr>
    </w:p>
    <w:p w14:paraId="1788914B">
      <w:pPr>
        <w:rPr>
          <w:rFonts w:hint="eastAsia"/>
          <w:lang w:val="zh-CN"/>
        </w:rPr>
      </w:pPr>
    </w:p>
    <w:p w14:paraId="71C9073D">
      <w:pPr>
        <w:rPr>
          <w:rFonts w:hint="eastAsia"/>
          <w:lang w:val="zh-CN"/>
        </w:rPr>
      </w:pPr>
    </w:p>
    <w:p w14:paraId="4805D330">
      <w:pPr>
        <w:rPr>
          <w:rFonts w:hint="eastAsia"/>
          <w:lang w:val="zh-CN"/>
        </w:rPr>
      </w:pPr>
      <w:r>
        <w:rPr>
          <w:rFonts w:hint="eastAsia"/>
          <w:lang w:val="zh-CN"/>
        </w:rPr>
        <w:br w:type="page"/>
      </w:r>
    </w:p>
    <w:p w14:paraId="50D8A67F">
      <w:pPr>
        <w:pStyle w:val="17"/>
        <w:rPr>
          <w:rFonts w:hint="eastAsia"/>
        </w:rPr>
      </w:pPr>
      <w:r>
        <w:t>五、响应性文件</w:t>
      </w:r>
    </w:p>
    <w:p w14:paraId="3B8F932D">
      <w:pPr>
        <w:pStyle w:val="28"/>
        <w:rPr>
          <w:rFonts w:hint="eastAsia"/>
        </w:rPr>
      </w:pPr>
      <w:r>
        <w:rPr>
          <w:rFonts w:hint="eastAsia"/>
        </w:rPr>
        <w:t>（一）响应承诺函</w:t>
      </w:r>
    </w:p>
    <w:p w14:paraId="7546B160">
      <w:pPr>
        <w:rPr>
          <w:rFonts w:hint="eastAsia"/>
        </w:rPr>
      </w:pPr>
      <w:r>
        <w:rPr>
          <w:rFonts w:hint="eastAsia"/>
        </w:rPr>
        <w:t>项目名称：</w:t>
      </w:r>
    </w:p>
    <w:p w14:paraId="37D6FDD9">
      <w:pPr>
        <w:rPr>
          <w:rFonts w:hint="eastAsia"/>
        </w:rPr>
      </w:pPr>
    </w:p>
    <w:p w14:paraId="1B4EC231">
      <w:pPr>
        <w:rPr>
          <w:rFonts w:hint="eastAsia"/>
        </w:rPr>
      </w:pPr>
      <w:r>
        <w:rPr>
          <w:rFonts w:hint="eastAsia"/>
        </w:rPr>
        <w:t>致：重庆三峡银行股份有限公司：</w:t>
      </w:r>
    </w:p>
    <w:p w14:paraId="4A03579E">
      <w:pPr>
        <w:rPr>
          <w:rFonts w:hint="eastAsia"/>
        </w:rPr>
      </w:pPr>
    </w:p>
    <w:p w14:paraId="7761EFB8">
      <w:pPr>
        <w:rPr>
          <w:rFonts w:hint="eastAsia"/>
        </w:rPr>
      </w:pPr>
      <w:r>
        <w:rPr>
          <w:rFonts w:hint="eastAsia"/>
        </w:rPr>
        <w:t>我公司郑重承诺，完全满足第三章“项目要求”所有内容。</w:t>
      </w:r>
    </w:p>
    <w:p w14:paraId="6EA6E6FF">
      <w:pPr>
        <w:rPr>
          <w:rFonts w:hint="eastAsia"/>
        </w:rPr>
      </w:pPr>
    </w:p>
    <w:p w14:paraId="1E428502">
      <w:pPr>
        <w:rPr>
          <w:rFonts w:hint="eastAsia"/>
        </w:rPr>
      </w:pPr>
      <w:r>
        <w:rPr>
          <w:rFonts w:hint="eastAsia"/>
        </w:rPr>
        <w:t>特此承诺。</w:t>
      </w:r>
    </w:p>
    <w:p w14:paraId="0CBB7844">
      <w:pPr>
        <w:rPr>
          <w:rFonts w:hint="eastAsia"/>
        </w:rPr>
      </w:pPr>
    </w:p>
    <w:p w14:paraId="737E4786">
      <w:pPr>
        <w:rPr>
          <w:rFonts w:hint="eastAsia"/>
        </w:rPr>
      </w:pPr>
    </w:p>
    <w:p w14:paraId="15D69756">
      <w:pPr>
        <w:jc w:val="right"/>
        <w:rPr>
          <w:rFonts w:hint="eastAsia"/>
        </w:rPr>
      </w:pPr>
      <w:r>
        <w:rPr>
          <w:rFonts w:hint="eastAsia"/>
        </w:rPr>
        <w:t>（</w:t>
      </w:r>
      <w:r>
        <w:rPr>
          <w:rFonts w:hint="eastAsia" w:cs="等线 Light"/>
          <w:snapToGrid w:val="0"/>
          <w:kern w:val="0"/>
          <w:szCs w:val="24"/>
        </w:rPr>
        <w:t>参选</w:t>
      </w:r>
      <w:r>
        <w:rPr>
          <w:rFonts w:hint="eastAsia"/>
        </w:rPr>
        <w:t>人公章）</w:t>
      </w:r>
    </w:p>
    <w:p w14:paraId="48B56326">
      <w:pPr>
        <w:jc w:val="right"/>
        <w:rPr>
          <w:rFonts w:hint="eastAsia"/>
        </w:rPr>
      </w:pPr>
      <w:r>
        <w:rPr>
          <w:rFonts w:hint="eastAsia"/>
        </w:rPr>
        <w:t>年   月   日</w:t>
      </w:r>
    </w:p>
    <w:p w14:paraId="76F31494">
      <w:pPr>
        <w:rPr>
          <w:rFonts w:hint="eastAsia"/>
        </w:rPr>
      </w:pPr>
    </w:p>
    <w:p w14:paraId="4AA00597">
      <w:pPr>
        <w:rPr>
          <w:rFonts w:hint="eastAsia"/>
        </w:rPr>
        <w:sectPr>
          <w:pgSz w:w="11906" w:h="16838"/>
          <w:pgMar w:top="1440" w:right="1800" w:bottom="1440" w:left="1800" w:header="851" w:footer="992" w:gutter="0"/>
          <w:cols w:space="720" w:num="1"/>
          <w:docGrid w:type="lines" w:linePitch="312" w:charSpace="0"/>
        </w:sectPr>
      </w:pPr>
    </w:p>
    <w:p w14:paraId="48D5C1AC">
      <w:pPr>
        <w:pStyle w:val="28"/>
        <w:bidi w:val="0"/>
        <w:rPr>
          <w:rFonts w:hint="eastAsia"/>
        </w:rPr>
      </w:pPr>
      <w:r>
        <w:t>（二）</w:t>
      </w:r>
      <w:r>
        <w:rPr>
          <w:rFonts w:hint="eastAsia"/>
        </w:rPr>
        <w:t>参选保证金</w:t>
      </w:r>
    </w:p>
    <w:p w14:paraId="6A8CBF8A">
      <w:pPr>
        <w:rPr>
          <w:rFonts w:hint="eastAsia"/>
        </w:rPr>
      </w:pPr>
    </w:p>
    <w:p w14:paraId="44FD780F">
      <w:pPr>
        <w:rPr>
          <w:rFonts w:hint="eastAsia"/>
        </w:rPr>
      </w:pPr>
    </w:p>
    <w:p w14:paraId="6A42FD68">
      <w:pPr>
        <w:rPr>
          <w:rFonts w:hint="eastAsia"/>
        </w:rPr>
      </w:pPr>
    </w:p>
    <w:p w14:paraId="3719BE39">
      <w:pPr>
        <w:rPr>
          <w:rFonts w:hint="eastAsia"/>
        </w:rPr>
      </w:pPr>
    </w:p>
    <w:p w14:paraId="4EB2D7B7">
      <w:pPr>
        <w:rPr>
          <w:rFonts w:hint="eastAsia"/>
        </w:rPr>
      </w:pPr>
    </w:p>
    <w:p w14:paraId="47B58232">
      <w:pPr>
        <w:rPr>
          <w:rFonts w:hint="eastAsia"/>
        </w:rPr>
      </w:pPr>
    </w:p>
    <w:p w14:paraId="324CD990">
      <w:pPr>
        <w:rPr>
          <w:rFonts w:hint="eastAsia"/>
        </w:rPr>
      </w:pPr>
    </w:p>
    <w:p w14:paraId="58BA28DF">
      <w:pPr>
        <w:rPr>
          <w:rFonts w:hint="eastAsia"/>
        </w:rPr>
      </w:pPr>
    </w:p>
    <w:p w14:paraId="6F4A8E08">
      <w:pPr>
        <w:rPr>
          <w:rFonts w:hint="eastAsia"/>
        </w:rPr>
      </w:pPr>
    </w:p>
    <w:p w14:paraId="6C5FA364">
      <w:pPr>
        <w:rPr>
          <w:rFonts w:hint="eastAsia"/>
        </w:rPr>
      </w:pPr>
    </w:p>
    <w:p w14:paraId="19C4380A">
      <w:pPr>
        <w:rPr>
          <w:rFonts w:hint="eastAsia"/>
        </w:rPr>
      </w:pPr>
    </w:p>
    <w:p w14:paraId="07154B89">
      <w:pPr>
        <w:rPr>
          <w:rFonts w:hint="eastAsia"/>
        </w:rPr>
      </w:pPr>
    </w:p>
    <w:p w14:paraId="79EAD242">
      <w:pPr>
        <w:rPr>
          <w:rFonts w:hint="eastAsia"/>
        </w:rPr>
      </w:pPr>
    </w:p>
    <w:p w14:paraId="08F39BFD">
      <w:pPr>
        <w:rPr>
          <w:rFonts w:hint="eastAsia"/>
        </w:rPr>
      </w:pPr>
    </w:p>
    <w:p w14:paraId="52B98F05">
      <w:pPr>
        <w:rPr>
          <w:rFonts w:hint="eastAsia"/>
        </w:rPr>
      </w:pPr>
    </w:p>
    <w:p w14:paraId="462D6822">
      <w:pPr>
        <w:rPr>
          <w:rFonts w:hint="eastAsia"/>
        </w:rPr>
      </w:pPr>
    </w:p>
    <w:p w14:paraId="045E4F53">
      <w:pPr>
        <w:rPr>
          <w:rFonts w:hint="eastAsia"/>
        </w:rPr>
      </w:pPr>
    </w:p>
    <w:p w14:paraId="7CAC93FF">
      <w:pPr>
        <w:rPr>
          <w:rFonts w:hint="eastAsia"/>
        </w:rPr>
      </w:pPr>
    </w:p>
    <w:p w14:paraId="7BDB69A9">
      <w:pPr>
        <w:rPr>
          <w:rFonts w:hint="eastAsia"/>
          <w:kern w:val="0"/>
        </w:rPr>
      </w:pPr>
      <w: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3593AE0D">
      <w:pPr>
        <w:rPr>
          <w:rFonts w:hint="eastAsia"/>
          <w:lang w:val="zh-CN"/>
        </w:rPr>
      </w:pPr>
      <w:r>
        <w:rPr>
          <w:rFonts w:hint="eastAsia"/>
          <w:snapToGrid w:val="0"/>
        </w:rPr>
        <w:t>注：附</w:t>
      </w:r>
      <w:r>
        <w:rPr>
          <w:rFonts w:hint="eastAsia" w:cs="等线 Light"/>
          <w:snapToGrid w:val="0"/>
          <w:szCs w:val="24"/>
        </w:rPr>
        <w:t>参选</w:t>
      </w:r>
      <w:r>
        <w:rPr>
          <w:rFonts w:hint="eastAsia"/>
          <w:snapToGrid w:val="0"/>
        </w:rPr>
        <w:t>保证金缴款凭据复印件</w:t>
      </w:r>
    </w:p>
    <w:p w14:paraId="712D522B">
      <w:pPr>
        <w:rPr>
          <w:rFonts w:hint="eastAsia"/>
          <w:lang w:val="zh-CN"/>
        </w:rPr>
      </w:pPr>
    </w:p>
    <w:p w14:paraId="7F65B7A0">
      <w:pPr>
        <w:rPr>
          <w:rFonts w:hint="eastAsia"/>
          <w:lang w:val="zh-CN"/>
        </w:rPr>
      </w:pPr>
      <w:r>
        <w:rPr>
          <w:rFonts w:hint="eastAsia"/>
          <w:lang w:val="zh-CN"/>
        </w:rPr>
        <w:br w:type="page"/>
      </w:r>
    </w:p>
    <w:p w14:paraId="0F7F431C">
      <w:pPr>
        <w:pStyle w:val="28"/>
        <w:rPr>
          <w:rFonts w:hint="eastAsia"/>
        </w:rPr>
      </w:pPr>
      <w:r>
        <w:rPr>
          <w:rFonts w:hint="eastAsia"/>
        </w:rPr>
        <w:t>（</w:t>
      </w:r>
      <w:r>
        <w:rPr>
          <w:rFonts w:hint="eastAsia"/>
          <w:lang w:val="en-US" w:eastAsia="zh-CN"/>
        </w:rPr>
        <w:t>三</w:t>
      </w:r>
      <w:r>
        <w:rPr>
          <w:rFonts w:hint="eastAsia"/>
        </w:rPr>
        <w:t>）其他（如有）</w:t>
      </w:r>
    </w:p>
    <w:p w14:paraId="17AEE4D5">
      <w:pPr>
        <w:rPr>
          <w:rFonts w:hint="eastAsia"/>
        </w:rPr>
      </w:pPr>
    </w:p>
    <w:p w14:paraId="6F72EA14">
      <w:pPr>
        <w:rPr>
          <w:rFonts w:hint="eastAsia"/>
        </w:rPr>
        <w:sectPr>
          <w:pgSz w:w="11906" w:h="16838"/>
          <w:pgMar w:top="1440" w:right="1800" w:bottom="1440" w:left="1800" w:header="851" w:footer="992" w:gutter="0"/>
          <w:cols w:space="720" w:num="1"/>
          <w:docGrid w:type="lines" w:linePitch="312" w:charSpace="0"/>
        </w:sectPr>
      </w:pPr>
    </w:p>
    <w:p w14:paraId="424EE0F5">
      <w:pPr>
        <w:pStyle w:val="17"/>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rPr>
      </w:pP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0A94106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4EC0CA9B">
      <w:pPr>
        <w:rPr>
          <w:rStyle w:val="23"/>
          <w:rFonts w:hint="eastAsia"/>
          <w:b/>
          <w:bCs/>
          <w:color w:val="auto"/>
          <w:highlight w:val="none"/>
          <w:lang w:val="en-US" w:eastAsia="zh-CN"/>
        </w:rPr>
      </w:pPr>
      <w:r>
        <w:rPr>
          <w:rStyle w:val="23"/>
          <w:rFonts w:hint="eastAsia"/>
          <w:b/>
          <w:bCs/>
          <w:color w:val="auto"/>
          <w:highlight w:val="none"/>
          <w:lang w:val="en-US" w:eastAsia="zh-CN"/>
        </w:rPr>
        <w:br w:type="page"/>
      </w:r>
    </w:p>
    <w:p w14:paraId="5090F388">
      <w:pPr>
        <w:pStyle w:val="17"/>
        <w:rPr>
          <w:rFonts w:hint="eastAsia"/>
        </w:rPr>
      </w:pPr>
      <w:r>
        <w:t>七、其他（如有）</w:t>
      </w:r>
    </w:p>
    <w:p w14:paraId="79A5DACD">
      <w:pPr>
        <w:rPr>
          <w:rFonts w:hint="eastAsia"/>
        </w:rPr>
      </w:pPr>
    </w:p>
    <w:p w14:paraId="54B5607C">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5CEF">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3F84E0C2">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3F84E0C2">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131F2A34"/>
    <w:rsid w:val="1B8733B3"/>
    <w:rsid w:val="26691B72"/>
    <w:rsid w:val="28554704"/>
    <w:rsid w:val="42CF23CF"/>
    <w:rsid w:val="574520FD"/>
    <w:rsid w:val="6EF77F6A"/>
    <w:rsid w:val="6FF5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0"/>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1"/>
    <w:autoRedefine/>
    <w:qFormat/>
    <w:uiPriority w:val="0"/>
    <w:pPr>
      <w:spacing w:line="600" w:lineRule="exact"/>
      <w:ind w:firstLine="0" w:firstLineChars="0"/>
      <w:outlineLvl w:val="1"/>
    </w:pPr>
    <w:rPr>
      <w:rFonts w:ascii="Times New Roman" w:hAnsi="Times New Roman" w:eastAsia="宋体" w:cs="宋体"/>
      <w:b/>
      <w:bCs/>
      <w:snapToGrid w:val="0"/>
      <w:szCs w:val="24"/>
    </w:rPr>
  </w:style>
  <w:style w:type="paragraph" w:styleId="4">
    <w:name w:val="heading 3"/>
    <w:basedOn w:val="1"/>
    <w:next w:val="1"/>
    <w:link w:val="22"/>
    <w:autoRedefine/>
    <w:qFormat/>
    <w:uiPriority w:val="0"/>
    <w:pPr>
      <w:keepNext w:val="0"/>
      <w:keepLines w:val="0"/>
      <w:spacing w:before="0" w:after="0" w:line="360" w:lineRule="auto"/>
      <w:outlineLvl w:val="2"/>
    </w:pPr>
    <w:rPr>
      <w:b/>
      <w:bCs/>
      <w:szCs w:val="32"/>
    </w:rPr>
  </w:style>
  <w:style w:type="paragraph" w:styleId="5">
    <w:name w:val="heading 4"/>
    <w:basedOn w:val="1"/>
    <w:next w:val="1"/>
    <w:link w:val="23"/>
    <w:autoRedefine/>
    <w:qFormat/>
    <w:uiPriority w:val="0"/>
    <w:pPr>
      <w:keepNext w:val="0"/>
      <w:keepLines w:val="0"/>
      <w:spacing w:line="360" w:lineRule="auto"/>
      <w:ind w:firstLine="200" w:firstLineChars="200"/>
      <w:outlineLvl w:val="3"/>
    </w:pPr>
    <w:rPr>
      <w:rFonts w:cs="Times New Roman"/>
      <w:bCs/>
      <w:szCs w:val="28"/>
    </w:rPr>
  </w:style>
  <w:style w:type="paragraph" w:styleId="6">
    <w:name w:val="heading 5"/>
    <w:basedOn w:val="1"/>
    <w:next w:val="1"/>
    <w:link w:val="24"/>
    <w:autoRedefine/>
    <w:qFormat/>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5"/>
    <w:autoRedefine/>
    <w:qFormat/>
    <w:uiPriority w:val="0"/>
    <w:pPr>
      <w:keepNext/>
      <w:keepLines/>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link w:val="26"/>
    <w:qFormat/>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19">
    <w:name w:val="Default Paragraph Font"/>
    <w:autoRedefine/>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Plain Text"/>
    <w:basedOn w:val="1"/>
    <w:next w:val="11"/>
    <w:qFormat/>
    <w:uiPriority w:val="0"/>
    <w:pPr>
      <w:keepNext w:val="0"/>
      <w:keepLines w:val="0"/>
      <w:widowControl w:val="0"/>
      <w:suppressLineNumbers w:val="0"/>
      <w:spacing w:before="0" w:beforeAutospacing="0" w:after="0" w:afterAutospacing="0"/>
      <w:ind w:left="0" w:right="0"/>
      <w:jc w:val="both"/>
    </w:pPr>
    <w:rPr>
      <w:rFonts w:ascii="宋体" w:hAnsi="Times New Roman" w:eastAsia="宋体" w:cs="Times New Roman"/>
      <w:kern w:val="0"/>
      <w:sz w:val="20"/>
      <w:szCs w:val="20"/>
      <w:lang w:val="en-US" w:eastAsia="zh-CN" w:bidi="ar-SA"/>
    </w:rPr>
  </w:style>
  <w:style w:type="paragraph" w:customStyle="1" w:styleId="11">
    <w:name w:val="参选文件格式3"/>
    <w:basedOn w:val="1"/>
    <w:link w:val="27"/>
    <w:autoRedefine/>
    <w:qFormat/>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6">
    <w:name w:val="annotation subject"/>
    <w:basedOn w:val="1"/>
    <w:next w:val="17"/>
    <w:qFormat/>
    <w:uiPriority w:val="0"/>
    <w:pPr>
      <w:widowControl w:val="0"/>
      <w:autoSpaceDE w:val="0"/>
      <w:autoSpaceDN w:val="0"/>
      <w:spacing w:line="360" w:lineRule="auto"/>
      <w:ind w:firstLine="200" w:firstLineChars="200"/>
      <w:jc w:val="left"/>
    </w:pPr>
    <w:rPr>
      <w:rFonts w:ascii="Times New Roman" w:hAnsi="Times New Roman" w:eastAsia="楷体_GB2312" w:cs="Times New Roman"/>
      <w:b/>
      <w:bCs/>
      <w:spacing w:val="20"/>
      <w:kern w:val="2"/>
      <w:sz w:val="24"/>
      <w:szCs w:val="20"/>
      <w:lang w:val="en-US" w:eastAsia="zh-CN" w:bidi="ar-SA"/>
    </w:rPr>
  </w:style>
  <w:style w:type="paragraph" w:customStyle="1" w:styleId="17">
    <w:name w:val="参选文件格式1"/>
    <w:basedOn w:val="1"/>
    <w:next w:val="1"/>
    <w:autoRedefine/>
    <w:qFormat/>
    <w:uiPriority w:val="0"/>
    <w:pPr>
      <w:spacing w:line="360" w:lineRule="auto"/>
      <w:ind w:firstLine="0" w:firstLineChars="0"/>
      <w:jc w:val="center"/>
      <w:outlineLvl w:val="1"/>
    </w:pPr>
    <w:rPr>
      <w:rFonts w:eastAsia="宋体"/>
      <w:b/>
      <w:sz w:val="28"/>
    </w:rPr>
  </w:style>
  <w:style w:type="character" w:customStyle="1" w:styleId="20">
    <w:name w:val="heading 1 Char"/>
    <w:basedOn w:val="19"/>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1">
    <w:name w:val="heading 2 Char"/>
    <w:basedOn w:val="19"/>
    <w:link w:val="3"/>
    <w:autoRedefine/>
    <w:qFormat/>
    <w:uiPriority w:val="0"/>
    <w:rPr>
      <w:rFonts w:ascii="Times New Roman" w:hAnsi="Times New Roman" w:eastAsia="宋体" w:cs="宋体"/>
      <w:b/>
      <w:bCs/>
      <w:snapToGrid w:val="0"/>
      <w:kern w:val="2"/>
      <w:sz w:val="21"/>
      <w:szCs w:val="24"/>
      <w:lang w:val="en-US" w:eastAsia="zh-CN" w:bidi="ar-SA"/>
    </w:rPr>
  </w:style>
  <w:style w:type="character" w:customStyle="1" w:styleId="22">
    <w:name w:val="heading 3 Char"/>
    <w:basedOn w:val="19"/>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3">
    <w:name w:val="heading 4 Char"/>
    <w:basedOn w:val="19"/>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4">
    <w:name w:val="heading 5 Char"/>
    <w:basedOn w:val="19"/>
    <w:link w:val="6"/>
    <w:autoRedefine/>
    <w:qFormat/>
    <w:uiPriority w:val="0"/>
    <w:rPr>
      <w:rFonts w:ascii="Times New Roman" w:hAnsi="Times New Roman" w:eastAsia="宋体" w:cs="Cambria Math"/>
      <w:b/>
      <w:kern w:val="2"/>
      <w:sz w:val="28"/>
      <w:szCs w:val="20"/>
      <w:lang w:val="en-US" w:eastAsia="zh-CN" w:bidi="ar-SA"/>
    </w:rPr>
  </w:style>
  <w:style w:type="character" w:customStyle="1" w:styleId="25">
    <w:name w:val="heading 6 Char"/>
    <w:basedOn w:val="19"/>
    <w:link w:val="7"/>
    <w:autoRedefine/>
    <w:qFormat/>
    <w:uiPriority w:val="0"/>
    <w:rPr>
      <w:rFonts w:ascii="Times New Roman" w:hAnsi="Times New Roman" w:eastAsia="黑体" w:cs="Cambria Math"/>
      <w:b/>
      <w:kern w:val="2"/>
      <w:sz w:val="21"/>
      <w:szCs w:val="20"/>
      <w:lang w:val="en-US" w:eastAsia="zh-CN" w:bidi="ar-SA"/>
    </w:rPr>
  </w:style>
  <w:style w:type="character" w:customStyle="1" w:styleId="26">
    <w:name w:val="heading 7 Char"/>
    <w:basedOn w:val="19"/>
    <w:link w:val="8"/>
    <w:qFormat/>
    <w:uiPriority w:val="0"/>
    <w:rPr>
      <w:rFonts w:ascii="Times New Roman" w:hAnsi="Times New Roman" w:eastAsia="宋体" w:cs="Cambria Math"/>
      <w:b/>
      <w:kern w:val="2"/>
      <w:sz w:val="21"/>
      <w:szCs w:val="20"/>
      <w:lang w:val="en-US" w:eastAsia="zh-CN" w:bidi="ar-SA"/>
    </w:rPr>
  </w:style>
  <w:style w:type="character" w:customStyle="1" w:styleId="27">
    <w:name w:val="参选文件格式3 Char"/>
    <w:basedOn w:val="19"/>
    <w:link w:val="11"/>
    <w:autoRedefine/>
    <w:qFormat/>
    <w:uiPriority w:val="0"/>
    <w:rPr>
      <w:rFonts w:ascii="宋体" w:hAnsi="宋体" w:eastAsia="宋体" w:cs="Cambria Math"/>
      <w:b/>
      <w:snapToGrid w:val="0"/>
      <w:kern w:val="0"/>
      <w:sz w:val="21"/>
      <w:szCs w:val="20"/>
      <w:u w:val="none"/>
      <w:lang w:val="en-US" w:eastAsia="zh-CN" w:bidi="ar-SA"/>
    </w:rPr>
  </w:style>
  <w:style w:type="paragraph" w:customStyle="1" w:styleId="28">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9">
    <w:name w:val="表格"/>
    <w:basedOn w:val="1"/>
    <w:qFormat/>
    <w:uiPriority w:val="0"/>
    <w:pPr>
      <w:spacing w:line="360" w:lineRule="auto"/>
      <w:ind w:firstLine="0" w:firstLineChars="0"/>
    </w:pPr>
    <w:rPr>
      <w:rFonts w:ascii="Times New Roman" w:hAnsi="Times New Roman" w:eastAsia="宋体"/>
      <w:bCs/>
      <w:color w:val="auto"/>
      <w:szCs w:val="18"/>
    </w:rPr>
  </w:style>
  <w:style w:type="paragraph" w:customStyle="1" w:styleId="30">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31">
    <w:name w:val="标题2（无级别）"/>
    <w:basedOn w:val="1"/>
    <w:next w:val="1"/>
    <w:qFormat/>
    <w:uiPriority w:val="0"/>
    <w:pPr>
      <w:autoSpaceDE w:val="0"/>
      <w:autoSpaceDN w:val="0"/>
      <w:ind w:left="0" w:firstLine="0" w:firstLineChars="0"/>
      <w:outlineLvl w:val="9"/>
    </w:pPr>
    <w:rPr>
      <w:rFonts w:ascii="Times New Roman" w:hAnsi="Times New Roman" w:eastAsia="宋体" w:cs="宋体"/>
      <w:b/>
      <w:bCs/>
      <w:snapToGrid w:val="0"/>
      <w:szCs w:val="24"/>
    </w:rPr>
  </w:style>
  <w:style w:type="paragraph" w:customStyle="1" w:styleId="32">
    <w:name w:val="标题3（无级别）"/>
    <w:basedOn w:val="1"/>
    <w:next w:val="1"/>
    <w:qFormat/>
    <w:uiPriority w:val="0"/>
    <w:pPr>
      <w:outlineLvl w:val="9"/>
    </w:pPr>
    <w:rPr>
      <w:rFonts w:ascii="Times New Roman" w:hAnsi="Times New Roman"/>
      <w:b/>
      <w:bCs/>
      <w:sz w:val="21"/>
      <w:szCs w:val="32"/>
    </w:rPr>
  </w:style>
  <w:style w:type="paragraph" w:customStyle="1" w:styleId="33">
    <w:name w:val="pa-6"/>
    <w:basedOn w:val="1"/>
    <w:qFormat/>
    <w:uiPriority w:val="0"/>
    <w:pPr>
      <w:widowControl/>
      <w:spacing w:line="320" w:lineRule="atLeast"/>
      <w:ind w:firstLine="500" w:firstLineChars="0"/>
      <w:jc w:val="both"/>
    </w:pPr>
    <w:rPr>
      <w:rFonts w:ascii="宋体" w:hAnsi="Times New Roman" w:eastAsia="宋体" w:cs="宋体"/>
      <w:kern w:val="0"/>
      <w:sz w:val="24"/>
      <w:szCs w:val="24"/>
      <w:lang w:val="en-US" w:eastAsia="zh-CN" w:bidi="ar-SA"/>
    </w:rPr>
  </w:style>
  <w:style w:type="character" w:customStyle="1" w:styleId="34">
    <w:name w:val="ca-71"/>
    <w:qFormat/>
    <w:uiPriority w:val="0"/>
    <w:rPr>
      <w:rFonts w:ascii="宋体" w:eastAsia="宋体"/>
      <w:color w:val="00008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48</Pages>
  <Words>17265</Words>
  <Characters>18699</Characters>
  <Lines>0</Lines>
  <Paragraphs>665</Paragraphs>
  <TotalTime>0</TotalTime>
  <ScaleCrop>false</ScaleCrop>
  <LinksUpToDate>false</LinksUpToDate>
  <CharactersWithSpaces>19402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2024-11-05T01:28:00Z</dcterms:created>
  <dc:creator>Administrator</dc:creator>
  <cp:lastModifiedBy>杜玲子</cp:lastModifiedBy>
  <cp:lastPrinted>2024-11-05T02:39:00Z</cp:lastPrinted>
  <dcterms:modified xsi:type="dcterms:W3CDTF">2024-11-28T13:04:50Z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A7ED398730EA47B799095AF494020501_13</vt:lpwstr>
  </property>
</Properties>
</file>