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3F6AD">
      <w:pPr>
        <w:spacing w:line="360" w:lineRule="auto"/>
        <w:ind w:firstLine="0" w:firstLineChars="0"/>
        <w:jc w:val="center"/>
        <w:outlineLvl w:val="1"/>
        <w:rPr>
          <w:rFonts w:ascii="Times New Roman" w:hAnsi="Times New Roman" w:cs="Times New Roman"/>
          <w:b/>
          <w:snapToGrid w:val="0"/>
          <w:color w:val="auto"/>
          <w:kern w:val="0"/>
          <w:sz w:val="48"/>
          <w:szCs w:val="84"/>
          <w:highlight w:val="none"/>
        </w:rPr>
      </w:pPr>
      <w:bookmarkStart w:id="0" w:name="_Toc6070"/>
      <w:bookmarkStart w:id="1" w:name="_Toc19245"/>
      <w:bookmarkStart w:id="2" w:name="_Toc27032"/>
      <w:r>
        <w:rPr>
          <w:rFonts w:hint="eastAsia" w:ascii="Times New Roman" w:hAnsi="Times New Roman" w:cs="Times New Roman"/>
          <w:b/>
          <w:snapToGrid w:val="0"/>
          <w:color w:val="auto"/>
          <w:kern w:val="0"/>
          <w:sz w:val="48"/>
          <w:szCs w:val="84"/>
          <w:highlight w:val="none"/>
        </w:rPr>
        <w:t>重庆三峡银行</w:t>
      </w:r>
      <w:bookmarkEnd w:id="0"/>
      <w:bookmarkEnd w:id="1"/>
      <w:bookmarkEnd w:id="2"/>
    </w:p>
    <w:p w14:paraId="73DAE422">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u w:val="none"/>
        </w:rPr>
        <w:t>民事案件管理系统建设</w:t>
      </w:r>
      <w:r>
        <w:rPr>
          <w:rFonts w:hint="eastAsia" w:ascii="Times New Roman" w:hAnsi="Times New Roman" w:cs="Times New Roman"/>
          <w:b/>
          <w:snapToGrid w:val="0"/>
          <w:color w:val="auto"/>
          <w:kern w:val="0"/>
          <w:sz w:val="48"/>
          <w:szCs w:val="84"/>
          <w:highlight w:val="none"/>
        </w:rPr>
        <w:t>项目</w:t>
      </w:r>
    </w:p>
    <w:p w14:paraId="399EB470">
      <w:pPr>
        <w:spacing w:line="360" w:lineRule="auto"/>
        <w:ind w:firstLine="0" w:firstLineChars="0"/>
        <w:jc w:val="left"/>
        <w:rPr>
          <w:rFonts w:ascii="Times New Roman" w:hAnsi="Times New Roman" w:cs="Times New Roman"/>
          <w:snapToGrid w:val="0"/>
          <w:color w:val="auto"/>
          <w:kern w:val="0"/>
          <w:sz w:val="18"/>
          <w:highlight w:val="none"/>
        </w:rPr>
      </w:pPr>
    </w:p>
    <w:p w14:paraId="447168FB">
      <w:pPr>
        <w:spacing w:line="360" w:lineRule="auto"/>
        <w:ind w:firstLine="0" w:firstLineChars="0"/>
        <w:jc w:val="left"/>
        <w:rPr>
          <w:rFonts w:ascii="Times New Roman" w:hAnsi="Times New Roman" w:cs="Times New Roman"/>
          <w:snapToGrid w:val="0"/>
          <w:color w:val="auto"/>
          <w:kern w:val="0"/>
          <w:sz w:val="20"/>
          <w:highlight w:val="none"/>
        </w:rPr>
      </w:pPr>
    </w:p>
    <w:p w14:paraId="79E88224">
      <w:pPr>
        <w:spacing w:line="360" w:lineRule="auto"/>
        <w:ind w:firstLine="0" w:firstLineChars="0"/>
        <w:jc w:val="left"/>
        <w:rPr>
          <w:rFonts w:ascii="Times New Roman" w:hAnsi="Times New Roman" w:cs="Times New Roman"/>
          <w:snapToGrid w:val="0"/>
          <w:color w:val="auto"/>
          <w:kern w:val="0"/>
          <w:sz w:val="20"/>
          <w:highlight w:val="none"/>
        </w:rPr>
      </w:pPr>
    </w:p>
    <w:p w14:paraId="3EC745DC">
      <w:pPr>
        <w:spacing w:line="360" w:lineRule="auto"/>
        <w:ind w:firstLine="0" w:firstLineChars="0"/>
        <w:jc w:val="left"/>
        <w:rPr>
          <w:rFonts w:ascii="Times New Roman" w:hAnsi="Times New Roman" w:cs="Times New Roman"/>
          <w:snapToGrid w:val="0"/>
          <w:color w:val="auto"/>
          <w:kern w:val="0"/>
          <w:sz w:val="20"/>
          <w:highlight w:val="none"/>
        </w:rPr>
      </w:pPr>
    </w:p>
    <w:p w14:paraId="009BEA6B">
      <w:pPr>
        <w:spacing w:line="360" w:lineRule="auto"/>
        <w:ind w:firstLine="0" w:firstLineChars="0"/>
        <w:jc w:val="left"/>
        <w:rPr>
          <w:rFonts w:ascii="Times New Roman" w:hAnsi="Times New Roman" w:cs="Times New Roman"/>
          <w:snapToGrid w:val="0"/>
          <w:color w:val="auto"/>
          <w:kern w:val="0"/>
          <w:sz w:val="20"/>
          <w:highlight w:val="none"/>
        </w:rPr>
      </w:pPr>
    </w:p>
    <w:p w14:paraId="6CD64AFC">
      <w:pPr>
        <w:spacing w:line="360" w:lineRule="auto"/>
        <w:ind w:firstLine="0" w:firstLineChars="0"/>
        <w:jc w:val="left"/>
        <w:rPr>
          <w:rFonts w:ascii="Times New Roman" w:hAnsi="Times New Roman" w:cs="Times New Roman"/>
          <w:snapToGrid w:val="0"/>
          <w:color w:val="auto"/>
          <w:kern w:val="0"/>
          <w:sz w:val="20"/>
          <w:highlight w:val="none"/>
        </w:rPr>
      </w:pPr>
    </w:p>
    <w:p w14:paraId="426134BC">
      <w:pPr>
        <w:spacing w:line="360" w:lineRule="auto"/>
        <w:ind w:firstLine="0" w:firstLineChars="0"/>
        <w:jc w:val="left"/>
        <w:rPr>
          <w:rFonts w:ascii="Times New Roman" w:hAnsi="Times New Roman" w:cs="Times New Roman"/>
          <w:snapToGrid w:val="0"/>
          <w:color w:val="auto"/>
          <w:kern w:val="0"/>
          <w:sz w:val="20"/>
          <w:highlight w:val="none"/>
        </w:rPr>
      </w:pPr>
    </w:p>
    <w:p w14:paraId="20381D19">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22255F35">
      <w:pPr>
        <w:spacing w:line="360" w:lineRule="auto"/>
        <w:ind w:firstLine="0" w:firstLineChars="0"/>
        <w:jc w:val="center"/>
        <w:rPr>
          <w:rFonts w:ascii="Times New Roman" w:hAnsi="Times New Roman" w:cs="Times New Roman"/>
          <w:b/>
          <w:snapToGrid w:val="0"/>
          <w:color w:val="auto"/>
          <w:kern w:val="0"/>
          <w:szCs w:val="28"/>
          <w:highlight w:val="none"/>
        </w:rPr>
      </w:pPr>
    </w:p>
    <w:p w14:paraId="3E101F5A">
      <w:pPr>
        <w:spacing w:line="360" w:lineRule="auto"/>
        <w:ind w:firstLine="0" w:firstLineChars="0"/>
        <w:jc w:val="center"/>
        <w:rPr>
          <w:rFonts w:ascii="Times New Roman" w:hAnsi="Times New Roman" w:cs="Times New Roman"/>
          <w:b/>
          <w:snapToGrid w:val="0"/>
          <w:color w:val="auto"/>
          <w:kern w:val="0"/>
          <w:szCs w:val="28"/>
          <w:highlight w:val="none"/>
        </w:rPr>
      </w:pPr>
    </w:p>
    <w:p w14:paraId="394B32A2">
      <w:pPr>
        <w:spacing w:line="360" w:lineRule="auto"/>
        <w:ind w:firstLine="0" w:firstLineChars="0"/>
        <w:jc w:val="center"/>
        <w:rPr>
          <w:rFonts w:ascii="Times New Roman" w:hAnsi="Times New Roman" w:cs="Times New Roman"/>
          <w:b/>
          <w:snapToGrid w:val="0"/>
          <w:color w:val="auto"/>
          <w:kern w:val="0"/>
          <w:szCs w:val="28"/>
          <w:highlight w:val="none"/>
        </w:rPr>
      </w:pPr>
    </w:p>
    <w:p w14:paraId="6136CD21">
      <w:pPr>
        <w:ind w:firstLine="0" w:firstLineChars="0"/>
        <w:rPr>
          <w:rFonts w:ascii="Times New Roman" w:hAnsi="Times New Roman"/>
          <w:color w:val="auto"/>
          <w:highlight w:val="none"/>
        </w:rPr>
      </w:pPr>
    </w:p>
    <w:p w14:paraId="5830F329">
      <w:pPr>
        <w:pStyle w:val="10"/>
        <w:rPr>
          <w:rFonts w:ascii="Times New Roman" w:hAnsi="Times New Roman"/>
          <w:color w:val="auto"/>
          <w:highlight w:val="none"/>
        </w:rPr>
      </w:pPr>
    </w:p>
    <w:p w14:paraId="7E84E178">
      <w:pPr>
        <w:rPr>
          <w:rFonts w:ascii="Times New Roman" w:hAnsi="Times New Roman"/>
          <w:color w:val="auto"/>
          <w:highlight w:val="none"/>
        </w:rPr>
      </w:pPr>
    </w:p>
    <w:p w14:paraId="4E4A41BA">
      <w:pPr>
        <w:rPr>
          <w:rFonts w:ascii="Times New Roman" w:hAnsi="Times New Roman"/>
          <w:color w:val="auto"/>
          <w:highlight w:val="none"/>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33C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EE51EF6">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68D77F26">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14D9A99">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13FC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0B8840A">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4B3B3D81">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12</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349A612B">
            <w:pPr>
              <w:rPr>
                <w:color w:val="auto"/>
                <w:highlight w:val="none"/>
              </w:rPr>
            </w:pPr>
          </w:p>
        </w:tc>
      </w:tr>
    </w:tbl>
    <w:p w14:paraId="044035DF">
      <w:pPr>
        <w:rPr>
          <w:rFonts w:ascii="Times New Roman" w:hAnsi="Times New Roman"/>
          <w:color w:val="auto"/>
          <w:highlight w:val="none"/>
        </w:rPr>
      </w:pPr>
    </w:p>
    <w:p w14:paraId="79F8461C">
      <w:pPr>
        <w:rPr>
          <w:rFonts w:ascii="Times New Roman" w:hAnsi="Times New Roman"/>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697C02DE">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4AB08679">
      <w:pPr>
        <w:pStyle w:val="19"/>
        <w:tabs>
          <w:tab w:val="right" w:leader="dot" w:pos="8306"/>
        </w:tabs>
        <w:rPr>
          <w:rFonts w:ascii="Times New Roman" w:hAnsi="Times New Roman"/>
          <w:color w:val="auto"/>
          <w:highlight w:val="none"/>
        </w:rPr>
      </w:pPr>
      <w:r>
        <w:rPr>
          <w:color w:val="auto"/>
          <w:highlight w:val="none"/>
        </w:rPr>
        <w:fldChar w:fldCharType="begin"/>
      </w:r>
      <w:r>
        <w:rPr>
          <w:color w:val="auto"/>
          <w:highlight w:val="none"/>
        </w:rPr>
        <w:instrText xml:space="preserve">Hyperlink \l "_Toc678"</w:instrText>
      </w:r>
      <w:r>
        <w:rPr>
          <w:color w:val="auto"/>
          <w:highlight w:val="none"/>
        </w:rPr>
        <w:fldChar w:fldCharType="separate"/>
      </w:r>
      <w:r>
        <w:rPr>
          <w:rFonts w:hint="eastAsia" w:ascii="Times New Roman" w:hAnsi="Times New Roman"/>
          <w:color w:val="auto"/>
          <w:highlight w:val="none"/>
        </w:rPr>
        <w:t>第一章 比选公告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_Toc678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color w:val="auto"/>
          <w:highlight w:val="none"/>
        </w:rPr>
        <w:fldChar w:fldCharType="end"/>
      </w:r>
    </w:p>
    <w:p w14:paraId="7119B2CE">
      <w:pPr>
        <w:pStyle w:val="19"/>
        <w:tabs>
          <w:tab w:val="right" w:leader="dot" w:pos="8306"/>
        </w:tabs>
        <w:rPr>
          <w:rFonts w:ascii="Times New Roman" w:hAnsi="Times New Roman"/>
          <w:color w:val="auto"/>
          <w:highlight w:val="none"/>
        </w:rPr>
      </w:pPr>
      <w:r>
        <w:rPr>
          <w:color w:val="auto"/>
          <w:highlight w:val="none"/>
        </w:rPr>
        <w:fldChar w:fldCharType="begin"/>
      </w:r>
      <w:r>
        <w:rPr>
          <w:color w:val="auto"/>
          <w:highlight w:val="none"/>
        </w:rPr>
        <w:instrText xml:space="preserve">Hyperlink \l "_Toc27630"</w:instrText>
      </w:r>
      <w:r>
        <w:rPr>
          <w:color w:val="auto"/>
          <w:highlight w:val="none"/>
        </w:rPr>
        <w:fldChar w:fldCharType="separate"/>
      </w:r>
      <w:r>
        <w:rPr>
          <w:rFonts w:hint="eastAsia" w:ascii="Times New Roman" w:hAnsi="Times New Roman"/>
          <w:color w:val="auto"/>
          <w:highlight w:val="none"/>
        </w:rPr>
        <w:t>第二章 参选人须知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_Toc27630 \h </w:instrText>
      </w:r>
      <w:r>
        <w:rPr>
          <w:rFonts w:ascii="Times New Roman" w:hAnsi="Times New Roman"/>
          <w:color w:val="auto"/>
          <w:highlight w:val="none"/>
        </w:rPr>
        <w:fldChar w:fldCharType="separate"/>
      </w:r>
      <w:r>
        <w:rPr>
          <w:rFonts w:ascii="Times New Roman" w:hAnsi="Times New Roman"/>
          <w:color w:val="auto"/>
          <w:highlight w:val="none"/>
        </w:rPr>
        <w:t>5</w:t>
      </w:r>
      <w:r>
        <w:rPr>
          <w:rFonts w:ascii="Times New Roman" w:hAnsi="Times New Roman"/>
          <w:color w:val="auto"/>
          <w:highlight w:val="none"/>
        </w:rPr>
        <w:fldChar w:fldCharType="end"/>
      </w:r>
      <w:r>
        <w:rPr>
          <w:color w:val="auto"/>
          <w:highlight w:val="none"/>
        </w:rPr>
        <w:fldChar w:fldCharType="end"/>
      </w:r>
    </w:p>
    <w:p w14:paraId="3FB94FE3">
      <w:pPr>
        <w:pStyle w:val="19"/>
        <w:tabs>
          <w:tab w:val="right" w:leader="dot" w:pos="8306"/>
        </w:tabs>
        <w:rPr>
          <w:rFonts w:ascii="Times New Roman" w:hAnsi="Times New Roman"/>
          <w:color w:val="auto"/>
          <w:highlight w:val="none"/>
        </w:rPr>
      </w:pPr>
      <w:r>
        <w:rPr>
          <w:color w:val="auto"/>
          <w:highlight w:val="none"/>
        </w:rPr>
        <w:fldChar w:fldCharType="begin"/>
      </w:r>
      <w:r>
        <w:rPr>
          <w:color w:val="auto"/>
          <w:highlight w:val="none"/>
        </w:rPr>
        <w:instrText xml:space="preserve">Hyperlink \l "_Toc11825"</w:instrText>
      </w:r>
      <w:r>
        <w:rPr>
          <w:color w:val="auto"/>
          <w:highlight w:val="none"/>
        </w:rPr>
        <w:fldChar w:fldCharType="separate"/>
      </w:r>
      <w:r>
        <w:rPr>
          <w:rFonts w:hint="eastAsia" w:ascii="Times New Roman" w:hAnsi="Times New Roman"/>
          <w:color w:val="auto"/>
          <w:highlight w:val="none"/>
        </w:rPr>
        <w:t>第三章 项目要求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_Toc11825 \h </w:instrText>
      </w:r>
      <w:r>
        <w:rPr>
          <w:rFonts w:ascii="Times New Roman" w:hAnsi="Times New Roman"/>
          <w:color w:val="auto"/>
          <w:highlight w:val="none"/>
        </w:rPr>
        <w:fldChar w:fldCharType="separate"/>
      </w:r>
      <w:r>
        <w:rPr>
          <w:rFonts w:ascii="Times New Roman" w:hAnsi="Times New Roman"/>
          <w:color w:val="auto"/>
          <w:highlight w:val="none"/>
        </w:rPr>
        <w:t>14</w:t>
      </w:r>
      <w:r>
        <w:rPr>
          <w:rFonts w:ascii="Times New Roman" w:hAnsi="Times New Roman"/>
          <w:color w:val="auto"/>
          <w:highlight w:val="none"/>
        </w:rPr>
        <w:fldChar w:fldCharType="end"/>
      </w:r>
      <w:r>
        <w:rPr>
          <w:color w:val="auto"/>
          <w:highlight w:val="none"/>
        </w:rPr>
        <w:fldChar w:fldCharType="end"/>
      </w:r>
    </w:p>
    <w:p w14:paraId="4AF3F6E4">
      <w:pPr>
        <w:pStyle w:val="19"/>
        <w:tabs>
          <w:tab w:val="right" w:leader="dot" w:pos="8306"/>
        </w:tabs>
        <w:ind w:firstLine="480"/>
        <w:rPr>
          <w:color w:val="auto"/>
          <w:highlight w:val="none"/>
        </w:rPr>
      </w:pPr>
      <w:r>
        <w:rPr>
          <w:color w:val="auto"/>
          <w:highlight w:val="none"/>
        </w:rPr>
        <w:fldChar w:fldCharType="begin"/>
      </w:r>
      <w:r>
        <w:rPr>
          <w:color w:val="auto"/>
          <w:highlight w:val="none"/>
        </w:rPr>
        <w:instrText xml:space="preserve">Hyperlink \l "_Toc24542"</w:instrText>
      </w:r>
      <w:r>
        <w:rPr>
          <w:color w:val="auto"/>
          <w:highlight w:val="none"/>
        </w:rPr>
        <w:fldChar w:fldCharType="separate"/>
      </w:r>
      <w:r>
        <w:rPr>
          <w:rFonts w:hint="eastAsia" w:ascii="Times New Roman" w:hAnsi="Times New Roman"/>
          <w:color w:val="auto"/>
          <w:highlight w:val="none"/>
        </w:rPr>
        <w:t>第四章 评审办法（综合评估法）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_Toc24542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color w:val="auto"/>
          <w:highlight w:val="none"/>
        </w:rPr>
        <w:fldChar w:fldCharType="end"/>
      </w:r>
      <w:r>
        <w:rPr>
          <w:rFonts w:hint="eastAsia"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p>
    <w:p w14:paraId="6F84C62D">
      <w:pPr>
        <w:pStyle w:val="1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_Toc29726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第五章 合同</w:t>
      </w:r>
      <w:r>
        <w:rPr>
          <w:rFonts w:ascii="Times New Roman" w:hAnsi="Times New Roman"/>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_Toc29726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snapToGrid w:val="0"/>
          <w:color w:val="auto"/>
          <w:kern w:val="0"/>
          <w:szCs w:val="24"/>
          <w:highlight w:val="none"/>
        </w:rPr>
        <w:fldChar w:fldCharType="end"/>
      </w:r>
    </w:p>
    <w:p w14:paraId="2CD09B8C">
      <w:pPr>
        <w:pStyle w:val="1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_Toc3309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_Toc3309 \h </w:instrText>
      </w:r>
      <w:r>
        <w:rPr>
          <w:color w:val="auto"/>
          <w:highlight w:val="none"/>
        </w:rPr>
        <w:fldChar w:fldCharType="separate"/>
      </w:r>
      <w:r>
        <w:rPr>
          <w:color w:val="auto"/>
          <w:highlight w:val="none"/>
        </w:rPr>
        <w:t>105</w:t>
      </w:r>
      <w:r>
        <w:rPr>
          <w:color w:val="auto"/>
          <w:highlight w:val="none"/>
        </w:rPr>
        <w:fldChar w:fldCharType="end"/>
      </w:r>
      <w:r>
        <w:rPr>
          <w:rFonts w:ascii="Times New Roman" w:hAnsi="Times New Roman"/>
          <w:snapToGrid w:val="0"/>
          <w:color w:val="auto"/>
          <w:kern w:val="0"/>
          <w:szCs w:val="24"/>
          <w:highlight w:val="none"/>
        </w:rPr>
        <w:fldChar w:fldCharType="end"/>
      </w:r>
    </w:p>
    <w:p w14:paraId="246D93C6">
      <w:pPr>
        <w:pStyle w:val="19"/>
        <w:widowControl/>
        <w:tabs>
          <w:tab w:val="right" w:leader="dot" w:pos="8306"/>
        </w:tabs>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3EBA3713">
      <w:pPr>
        <w:widowControl/>
        <w:jc w:val="left"/>
        <w:rPr>
          <w:rFonts w:ascii="Times New Roman" w:hAnsi="Times New Roman"/>
          <w:snapToGrid w:val="0"/>
          <w:color w:val="auto"/>
          <w:kern w:val="0"/>
          <w:szCs w:val="24"/>
          <w:highlight w:val="none"/>
        </w:rPr>
        <w:sectPr>
          <w:footerReference r:id="rId6" w:type="default"/>
          <w:pgSz w:w="11906" w:h="16838"/>
          <w:pgMar w:top="1440" w:right="1800" w:bottom="1440" w:left="1800" w:header="851" w:footer="992" w:gutter="0"/>
          <w:pgNumType w:start="1"/>
          <w:cols w:space="720" w:num="1"/>
          <w:docGrid w:type="lines" w:linePitch="312" w:charSpace="0"/>
        </w:sectPr>
      </w:pPr>
    </w:p>
    <w:p w14:paraId="2F621359">
      <w:pPr>
        <w:pStyle w:val="2"/>
        <w:rPr>
          <w:rFonts w:hint="eastAsia" w:ascii="Times New Roman" w:hAnsi="Times New Roman" w:eastAsia="宋体"/>
          <w:color w:val="auto"/>
          <w:highlight w:val="none"/>
          <w:lang w:val="en-US" w:eastAsia="zh-CN"/>
        </w:rPr>
      </w:pPr>
      <w:bookmarkStart w:id="3" w:name="_Toc440628903"/>
      <w:bookmarkStart w:id="4" w:name="_Toc6745"/>
      <w:bookmarkStart w:id="5" w:name="_Toc4346"/>
      <w:bookmarkStart w:id="6" w:name="_Toc24081"/>
      <w:bookmarkStart w:id="7" w:name="_Toc13639"/>
      <w:bookmarkStart w:id="8" w:name="_Toc678"/>
      <w:bookmarkStart w:id="9" w:name="_Toc13240"/>
      <w:bookmarkStart w:id="10" w:name="_Toc18707"/>
      <w:bookmarkStart w:id="11" w:name="_Toc469574661"/>
      <w:r>
        <w:rPr>
          <w:rFonts w:hint="eastAsia" w:ascii="Times New Roman" w:hAnsi="Times New Roman"/>
          <w:color w:val="auto"/>
          <w:highlight w:val="none"/>
        </w:rPr>
        <w:t>第一章</w:t>
      </w:r>
      <w:bookmarkEnd w:id="3"/>
      <w:r>
        <w:rPr>
          <w:rFonts w:hint="eastAsia" w:ascii="Times New Roman" w:hAnsi="Times New Roman"/>
          <w:color w:val="auto"/>
          <w:highlight w:val="none"/>
        </w:rPr>
        <w:t xml:space="preserve"> 比选公告</w:t>
      </w:r>
      <w:bookmarkEnd w:id="4"/>
      <w:bookmarkEnd w:id="5"/>
      <w:bookmarkEnd w:id="6"/>
      <w:bookmarkEnd w:id="7"/>
      <w:bookmarkEnd w:id="8"/>
      <w:bookmarkEnd w:id="9"/>
      <w:bookmarkEnd w:id="10"/>
      <w:bookmarkEnd w:id="11"/>
    </w:p>
    <w:p w14:paraId="710855A9">
      <w:pPr>
        <w:bidi w:val="0"/>
        <w:rPr>
          <w:color w:val="auto"/>
          <w:highlight w:val="none"/>
        </w:rPr>
      </w:pPr>
      <w:bookmarkStart w:id="12" w:name="_Toc89675127"/>
      <w:bookmarkStart w:id="13" w:name="_Toc55379218"/>
      <w:r>
        <w:rPr>
          <w:rFonts w:hint="eastAsia"/>
          <w:color w:val="auto"/>
          <w:highlight w:val="none"/>
        </w:rPr>
        <w:t>为持续提升民事诉讼案件管理质效，不断推进案件管理信息智能化转型，切实推动全生命周期民事案件管理，促进实现 “以案促管、以管创效”，拟新建民事案件管理系统。现对重庆三峡银行</w:t>
      </w:r>
      <w:r>
        <w:rPr>
          <w:color w:val="auto"/>
          <w:highlight w:val="none"/>
        </w:rPr>
        <w:t>民事案件管理系统建设</w:t>
      </w:r>
      <w:r>
        <w:rPr>
          <w:rFonts w:hint="eastAsia"/>
          <w:color w:val="auto"/>
          <w:highlight w:val="none"/>
        </w:rPr>
        <w:t>项目进行公开比选，</w:t>
      </w:r>
      <w:r>
        <w:rPr>
          <w:color w:val="auto"/>
          <w:highlight w:val="none"/>
        </w:rPr>
        <w:t>特邀请有</w:t>
      </w:r>
      <w:bookmarkStart w:id="14" w:name="_Hlk59455120"/>
      <w:r>
        <w:rPr>
          <w:color w:val="auto"/>
          <w:highlight w:val="none"/>
        </w:rPr>
        <w:t>意向</w:t>
      </w:r>
      <w:bookmarkEnd w:id="14"/>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7E7776B0">
      <w:pPr>
        <w:pStyle w:val="3"/>
        <w:rPr>
          <w:rFonts w:ascii="Times New Roman" w:hAnsi="Times New Roman"/>
          <w:color w:val="auto"/>
          <w:highlight w:val="none"/>
        </w:rPr>
      </w:pPr>
      <w:bookmarkStart w:id="15" w:name="_Toc7444"/>
      <w:bookmarkStart w:id="16" w:name="_Toc1341"/>
      <w:bookmarkStart w:id="17" w:name="_Toc21933"/>
      <w:r>
        <w:rPr>
          <w:rFonts w:hint="eastAsia" w:ascii="Times New Roman" w:hAnsi="Times New Roman"/>
          <w:color w:val="auto"/>
          <w:highlight w:val="none"/>
        </w:rPr>
        <w:t>1. 比选项目内容</w:t>
      </w:r>
      <w:bookmarkEnd w:id="12"/>
      <w:bookmarkEnd w:id="13"/>
      <w:bookmarkEnd w:id="15"/>
      <w:bookmarkEnd w:id="16"/>
      <w:bookmarkEnd w:id="17"/>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421E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B28EAF7">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6F7B9F65">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6298C07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18420117">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2B54A2E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571A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817FD33">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tcBorders>
              <w:top w:val="single" w:color="auto" w:sz="4" w:space="0"/>
              <w:left w:val="single" w:color="auto" w:sz="4" w:space="0"/>
              <w:right w:val="single" w:color="auto" w:sz="4" w:space="0"/>
            </w:tcBorders>
            <w:vAlign w:val="center"/>
          </w:tcPr>
          <w:p w14:paraId="4A47EA32">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lang w:val="en-US" w:eastAsia="zh-CN"/>
              </w:rPr>
              <w:t>重庆三峡银行</w:t>
            </w:r>
            <w:r>
              <w:rPr>
                <w:rFonts w:ascii="Times New Roman" w:hAnsi="Times New Roman" w:cs="Cambria"/>
                <w:snapToGrid w:val="0"/>
                <w:color w:val="auto"/>
                <w:kern w:val="0"/>
                <w:sz w:val="21"/>
                <w:szCs w:val="21"/>
                <w:highlight w:val="none"/>
              </w:rPr>
              <w:t>民事案件管理系统建设项目</w:t>
            </w:r>
          </w:p>
        </w:tc>
        <w:tc>
          <w:tcPr>
            <w:tcW w:w="1646" w:type="dxa"/>
            <w:tcBorders>
              <w:top w:val="single" w:color="auto" w:sz="4" w:space="0"/>
              <w:left w:val="single" w:color="auto" w:sz="4" w:space="0"/>
              <w:right w:val="single" w:color="auto" w:sz="4" w:space="0"/>
            </w:tcBorders>
            <w:vAlign w:val="center"/>
          </w:tcPr>
          <w:p w14:paraId="07FE12DE">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90万元</w:t>
            </w:r>
          </w:p>
        </w:tc>
        <w:tc>
          <w:tcPr>
            <w:tcW w:w="1798" w:type="dxa"/>
            <w:tcBorders>
              <w:top w:val="single" w:color="auto" w:sz="4" w:space="0"/>
              <w:left w:val="single" w:color="auto" w:sz="4" w:space="0"/>
              <w:right w:val="single" w:color="auto" w:sz="4" w:space="0"/>
            </w:tcBorders>
            <w:vAlign w:val="center"/>
          </w:tcPr>
          <w:p w14:paraId="3EE35C46">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w:t>
            </w:r>
          </w:p>
        </w:tc>
        <w:tc>
          <w:tcPr>
            <w:tcW w:w="1798" w:type="dxa"/>
            <w:vAlign w:val="center"/>
          </w:tcPr>
          <w:p w14:paraId="34FE45E0">
            <w:pPr>
              <w:spacing w:line="360" w:lineRule="auto"/>
              <w:ind w:firstLine="0" w:firstLineChars="0"/>
              <w:jc w:val="center"/>
              <w:rPr>
                <w:rFonts w:ascii="Times New Roman" w:hAnsi="Times New Roman" w:cs="Cambria"/>
                <w:snapToGrid w:val="0"/>
                <w:color w:val="auto"/>
                <w:kern w:val="0"/>
                <w:sz w:val="21"/>
                <w:szCs w:val="21"/>
                <w:highlight w:val="none"/>
              </w:rPr>
            </w:pPr>
          </w:p>
        </w:tc>
      </w:tr>
    </w:tbl>
    <w:p w14:paraId="7E2E829F">
      <w:pPr>
        <w:pStyle w:val="3"/>
        <w:rPr>
          <w:rFonts w:ascii="Times New Roman" w:hAnsi="Times New Roman"/>
          <w:color w:val="auto"/>
          <w:highlight w:val="none"/>
        </w:rPr>
      </w:pPr>
      <w:bookmarkStart w:id="18" w:name="_Toc297817088"/>
      <w:bookmarkStart w:id="19" w:name="_Toc12003"/>
      <w:bookmarkStart w:id="20" w:name="_Toc55379219"/>
      <w:bookmarkStart w:id="21" w:name="_Toc5294"/>
      <w:bookmarkStart w:id="22" w:name="_Toc469574664"/>
      <w:bookmarkStart w:id="23" w:name="_Toc30439"/>
      <w:bookmarkStart w:id="24" w:name="_Toc89675128"/>
      <w:bookmarkStart w:id="25" w:name="_Toc288224935"/>
      <w:r>
        <w:rPr>
          <w:rFonts w:hint="eastAsia" w:ascii="Times New Roman" w:hAnsi="Times New Roman"/>
          <w:color w:val="auto"/>
          <w:highlight w:val="none"/>
        </w:rPr>
        <w:t>2. 参选人资格要求</w:t>
      </w:r>
      <w:bookmarkEnd w:id="18"/>
      <w:bookmarkEnd w:id="19"/>
      <w:bookmarkEnd w:id="20"/>
      <w:bookmarkEnd w:id="21"/>
      <w:bookmarkEnd w:id="22"/>
      <w:bookmarkEnd w:id="23"/>
      <w:bookmarkEnd w:id="24"/>
      <w:bookmarkEnd w:id="25"/>
    </w:p>
    <w:p w14:paraId="26728DB8">
      <w:pPr>
        <w:bidi w:val="0"/>
        <w:rPr>
          <w:color w:val="auto"/>
          <w:highlight w:val="none"/>
        </w:rPr>
      </w:pPr>
      <w:bookmarkStart w:id="26" w:name="_Toc10256"/>
      <w:bookmarkStart w:id="27" w:name="_Toc29128"/>
      <w:bookmarkStart w:id="28" w:name="_Toc24877"/>
      <w:bookmarkStart w:id="29" w:name="_Hlk55488870"/>
      <w:r>
        <w:rPr>
          <w:rFonts w:hint="eastAsia"/>
          <w:color w:val="auto"/>
          <w:highlight w:val="none"/>
        </w:rPr>
        <w:t>2.1 具有独立承担民事责任的能力</w:t>
      </w:r>
      <w:bookmarkEnd w:id="26"/>
      <w:bookmarkEnd w:id="27"/>
      <w:bookmarkEnd w:id="28"/>
    </w:p>
    <w:p w14:paraId="020AD92E">
      <w:pPr>
        <w:bidi w:val="0"/>
        <w:rPr>
          <w:color w:val="auto"/>
          <w:highlight w:val="none"/>
        </w:rPr>
      </w:pPr>
      <w:r>
        <w:rPr>
          <w:rFonts w:hint="eastAsia"/>
          <w:color w:val="auto"/>
          <w:highlight w:val="none"/>
        </w:rPr>
        <w:t>【提供参选人有效营业执照（副本）或事业单位法人证书（副本）或个体工商户营业执照或有效的自然人身份证明；参选人法定代表人身份证明和法定代表人授权代表委托书。】</w:t>
      </w:r>
    </w:p>
    <w:p w14:paraId="03CBAB0D">
      <w:pPr>
        <w:bidi w:val="0"/>
        <w:rPr>
          <w:color w:val="auto"/>
          <w:highlight w:val="none"/>
        </w:rPr>
      </w:pPr>
      <w:r>
        <w:rPr>
          <w:rFonts w:hint="eastAsia"/>
          <w:color w:val="auto"/>
          <w:highlight w:val="none"/>
        </w:rPr>
        <w:t>注：若为法定代表人办理并签署参选文件的，不提供授权代表委托书。</w:t>
      </w:r>
    </w:p>
    <w:p w14:paraId="3A20808C">
      <w:pPr>
        <w:bidi w:val="0"/>
        <w:rPr>
          <w:color w:val="auto"/>
          <w:highlight w:val="none"/>
        </w:rPr>
      </w:pPr>
      <w:r>
        <w:rPr>
          <w:rFonts w:hint="eastAsia"/>
          <w:color w:val="auto"/>
          <w:highlight w:val="none"/>
        </w:rPr>
        <w:t>2.2 具有良好的商业信誉和健全的财务会计制度【提供书面声明】；</w:t>
      </w:r>
    </w:p>
    <w:p w14:paraId="60BE813A">
      <w:pPr>
        <w:bidi w:val="0"/>
        <w:rPr>
          <w:color w:val="auto"/>
          <w:highlight w:val="none"/>
        </w:rPr>
      </w:pPr>
      <w:r>
        <w:rPr>
          <w:rFonts w:hint="eastAsia"/>
          <w:color w:val="auto"/>
          <w:highlight w:val="none"/>
        </w:rPr>
        <w:t>2.3 具有履行合同所必需的设备和专业技术能力【提供书面声明】；</w:t>
      </w:r>
    </w:p>
    <w:p w14:paraId="700BD0E7">
      <w:pPr>
        <w:bidi w:val="0"/>
        <w:rPr>
          <w:color w:val="auto"/>
          <w:highlight w:val="none"/>
        </w:rPr>
      </w:pPr>
      <w:r>
        <w:rPr>
          <w:rFonts w:hint="eastAsia"/>
          <w:color w:val="auto"/>
          <w:highlight w:val="none"/>
        </w:rPr>
        <w:t>2.4 有依法缴纳税收和社会保障金的良好记录【提供书面声明】；</w:t>
      </w:r>
    </w:p>
    <w:p w14:paraId="228A9E60">
      <w:pPr>
        <w:bidi w:val="0"/>
        <w:rPr>
          <w:color w:val="auto"/>
          <w:highlight w:val="none"/>
        </w:rPr>
      </w:pPr>
      <w:bookmarkStart w:id="30" w:name="_Toc16893"/>
      <w:bookmarkStart w:id="31" w:name="_Toc16509"/>
      <w:bookmarkStart w:id="32" w:name="_Toc19145"/>
      <w:r>
        <w:rPr>
          <w:rFonts w:hint="eastAsia"/>
          <w:color w:val="auto"/>
          <w:highlight w:val="none"/>
        </w:rPr>
        <w:t>2.5 三年内在经营活动中没有重大违法记录【提供书面声明】；</w:t>
      </w:r>
      <w:bookmarkEnd w:id="30"/>
      <w:bookmarkEnd w:id="31"/>
      <w:bookmarkEnd w:id="32"/>
    </w:p>
    <w:p w14:paraId="2D8761D4">
      <w:pPr>
        <w:bidi w:val="0"/>
        <w:rPr>
          <w:color w:val="auto"/>
          <w:highlight w:val="none"/>
        </w:rPr>
      </w:pPr>
      <w:r>
        <w:rPr>
          <w:rFonts w:hint="eastAsia"/>
          <w:color w:val="auto"/>
          <w:highlight w:val="none"/>
        </w:rPr>
        <w:t>2.6 法人及法定代表人没有被人民法院列为失信被执行人名单【提供中国执行信息公开网截图并加盖单位鲜章】；</w:t>
      </w:r>
    </w:p>
    <w:p w14:paraId="6E37EA12">
      <w:pPr>
        <w:bidi w:val="0"/>
        <w:rPr>
          <w:color w:val="auto"/>
          <w:highlight w:val="none"/>
        </w:rPr>
      </w:pPr>
      <w:r>
        <w:rPr>
          <w:rFonts w:hint="eastAsia"/>
          <w:color w:val="auto"/>
          <w:highlight w:val="none"/>
        </w:rPr>
        <w:t>2.7 本项目不允许任何形式的转包【提供书面声明】。</w:t>
      </w:r>
    </w:p>
    <w:p w14:paraId="1CDEF71A">
      <w:pPr>
        <w:bidi w:val="0"/>
        <w:rPr>
          <w:color w:val="auto"/>
          <w:highlight w:val="none"/>
        </w:rPr>
      </w:pPr>
      <w:r>
        <w:rPr>
          <w:rFonts w:hint="eastAsia"/>
          <w:color w:val="auto"/>
          <w:highlight w:val="none"/>
        </w:rPr>
        <w:t>2.8 本次</w:t>
      </w:r>
      <w:r>
        <w:rPr>
          <w:rFonts w:hint="eastAsia"/>
          <w:color w:val="auto"/>
          <w:highlight w:val="none"/>
          <w:lang w:val="en-US" w:eastAsia="zh-CN"/>
        </w:rPr>
        <w:t>比选</w:t>
      </w:r>
      <w:r>
        <w:rPr>
          <w:rFonts w:hint="eastAsia"/>
          <w:color w:val="auto"/>
          <w:highlight w:val="none"/>
        </w:rPr>
        <w:t>不接受联合体参选。</w:t>
      </w:r>
    </w:p>
    <w:p w14:paraId="68B73E58">
      <w:pPr>
        <w:bidi w:val="0"/>
        <w:rPr>
          <w:rFonts w:hint="eastAsia"/>
          <w:color w:val="auto"/>
          <w:highlight w:val="none"/>
          <w:lang w:eastAsia="zh-CN"/>
        </w:rPr>
      </w:pPr>
      <w:r>
        <w:rPr>
          <w:rFonts w:hint="eastAsia"/>
          <w:color w:val="auto"/>
          <w:highlight w:val="none"/>
        </w:rPr>
        <w:t>2.9 2021年1月1日至参选截止之日（以合同签订日期为准）</w:t>
      </w:r>
      <w:r>
        <w:rPr>
          <w:rFonts w:hint="eastAsia"/>
          <w:color w:val="auto"/>
          <w:highlight w:val="none"/>
          <w:lang w:eastAsia="zh-CN"/>
        </w:rPr>
        <w:t>，</w:t>
      </w:r>
      <w:r>
        <w:rPr>
          <w:rFonts w:hint="eastAsia"/>
          <w:color w:val="auto"/>
          <w:highlight w:val="none"/>
          <w:lang w:val="en-US" w:eastAsia="zh-CN"/>
        </w:rPr>
        <w:t>参选人须具有民事</w:t>
      </w:r>
      <w:r>
        <w:rPr>
          <w:rFonts w:hint="eastAsia"/>
          <w:color w:val="auto"/>
          <w:highlight w:val="none"/>
          <w:lang w:val="en-US" w:eastAsia="zh-Hans"/>
        </w:rPr>
        <w:t>案件管理</w:t>
      </w:r>
      <w:r>
        <w:rPr>
          <w:rFonts w:hint="eastAsia"/>
          <w:color w:val="auto"/>
          <w:highlight w:val="none"/>
        </w:rPr>
        <w:t>相关实施案例不少于</w:t>
      </w:r>
      <w:r>
        <w:rPr>
          <w:rFonts w:hint="eastAsia"/>
          <w:color w:val="auto"/>
          <w:highlight w:val="none"/>
          <w:lang w:val="en-US" w:eastAsia="zh-CN"/>
        </w:rPr>
        <w:t>3</w:t>
      </w:r>
      <w:r>
        <w:rPr>
          <w:rFonts w:hint="eastAsia"/>
          <w:color w:val="auto"/>
          <w:highlight w:val="none"/>
        </w:rPr>
        <w:t>家，低于</w:t>
      </w:r>
      <w:r>
        <w:rPr>
          <w:rFonts w:hint="eastAsia"/>
          <w:color w:val="auto"/>
          <w:highlight w:val="none"/>
          <w:lang w:val="en-US" w:eastAsia="zh-CN"/>
        </w:rPr>
        <w:t>3</w:t>
      </w:r>
      <w:r>
        <w:rPr>
          <w:rFonts w:hint="eastAsia"/>
          <w:color w:val="auto"/>
          <w:highlight w:val="none"/>
        </w:rPr>
        <w:t>个案例（不含</w:t>
      </w:r>
      <w:r>
        <w:rPr>
          <w:rFonts w:hint="eastAsia"/>
          <w:color w:val="auto"/>
          <w:highlight w:val="none"/>
          <w:lang w:val="en-US" w:eastAsia="zh-CN"/>
        </w:rPr>
        <w:t>3</w:t>
      </w:r>
      <w:r>
        <w:rPr>
          <w:rFonts w:hint="eastAsia"/>
          <w:color w:val="auto"/>
          <w:highlight w:val="none"/>
        </w:rPr>
        <w:t>个）取消参选资质</w:t>
      </w:r>
      <w:r>
        <w:rPr>
          <w:rFonts w:hint="eastAsia"/>
          <w:color w:val="auto"/>
          <w:highlight w:val="none"/>
          <w:lang w:eastAsia="zh-CN"/>
        </w:rPr>
        <w:t>。</w:t>
      </w:r>
    </w:p>
    <w:p w14:paraId="70E74BAA">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案例中</w:t>
      </w:r>
      <w:r>
        <w:rPr>
          <w:color w:val="auto"/>
          <w:highlight w:val="none"/>
        </w:rPr>
        <w:t>至少1个为国有银行、股份制银行或省级城商行相关实施案例。同一家银行不同分、支行，或同一家银行在此期间的多次实施，均视为1个案例；至少1个为国产化适配实施案例</w:t>
      </w:r>
      <w:r>
        <w:rPr>
          <w:rFonts w:hint="eastAsia"/>
          <w:color w:val="auto"/>
          <w:highlight w:val="none"/>
          <w:lang w:eastAsia="zh-CN"/>
        </w:rPr>
        <w:t>。）</w:t>
      </w:r>
    </w:p>
    <w:p w14:paraId="30D0DCEB">
      <w:pPr>
        <w:spacing w:line="360" w:lineRule="auto"/>
        <w:ind w:firstLine="420" w:firstLineChars="200"/>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r>
        <w:rPr>
          <w:rFonts w:hint="eastAsia" w:ascii="Times New Roman" w:hAnsi="Times New Roman"/>
          <w:color w:val="auto"/>
          <w:highlight w:val="none"/>
          <w:lang w:eastAsia="zh-CN"/>
        </w:rPr>
        <w:t>】</w:t>
      </w:r>
    </w:p>
    <w:p w14:paraId="239F7F1C">
      <w:pPr>
        <w:rPr>
          <w:rFonts w:ascii="Times New Roman" w:hAnsi="Times New Roman"/>
          <w:color w:val="auto"/>
          <w:highlight w:val="none"/>
        </w:rPr>
      </w:pPr>
      <w:r>
        <w:rPr>
          <w:rFonts w:hint="eastAsia" w:ascii="Times New Roman" w:hAnsi="Times New Roman"/>
          <w:color w:val="auto"/>
          <w:highlight w:val="none"/>
        </w:rPr>
        <w:t xml:space="preserve">2.10 </w:t>
      </w:r>
      <w:r>
        <w:rPr>
          <w:rFonts w:ascii="Times New Roman" w:hAnsi="Times New Roman" w:cs="Times New Roman"/>
          <w:color w:val="auto"/>
          <w:highlight w:val="none"/>
        </w:rPr>
        <w:t>参选人注册成立时间不少于3年，且近3年财务状况稳定。</w:t>
      </w:r>
      <w:bookmarkStart w:id="33" w:name="_Hlk47356067"/>
      <w:r>
        <w:rPr>
          <w:rFonts w:ascii="Times New Roman" w:hAnsi="Times New Roman" w:cs="Times New Roman"/>
          <w:color w:val="auto"/>
          <w:highlight w:val="none"/>
        </w:rPr>
        <w:t>且参选人须具有本次比选内容所涉及的第三方软件代理资格（含开源软件的合法授权），取得本次比选内容所涉及的第三方软件产品的原厂商授权书或确认函（如不涉及第三方软件，</w:t>
      </w:r>
      <w:r>
        <w:rPr>
          <w:rFonts w:hint="eastAsia" w:ascii="Times New Roman" w:hAnsi="Times New Roman" w:cs="Times New Roman"/>
          <w:color w:val="auto"/>
          <w:highlight w:val="none"/>
        </w:rPr>
        <w:t>则提供未使用第三方软件产品确认函</w:t>
      </w:r>
      <w:r>
        <w:rPr>
          <w:rFonts w:ascii="Times New Roman" w:hAnsi="Times New Roman" w:cs="Times New Roman"/>
          <w:color w:val="auto"/>
          <w:highlight w:val="none"/>
        </w:rPr>
        <w:t>）</w:t>
      </w:r>
      <w:bookmarkEnd w:id="33"/>
      <w:r>
        <w:rPr>
          <w:rFonts w:ascii="Times New Roman" w:hAnsi="Times New Roman" w:cs="Times New Roman"/>
          <w:color w:val="auto"/>
          <w:highlight w:val="none"/>
        </w:rPr>
        <w:t>。【注册成立时间提供营业执照、财务状况提供书面声明、代理资格提供第三方软件产品的原厂商授权书或确认函】</w:t>
      </w:r>
    </w:p>
    <w:p w14:paraId="1AAC211F">
      <w:pPr>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081B2771">
      <w:pPr>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FFF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60B7700">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52AD77E1">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8C4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7C7D931">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3FC7480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03F91EB2">
      <w:pPr>
        <w:rPr>
          <w:rFonts w:ascii="Times New Roman" w:hAnsi="Times New Roman"/>
          <w:color w:val="auto"/>
          <w:highlight w:val="none"/>
        </w:rPr>
      </w:pPr>
    </w:p>
    <w:bookmarkEnd w:id="29"/>
    <w:p w14:paraId="4F525446">
      <w:pPr>
        <w:pStyle w:val="3"/>
        <w:rPr>
          <w:rFonts w:ascii="Times New Roman" w:hAnsi="Times New Roman"/>
          <w:color w:val="auto"/>
          <w:highlight w:val="none"/>
        </w:rPr>
      </w:pPr>
      <w:bookmarkStart w:id="34" w:name="_Toc55379220"/>
      <w:bookmarkStart w:id="35" w:name="_Toc28723"/>
      <w:bookmarkStart w:id="36" w:name="_Toc31430"/>
      <w:bookmarkStart w:id="37" w:name="_Toc27759"/>
      <w:bookmarkStart w:id="38" w:name="_Toc89675130"/>
      <w:bookmarkStart w:id="39" w:name="_Toc297817090"/>
      <w:bookmarkStart w:id="40" w:name="_Toc469574667"/>
      <w:r>
        <w:rPr>
          <w:rFonts w:hint="eastAsia" w:ascii="Times New Roman" w:hAnsi="Times New Roman"/>
          <w:color w:val="auto"/>
          <w:highlight w:val="none"/>
        </w:rPr>
        <w:t>3. 比选文件的获取</w:t>
      </w:r>
      <w:bookmarkEnd w:id="34"/>
      <w:bookmarkEnd w:id="35"/>
      <w:bookmarkEnd w:id="36"/>
      <w:bookmarkEnd w:id="37"/>
    </w:p>
    <w:p w14:paraId="03D49105">
      <w:pPr>
        <w:bidi w:val="0"/>
        <w:ind w:firstLine="420" w:firstLineChars="20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30</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3D96CAD5">
      <w:pPr>
        <w:rPr>
          <w:rFonts w:ascii="Times New Roman" w:hAnsi="Times New Roman"/>
          <w:color w:val="auto"/>
          <w:highlight w:val="none"/>
        </w:rPr>
      </w:pPr>
      <w:r>
        <w:rPr>
          <w:rFonts w:hint="eastAsia" w:ascii="Times New Roman" w:hAnsi="Times New Roman"/>
          <w:color w:val="auto"/>
          <w:highlight w:val="none"/>
          <w:lang w:val="en-US" w:eastAsia="zh-CN"/>
        </w:rPr>
        <w:t xml:space="preserve">3.2 </w:t>
      </w:r>
      <w:r>
        <w:rPr>
          <w:rFonts w:hint="eastAsia" w:ascii="Times New Roman" w:hAnsi="Times New Roman"/>
          <w:color w:val="auto"/>
          <w:highlight w:val="none"/>
        </w:rPr>
        <w:t>获取时间和方式：</w:t>
      </w:r>
      <w:r>
        <w:rPr>
          <w:rFonts w:hint="eastAsia"/>
          <w:color w:val="auto"/>
          <w:highlight w:val="none"/>
        </w:rPr>
        <w:t>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日到</w:t>
      </w:r>
      <w:r>
        <w:rPr>
          <w:rFonts w:hint="eastAsia"/>
          <w:color w:val="auto"/>
          <w:highlight w:val="none"/>
          <w:u w:val="single"/>
          <w:lang w:val="en-US" w:eastAsia="zh-CN"/>
        </w:rPr>
        <w:t>参选截止时间</w:t>
      </w:r>
      <w:r>
        <w:rPr>
          <w:rFonts w:hint="eastAsia"/>
          <w:color w:val="auto"/>
          <w:highlight w:val="none"/>
        </w:rPr>
        <w:t>，</w:t>
      </w:r>
      <w:r>
        <w:rPr>
          <w:rFonts w:hint="eastAsia" w:ascii="Times New Roman" w:hAnsi="Times New Roman"/>
          <w:color w:val="auto"/>
          <w:highlight w:val="none"/>
          <w:lang w:val="en-US" w:eastAsia="zh-CN"/>
        </w:rPr>
        <w:t>在重庆市公共资源交易网（www.cqggzy.com）下载比选文件</w:t>
      </w:r>
      <w:r>
        <w:rPr>
          <w:rFonts w:hint="eastAsia" w:ascii="Times New Roman" w:hAnsi="Times New Roman"/>
          <w:color w:val="auto"/>
          <w:highlight w:val="none"/>
        </w:rPr>
        <w:t>。</w:t>
      </w:r>
    </w:p>
    <w:p w14:paraId="1299D8FE">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 xml:space="preserve">参选人在下载比选文件后，应仔细检查比选文件的所有内容，如有残缺或文字表述不清，以及存在错、碰、漏、缺、概念模糊和有可能出现歧义或理解上的偏差的内容等应在    </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4A940282">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4EDCE62">
      <w:pPr>
        <w:pStyle w:val="3"/>
        <w:rPr>
          <w:rFonts w:ascii="Times New Roman" w:hAnsi="Times New Roman"/>
          <w:color w:val="auto"/>
          <w:highlight w:val="none"/>
        </w:rPr>
      </w:pPr>
      <w:bookmarkStart w:id="41" w:name="_Toc8432"/>
      <w:bookmarkStart w:id="42" w:name="_Toc55379221"/>
      <w:bookmarkStart w:id="43" w:name="_Toc12800"/>
      <w:bookmarkStart w:id="44" w:name="_Toc10129"/>
      <w:r>
        <w:rPr>
          <w:rFonts w:hint="eastAsia" w:ascii="Times New Roman" w:hAnsi="Times New Roman"/>
          <w:color w:val="auto"/>
          <w:highlight w:val="none"/>
        </w:rPr>
        <w:t>4. 参选保证金的递交</w:t>
      </w:r>
      <w:bookmarkEnd w:id="38"/>
      <w:bookmarkEnd w:id="39"/>
      <w:bookmarkEnd w:id="40"/>
      <w:bookmarkEnd w:id="41"/>
      <w:bookmarkEnd w:id="42"/>
      <w:bookmarkEnd w:id="43"/>
      <w:bookmarkEnd w:id="44"/>
    </w:p>
    <w:p w14:paraId="75DBF0D0">
      <w:pPr>
        <w:rPr>
          <w:rFonts w:ascii="Times New Roman" w:hAnsi="Times New Roman"/>
          <w:color w:val="auto"/>
          <w:highlight w:val="none"/>
        </w:rPr>
      </w:pPr>
      <w:bookmarkStart w:id="45" w:name="_Toc55379222"/>
      <w:bookmarkStart w:id="46" w:name="_Toc297817091"/>
      <w:bookmarkStart w:id="47" w:name="_Toc469574668"/>
      <w:bookmarkStart w:id="48" w:name="_Toc89675131"/>
      <w:r>
        <w:rPr>
          <w:rFonts w:hint="eastAsia" w:ascii="Times New Roman" w:hAnsi="Times New Roman"/>
          <w:color w:val="auto"/>
          <w:highlight w:val="none"/>
        </w:rPr>
        <w:t>4.1 参选保证金的金额：</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18,000</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壹万捌仟元整</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w:t>
      </w:r>
      <w:r>
        <w:rPr>
          <w:rFonts w:hint="eastAsia" w:ascii="Times New Roman" w:hAnsi="Times New Roman"/>
          <w:color w:val="auto"/>
          <w:highlight w:val="none"/>
        </w:rPr>
        <w:t>。</w:t>
      </w:r>
    </w:p>
    <w:p w14:paraId="61877F45">
      <w:pPr>
        <w:rPr>
          <w:rFonts w:ascii="Times New Roman" w:hAnsi="Times New Roman"/>
          <w:color w:val="auto"/>
          <w:highlight w:val="none"/>
        </w:rPr>
      </w:pPr>
      <w:r>
        <w:rPr>
          <w:rFonts w:hint="eastAsia" w:ascii="Times New Roman" w:hAnsi="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46B93CC8">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三峡银行民事案管</w:t>
      </w:r>
      <w:r>
        <w:rPr>
          <w:rFonts w:hint="eastAsia" w:ascii="Times New Roman" w:hAnsi="Times New Roman"/>
          <w:b/>
          <w:bCs/>
          <w:color w:val="auto"/>
          <w:highlight w:val="none"/>
          <w:u w:val="single"/>
        </w:rPr>
        <w:t>项目</w:t>
      </w:r>
      <w:r>
        <w:rPr>
          <w:rFonts w:hint="eastAsia" w:ascii="Times New Roman" w:hAnsi="Times New Roman"/>
          <w:b/>
          <w:bCs/>
          <w:color w:val="auto"/>
          <w:highlight w:val="none"/>
        </w:rPr>
        <w:t>。</w:t>
      </w:r>
    </w:p>
    <w:p w14:paraId="0FFC29B5">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30</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6A2CA3B2">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49E1966D">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796477A9">
      <w:pPr>
        <w:bidi w:val="0"/>
        <w:rPr>
          <w:color w:val="auto"/>
          <w:highlight w:val="none"/>
        </w:rPr>
      </w:pPr>
      <w:r>
        <w:rPr>
          <w:rFonts w:hint="eastAsia"/>
          <w:color w:val="auto"/>
          <w:highlight w:val="none"/>
        </w:rPr>
        <w:t>参选保证金以重庆市公共资源交易中心比选现场展示的保证金交纳情况为准。</w:t>
      </w:r>
    </w:p>
    <w:bookmarkEnd w:id="45"/>
    <w:bookmarkEnd w:id="46"/>
    <w:bookmarkEnd w:id="47"/>
    <w:bookmarkEnd w:id="48"/>
    <w:p w14:paraId="29B4C7DF">
      <w:pPr>
        <w:pStyle w:val="3"/>
        <w:rPr>
          <w:rFonts w:ascii="Times New Roman" w:hAnsi="Times New Roman"/>
          <w:color w:val="auto"/>
          <w:highlight w:val="none"/>
        </w:rPr>
      </w:pPr>
      <w:bookmarkStart w:id="49" w:name="_Toc18379"/>
      <w:bookmarkStart w:id="50" w:name="_Toc11678"/>
      <w:bookmarkStart w:id="51" w:name="_Toc28287"/>
      <w:r>
        <w:rPr>
          <w:rFonts w:hint="eastAsia" w:ascii="Times New Roman" w:hAnsi="Times New Roman"/>
          <w:color w:val="auto"/>
          <w:highlight w:val="none"/>
        </w:rPr>
        <w:t>5. 参选文件的递交</w:t>
      </w:r>
      <w:bookmarkEnd w:id="49"/>
      <w:bookmarkEnd w:id="50"/>
      <w:bookmarkEnd w:id="51"/>
    </w:p>
    <w:p w14:paraId="00C3DE99">
      <w:pPr>
        <w:bidi w:val="0"/>
        <w:rPr>
          <w:color w:val="auto"/>
          <w:highlight w:val="none"/>
        </w:rPr>
      </w:pPr>
      <w:bookmarkStart w:id="52" w:name="_Toc55379223"/>
      <w:bookmarkStart w:id="53" w:name="_Toc469574669"/>
      <w:bookmarkStart w:id="54" w:name="_Toc89675132"/>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30</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single"/>
          <w:lang w:val="en-US" w:eastAsia="zh-CN"/>
        </w:rPr>
        <w:t>至参选截止时间</w:t>
      </w:r>
      <w:r>
        <w:rPr>
          <w:rFonts w:hint="eastAsia"/>
          <w:color w:val="auto"/>
          <w:highlight w:val="none"/>
        </w:rPr>
        <w:t>。</w:t>
      </w:r>
    </w:p>
    <w:p w14:paraId="1D08BC52">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5D78F661">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5C883193">
      <w:pPr>
        <w:pStyle w:val="3"/>
        <w:rPr>
          <w:rFonts w:ascii="Times New Roman" w:hAnsi="Times New Roman"/>
          <w:color w:val="auto"/>
          <w:highlight w:val="none"/>
        </w:rPr>
      </w:pPr>
      <w:bookmarkStart w:id="55" w:name="_Toc30758"/>
      <w:bookmarkStart w:id="56" w:name="_Toc7947"/>
      <w:bookmarkStart w:id="57" w:name="_Toc29983"/>
      <w:r>
        <w:rPr>
          <w:rFonts w:hint="eastAsia" w:ascii="Times New Roman" w:hAnsi="Times New Roman"/>
          <w:color w:val="auto"/>
          <w:highlight w:val="none"/>
        </w:rPr>
        <w:t>6. 发布公告的媒介</w:t>
      </w:r>
      <w:bookmarkEnd w:id="52"/>
      <w:bookmarkEnd w:id="53"/>
      <w:bookmarkEnd w:id="54"/>
      <w:bookmarkEnd w:id="55"/>
      <w:bookmarkEnd w:id="56"/>
      <w:bookmarkEnd w:id="57"/>
    </w:p>
    <w:p w14:paraId="503112AD">
      <w:pPr>
        <w:ind w:firstLine="0"/>
        <w:rPr>
          <w:rFonts w:hint="eastAsia" w:ascii="Times New Roman" w:hAnsi="Times New Roman"/>
          <w:color w:val="auto"/>
          <w:highlight w:val="none"/>
          <w:shd w:val="clear" w:color="auto" w:fill="auto"/>
          <w:lang w:val="en-US" w:eastAsia="zh-CN"/>
        </w:rPr>
      </w:pPr>
      <w:bookmarkStart w:id="58" w:name="_Toc250565211"/>
      <w:bookmarkStart w:id="59" w:name="_Toc469574670"/>
      <w:bookmarkStart w:id="60" w:name="_Toc89675133"/>
      <w:bookmarkStart w:id="61" w:name="_Toc55379224"/>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020BE43B">
      <w:pPr>
        <w:pStyle w:val="3"/>
        <w:numPr>
          <w:ilvl w:val="0"/>
          <w:numId w:val="1"/>
        </w:numPr>
        <w:ind w:firstLine="0"/>
        <w:rPr>
          <w:rFonts w:hint="eastAsia" w:ascii="Times New Roman" w:hAnsi="Times New Roman" w:cs="Times New Roman"/>
          <w:color w:val="auto"/>
          <w:highlight w:val="none"/>
          <w:shd w:val="clear" w:color="auto" w:fill="auto"/>
          <w:lang w:val="en-US" w:eastAsia="zh-CN"/>
        </w:rPr>
      </w:pPr>
      <w:r>
        <w:rPr>
          <w:rFonts w:hint="eastAsia" w:ascii="Times New Roman" w:hAnsi="Times New Roman" w:cs="Times New Roman"/>
          <w:color w:val="auto"/>
          <w:highlight w:val="none"/>
          <w:shd w:val="clear" w:color="auto" w:fill="auto"/>
          <w:lang w:val="en-US" w:eastAsia="zh-CN"/>
        </w:rPr>
        <w:t xml:space="preserve"> 报名方式</w:t>
      </w:r>
    </w:p>
    <w:p w14:paraId="35887901">
      <w:pPr>
        <w:ind w:firstLine="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color="auto" w:fill="auto"/>
          <w:lang w:val="en-US" w:eastAsia="zh-CN"/>
        </w:rPr>
        <w:t>本项目从比选文件发出之日起</w:t>
      </w:r>
      <w:r>
        <w:rPr>
          <w:rFonts w:hint="eastAsia"/>
          <w:color w:val="auto"/>
          <w:highlight w:val="none"/>
          <w:shd w:val="clear" w:color="auto" w:fill="auto"/>
          <w:lang w:val="en-US" w:eastAsia="zh-CN"/>
        </w:rPr>
        <w:t>至</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13</w:t>
      </w:r>
      <w:r>
        <w:rPr>
          <w:rFonts w:hint="eastAsia"/>
          <w:color w:val="auto"/>
          <w:highlight w:val="none"/>
        </w:rPr>
        <w:t>日</w:t>
      </w:r>
      <w:r>
        <w:rPr>
          <w:rFonts w:hint="eastAsia"/>
          <w:color w:val="auto"/>
          <w:highlight w:val="none"/>
          <w:u w:val="single"/>
          <w:lang w:val="en-US" w:eastAsia="zh-CN"/>
        </w:rPr>
        <w:t>18</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hint="eastAsia" w:ascii="Times New Roman" w:hAnsi="Times New Roman"/>
          <w:color w:val="auto"/>
          <w:highlight w:val="none"/>
          <w:shd w:val="clear" w:color="auto" w:fill="auto"/>
          <w:lang w:val="en-US" w:eastAsia="zh-CN"/>
        </w:rPr>
        <w:t>进行</w:t>
      </w:r>
      <w:r>
        <w:rPr>
          <w:rFonts w:hint="eastAsia"/>
          <w:color w:val="auto"/>
          <w:highlight w:val="none"/>
          <w:shd w:val="clear"/>
          <w:lang w:val="en-US" w:eastAsia="zh-CN"/>
        </w:rPr>
        <w:t>poc</w:t>
      </w:r>
      <w:r>
        <w:rPr>
          <w:rFonts w:hint="eastAsia" w:ascii="Times New Roman" w:hAnsi="Times New Roman"/>
          <w:color w:val="auto"/>
          <w:highlight w:val="none"/>
          <w:shd w:val="clear"/>
          <w:lang w:val="en-US" w:eastAsia="zh-CN"/>
        </w:rPr>
        <w:t>报名，</w:t>
      </w:r>
      <w:r>
        <w:rPr>
          <w:rFonts w:hint="eastAsia"/>
          <w:color w:val="auto"/>
          <w:highlight w:val="none"/>
          <w:shd w:val="clear"/>
          <w:lang w:val="en-US" w:eastAsia="zh-CN"/>
        </w:rPr>
        <w:t>参选人</w:t>
      </w:r>
      <w:r>
        <w:rPr>
          <w:rFonts w:hint="eastAsia" w:ascii="Times New Roman" w:hAnsi="Times New Roman"/>
          <w:color w:val="auto"/>
          <w:highlight w:val="none"/>
          <w:shd w:val="clear"/>
          <w:lang w:val="en-US" w:eastAsia="zh-CN"/>
        </w:rPr>
        <w:t>将《报名函》（加</w:t>
      </w:r>
      <w:r>
        <w:rPr>
          <w:rFonts w:hint="eastAsia"/>
          <w:color w:val="auto"/>
          <w:highlight w:val="none"/>
          <w:shd w:val="clear"/>
          <w:lang w:val="en-US" w:eastAsia="zh-CN"/>
        </w:rPr>
        <w:t>盖单位</w:t>
      </w:r>
      <w:r>
        <w:rPr>
          <w:rFonts w:hint="eastAsia" w:ascii="Times New Roman" w:hAnsi="Times New Roman"/>
          <w:color w:val="auto"/>
          <w:highlight w:val="none"/>
          <w:shd w:val="clear"/>
          <w:lang w:val="en-US" w:eastAsia="zh-CN"/>
        </w:rPr>
        <w:t>公章）扫描后发送至邮箱itsrdc@ccqtgb.com。《报名函》详见比选文件第三章附件一。</w:t>
      </w:r>
    </w:p>
    <w:p w14:paraId="61A724F8">
      <w:pPr>
        <w:ind w:firstLine="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报名联系人：</w:t>
      </w:r>
      <w:r>
        <w:rPr>
          <w:rFonts w:hint="eastAsia"/>
          <w:color w:val="auto"/>
          <w:highlight w:val="none"/>
          <w:lang w:val="en-US" w:eastAsia="zh-CN"/>
        </w:rPr>
        <w:t>罗鑫</w:t>
      </w:r>
      <w:r>
        <w:rPr>
          <w:rFonts w:hint="eastAsia" w:ascii="Times New Roman" w:hAnsi="Times New Roman"/>
          <w:color w:val="auto"/>
          <w:highlight w:val="none"/>
          <w:shd w:val="clear"/>
          <w:lang w:val="en-US" w:eastAsia="zh-CN"/>
        </w:rPr>
        <w:t>，联系电话：</w:t>
      </w:r>
      <w:r>
        <w:rPr>
          <w:rFonts w:hint="eastAsia"/>
          <w:color w:val="auto"/>
          <w:highlight w:val="none"/>
          <w:lang w:val="en-US" w:eastAsia="zh-CN"/>
        </w:rPr>
        <w:t>18996442519</w:t>
      </w:r>
      <w:r>
        <w:rPr>
          <w:rFonts w:hint="eastAsia" w:ascii="Times New Roman" w:hAnsi="Times New Roman"/>
          <w:color w:val="auto"/>
          <w:highlight w:val="none"/>
          <w:shd w:val="clear"/>
          <w:lang w:val="en-US" w:eastAsia="zh-CN"/>
        </w:rPr>
        <w:t>。</w:t>
      </w:r>
    </w:p>
    <w:p w14:paraId="4C308FBE">
      <w:pPr>
        <w:pStyle w:val="3"/>
        <w:numPr>
          <w:ilvl w:val="0"/>
          <w:numId w:val="1"/>
        </w:numPr>
        <w:rPr>
          <w:rFonts w:hint="eastAsia" w:ascii="Times New Roman" w:hAnsi="Times New Roman" w:cs="Times New Roman"/>
          <w:color w:val="auto"/>
          <w:highlight w:val="none"/>
          <w:shd w:val="clear" w:color="auto" w:fill="auto"/>
          <w:lang w:val="en-US" w:eastAsia="zh-CN"/>
        </w:rPr>
      </w:pPr>
      <w:r>
        <w:rPr>
          <w:rFonts w:hint="eastAsia" w:ascii="Times New Roman" w:hAnsi="Times New Roman" w:cs="Times New Roman"/>
          <w:color w:val="auto"/>
          <w:highlight w:val="none"/>
          <w:shd w:val="clear" w:color="auto" w:fill="auto"/>
          <w:lang w:val="en-US" w:eastAsia="zh-CN"/>
        </w:rPr>
        <w:t>POC测试安排</w:t>
      </w:r>
    </w:p>
    <w:p w14:paraId="7BC02602">
      <w:pPr>
        <w:ind w:firstLine="0"/>
        <w:rPr>
          <w:rFonts w:hint="eastAsia" w:ascii="Times New Roman" w:hAnsi="Times New Roman"/>
          <w:color w:val="auto"/>
          <w:highlight w:val="none"/>
          <w:shd w:val="clear"/>
          <w:lang w:val="en-US" w:eastAsia="zh-CN"/>
        </w:rPr>
      </w:pPr>
      <w:r>
        <w:rPr>
          <w:rFonts w:hint="eastAsia" w:ascii="Times New Roman" w:hAnsi="Times New Roman"/>
          <w:color w:val="auto"/>
          <w:highlight w:val="none"/>
          <w:shd w:val="clear"/>
          <w:lang w:val="en-US" w:eastAsia="zh-CN"/>
        </w:rPr>
        <w:t>本项目POC测试根据项目实际情况安排，测试方案详见比选文件第三章附件二。</w:t>
      </w:r>
    </w:p>
    <w:p w14:paraId="67EFF5D8">
      <w:pPr>
        <w:bidi w:val="0"/>
        <w:rPr>
          <w:color w:val="auto"/>
          <w:highlight w:val="none"/>
        </w:rPr>
      </w:pPr>
    </w:p>
    <w:p w14:paraId="2F23F4BD">
      <w:pPr>
        <w:pStyle w:val="3"/>
        <w:numPr>
          <w:ilvl w:val="0"/>
          <w:numId w:val="1"/>
        </w:numPr>
        <w:rPr>
          <w:rFonts w:hint="eastAsia" w:ascii="Times New Roman" w:hAnsi="Times New Roman"/>
          <w:color w:val="auto"/>
          <w:highlight w:val="none"/>
        </w:rPr>
      </w:pPr>
      <w:bookmarkStart w:id="62" w:name="_Toc22292"/>
      <w:bookmarkStart w:id="63" w:name="_Toc7457"/>
      <w:bookmarkStart w:id="64" w:name="_Toc16979"/>
      <w:r>
        <w:rPr>
          <w:rFonts w:hint="eastAsia" w:ascii="Times New Roman" w:hAnsi="Times New Roman"/>
          <w:color w:val="auto"/>
          <w:highlight w:val="none"/>
        </w:rPr>
        <w:t>联系方式</w:t>
      </w:r>
      <w:bookmarkEnd w:id="58"/>
      <w:bookmarkEnd w:id="59"/>
      <w:bookmarkEnd w:id="60"/>
      <w:bookmarkEnd w:id="61"/>
      <w:bookmarkEnd w:id="62"/>
      <w:bookmarkEnd w:id="63"/>
      <w:bookmarkEnd w:id="64"/>
    </w:p>
    <w:tbl>
      <w:tblPr>
        <w:tblStyle w:val="2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453CCC18">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3BCC42B">
            <w:pPr>
              <w:pStyle w:val="47"/>
              <w:bidi w:val="0"/>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5A7B514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0735B746">
            <w:pPr>
              <w:pStyle w:val="47"/>
              <w:bidi w:val="0"/>
              <w:rPr>
                <w:rFonts w:hint="eastAsia"/>
                <w:color w:val="auto"/>
                <w:highlight w:val="none"/>
              </w:rPr>
            </w:pPr>
            <w:r>
              <w:rPr>
                <w:rFonts w:hint="eastAsia"/>
                <w:color w:val="auto"/>
                <w:highlight w:val="none"/>
              </w:rPr>
              <w:t>项目联系人：</w:t>
            </w:r>
            <w:r>
              <w:rPr>
                <w:rFonts w:hint="eastAsia"/>
                <w:color w:val="auto"/>
                <w:highlight w:val="none"/>
                <w:lang w:val="en-US" w:eastAsia="zh-CN"/>
              </w:rPr>
              <w:t>罗鑫</w:t>
            </w:r>
          </w:p>
        </w:tc>
        <w:tc>
          <w:tcPr>
            <w:tcW w:w="5333" w:type="dxa"/>
            <w:tcBorders>
              <w:top w:val="nil"/>
              <w:left w:val="nil"/>
              <w:bottom w:val="nil"/>
              <w:right w:val="single" w:color="auto" w:sz="4" w:space="0"/>
            </w:tcBorders>
          </w:tcPr>
          <w:p w14:paraId="3A7BCD4C">
            <w:pPr>
              <w:pStyle w:val="47"/>
              <w:bidi w:val="0"/>
              <w:rPr>
                <w:rFonts w:hint="eastAsia"/>
                <w:color w:val="auto"/>
                <w:highlight w:val="none"/>
              </w:rPr>
            </w:pPr>
            <w:r>
              <w:rPr>
                <w:rFonts w:hint="eastAsia"/>
                <w:color w:val="auto"/>
                <w:highlight w:val="none"/>
              </w:rPr>
              <w:t>联系方式：</w:t>
            </w:r>
            <w:r>
              <w:rPr>
                <w:rFonts w:hint="eastAsia"/>
                <w:color w:val="auto"/>
                <w:highlight w:val="none"/>
                <w:lang w:val="en-US" w:eastAsia="zh-CN"/>
              </w:rPr>
              <w:t>18996442519</w:t>
            </w:r>
          </w:p>
        </w:tc>
      </w:tr>
      <w:tr w14:paraId="4446EAB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81B6503">
            <w:pPr>
              <w:pStyle w:val="47"/>
              <w:bidi w:val="0"/>
              <w:rPr>
                <w:rFonts w:hint="eastAsia"/>
                <w:color w:val="auto"/>
                <w:highlight w:val="none"/>
              </w:rPr>
            </w:pPr>
          </w:p>
        </w:tc>
      </w:tr>
      <w:tr w14:paraId="3F415F0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3A0215E">
            <w:pPr>
              <w:pStyle w:val="47"/>
              <w:bidi w:val="0"/>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789848F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A575795">
            <w:pPr>
              <w:pStyle w:val="47"/>
              <w:bidi w:val="0"/>
              <w:rPr>
                <w:rFonts w:hint="eastAsia"/>
                <w:color w:val="auto"/>
                <w:highlight w:val="none"/>
              </w:rPr>
            </w:pPr>
            <w:r>
              <w:rPr>
                <w:rFonts w:hint="eastAsia"/>
                <w:color w:val="auto"/>
                <w:highlight w:val="none"/>
              </w:rPr>
              <w:t>平台服务机构：重庆联合产权交易所集团股份有限公司</w:t>
            </w:r>
          </w:p>
        </w:tc>
      </w:tr>
      <w:tr w14:paraId="1F1A7AD9">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A71BF7D">
            <w:pPr>
              <w:pStyle w:val="47"/>
              <w:bidi w:val="0"/>
              <w:rPr>
                <w:rFonts w:hint="eastAsia"/>
                <w:color w:val="auto"/>
                <w:highlight w:val="none"/>
              </w:rPr>
            </w:pPr>
            <w:r>
              <w:rPr>
                <w:rFonts w:hint="eastAsia"/>
                <w:color w:val="auto"/>
                <w:highlight w:val="none"/>
              </w:rPr>
              <w:t>平台联系人：</w:t>
            </w:r>
            <w:r>
              <w:rPr>
                <w:rFonts w:hint="eastAsia"/>
                <w:color w:val="auto"/>
                <w:highlight w:val="none"/>
                <w:lang w:val="en-US" w:eastAsia="zh-CN"/>
              </w:rPr>
              <w:t>张</w:t>
            </w:r>
            <w:r>
              <w:rPr>
                <w:rFonts w:hint="eastAsia"/>
                <w:color w:val="auto"/>
                <w:highlight w:val="none"/>
              </w:rPr>
              <w:t>老师</w:t>
            </w:r>
          </w:p>
        </w:tc>
        <w:tc>
          <w:tcPr>
            <w:tcW w:w="5333" w:type="dxa"/>
            <w:tcBorders>
              <w:top w:val="nil"/>
              <w:left w:val="nil"/>
              <w:bottom w:val="nil"/>
              <w:right w:val="single" w:color="auto" w:sz="4" w:space="0"/>
            </w:tcBorders>
          </w:tcPr>
          <w:p w14:paraId="0478C18D">
            <w:pPr>
              <w:pStyle w:val="47"/>
              <w:bidi w:val="0"/>
              <w:rPr>
                <w:rFonts w:hint="eastAsia"/>
                <w:color w:val="auto"/>
                <w:highlight w:val="none"/>
              </w:rPr>
            </w:pPr>
            <w:r>
              <w:rPr>
                <w:rFonts w:hint="eastAsia"/>
                <w:color w:val="auto"/>
                <w:highlight w:val="none"/>
              </w:rPr>
              <w:t>联系方式：023-63621694</w:t>
            </w:r>
          </w:p>
        </w:tc>
      </w:tr>
      <w:tr w14:paraId="6D61166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751CB53">
            <w:pPr>
              <w:pStyle w:val="47"/>
              <w:bidi w:val="0"/>
              <w:rPr>
                <w:rFonts w:hint="eastAsia"/>
                <w:color w:val="auto"/>
                <w:highlight w:val="none"/>
              </w:rPr>
            </w:pPr>
          </w:p>
        </w:tc>
      </w:tr>
      <w:tr w14:paraId="5976B71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1C5DCC6">
            <w:pPr>
              <w:pStyle w:val="47"/>
              <w:bidi w:val="0"/>
              <w:rPr>
                <w:rFonts w:hint="eastAsia"/>
                <w:color w:val="auto"/>
                <w:highlight w:val="none"/>
              </w:rPr>
            </w:pPr>
            <w:r>
              <w:rPr>
                <w:rFonts w:hint="eastAsia"/>
                <w:color w:val="auto"/>
                <w:highlight w:val="none"/>
                <w:lang w:val="en-US" w:eastAsia="zh-CN"/>
              </w:rPr>
              <w:t>9</w:t>
            </w:r>
            <w:r>
              <w:rPr>
                <w:rFonts w:hint="eastAsia"/>
                <w:color w:val="auto"/>
                <w:highlight w:val="none"/>
              </w:rPr>
              <w:t>.3 比选人联系方式</w:t>
            </w:r>
          </w:p>
        </w:tc>
      </w:tr>
      <w:tr w14:paraId="0971535E">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638A88E6">
            <w:pPr>
              <w:pStyle w:val="47"/>
              <w:bidi w:val="0"/>
              <w:rPr>
                <w:rFonts w:hint="eastAsia" w:eastAsia="宋体"/>
                <w:color w:val="auto"/>
                <w:highlight w:val="none"/>
                <w:lang w:val="en-US"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tcPr>
          <w:p w14:paraId="124C9B52">
            <w:pPr>
              <w:pStyle w:val="47"/>
              <w:bidi w:val="0"/>
              <w:rPr>
                <w:rFonts w:hint="eastAsia"/>
                <w:color w:val="auto"/>
                <w:highlight w:val="none"/>
              </w:rPr>
            </w:pPr>
            <w:r>
              <w:rPr>
                <w:rFonts w:hint="eastAsia"/>
                <w:color w:val="auto"/>
                <w:highlight w:val="none"/>
              </w:rPr>
              <w:t>联系方式：023-88890395</w:t>
            </w:r>
          </w:p>
        </w:tc>
      </w:tr>
      <w:tr w14:paraId="2939DBED">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58C9770">
            <w:pPr>
              <w:pStyle w:val="47"/>
              <w:bidi w:val="0"/>
              <w:rPr>
                <w:rFonts w:hint="eastAsia"/>
                <w:color w:val="auto"/>
                <w:highlight w:val="none"/>
              </w:rPr>
            </w:pPr>
            <w:r>
              <w:rPr>
                <w:rFonts w:hint="eastAsia"/>
                <w:color w:val="auto"/>
                <w:highlight w:val="none"/>
              </w:rPr>
              <w:t>比选人地址：重庆市渝北区嘉州路88号中渝国际都会4号写字楼21层</w:t>
            </w:r>
          </w:p>
        </w:tc>
      </w:tr>
    </w:tbl>
    <w:p w14:paraId="5E6E4D24">
      <w:pPr>
        <w:numPr>
          <w:ilvl w:val="-1"/>
          <w:numId w:val="0"/>
        </w:numPr>
        <w:ind w:firstLine="0" w:firstLineChars="0"/>
        <w:rPr>
          <w:color w:val="auto"/>
          <w:highlight w:val="none"/>
        </w:rPr>
      </w:pPr>
    </w:p>
    <w:p w14:paraId="6FAB2C78">
      <w:pPr>
        <w:rPr>
          <w:rFonts w:ascii="Times New Roman" w:hAnsi="Times New Roman"/>
          <w:color w:val="auto"/>
          <w:highlight w:val="none"/>
        </w:rPr>
      </w:pPr>
      <w:bookmarkStart w:id="871" w:name="_GoBack"/>
      <w:bookmarkEnd w:id="871"/>
    </w:p>
    <w:p w14:paraId="3931FC8A">
      <w:pPr>
        <w:rPr>
          <w:rFonts w:ascii="Times New Roman" w:hAnsi="Times New Roman"/>
          <w:color w:val="auto"/>
          <w:highlight w:val="none"/>
        </w:rPr>
      </w:pPr>
    </w:p>
    <w:p w14:paraId="759D4050">
      <w:pPr>
        <w:spacing w:line="240" w:lineRule="auto"/>
        <w:ind w:firstLine="0" w:firstLineChars="0"/>
        <w:jc w:val="right"/>
        <w:outlineLvl w:val="0"/>
        <w:rPr>
          <w:rFonts w:ascii="Times New Roman" w:hAnsi="Times New Roman"/>
          <w:color w:val="auto"/>
          <w:highlight w:val="none"/>
        </w:rPr>
      </w:pPr>
      <w:bookmarkStart w:id="65" w:name="_Toc10302"/>
      <w:bookmarkStart w:id="66" w:name="_Toc24371"/>
      <w:bookmarkStart w:id="67" w:name="_Toc11557"/>
      <w:bookmarkStart w:id="68" w:name="_Toc22102"/>
      <w:bookmarkStart w:id="69" w:name="_Toc25124"/>
      <w:r>
        <w:rPr>
          <w:rFonts w:hint="eastAsia" w:ascii="Times New Roman" w:hAnsi="Times New Roman"/>
          <w:color w:val="auto"/>
          <w:highlight w:val="none"/>
        </w:rPr>
        <w:t>重庆三峡银行股份有限公司</w:t>
      </w:r>
      <w:bookmarkEnd w:id="65"/>
      <w:bookmarkEnd w:id="66"/>
      <w:bookmarkEnd w:id="67"/>
      <w:bookmarkEnd w:id="68"/>
      <w:bookmarkEnd w:id="69"/>
    </w:p>
    <w:p w14:paraId="1DAB2F56">
      <w:pPr>
        <w:jc w:val="right"/>
        <w:rPr>
          <w:rFonts w:ascii="Times New Roman" w:hAnsi="Times New Roman"/>
          <w:color w:val="auto"/>
          <w:highlight w:val="none"/>
        </w:rPr>
      </w:pPr>
      <w:r>
        <w:rPr>
          <w:rFonts w:hint="eastAsia" w:ascii="Times New Roman" w:hAnsi="Times New Roman"/>
          <w:color w:val="auto"/>
          <w:highlight w:val="none"/>
        </w:rPr>
        <w:t>202</w:t>
      </w:r>
      <w:r>
        <w:rPr>
          <w:rFonts w:hint="eastAsia"/>
          <w:color w:val="auto"/>
          <w:highlight w:val="none"/>
          <w:lang w:val="en-US" w:eastAsia="zh-CN"/>
        </w:rPr>
        <w:t>4</w:t>
      </w:r>
      <w:r>
        <w:rPr>
          <w:rFonts w:hint="eastAsia" w:ascii="Times New Roman" w:hAnsi="Times New Roman"/>
          <w:color w:val="auto"/>
          <w:highlight w:val="none"/>
        </w:rPr>
        <w:t>年</w:t>
      </w:r>
      <w:r>
        <w:rPr>
          <w:rFonts w:hint="eastAsia"/>
          <w:color w:val="auto"/>
          <w:highlight w:val="none"/>
          <w:lang w:val="en-US" w:eastAsia="zh-CN"/>
        </w:rPr>
        <w:t>12</w:t>
      </w:r>
      <w:r>
        <w:rPr>
          <w:rFonts w:hint="eastAsia" w:ascii="Times New Roman" w:hAnsi="Times New Roman"/>
          <w:color w:val="auto"/>
          <w:highlight w:val="none"/>
        </w:rPr>
        <w:t>月</w:t>
      </w:r>
      <w:r>
        <w:rPr>
          <w:rFonts w:hint="eastAsia"/>
          <w:color w:val="auto"/>
          <w:highlight w:val="none"/>
          <w:lang w:val="en-US" w:eastAsia="zh-CN"/>
        </w:rPr>
        <w:t>10</w:t>
      </w:r>
      <w:r>
        <w:rPr>
          <w:rFonts w:hint="eastAsia" w:ascii="Times New Roman" w:hAnsi="Times New Roman"/>
          <w:color w:val="auto"/>
          <w:highlight w:val="none"/>
        </w:rPr>
        <w:t>日</w:t>
      </w:r>
    </w:p>
    <w:p w14:paraId="3B4A4838">
      <w:pPr>
        <w:rPr>
          <w:rFonts w:ascii="Times New Roman" w:hAnsi="Times New Roman"/>
          <w:color w:val="auto"/>
          <w:highlight w:val="none"/>
        </w:rPr>
      </w:pPr>
      <w:r>
        <w:rPr>
          <w:rFonts w:ascii="Times New Roman" w:hAnsi="Times New Roman"/>
          <w:color w:val="auto"/>
          <w:highlight w:val="none"/>
        </w:rPr>
        <w:br w:type="page"/>
      </w:r>
    </w:p>
    <w:p w14:paraId="067A2B61">
      <w:pPr>
        <w:pStyle w:val="2"/>
        <w:rPr>
          <w:rFonts w:ascii="Times New Roman" w:hAnsi="Times New Roman"/>
          <w:color w:val="auto"/>
          <w:highlight w:val="none"/>
        </w:rPr>
      </w:pPr>
      <w:bookmarkStart w:id="70" w:name="_Toc25388"/>
      <w:bookmarkStart w:id="71" w:name="_Toc14137"/>
      <w:bookmarkStart w:id="72" w:name="_Toc27630"/>
      <w:bookmarkStart w:id="73" w:name="_Toc18141"/>
      <w:bookmarkStart w:id="74" w:name="_Toc18519"/>
      <w:bookmarkStart w:id="75" w:name="_Toc303066033"/>
      <w:bookmarkStart w:id="76" w:name="_Toc17817"/>
      <w:bookmarkStart w:id="77" w:name="_Toc89675159"/>
      <w:r>
        <w:rPr>
          <w:rFonts w:hint="eastAsia" w:ascii="Times New Roman" w:hAnsi="Times New Roman"/>
          <w:color w:val="auto"/>
          <w:highlight w:val="none"/>
        </w:rPr>
        <w:t>第二章 参选人须知</w:t>
      </w:r>
      <w:bookmarkEnd w:id="70"/>
      <w:bookmarkEnd w:id="71"/>
      <w:bookmarkEnd w:id="72"/>
      <w:bookmarkEnd w:id="73"/>
      <w:bookmarkEnd w:id="74"/>
      <w:bookmarkEnd w:id="75"/>
      <w:bookmarkEnd w:id="76"/>
      <w:bookmarkEnd w:id="77"/>
    </w:p>
    <w:p w14:paraId="1408FBDA">
      <w:pPr>
        <w:pStyle w:val="3"/>
        <w:rPr>
          <w:rFonts w:ascii="Times New Roman" w:hAnsi="Times New Roman"/>
          <w:color w:val="auto"/>
          <w:highlight w:val="none"/>
        </w:rPr>
      </w:pPr>
      <w:bookmarkStart w:id="78" w:name="_Toc17083"/>
      <w:bookmarkStart w:id="79" w:name="_Toc31451"/>
      <w:bookmarkStart w:id="80" w:name="_Toc21583"/>
      <w:bookmarkStart w:id="81" w:name="_Toc89675160"/>
      <w:r>
        <w:rPr>
          <w:rFonts w:hint="eastAsia" w:ascii="Times New Roman" w:hAnsi="Times New Roman"/>
          <w:color w:val="auto"/>
          <w:highlight w:val="none"/>
        </w:rPr>
        <w:t>1. 项目信息</w:t>
      </w:r>
      <w:bookmarkEnd w:id="78"/>
      <w:bookmarkEnd w:id="79"/>
      <w:bookmarkEnd w:id="80"/>
    </w:p>
    <w:p w14:paraId="5EAC9BA9">
      <w:pPr>
        <w:pStyle w:val="4"/>
        <w:rPr>
          <w:rFonts w:ascii="Times New Roman" w:hAnsi="Times New Roman"/>
          <w:color w:val="auto"/>
          <w:highlight w:val="none"/>
        </w:rPr>
      </w:pPr>
      <w:bookmarkStart w:id="82" w:name="_Toc7357"/>
      <w:bookmarkStart w:id="83" w:name="_Toc4811"/>
      <w:bookmarkStart w:id="84" w:name="_Toc14063"/>
      <w:r>
        <w:rPr>
          <w:rFonts w:hint="eastAsia" w:ascii="Times New Roman" w:hAnsi="Times New Roman"/>
          <w:color w:val="auto"/>
          <w:highlight w:val="none"/>
        </w:rPr>
        <w:t>1.1 比选人</w:t>
      </w:r>
      <w:bookmarkEnd w:id="82"/>
      <w:bookmarkEnd w:id="83"/>
      <w:bookmarkEnd w:id="84"/>
    </w:p>
    <w:p w14:paraId="5D113766">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52838068">
      <w:pPr>
        <w:pStyle w:val="4"/>
        <w:rPr>
          <w:rFonts w:ascii="Times New Roman" w:hAnsi="Times New Roman"/>
          <w:color w:val="auto"/>
          <w:highlight w:val="none"/>
        </w:rPr>
      </w:pPr>
      <w:bookmarkStart w:id="85" w:name="_Toc30009"/>
      <w:bookmarkStart w:id="86" w:name="_Toc21076"/>
      <w:bookmarkStart w:id="87" w:name="_Toc24041"/>
      <w:r>
        <w:rPr>
          <w:rFonts w:hint="eastAsia" w:ascii="Times New Roman" w:hAnsi="Times New Roman"/>
          <w:color w:val="auto"/>
          <w:highlight w:val="none"/>
        </w:rPr>
        <w:t>1.2 最高限价</w:t>
      </w:r>
      <w:bookmarkEnd w:id="85"/>
      <w:bookmarkEnd w:id="86"/>
      <w:bookmarkEnd w:id="87"/>
    </w:p>
    <w:p w14:paraId="73BBF280">
      <w:pPr>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ascii="Times New Roman" w:hAnsi="Times New Roman"/>
          <w:color w:val="auto"/>
          <w:highlight w:val="none"/>
          <w:u w:val="single"/>
        </w:rPr>
        <w:t>90万元整</w:t>
      </w:r>
      <w:r>
        <w:rPr>
          <w:rFonts w:hint="eastAsia" w:ascii="Times New Roman" w:hAnsi="Times New Roman"/>
          <w:color w:val="auto"/>
          <w:highlight w:val="none"/>
          <w:u w:val="single"/>
        </w:rPr>
        <w:t xml:space="preserve"> </w:t>
      </w:r>
      <w:r>
        <w:rPr>
          <w:rFonts w:hint="eastAsia" w:ascii="Times New Roman" w:hAnsi="Times New Roman"/>
          <w:color w:val="auto"/>
          <w:highlight w:val="none"/>
        </w:rPr>
        <w:t>（人民币大写：</w:t>
      </w:r>
      <w:r>
        <w:rPr>
          <w:rFonts w:ascii="Times New Roman" w:hAnsi="Times New Roman"/>
          <w:color w:val="auto"/>
          <w:highlight w:val="none"/>
          <w:u w:val="single"/>
        </w:rPr>
        <w:t>玖拾万元整</w:t>
      </w:r>
      <w:r>
        <w:rPr>
          <w:rFonts w:hint="eastAsia" w:ascii="Times New Roman" w:hAnsi="Times New Roman"/>
          <w:color w:val="auto"/>
          <w:highlight w:val="none"/>
        </w:rPr>
        <w:t>）</w:t>
      </w:r>
      <w:r>
        <w:rPr>
          <w:rFonts w:ascii="Times New Roman" w:hAnsi="Times New Roman"/>
          <w:color w:val="auto"/>
          <w:highlight w:val="none"/>
        </w:rPr>
        <w:t>（含税）</w:t>
      </w:r>
      <w:r>
        <w:rPr>
          <w:rFonts w:hint="eastAsia" w:ascii="Times New Roman" w:hAnsi="Times New Roman"/>
          <w:color w:val="auto"/>
          <w:highlight w:val="none"/>
        </w:rPr>
        <w:t>。</w:t>
      </w:r>
    </w:p>
    <w:p w14:paraId="704D0A8B">
      <w:pPr>
        <w:pStyle w:val="4"/>
        <w:rPr>
          <w:rFonts w:ascii="Times New Roman" w:hAnsi="Times New Roman"/>
          <w:color w:val="auto"/>
          <w:highlight w:val="none"/>
        </w:rPr>
      </w:pPr>
      <w:bookmarkStart w:id="88" w:name="_Toc31803"/>
      <w:bookmarkStart w:id="89" w:name="_Toc27039"/>
      <w:bookmarkStart w:id="90" w:name="_Toc2640"/>
      <w:r>
        <w:rPr>
          <w:rFonts w:hint="eastAsia" w:ascii="Times New Roman" w:hAnsi="Times New Roman"/>
          <w:color w:val="auto"/>
          <w:highlight w:val="none"/>
        </w:rPr>
        <w:t>1.3 项目概况</w:t>
      </w:r>
      <w:bookmarkEnd w:id="88"/>
      <w:bookmarkEnd w:id="89"/>
      <w:bookmarkEnd w:id="90"/>
    </w:p>
    <w:bookmarkEnd w:id="81"/>
    <w:p w14:paraId="54EA0076">
      <w:pPr>
        <w:rPr>
          <w:rFonts w:ascii="Times New Roman" w:hAnsi="Times New Roman"/>
          <w:color w:val="auto"/>
          <w:highlight w:val="none"/>
        </w:rPr>
      </w:pPr>
      <w:bookmarkStart w:id="91" w:name="_Toc89675161"/>
      <w:r>
        <w:rPr>
          <w:rFonts w:hint="eastAsia" w:ascii="Times New Roman" w:hAnsi="Times New Roman"/>
          <w:color w:val="auto"/>
          <w:highlight w:val="none"/>
        </w:rPr>
        <w:t>为持续提升民事诉讼案件管理质效，不断推进案件管理信息智能化转型，切实推动全生命周期民事案件管理，促进实现“以案促管、以管创效”，拟新建民事案件管理系统，以打造集案件审批、案件推进、跟踪监测、统计管理等功能为一体的综合智能化民事案件管理模式。</w:t>
      </w:r>
    </w:p>
    <w:p w14:paraId="13F4106A">
      <w:pPr>
        <w:pStyle w:val="4"/>
        <w:rPr>
          <w:rFonts w:ascii="Times New Roman" w:hAnsi="Times New Roman"/>
          <w:color w:val="auto"/>
          <w:highlight w:val="none"/>
        </w:rPr>
      </w:pPr>
      <w:bookmarkStart w:id="92" w:name="_Toc15618"/>
      <w:bookmarkStart w:id="93" w:name="_Toc9368"/>
      <w:bookmarkStart w:id="94" w:name="_Toc7666"/>
      <w:r>
        <w:rPr>
          <w:rFonts w:hint="eastAsia" w:ascii="Times New Roman" w:hAnsi="Times New Roman"/>
          <w:color w:val="auto"/>
          <w:highlight w:val="none"/>
        </w:rPr>
        <w:t>1.4 项目目标</w:t>
      </w:r>
      <w:bookmarkEnd w:id="92"/>
      <w:bookmarkEnd w:id="93"/>
      <w:bookmarkEnd w:id="94"/>
    </w:p>
    <w:p w14:paraId="3C0631E9">
      <w:pPr>
        <w:bidi w:val="0"/>
        <w:rPr>
          <w:color w:val="auto"/>
          <w:highlight w:val="none"/>
        </w:rPr>
      </w:pPr>
      <w:r>
        <w:rPr>
          <w:rFonts w:hint="eastAsia"/>
          <w:color w:val="auto"/>
          <w:highlight w:val="none"/>
        </w:rPr>
        <w:t>民事案件管理</w:t>
      </w:r>
      <w:r>
        <w:rPr>
          <w:rFonts w:hint="eastAsia"/>
          <w:color w:val="auto"/>
          <w:highlight w:val="none"/>
          <w:lang w:val="en-US" w:eastAsia="zh-CN"/>
        </w:rPr>
        <w:t>系统</w:t>
      </w:r>
      <w:r>
        <w:rPr>
          <w:rFonts w:hint="eastAsia"/>
          <w:color w:val="auto"/>
          <w:highlight w:val="none"/>
        </w:rPr>
        <w:t>建设项目的整体目标是落地符合信创要求及银行管理实际的综合智能案件管理</w:t>
      </w:r>
      <w:r>
        <w:rPr>
          <w:rFonts w:hint="eastAsia"/>
          <w:color w:val="auto"/>
          <w:highlight w:val="none"/>
          <w:lang w:val="en-US" w:eastAsia="zh-CN"/>
        </w:rPr>
        <w:t>系统</w:t>
      </w:r>
      <w:r>
        <w:rPr>
          <w:rFonts w:hint="eastAsia"/>
          <w:color w:val="auto"/>
          <w:highlight w:val="none"/>
        </w:rPr>
        <w:t>。具体目标主要包含：一是实现资产（含表内资产/表外资产、自有资产/代管资产）类/非资产类、线上/线下、主诉/被诉/第三人等全量案件统筹管理机制；二是建立自案件立案、审判、执行、终结的“全生命周期”管理模式；三是形成审查研判、跟踪监测、统计分析、中介机构选聘考评、费用支付等的管理闭环。</w:t>
      </w:r>
    </w:p>
    <w:bookmarkEnd w:id="91"/>
    <w:p w14:paraId="0755727E">
      <w:pPr>
        <w:pStyle w:val="3"/>
        <w:bidi w:val="0"/>
        <w:rPr>
          <w:color w:val="auto"/>
          <w:highlight w:val="none"/>
        </w:rPr>
      </w:pPr>
      <w:bookmarkStart w:id="95" w:name="_Toc7755"/>
      <w:bookmarkStart w:id="96" w:name="_Toc9534"/>
      <w:bookmarkStart w:id="97" w:name="_Toc30197"/>
      <w:bookmarkStart w:id="98" w:name="_Toc24359"/>
      <w:bookmarkStart w:id="99" w:name="_Toc11825"/>
      <w:bookmarkStart w:id="100" w:name="_Toc25576"/>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6A2A21C5">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0769E0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2C5600EA">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6D342583">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76510214">
      <w:pPr>
        <w:pStyle w:val="3"/>
        <w:bidi w:val="0"/>
        <w:rPr>
          <w:color w:val="auto"/>
          <w:highlight w:val="none"/>
        </w:rPr>
      </w:pPr>
      <w:bookmarkStart w:id="101" w:name="_Toc89675162"/>
      <w:r>
        <w:rPr>
          <w:rFonts w:hint="eastAsia"/>
          <w:color w:val="auto"/>
          <w:highlight w:val="none"/>
          <w:lang w:val="en-US" w:eastAsia="zh-CN"/>
        </w:rPr>
        <w:t xml:space="preserve">3. </w:t>
      </w:r>
      <w:r>
        <w:rPr>
          <w:rFonts w:hint="eastAsia"/>
          <w:color w:val="auto"/>
          <w:highlight w:val="none"/>
        </w:rPr>
        <w:t>比选文件</w:t>
      </w:r>
      <w:bookmarkEnd w:id="101"/>
    </w:p>
    <w:p w14:paraId="632F82D6">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3F65A9F">
      <w:pPr>
        <w:bidi w:val="0"/>
        <w:rPr>
          <w:color w:val="auto"/>
          <w:highlight w:val="none"/>
        </w:rPr>
      </w:pPr>
      <w:r>
        <w:rPr>
          <w:rFonts w:hint="eastAsia"/>
          <w:color w:val="auto"/>
          <w:highlight w:val="none"/>
        </w:rPr>
        <w:t>本行对比选文件所作的一切有效的书面通知、修改及补充，都是比选文件不可分割的部分。</w:t>
      </w:r>
    </w:p>
    <w:p w14:paraId="1DA3DB81">
      <w:pPr>
        <w:pStyle w:val="3"/>
        <w:bidi w:val="0"/>
        <w:rPr>
          <w:color w:val="auto"/>
          <w:highlight w:val="none"/>
        </w:rPr>
      </w:pPr>
      <w:bookmarkStart w:id="102" w:name="_Toc89675163"/>
      <w:r>
        <w:rPr>
          <w:rFonts w:hint="eastAsia"/>
          <w:color w:val="auto"/>
          <w:highlight w:val="none"/>
          <w:lang w:val="en-US" w:eastAsia="zh-CN"/>
        </w:rPr>
        <w:t xml:space="preserve">4. </w:t>
      </w:r>
      <w:r>
        <w:rPr>
          <w:color w:val="auto"/>
          <w:highlight w:val="none"/>
        </w:rPr>
        <w:t>参选</w:t>
      </w:r>
      <w:bookmarkEnd w:id="102"/>
    </w:p>
    <w:p w14:paraId="512E0042">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4F427792">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59058439">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5CFE1C67">
      <w:pPr>
        <w:pStyle w:val="4"/>
        <w:bidi w:val="0"/>
        <w:rPr>
          <w:rFonts w:hint="eastAsia"/>
          <w:color w:val="auto"/>
          <w:highlight w:val="none"/>
          <w:lang w:val="en-US" w:eastAsia="zh-CN"/>
        </w:rPr>
      </w:pPr>
      <w:r>
        <w:rPr>
          <w:rFonts w:hint="eastAsia"/>
          <w:color w:val="auto"/>
          <w:highlight w:val="none"/>
          <w:lang w:val="en-US" w:eastAsia="zh-CN"/>
        </w:rPr>
        <w:t>4.2 联合参选</w:t>
      </w:r>
    </w:p>
    <w:p w14:paraId="37334D71">
      <w:pPr>
        <w:bidi w:val="0"/>
        <w:rPr>
          <w:rFonts w:hint="eastAsia"/>
          <w:color w:val="auto"/>
          <w:highlight w:val="none"/>
        </w:rPr>
      </w:pPr>
      <w:r>
        <w:rPr>
          <w:rFonts w:hint="eastAsia"/>
          <w:color w:val="auto"/>
          <w:highlight w:val="none"/>
        </w:rPr>
        <w:t>本比选项目不接受联合参选</w:t>
      </w:r>
    </w:p>
    <w:p w14:paraId="4C874922">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2F70054F">
      <w:pPr>
        <w:bidi w:val="0"/>
        <w:rPr>
          <w:color w:val="auto"/>
          <w:highlight w:val="none"/>
        </w:rPr>
      </w:pPr>
      <w:r>
        <w:rPr>
          <w:rFonts w:hint="eastAsia"/>
          <w:color w:val="auto"/>
          <w:highlight w:val="none"/>
        </w:rPr>
        <w:t>参选有效期为参选截止日期后90天内。</w:t>
      </w:r>
    </w:p>
    <w:p w14:paraId="26063A37">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3CA7E10A">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12B4D6FA">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7BC145C0">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13FCF7C9">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0E8C43BB">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FDCB205">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2ED9B6C4">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6B0AFAB6">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D0A64F">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15A7BE7D">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20E2FC76">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C91226">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74DAA525">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09351738">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55A9C670">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404F2BE7">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545365C2">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14330BCA">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30FB1FBA">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07B32481">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2036EF43">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1A3E5BC8">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7AE2FA9B">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50466">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25CF7E90">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6A74FEFF">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18527F8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1CC59F29">
      <w:pPr>
        <w:bidi w:val="0"/>
        <w:rPr>
          <w:rFonts w:hint="eastAsia"/>
          <w:color w:val="auto"/>
          <w:highlight w:val="none"/>
        </w:rPr>
      </w:pPr>
      <w:r>
        <w:rPr>
          <w:rFonts w:hint="eastAsia"/>
          <w:color w:val="auto"/>
          <w:highlight w:val="none"/>
        </w:rPr>
        <w:t>4.7.4 参选报价不得高于最高限价。</w:t>
      </w:r>
    </w:p>
    <w:p w14:paraId="3ADB2D1D">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049D1AEA">
      <w:pPr>
        <w:bidi w:val="0"/>
        <w:rPr>
          <w:color w:val="auto"/>
          <w:highlight w:val="none"/>
        </w:rPr>
      </w:pPr>
      <w:r>
        <w:rPr>
          <w:rFonts w:hint="eastAsia"/>
          <w:color w:val="auto"/>
          <w:highlight w:val="none"/>
        </w:rPr>
        <w:t>若参选文件出现计算或表达上的错误，修正错误的原则如下：</w:t>
      </w:r>
    </w:p>
    <w:p w14:paraId="03021551">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0BAD1521">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0BF5C41A">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68A4718F">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23AAF6C9">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67FB8DA8">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6E226635">
      <w:pPr>
        <w:pStyle w:val="3"/>
        <w:bidi w:val="0"/>
        <w:rPr>
          <w:color w:val="auto"/>
          <w:highlight w:val="none"/>
        </w:rPr>
      </w:pPr>
      <w:bookmarkStart w:id="103" w:name="_Toc89675166"/>
      <w:r>
        <w:rPr>
          <w:rFonts w:hint="eastAsia"/>
          <w:color w:val="auto"/>
          <w:highlight w:val="none"/>
          <w:lang w:val="en-US" w:eastAsia="zh-CN"/>
        </w:rPr>
        <w:t xml:space="preserve">5. </w:t>
      </w:r>
      <w:r>
        <w:rPr>
          <w:rFonts w:hint="eastAsia"/>
          <w:color w:val="auto"/>
          <w:highlight w:val="none"/>
        </w:rPr>
        <w:t>比选程序</w:t>
      </w:r>
    </w:p>
    <w:p w14:paraId="00C4A464">
      <w:pPr>
        <w:bidi w:val="0"/>
        <w:rPr>
          <w:color w:val="auto"/>
          <w:highlight w:val="none"/>
        </w:rPr>
      </w:pPr>
      <w:r>
        <w:rPr>
          <w:rFonts w:hint="eastAsia"/>
          <w:color w:val="auto"/>
          <w:highlight w:val="none"/>
        </w:rPr>
        <w:t>主持人按下列程序进行比选：</w:t>
      </w:r>
    </w:p>
    <w:p w14:paraId="75FB3A51">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2DB8E7DB">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6911A15B">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5FCE3D4F">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6C14AF8D">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7F3767E3">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79242292">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249C7D83">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3CF7C6F5">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7B92E1E5">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36B9B55A">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4416678C">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103"/>
    </w:p>
    <w:p w14:paraId="047AA079">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07D2A7B3">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1614016E">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5798C4AF">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22FF0140">
      <w:pPr>
        <w:pStyle w:val="3"/>
        <w:bidi w:val="0"/>
        <w:rPr>
          <w:color w:val="auto"/>
          <w:highlight w:val="none"/>
        </w:rPr>
      </w:pPr>
      <w:bookmarkStart w:id="104" w:name="_Toc89675168"/>
      <w:bookmarkStart w:id="105" w:name="_Toc12245"/>
      <w:r>
        <w:rPr>
          <w:rFonts w:hint="eastAsia"/>
          <w:color w:val="auto"/>
          <w:highlight w:val="none"/>
          <w:lang w:val="en-US" w:eastAsia="zh-CN"/>
        </w:rPr>
        <w:t xml:space="preserve">8. </w:t>
      </w:r>
      <w:r>
        <w:rPr>
          <w:rFonts w:hint="eastAsia"/>
          <w:color w:val="auto"/>
          <w:highlight w:val="none"/>
        </w:rPr>
        <w:t>签订合同</w:t>
      </w:r>
      <w:bookmarkEnd w:id="104"/>
      <w:bookmarkEnd w:id="105"/>
    </w:p>
    <w:p w14:paraId="786C6BA9">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FB1B72D">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5A7343B1">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5B6FF948">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32E2D625">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0DC2FCCE">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033E18C7">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57F59389">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3257EEC4">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0A3EA03D">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38459C12">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6FD8813F">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694C0435">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46D12E60">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376824C3">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2A85131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3E1B3A95">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2FB68209">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501F43CD">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7033757C">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14D5C671">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1BD72B1A">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58C50846">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2ECF76B6">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5A38D2C5">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0FEDEBC7">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38C57D83">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31A4D6AB">
      <w:pPr>
        <w:pStyle w:val="3"/>
        <w:bidi w:val="0"/>
        <w:rPr>
          <w:color w:val="auto"/>
          <w:highlight w:val="none"/>
        </w:rPr>
      </w:pPr>
      <w:bookmarkStart w:id="106" w:name="_Toc89675169"/>
      <w:r>
        <w:rPr>
          <w:rFonts w:hint="eastAsia"/>
          <w:color w:val="auto"/>
          <w:highlight w:val="none"/>
          <w:lang w:val="en-US" w:eastAsia="zh-CN"/>
        </w:rPr>
        <w:t xml:space="preserve">10. </w:t>
      </w:r>
      <w:r>
        <w:rPr>
          <w:rFonts w:hint="eastAsia"/>
          <w:color w:val="auto"/>
          <w:highlight w:val="none"/>
        </w:rPr>
        <w:t>提问、质疑、投诉</w:t>
      </w:r>
    </w:p>
    <w:p w14:paraId="6A3800F9">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4B2D44DC">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8103A42">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4449F000">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340F9EF7">
      <w:pPr>
        <w:bidi w:val="0"/>
        <w:rPr>
          <w:color w:val="auto"/>
          <w:highlight w:val="none"/>
        </w:rPr>
      </w:pPr>
      <w:r>
        <w:rPr>
          <w:rFonts w:hint="eastAsia"/>
          <w:color w:val="auto"/>
          <w:highlight w:val="none"/>
        </w:rPr>
        <w:t>采购质疑邮箱：</w:t>
      </w:r>
      <w:r>
        <w:rPr>
          <w:color w:val="auto"/>
          <w:highlight w:val="none"/>
        </w:rPr>
        <w:t>sx.jcb@ccqtgb.com</w:t>
      </w:r>
    </w:p>
    <w:p w14:paraId="2D5C0FCC">
      <w:pPr>
        <w:bidi w:val="0"/>
        <w:rPr>
          <w:rFonts w:hint="eastAsia"/>
          <w:color w:val="auto"/>
          <w:highlight w:val="none"/>
        </w:rPr>
      </w:pPr>
      <w:r>
        <w:rPr>
          <w:rFonts w:hint="eastAsia"/>
          <w:color w:val="auto"/>
          <w:highlight w:val="none"/>
        </w:rPr>
        <w:t>采购投诉邮箱：</w:t>
      </w:r>
      <w:bookmarkStart w:id="107" w:name="_Hlk74215856"/>
      <w:r>
        <w:rPr>
          <w:rFonts w:hint="eastAsia"/>
          <w:color w:val="auto"/>
          <w:highlight w:val="none"/>
        </w:rPr>
        <w:t>sxyhjjz@</w:t>
      </w:r>
      <w:r>
        <w:rPr>
          <w:color w:val="auto"/>
          <w:highlight w:val="none"/>
        </w:rPr>
        <w:t>ccqtgb</w:t>
      </w:r>
      <w:r>
        <w:rPr>
          <w:rFonts w:hint="eastAsia"/>
          <w:color w:val="auto"/>
          <w:highlight w:val="none"/>
        </w:rPr>
        <w:t>.com</w:t>
      </w:r>
      <w:bookmarkEnd w:id="107"/>
    </w:p>
    <w:p w14:paraId="29F88040">
      <w:pPr>
        <w:pStyle w:val="3"/>
        <w:bidi w:val="0"/>
        <w:rPr>
          <w:rFonts w:hint="eastAsia"/>
          <w:color w:val="auto"/>
          <w:highlight w:val="none"/>
        </w:rPr>
      </w:pPr>
      <w:bookmarkStart w:id="108" w:name="_Toc11439"/>
      <w:bookmarkStart w:id="109" w:name="_Toc440628924"/>
      <w:bookmarkStart w:id="110" w:name="_Toc15059431"/>
      <w:bookmarkStart w:id="111" w:name="_Toc89675157"/>
      <w:bookmarkStart w:id="112" w:name="_Toc275199618"/>
      <w:r>
        <w:rPr>
          <w:rFonts w:hint="eastAsia"/>
          <w:color w:val="auto"/>
          <w:highlight w:val="none"/>
          <w:lang w:val="en-US" w:eastAsia="zh-CN"/>
        </w:rPr>
        <w:t xml:space="preserve">11. </w:t>
      </w:r>
      <w:r>
        <w:rPr>
          <w:rFonts w:hint="eastAsia"/>
          <w:color w:val="auto"/>
          <w:highlight w:val="none"/>
        </w:rPr>
        <w:t>无效参选条款</w:t>
      </w:r>
      <w:bookmarkEnd w:id="108"/>
      <w:bookmarkEnd w:id="109"/>
      <w:bookmarkEnd w:id="110"/>
      <w:bookmarkEnd w:id="111"/>
      <w:bookmarkEnd w:id="112"/>
    </w:p>
    <w:p w14:paraId="2156CB56">
      <w:pPr>
        <w:bidi w:val="0"/>
        <w:rPr>
          <w:color w:val="auto"/>
          <w:highlight w:val="none"/>
        </w:rPr>
      </w:pPr>
      <w:r>
        <w:rPr>
          <w:rFonts w:hint="eastAsia"/>
          <w:color w:val="auto"/>
          <w:highlight w:val="none"/>
        </w:rPr>
        <w:t>参选人或其参选文件出现下列情况之一者，应为无效参选：</w:t>
      </w:r>
    </w:p>
    <w:p w14:paraId="45EAAC1F">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68BE8254">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10F5DB2A">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7AC38CF6">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591C171D">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46BAA826">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7436ADC6">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37C4836">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5E323FC3">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05A298A9">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5996CDA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2E58705E">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5AACAE9">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0BDD90D">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3363733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02D2FA9B">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5CF83A1C">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A62C348">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C5B70EE">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106"/>
    </w:p>
    <w:p w14:paraId="59BD305B">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5C711E49">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21A9078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13790348">
      <w:pPr>
        <w:bidi w:val="0"/>
        <w:rPr>
          <w:color w:val="auto"/>
          <w:highlight w:val="none"/>
        </w:rPr>
      </w:pPr>
      <w:r>
        <w:rPr>
          <w:rFonts w:hint="eastAsia"/>
          <w:color w:val="auto"/>
          <w:highlight w:val="none"/>
        </w:rPr>
        <w:t>参选人参与本比选项目时，一切与参选有关的费用均由参选人自理。</w:t>
      </w:r>
    </w:p>
    <w:p w14:paraId="2A5B1C4E">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15000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167F9D41">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07FE0B33">
      <w:pPr>
        <w:pStyle w:val="2"/>
        <w:rPr>
          <w:rFonts w:ascii="Times New Roman" w:hAnsi="Times New Roman"/>
          <w:color w:val="auto"/>
          <w:highlight w:val="none"/>
        </w:rPr>
      </w:pPr>
      <w:r>
        <w:rPr>
          <w:rFonts w:hint="eastAsia" w:ascii="Times New Roman" w:hAnsi="Times New Roman"/>
          <w:color w:val="auto"/>
          <w:highlight w:val="none"/>
        </w:rPr>
        <w:t>第三章 项目要求</w:t>
      </w:r>
      <w:bookmarkEnd w:id="95"/>
      <w:bookmarkEnd w:id="96"/>
      <w:bookmarkEnd w:id="97"/>
      <w:bookmarkEnd w:id="98"/>
      <w:bookmarkEnd w:id="99"/>
      <w:bookmarkEnd w:id="100"/>
    </w:p>
    <w:p w14:paraId="327774E0">
      <w:pPr>
        <w:pStyle w:val="3"/>
        <w:numPr>
          <w:ilvl w:val="0"/>
          <w:numId w:val="0"/>
        </w:numPr>
        <w:ind w:left="360" w:leftChars="0" w:hanging="360" w:firstLineChars="0"/>
        <w:rPr>
          <w:rFonts w:ascii="Times New Roman" w:hAnsi="Times New Roman"/>
          <w:color w:val="auto"/>
          <w:highlight w:val="none"/>
        </w:rPr>
      </w:pPr>
      <w:bookmarkStart w:id="113" w:name="_Toc4368"/>
      <w:bookmarkStart w:id="114" w:name="_Toc16471"/>
      <w:bookmarkStart w:id="115" w:name="_Toc22985"/>
      <w:r>
        <w:rPr>
          <w:rFonts w:hint="default" w:ascii="Times New Roman" w:hAnsi="Times New Roman" w:eastAsia="宋体" w:cstheme="majorBidi"/>
          <w:b/>
          <w:bCs/>
          <w:snapToGrid w:val="0"/>
          <w:color w:val="auto"/>
          <w:kern w:val="2"/>
          <w:sz w:val="21"/>
          <w:szCs w:val="24"/>
          <w:highlight w:val="none"/>
          <w:lang w:val="en-US" w:eastAsia="zh-CN" w:bidi="ar-SA"/>
        </w:rPr>
        <w:t>1.</w:t>
      </w:r>
      <w:r>
        <w:rPr>
          <w:rFonts w:hint="eastAsia" w:ascii="Times New Roman" w:hAnsi="Times New Roman" w:cstheme="majorBidi"/>
          <w:b/>
          <w:bCs/>
          <w:snapToGrid w:val="0"/>
          <w:color w:val="auto"/>
          <w:kern w:val="2"/>
          <w:sz w:val="21"/>
          <w:szCs w:val="24"/>
          <w:highlight w:val="none"/>
          <w:lang w:val="en-US" w:eastAsia="zh-CN" w:bidi="ar-SA"/>
        </w:rPr>
        <w:t xml:space="preserve"> </w:t>
      </w:r>
      <w:r>
        <w:rPr>
          <w:rFonts w:hint="eastAsia" w:ascii="Times New Roman" w:hAnsi="Times New Roman"/>
          <w:color w:val="auto"/>
          <w:highlight w:val="none"/>
        </w:rPr>
        <w:t>业务需求</w:t>
      </w:r>
      <w:bookmarkEnd w:id="113"/>
      <w:bookmarkEnd w:id="114"/>
      <w:bookmarkEnd w:id="115"/>
    </w:p>
    <w:p w14:paraId="311DBEDC">
      <w:pPr>
        <w:pStyle w:val="4"/>
        <w:bidi w:val="0"/>
        <w:rPr>
          <w:rFonts w:hint="eastAsia"/>
          <w:color w:val="auto"/>
          <w:highlight w:val="none"/>
        </w:rPr>
      </w:pPr>
      <w:bookmarkStart w:id="116" w:name="_Toc23135"/>
      <w:bookmarkStart w:id="117" w:name="_Toc14923"/>
      <w:bookmarkStart w:id="118" w:name="_Toc5593"/>
      <w:r>
        <w:rPr>
          <w:rFonts w:hint="default"/>
          <w:color w:val="auto"/>
          <w:highlight w:val="none"/>
        </w:rPr>
        <w:t>1</w:t>
      </w:r>
      <w:r>
        <w:rPr>
          <w:rFonts w:hint="eastAsia"/>
          <w:color w:val="auto"/>
          <w:highlight w:val="none"/>
        </w:rPr>
        <w:t>.1需求概述</w:t>
      </w:r>
      <w:bookmarkEnd w:id="116"/>
      <w:bookmarkEnd w:id="117"/>
      <w:bookmarkEnd w:id="118"/>
    </w:p>
    <w:p w14:paraId="67161927">
      <w:pPr>
        <w:bidi w:val="0"/>
        <w:rPr>
          <w:rFonts w:hint="eastAsia"/>
          <w:color w:val="auto"/>
          <w:highlight w:val="none"/>
        </w:rPr>
      </w:pPr>
      <w:r>
        <w:rPr>
          <w:rFonts w:hint="eastAsia"/>
          <w:color w:val="auto"/>
          <w:highlight w:val="none"/>
        </w:rPr>
        <w:t>建成符合信创要求及银行管理实际的综合智能案件管理平台，落地案件审查审批、案件进展跟踪监测、全量案件信息统计管理、案件代理管理、案件费用管理、案件分析、案件档案管理、案件权限管理等主要功能，实现银行全量案件集中、统筹、规范管理，达到“全生命周期”管理要求，有效形成管理闭环。</w:t>
      </w:r>
    </w:p>
    <w:p w14:paraId="6A36E549">
      <w:pPr>
        <w:pStyle w:val="4"/>
        <w:bidi w:val="0"/>
        <w:rPr>
          <w:rFonts w:hint="eastAsia"/>
          <w:color w:val="auto"/>
          <w:highlight w:val="none"/>
        </w:rPr>
      </w:pPr>
      <w:bookmarkStart w:id="119" w:name="_Toc25297"/>
      <w:bookmarkStart w:id="120" w:name="_Toc9881"/>
      <w:bookmarkStart w:id="121" w:name="_Toc12474"/>
      <w:r>
        <w:rPr>
          <w:rFonts w:hint="default"/>
          <w:color w:val="auto"/>
          <w:highlight w:val="none"/>
        </w:rPr>
        <w:t>1</w:t>
      </w:r>
      <w:r>
        <w:rPr>
          <w:rFonts w:hint="eastAsia"/>
          <w:color w:val="auto"/>
          <w:highlight w:val="none"/>
        </w:rPr>
        <w:t>.2功能模块</w:t>
      </w:r>
      <w:bookmarkEnd w:id="119"/>
      <w:bookmarkEnd w:id="120"/>
      <w:bookmarkEnd w:id="121"/>
    </w:p>
    <w:p w14:paraId="2F822605">
      <w:pPr>
        <w:outlineLvl w:val="2"/>
        <w:rPr>
          <w:rFonts w:hint="eastAsia" w:ascii="Times New Roman" w:hAnsi="Times New Roman"/>
          <w:color w:val="auto"/>
          <w:highlight w:val="none"/>
        </w:rPr>
      </w:pPr>
      <w:bookmarkStart w:id="122" w:name="_Toc4540"/>
      <w:bookmarkStart w:id="123" w:name="_Toc13302"/>
      <w:bookmarkStart w:id="124" w:name="_Toc22607"/>
      <w:r>
        <w:rPr>
          <w:rFonts w:hint="default" w:ascii="Times New Roman" w:hAnsi="Times New Roman"/>
          <w:color w:val="auto"/>
          <w:highlight w:val="none"/>
        </w:rPr>
        <w:t>1</w:t>
      </w:r>
      <w:r>
        <w:rPr>
          <w:rFonts w:hint="eastAsia" w:ascii="Times New Roman" w:hAnsi="Times New Roman"/>
          <w:color w:val="auto"/>
          <w:highlight w:val="none"/>
        </w:rPr>
        <w:t>.2.1案件审查审批</w:t>
      </w:r>
      <w:bookmarkEnd w:id="122"/>
      <w:bookmarkEnd w:id="123"/>
      <w:bookmarkEnd w:id="124"/>
    </w:p>
    <w:p w14:paraId="51933F8E">
      <w:pPr>
        <w:rPr>
          <w:rFonts w:hint="eastAsia" w:ascii="Times New Roman" w:hAnsi="Times New Roman"/>
          <w:color w:val="auto"/>
          <w:highlight w:val="none"/>
        </w:rPr>
      </w:pPr>
      <w:r>
        <w:rPr>
          <w:rFonts w:hint="eastAsia" w:ascii="Times New Roman" w:hAnsi="Times New Roman"/>
          <w:color w:val="auto"/>
          <w:highlight w:val="none"/>
        </w:rPr>
        <w:t>支持案件审查审批（含新增案件审批、存量案件变更审批）流程，资产类案件支持授信系统自动推送或人工主动发起报审，非资产类案件支持人工主动发起报审。支持案件审批流程实时/定期提醒（如系统消息、短信等提醒），对应流程完结后生成相关表单并按设置规则自动编号存档，支持表单导出。案件报审与审查具体内容、审查审批节点及权限可配置，支持审查流程节点进展查看。</w:t>
      </w:r>
    </w:p>
    <w:p w14:paraId="3D1D2834">
      <w:pPr>
        <w:outlineLvl w:val="2"/>
        <w:rPr>
          <w:rFonts w:hint="eastAsia" w:ascii="Times New Roman" w:hAnsi="Times New Roman"/>
          <w:color w:val="auto"/>
          <w:highlight w:val="none"/>
        </w:rPr>
      </w:pPr>
      <w:bookmarkStart w:id="125" w:name="_Toc15669"/>
      <w:bookmarkStart w:id="126" w:name="_Toc22404"/>
      <w:bookmarkStart w:id="127" w:name="_Toc12981"/>
      <w:r>
        <w:rPr>
          <w:rFonts w:hint="default" w:ascii="Times New Roman" w:hAnsi="Times New Roman"/>
          <w:color w:val="auto"/>
          <w:highlight w:val="none"/>
        </w:rPr>
        <w:t>1</w:t>
      </w:r>
      <w:r>
        <w:rPr>
          <w:rFonts w:hint="eastAsia" w:ascii="Times New Roman" w:hAnsi="Times New Roman"/>
          <w:color w:val="auto"/>
          <w:highlight w:val="none"/>
        </w:rPr>
        <w:t>.2.2案件进展跟踪监测</w:t>
      </w:r>
      <w:bookmarkEnd w:id="125"/>
      <w:bookmarkEnd w:id="126"/>
      <w:bookmarkEnd w:id="127"/>
    </w:p>
    <w:p w14:paraId="1E48D848">
      <w:pPr>
        <w:rPr>
          <w:rFonts w:hint="eastAsia" w:ascii="Times New Roman" w:hAnsi="Times New Roman"/>
          <w:color w:val="auto"/>
          <w:highlight w:val="none"/>
        </w:rPr>
      </w:pPr>
      <w:r>
        <w:rPr>
          <w:rFonts w:hint="eastAsia" w:ascii="Times New Roman" w:hAnsi="Times New Roman"/>
          <w:color w:val="auto"/>
          <w:highlight w:val="none"/>
        </w:rPr>
        <w:t>实现案件一审/二审/再审/仲裁/执行/特别程序等自立案起至案件终结止的“全生命周期”管理。支持定期案件进展更新提醒（如系统消息、短信等提醒）。支持案件进展及信息更新单笔/批量复核流程，对应人员及权限可配置。支持案件督办提醒（如系统消息、短信等提醒），根据配置的审理期限、执行期限、保全期限等，提醒经办单位及人员及时推进案件并更新信息。支持人工录入案件要素信息，自动识别、填充立案受理通知书、开庭通知书、判决/裁决书等法律文书中的案件要素信息功能</w:t>
      </w:r>
      <w:r>
        <w:rPr>
          <w:rFonts w:hint="eastAsia"/>
          <w:color w:val="auto"/>
          <w:highlight w:val="none"/>
          <w:lang w:eastAsia="zh-Hans"/>
        </w:rPr>
        <w:t>，</w:t>
      </w:r>
      <w:r>
        <w:rPr>
          <w:rFonts w:hint="eastAsia" w:cs="Times New Roman"/>
          <w:color w:val="auto"/>
          <w:sz w:val="20"/>
          <w:highlight w:val="none"/>
          <w:lang w:val="en-US" w:eastAsia="zh-Hans"/>
        </w:rPr>
        <w:t>支持接入</w:t>
      </w:r>
      <w:r>
        <w:rPr>
          <w:rFonts w:hint="eastAsia" w:cs="Times New Roman"/>
          <w:color w:val="auto"/>
          <w:sz w:val="20"/>
          <w:highlight w:val="none"/>
          <w:lang w:val="en-US" w:eastAsia="zh-CN"/>
        </w:rPr>
        <w:t>我行</w:t>
      </w:r>
      <w:r>
        <w:rPr>
          <w:rFonts w:hint="eastAsia" w:cs="Times New Roman"/>
          <w:color w:val="auto"/>
          <w:sz w:val="20"/>
          <w:highlight w:val="none"/>
          <w:lang w:val="en-US" w:eastAsia="zh-Hans"/>
        </w:rPr>
        <w:t>外部司法数据，并自动填充、更新案件进展信息</w:t>
      </w:r>
      <w:r>
        <w:rPr>
          <w:rFonts w:hint="eastAsia" w:ascii="Times New Roman" w:hAnsi="Times New Roman"/>
          <w:color w:val="auto"/>
          <w:highlight w:val="none"/>
        </w:rPr>
        <w:t>。案件跟踪填报具体信息、人员权限可配置。</w:t>
      </w:r>
    </w:p>
    <w:p w14:paraId="7872BB5D">
      <w:pPr>
        <w:outlineLvl w:val="2"/>
        <w:rPr>
          <w:rFonts w:hint="eastAsia" w:ascii="Times New Roman" w:hAnsi="Times New Roman"/>
          <w:color w:val="auto"/>
          <w:highlight w:val="none"/>
        </w:rPr>
      </w:pPr>
      <w:bookmarkStart w:id="128" w:name="_Toc20708"/>
      <w:bookmarkStart w:id="129" w:name="_Toc22086"/>
      <w:bookmarkStart w:id="130" w:name="_Toc15612"/>
      <w:r>
        <w:rPr>
          <w:rFonts w:hint="default" w:ascii="Times New Roman" w:hAnsi="Times New Roman"/>
          <w:color w:val="auto"/>
          <w:highlight w:val="none"/>
        </w:rPr>
        <w:t>1</w:t>
      </w:r>
      <w:r>
        <w:rPr>
          <w:rFonts w:hint="eastAsia" w:ascii="Times New Roman" w:hAnsi="Times New Roman"/>
          <w:color w:val="auto"/>
          <w:highlight w:val="none"/>
        </w:rPr>
        <w:t>.2.3全量案件信息管理</w:t>
      </w:r>
      <w:bookmarkEnd w:id="128"/>
      <w:bookmarkEnd w:id="129"/>
      <w:bookmarkEnd w:id="130"/>
    </w:p>
    <w:p w14:paraId="022C2108">
      <w:pPr>
        <w:rPr>
          <w:rFonts w:hint="default" w:ascii="Times New Roman" w:hAnsi="Times New Roman" w:eastAsia="宋体"/>
          <w:color w:val="auto"/>
          <w:highlight w:val="none"/>
          <w:lang w:val="en-US" w:eastAsia="zh-Hans"/>
        </w:rPr>
      </w:pPr>
      <w:r>
        <w:rPr>
          <w:rFonts w:hint="eastAsia" w:ascii="Times New Roman" w:hAnsi="Times New Roman"/>
          <w:color w:val="auto"/>
          <w:highlight w:val="none"/>
        </w:rPr>
        <w:t>实现</w:t>
      </w:r>
      <w:r>
        <w:rPr>
          <w:rFonts w:hint="eastAsia" w:ascii="Times New Roman" w:hAnsi="Times New Roman"/>
          <w:color w:val="auto"/>
          <w:highlight w:val="none"/>
          <w:lang w:val="en-US" w:eastAsia="zh-Hans"/>
        </w:rPr>
        <w:t>信贷</w:t>
      </w:r>
      <w:r>
        <w:rPr>
          <w:rFonts w:hint="eastAsia" w:ascii="Times New Roman" w:hAnsi="Times New Roman"/>
          <w:color w:val="auto"/>
          <w:highlight w:val="none"/>
        </w:rPr>
        <w:t>资产（含表内资产/表外资产、自有资产/代管资产等）类/非</w:t>
      </w:r>
      <w:r>
        <w:rPr>
          <w:rFonts w:hint="eastAsia" w:ascii="Times New Roman" w:hAnsi="Times New Roman"/>
          <w:color w:val="auto"/>
          <w:highlight w:val="none"/>
          <w:lang w:val="en-US" w:eastAsia="zh-Hans"/>
        </w:rPr>
        <w:t>信贷</w:t>
      </w:r>
      <w:r>
        <w:rPr>
          <w:rFonts w:hint="eastAsia" w:ascii="Times New Roman" w:hAnsi="Times New Roman"/>
          <w:color w:val="auto"/>
          <w:highlight w:val="none"/>
        </w:rPr>
        <w:t>资产类、线上/线下、主诉/被诉/第三人等全量案件统筹管理。支持对案件基本情况、案件进展情况、费用情况、代理情况、处置收回情况、所涉业务情况、自查整改情况等案件所涉全量信息全面、精细管理，并建立统一规范的信息标准。</w:t>
      </w:r>
      <w:r>
        <w:rPr>
          <w:rFonts w:hint="eastAsia" w:ascii="Times New Roman" w:hAnsi="Times New Roman"/>
          <w:color w:val="auto"/>
          <w:highlight w:val="none"/>
          <w:lang w:val="en-US" w:eastAsia="zh-Hans"/>
        </w:rPr>
        <w:t>支持全部存量案件信息单笔</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批量导入。</w:t>
      </w:r>
      <w:r>
        <w:rPr>
          <w:rFonts w:hint="eastAsia" w:ascii="Times New Roman" w:hAnsi="Times New Roman"/>
          <w:color w:val="auto"/>
          <w:highlight w:val="none"/>
        </w:rPr>
        <w:t>支持定期或人工进行资产类案件所涉业务基本情况、案件处置回收情况等业务信息自动更新，定期期限、人员权限可配置。</w:t>
      </w:r>
    </w:p>
    <w:p w14:paraId="7879EDD3">
      <w:pPr>
        <w:outlineLvl w:val="2"/>
        <w:rPr>
          <w:rFonts w:hint="eastAsia" w:ascii="Times New Roman" w:hAnsi="Times New Roman"/>
          <w:color w:val="auto"/>
          <w:highlight w:val="none"/>
        </w:rPr>
      </w:pPr>
      <w:bookmarkStart w:id="131" w:name="_Toc11779"/>
      <w:bookmarkStart w:id="132" w:name="_Toc21136"/>
      <w:bookmarkStart w:id="133" w:name="_Toc14917"/>
      <w:r>
        <w:rPr>
          <w:rFonts w:hint="default" w:ascii="Times New Roman" w:hAnsi="Times New Roman"/>
          <w:color w:val="auto"/>
          <w:highlight w:val="none"/>
        </w:rPr>
        <w:t>1</w:t>
      </w:r>
      <w:r>
        <w:rPr>
          <w:rFonts w:hint="eastAsia" w:ascii="Times New Roman" w:hAnsi="Times New Roman"/>
          <w:color w:val="auto"/>
          <w:highlight w:val="none"/>
        </w:rPr>
        <w:t>.2.4案件代理管理</w:t>
      </w:r>
      <w:bookmarkEnd w:id="131"/>
      <w:bookmarkEnd w:id="132"/>
      <w:bookmarkEnd w:id="133"/>
    </w:p>
    <w:p w14:paraId="22B0F534">
      <w:pPr>
        <w:rPr>
          <w:rFonts w:hint="eastAsia" w:ascii="Times New Roman" w:hAnsi="Times New Roman"/>
          <w:color w:val="auto"/>
          <w:highlight w:val="none"/>
        </w:rPr>
      </w:pPr>
      <w:r>
        <w:rPr>
          <w:rFonts w:hint="eastAsia" w:ascii="Times New Roman" w:hAnsi="Times New Roman"/>
          <w:color w:val="auto"/>
          <w:highlight w:val="none"/>
        </w:rPr>
        <w:t>实现公司律师、外聘律所及律师的分类管理，支持相关信息批量导入或录入、律所入库及退出管理、个案按规则分发选聘律所（分发选聘的方式需为系统按设定逻辑自动向入库的外聘律所进行派单）、公司律师考评、律所考评（含整体服务、个案代理考评等）等全方位管理，相关权限可配置。</w:t>
      </w:r>
    </w:p>
    <w:p w14:paraId="47D8C267">
      <w:pPr>
        <w:outlineLvl w:val="2"/>
        <w:rPr>
          <w:rFonts w:hint="eastAsia" w:ascii="Times New Roman" w:hAnsi="Times New Roman"/>
          <w:color w:val="auto"/>
          <w:highlight w:val="none"/>
        </w:rPr>
      </w:pPr>
      <w:bookmarkStart w:id="134" w:name="_Toc27377"/>
      <w:bookmarkStart w:id="135" w:name="_Toc14532"/>
      <w:bookmarkStart w:id="136" w:name="_Toc25864"/>
      <w:r>
        <w:rPr>
          <w:rFonts w:hint="default" w:ascii="Times New Roman" w:hAnsi="Times New Roman"/>
          <w:color w:val="auto"/>
          <w:highlight w:val="none"/>
        </w:rPr>
        <w:t>1</w:t>
      </w:r>
      <w:r>
        <w:rPr>
          <w:rFonts w:hint="eastAsia" w:ascii="Times New Roman" w:hAnsi="Times New Roman"/>
          <w:color w:val="auto"/>
          <w:highlight w:val="none"/>
        </w:rPr>
        <w:t>.2.5案件费用管理</w:t>
      </w:r>
      <w:bookmarkEnd w:id="134"/>
      <w:bookmarkEnd w:id="135"/>
      <w:bookmarkEnd w:id="136"/>
    </w:p>
    <w:p w14:paraId="5C388B9F">
      <w:pPr>
        <w:rPr>
          <w:rFonts w:hint="eastAsia" w:ascii="Times New Roman" w:hAnsi="Times New Roman"/>
          <w:color w:val="auto"/>
          <w:highlight w:val="none"/>
        </w:rPr>
      </w:pPr>
      <w:r>
        <w:rPr>
          <w:rFonts w:hint="eastAsia" w:ascii="Times New Roman" w:hAnsi="Times New Roman"/>
          <w:color w:val="auto"/>
          <w:highlight w:val="none"/>
        </w:rPr>
        <w:t>对接财务共享平台，支持诉讼费、仲裁费、公证费、保全费、评估费、拍卖/变卖费、鉴定费、翻译费、律师费等具体案件所涉费用与案件进展、代理情况、处置回收情况等关联校验控制，案件、财务信息互联互通，实现案件及相关费用双向管理。</w:t>
      </w:r>
    </w:p>
    <w:p w14:paraId="698617EC">
      <w:pPr>
        <w:outlineLvl w:val="2"/>
        <w:rPr>
          <w:rFonts w:hint="eastAsia" w:ascii="Times New Roman" w:hAnsi="Times New Roman"/>
          <w:color w:val="auto"/>
          <w:highlight w:val="none"/>
        </w:rPr>
      </w:pPr>
      <w:bookmarkStart w:id="137" w:name="_Toc14862"/>
      <w:bookmarkStart w:id="138" w:name="_Toc20510"/>
      <w:bookmarkStart w:id="139" w:name="_Toc21830"/>
      <w:r>
        <w:rPr>
          <w:rFonts w:hint="default" w:ascii="Times New Roman" w:hAnsi="Times New Roman"/>
          <w:color w:val="auto"/>
          <w:highlight w:val="none"/>
        </w:rPr>
        <w:t>1</w:t>
      </w:r>
      <w:r>
        <w:rPr>
          <w:rFonts w:hint="eastAsia" w:ascii="Times New Roman" w:hAnsi="Times New Roman"/>
          <w:color w:val="auto"/>
          <w:highlight w:val="none"/>
        </w:rPr>
        <w:t>.2.6案件统计分析</w:t>
      </w:r>
      <w:bookmarkEnd w:id="137"/>
      <w:bookmarkEnd w:id="138"/>
      <w:bookmarkEnd w:id="139"/>
    </w:p>
    <w:p w14:paraId="4FB29CCA">
      <w:pPr>
        <w:rPr>
          <w:rFonts w:hint="eastAsia" w:ascii="Times New Roman" w:hAnsi="Times New Roman"/>
          <w:color w:val="auto"/>
          <w:highlight w:val="none"/>
        </w:rPr>
      </w:pPr>
      <w:r>
        <w:rPr>
          <w:rFonts w:hint="eastAsia" w:ascii="Times New Roman" w:hAnsi="Times New Roman"/>
          <w:color w:val="auto"/>
          <w:highlight w:val="none"/>
        </w:rPr>
        <w:t>实现案件信息统计，系统自动生成案件“全生命周期”管理表单，支持通过筛选项、自定义数据字段等，实现分类/批量/单笔案件全部/部分信息统计表单生成、查看、导出，查看、导出权限可配置。实现案件信息数据分析，根据不同维度、规则对案件情况进行智能分析并展示分析结果表单、图表，并支持表单、图表导出，分析维度、规则可配置。</w:t>
      </w:r>
    </w:p>
    <w:p w14:paraId="1E3D2298">
      <w:pPr>
        <w:outlineLvl w:val="2"/>
        <w:rPr>
          <w:rFonts w:hint="eastAsia" w:ascii="Times New Roman" w:hAnsi="Times New Roman"/>
          <w:color w:val="auto"/>
          <w:highlight w:val="none"/>
        </w:rPr>
      </w:pPr>
      <w:bookmarkStart w:id="140" w:name="_Toc10829"/>
      <w:bookmarkStart w:id="141" w:name="_Toc31183"/>
      <w:bookmarkStart w:id="142" w:name="_Toc4891"/>
      <w:r>
        <w:rPr>
          <w:rFonts w:hint="default" w:ascii="Times New Roman" w:hAnsi="Times New Roman"/>
          <w:color w:val="auto"/>
          <w:highlight w:val="none"/>
        </w:rPr>
        <w:t>1</w:t>
      </w:r>
      <w:r>
        <w:rPr>
          <w:rFonts w:hint="eastAsia" w:ascii="Times New Roman" w:hAnsi="Times New Roman"/>
          <w:color w:val="auto"/>
          <w:highlight w:val="none"/>
        </w:rPr>
        <w:t>.2.7案件档案管理</w:t>
      </w:r>
      <w:bookmarkEnd w:id="140"/>
      <w:bookmarkEnd w:id="141"/>
      <w:bookmarkEnd w:id="142"/>
    </w:p>
    <w:p w14:paraId="16C6B943">
      <w:pPr>
        <w:rPr>
          <w:rFonts w:hint="eastAsia" w:ascii="Times New Roman" w:hAnsi="Times New Roman"/>
          <w:color w:val="auto"/>
          <w:highlight w:val="none"/>
        </w:rPr>
      </w:pPr>
      <w:r>
        <w:rPr>
          <w:rFonts w:hint="eastAsia" w:ascii="Times New Roman" w:hAnsi="Times New Roman"/>
          <w:color w:val="auto"/>
          <w:highlight w:val="none"/>
        </w:rPr>
        <w:t>支持起诉状、答辩状、执行申请书、立案受理通知书、开庭通知书、判决书、裁决书等各阶段案件主要及重要法律文书扫描上传并归档保存，保存时限须符合本行档案管理要求。支持案件档案查看、导出，权限可配置。</w:t>
      </w:r>
    </w:p>
    <w:p w14:paraId="04761D5C">
      <w:pPr>
        <w:outlineLvl w:val="2"/>
        <w:rPr>
          <w:rFonts w:hint="eastAsia" w:ascii="Times New Roman" w:hAnsi="Times New Roman"/>
          <w:color w:val="auto"/>
          <w:highlight w:val="none"/>
        </w:rPr>
      </w:pPr>
      <w:bookmarkStart w:id="143" w:name="_Toc9174"/>
      <w:bookmarkStart w:id="144" w:name="_Toc24405"/>
      <w:bookmarkStart w:id="145" w:name="_Toc479"/>
      <w:r>
        <w:rPr>
          <w:rFonts w:hint="default" w:ascii="Times New Roman" w:hAnsi="Times New Roman"/>
          <w:color w:val="auto"/>
          <w:highlight w:val="none"/>
        </w:rPr>
        <w:t>1</w:t>
      </w:r>
      <w:r>
        <w:rPr>
          <w:rFonts w:hint="eastAsia" w:ascii="Times New Roman" w:hAnsi="Times New Roman"/>
          <w:color w:val="auto"/>
          <w:highlight w:val="none"/>
        </w:rPr>
        <w:t>.2.8案件权限管理</w:t>
      </w:r>
      <w:bookmarkEnd w:id="143"/>
      <w:bookmarkEnd w:id="144"/>
      <w:bookmarkEnd w:id="145"/>
    </w:p>
    <w:p w14:paraId="5F5A4EDF">
      <w:pPr>
        <w:rPr>
          <w:rFonts w:ascii="Times New Roman" w:hAnsi="Times New Roman"/>
          <w:color w:val="auto"/>
          <w:highlight w:val="none"/>
        </w:rPr>
      </w:pPr>
      <w:r>
        <w:rPr>
          <w:rFonts w:hint="eastAsia" w:ascii="Times New Roman" w:hAnsi="Times New Roman"/>
          <w:color w:val="auto"/>
          <w:highlight w:val="none"/>
        </w:rPr>
        <w:t>实现本行机构及人员信息同步更新，支持各机构、人员案件审查审批、案件进展跟踪监测、案件代理管理、案件信息查询/统计/分析等各项权限可配置。支持人员变动情况下案件主动、指定等移交。</w:t>
      </w:r>
    </w:p>
    <w:p w14:paraId="1452A88A">
      <w:pPr>
        <w:pStyle w:val="3"/>
        <w:numPr>
          <w:ilvl w:val="0"/>
          <w:numId w:val="0"/>
        </w:numPr>
        <w:ind w:left="360" w:leftChars="0" w:hanging="360" w:firstLineChars="0"/>
        <w:outlineLvl w:val="3"/>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2.</w:t>
      </w:r>
      <w:r>
        <w:rPr>
          <w:rFonts w:hint="eastAsia" w:ascii="Times New Roman" w:hAnsi="Times New Roman"/>
          <w:color w:val="auto"/>
          <w:highlight w:val="none"/>
        </w:rPr>
        <w:t>技术要求</w:t>
      </w:r>
    </w:p>
    <w:p w14:paraId="2B0EB517">
      <w:pPr>
        <w:pStyle w:val="4"/>
        <w:outlineLvl w:val="1"/>
        <w:rPr>
          <w:rFonts w:ascii="Times New Roman" w:hAnsi="Times New Roman"/>
          <w:color w:val="auto"/>
          <w:szCs w:val="24"/>
          <w:highlight w:val="none"/>
        </w:rPr>
      </w:pPr>
      <w:bookmarkStart w:id="146" w:name="_Toc7460"/>
      <w:bookmarkStart w:id="147" w:name="_Toc28493"/>
      <w:bookmarkStart w:id="148" w:name="_Toc5446"/>
      <w:r>
        <w:rPr>
          <w:rFonts w:hint="eastAsia" w:ascii="Times New Roman" w:hAnsi="Times New Roman"/>
          <w:color w:val="auto"/>
          <w:szCs w:val="24"/>
          <w:highlight w:val="none"/>
        </w:rPr>
        <w:t>2</w:t>
      </w:r>
      <w:r>
        <w:rPr>
          <w:rFonts w:ascii="Times New Roman" w:hAnsi="Times New Roman"/>
          <w:color w:val="auto"/>
          <w:szCs w:val="24"/>
          <w:highlight w:val="none"/>
        </w:rPr>
        <w:t xml:space="preserve">.1 </w:t>
      </w:r>
      <w:r>
        <w:rPr>
          <w:rFonts w:hint="eastAsia" w:ascii="Times New Roman" w:hAnsi="Times New Roman"/>
          <w:color w:val="auto"/>
          <w:szCs w:val="24"/>
          <w:highlight w:val="none"/>
        </w:rPr>
        <w:t>总体原则</w:t>
      </w:r>
      <w:bookmarkEnd w:id="146"/>
      <w:bookmarkEnd w:id="147"/>
      <w:bookmarkEnd w:id="148"/>
    </w:p>
    <w:p w14:paraId="4727E195">
      <w:pPr>
        <w:rPr>
          <w:rFonts w:ascii="Times New Roman" w:hAnsi="Times New Roman"/>
          <w:color w:val="auto"/>
          <w:szCs w:val="24"/>
          <w:highlight w:val="none"/>
        </w:rPr>
      </w:pPr>
      <w:r>
        <w:rPr>
          <w:rFonts w:hint="eastAsia" w:ascii="Times New Roman" w:hAnsi="Times New Roman"/>
          <w:color w:val="auto"/>
          <w:szCs w:val="24"/>
          <w:highlight w:val="none"/>
        </w:rPr>
        <w:t>系统的建设应遵循集成性、先进性、可扩展性、稳定性、安全性、经济性、前瞻性和可维护性相结合的原则。</w:t>
      </w:r>
    </w:p>
    <w:p w14:paraId="67854719">
      <w:pPr>
        <w:rPr>
          <w:rFonts w:ascii="Times New Roman" w:hAnsi="Times New Roman"/>
          <w:color w:val="auto"/>
          <w:szCs w:val="24"/>
          <w:highlight w:val="none"/>
        </w:rPr>
      </w:pPr>
      <w:r>
        <w:rPr>
          <w:rFonts w:ascii="Times New Roman" w:hAnsi="Times New Roman"/>
          <w:color w:val="auto"/>
          <w:szCs w:val="24"/>
          <w:highlight w:val="none"/>
        </w:rPr>
        <w:t xml:space="preserve">2.1.1 </w:t>
      </w:r>
      <w:r>
        <w:rPr>
          <w:rFonts w:hint="eastAsia" w:ascii="Times New Roman" w:hAnsi="Times New Roman"/>
          <w:color w:val="auto"/>
          <w:szCs w:val="24"/>
          <w:highlight w:val="none"/>
        </w:rPr>
        <w:t>集成性：系统建设需充分考虑与其它系统的集成，能快速与比选人其它业务和管理系统的集成。</w:t>
      </w:r>
    </w:p>
    <w:p w14:paraId="4C30FA43">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2 先进性：软件系统的选择与开发应在满足业务需求的基础上具有易改造、易升级、易操作、易维护等特点。</w:t>
      </w:r>
    </w:p>
    <w:p w14:paraId="3BD91791">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3 可扩展性：支持业务和系统的可扩展，支持行业应用可扩展，具有向后兼容的能力。</w:t>
      </w:r>
    </w:p>
    <w:p w14:paraId="4603CAF8">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4 稳定性：系统要确保系统平稳运行，支持7×24小时连续运行，满足高峰处理的需要。</w:t>
      </w:r>
    </w:p>
    <w:p w14:paraId="622E0C02">
      <w:pPr>
        <w:outlineLvl w:val="2"/>
        <w:rPr>
          <w:rFonts w:ascii="Times New Roman" w:hAnsi="Times New Roman"/>
          <w:color w:val="auto"/>
          <w:szCs w:val="24"/>
          <w:highlight w:val="none"/>
        </w:rPr>
      </w:pPr>
      <w:bookmarkStart w:id="149" w:name="_Toc21769"/>
      <w:bookmarkStart w:id="150" w:name="_Toc21670"/>
      <w:bookmarkStart w:id="151" w:name="_Toc16100"/>
      <w:r>
        <w:rPr>
          <w:rFonts w:ascii="Times New Roman" w:hAnsi="Times New Roman"/>
          <w:color w:val="auto"/>
          <w:szCs w:val="24"/>
          <w:highlight w:val="none"/>
        </w:rPr>
        <w:t>2.1.</w:t>
      </w:r>
      <w:r>
        <w:rPr>
          <w:rFonts w:hint="eastAsia" w:ascii="Times New Roman" w:hAnsi="Times New Roman"/>
          <w:color w:val="auto"/>
          <w:szCs w:val="24"/>
          <w:highlight w:val="none"/>
        </w:rPr>
        <w:t>5 安全性：</w:t>
      </w:r>
      <w:bookmarkEnd w:id="149"/>
      <w:bookmarkEnd w:id="150"/>
      <w:bookmarkEnd w:id="151"/>
    </w:p>
    <w:p w14:paraId="76967DBA">
      <w:pPr>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77B13C53">
      <w:pPr>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3D154F53">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3E52A835">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00A263AD">
      <w:pPr>
        <w:outlineLvl w:val="2"/>
        <w:rPr>
          <w:rFonts w:ascii="Times New Roman" w:hAnsi="Times New Roman"/>
          <w:color w:val="auto"/>
          <w:szCs w:val="24"/>
          <w:highlight w:val="none"/>
        </w:rPr>
      </w:pPr>
      <w:bookmarkStart w:id="152" w:name="_Toc27544"/>
      <w:bookmarkStart w:id="153" w:name="_Toc7338"/>
      <w:bookmarkStart w:id="154" w:name="_Toc26398"/>
      <w:r>
        <w:rPr>
          <w:rFonts w:ascii="Times New Roman" w:hAnsi="Times New Roman"/>
          <w:color w:val="auto"/>
          <w:szCs w:val="24"/>
          <w:highlight w:val="none"/>
        </w:rPr>
        <w:t>2.1.</w:t>
      </w:r>
      <w:r>
        <w:rPr>
          <w:rFonts w:hint="eastAsia" w:ascii="Times New Roman" w:hAnsi="Times New Roman"/>
          <w:color w:val="auto"/>
          <w:szCs w:val="24"/>
          <w:highlight w:val="none"/>
        </w:rPr>
        <w:t>8 可维护性：系统可维护，运行成本可控。</w:t>
      </w:r>
      <w:bookmarkEnd w:id="152"/>
      <w:bookmarkEnd w:id="153"/>
      <w:bookmarkEnd w:id="154"/>
    </w:p>
    <w:p w14:paraId="20316762">
      <w:pPr>
        <w:pStyle w:val="4"/>
        <w:outlineLvl w:val="1"/>
        <w:rPr>
          <w:rFonts w:ascii="Times New Roman" w:hAnsi="Times New Roman"/>
          <w:color w:val="auto"/>
          <w:szCs w:val="24"/>
          <w:highlight w:val="none"/>
        </w:rPr>
      </w:pPr>
      <w:bookmarkStart w:id="155" w:name="_Toc17899"/>
      <w:bookmarkStart w:id="156" w:name="_Toc16069"/>
      <w:bookmarkStart w:id="157" w:name="_Toc28153"/>
      <w:r>
        <w:rPr>
          <w:rFonts w:hint="eastAsia" w:ascii="Times New Roman" w:hAnsi="Times New Roman"/>
          <w:color w:val="auto"/>
          <w:szCs w:val="24"/>
          <w:highlight w:val="none"/>
        </w:rPr>
        <w:t>2.2 用户体验要求</w:t>
      </w:r>
      <w:bookmarkEnd w:id="155"/>
      <w:bookmarkEnd w:id="156"/>
      <w:bookmarkEnd w:id="157"/>
    </w:p>
    <w:p w14:paraId="06E709B0">
      <w:pPr>
        <w:rPr>
          <w:rFonts w:ascii="Times New Roman" w:hAnsi="Times New Roman"/>
          <w:color w:val="auto"/>
          <w:szCs w:val="24"/>
          <w:highlight w:val="none"/>
        </w:rPr>
      </w:pPr>
      <w:r>
        <w:rPr>
          <w:rFonts w:hint="eastAsia" w:ascii="Times New Roman" w:hAnsi="Times New Roman"/>
          <w:color w:val="auto"/>
          <w:szCs w:val="24"/>
          <w:highlight w:val="none"/>
        </w:rPr>
        <w:t>界面可根据用户需求灵活更改（增强标签分类特性），注重用户体验，使系统各项功能易见、易学、易用。</w:t>
      </w:r>
    </w:p>
    <w:p w14:paraId="38BB724F">
      <w:pPr>
        <w:rPr>
          <w:rFonts w:ascii="Times New Roman" w:hAnsi="Times New Roman"/>
          <w:color w:val="auto"/>
          <w:szCs w:val="24"/>
          <w:highlight w:val="none"/>
        </w:rPr>
      </w:pPr>
      <w:r>
        <w:rPr>
          <w:rFonts w:hint="eastAsia" w:ascii="Times New Roman" w:hAnsi="Times New Roman"/>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7D80EE9D">
      <w:pPr>
        <w:pStyle w:val="4"/>
        <w:outlineLvl w:val="1"/>
        <w:rPr>
          <w:rFonts w:ascii="Times New Roman" w:hAnsi="Times New Roman"/>
          <w:color w:val="auto"/>
          <w:szCs w:val="24"/>
          <w:highlight w:val="none"/>
        </w:rPr>
      </w:pPr>
      <w:bookmarkStart w:id="158" w:name="_Toc2729"/>
      <w:bookmarkStart w:id="159" w:name="_Toc25432"/>
      <w:bookmarkStart w:id="160" w:name="_Toc30287"/>
      <w:r>
        <w:rPr>
          <w:rFonts w:hint="eastAsia" w:ascii="Times New Roman" w:hAnsi="Times New Roman"/>
          <w:color w:val="auto"/>
          <w:szCs w:val="24"/>
          <w:highlight w:val="none"/>
        </w:rPr>
        <w:t>2</w:t>
      </w:r>
      <w:r>
        <w:rPr>
          <w:rFonts w:ascii="Times New Roman" w:hAnsi="Times New Roman"/>
          <w:color w:val="auto"/>
          <w:szCs w:val="24"/>
          <w:highlight w:val="none"/>
        </w:rPr>
        <w:t xml:space="preserve">.3 </w:t>
      </w:r>
      <w:r>
        <w:rPr>
          <w:rFonts w:hint="eastAsia" w:ascii="Times New Roman" w:hAnsi="Times New Roman"/>
          <w:color w:val="auto"/>
          <w:szCs w:val="24"/>
          <w:highlight w:val="none"/>
        </w:rPr>
        <w:t>系统技术架构要求</w:t>
      </w:r>
      <w:bookmarkEnd w:id="158"/>
      <w:bookmarkEnd w:id="159"/>
      <w:bookmarkEnd w:id="160"/>
    </w:p>
    <w:p w14:paraId="25CDC209">
      <w:pPr>
        <w:rPr>
          <w:rFonts w:ascii="Times New Roman" w:hAnsi="Times New Roman"/>
          <w:color w:val="auto"/>
          <w:szCs w:val="24"/>
          <w:highlight w:val="none"/>
        </w:rPr>
      </w:pPr>
      <w:r>
        <w:rPr>
          <w:rFonts w:hint="eastAsia" w:ascii="Times New Roman" w:hAnsi="Times New Roman"/>
          <w:color w:val="auto"/>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5EDE1A8E">
      <w:pPr>
        <w:rPr>
          <w:rFonts w:ascii="Times New Roman" w:hAnsi="Times New Roman"/>
          <w:color w:val="auto"/>
          <w:szCs w:val="24"/>
          <w:highlight w:val="none"/>
        </w:rPr>
      </w:pPr>
      <w:r>
        <w:rPr>
          <w:rFonts w:hint="eastAsia" w:ascii="Times New Roman" w:hAnsi="Times New Roman"/>
          <w:color w:val="auto"/>
          <w:szCs w:val="24"/>
          <w:highlight w:val="none"/>
        </w:rPr>
        <w:t>2）系统技术架构合理，数据结构合理，避免数据冗余，具有良好的扩展性、维护性和稳定性。如服务限流机制、服务降级机制等服务管控机制的应用，保障系统稳定运行。</w:t>
      </w:r>
    </w:p>
    <w:p w14:paraId="49218589">
      <w:pPr>
        <w:rPr>
          <w:rFonts w:ascii="Times New Roman" w:hAnsi="Times New Roman"/>
          <w:color w:val="auto"/>
          <w:szCs w:val="24"/>
          <w:highlight w:val="none"/>
        </w:rPr>
      </w:pPr>
      <w:r>
        <w:rPr>
          <w:rFonts w:hint="eastAsia" w:ascii="Times New Roman" w:hAnsi="Times New Roman"/>
          <w:color w:val="auto"/>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6A92B50">
      <w:pPr>
        <w:rPr>
          <w:rFonts w:ascii="Times New Roman" w:hAnsi="Times New Roman"/>
          <w:color w:val="auto"/>
          <w:szCs w:val="24"/>
          <w:highlight w:val="none"/>
        </w:rPr>
      </w:pPr>
      <w:r>
        <w:rPr>
          <w:rFonts w:hint="eastAsia" w:ascii="Times New Roman" w:hAnsi="Times New Roman"/>
          <w:color w:val="auto"/>
          <w:szCs w:val="24"/>
          <w:highlight w:val="none"/>
        </w:rPr>
        <w:t>4）支持集群部署方式，适应本行未来业务发展的需要。应用系统之间逻辑独立、启停服务时系统间不相互影响的部署方案。应用系统应支持双活跨数据中心的部署方案。</w:t>
      </w:r>
    </w:p>
    <w:p w14:paraId="47CA4A8E">
      <w:pPr>
        <w:outlineLvl w:val="2"/>
        <w:rPr>
          <w:rFonts w:ascii="Times New Roman" w:hAnsi="Times New Roman"/>
          <w:color w:val="auto"/>
          <w:szCs w:val="24"/>
          <w:highlight w:val="none"/>
        </w:rPr>
      </w:pPr>
      <w:bookmarkStart w:id="161" w:name="_Toc17841"/>
      <w:bookmarkStart w:id="162" w:name="_Toc10030"/>
      <w:bookmarkStart w:id="163" w:name="_Toc10312"/>
      <w:r>
        <w:rPr>
          <w:rFonts w:hint="eastAsia" w:ascii="Times New Roman" w:hAnsi="Times New Roman"/>
          <w:color w:val="auto"/>
          <w:szCs w:val="24"/>
          <w:highlight w:val="none"/>
        </w:rPr>
        <w:t>5）系统支持域名部署。</w:t>
      </w:r>
      <w:bookmarkEnd w:id="161"/>
      <w:bookmarkEnd w:id="162"/>
      <w:bookmarkEnd w:id="163"/>
    </w:p>
    <w:p w14:paraId="59DFBDB4">
      <w:pPr>
        <w:rPr>
          <w:rFonts w:hint="eastAsia" w:ascii="Times New Roman" w:hAnsi="Times New Roman" w:cs="Times New Roman"/>
          <w:color w:val="auto"/>
          <w:szCs w:val="24"/>
          <w:highlight w:val="none"/>
        </w:rPr>
      </w:pPr>
      <w:r>
        <w:rPr>
          <w:rFonts w:hint="eastAsia" w:ascii="Times New Roman" w:hAnsi="Times New Roman" w:cs="Times New Roman"/>
          <w:color w:val="auto"/>
          <w:szCs w:val="24"/>
          <w:highlight w:val="none"/>
        </w:rPr>
        <w:t>6) 系统应参照国标《信息技术中文编码字符集》和行标《金融服务生僻字处理指南》等规定要求，支持对生僻字的处理。</w:t>
      </w:r>
    </w:p>
    <w:p w14:paraId="66D94252">
      <w:pPr>
        <w:pStyle w:val="4"/>
        <w:outlineLvl w:val="1"/>
        <w:rPr>
          <w:rFonts w:ascii="Times New Roman" w:hAnsi="Times New Roman"/>
          <w:color w:val="auto"/>
          <w:szCs w:val="24"/>
          <w:highlight w:val="none"/>
        </w:rPr>
      </w:pPr>
      <w:bookmarkStart w:id="164" w:name="_Toc6655"/>
      <w:bookmarkStart w:id="165" w:name="_Toc25026"/>
      <w:bookmarkStart w:id="166" w:name="_Toc19600"/>
      <w:r>
        <w:rPr>
          <w:rFonts w:ascii="Times New Roman" w:hAnsi="Times New Roman"/>
          <w:color w:val="auto"/>
          <w:szCs w:val="24"/>
          <w:highlight w:val="none"/>
        </w:rPr>
        <w:t xml:space="preserve">2.4 </w:t>
      </w:r>
      <w:r>
        <w:rPr>
          <w:rFonts w:hint="eastAsia" w:ascii="Times New Roman" w:hAnsi="Times New Roman"/>
          <w:color w:val="auto"/>
          <w:szCs w:val="24"/>
          <w:highlight w:val="none"/>
        </w:rPr>
        <w:t>系统性能要求</w:t>
      </w:r>
      <w:bookmarkEnd w:id="164"/>
      <w:bookmarkEnd w:id="165"/>
      <w:bookmarkEnd w:id="166"/>
    </w:p>
    <w:p w14:paraId="0ABADCB7">
      <w:pPr>
        <w:rPr>
          <w:rFonts w:ascii="Times New Roman" w:hAnsi="Times New Roman"/>
          <w:color w:val="auto"/>
          <w:szCs w:val="24"/>
          <w:highlight w:val="none"/>
        </w:rPr>
      </w:pPr>
      <w:r>
        <w:rPr>
          <w:rFonts w:hint="eastAsia" w:ascii="Times New Roman" w:hAnsi="Times New Roman"/>
          <w:color w:val="auto"/>
          <w:szCs w:val="24"/>
          <w:highlight w:val="none"/>
        </w:rPr>
        <w:t>1）应具有高效的运行效率，能通过负载均衡、流量控制、消息缓存等机制，提供大规模、高并发量的交易处理能力，满足登陆、查询、日终批量等性能需求；</w:t>
      </w:r>
    </w:p>
    <w:p w14:paraId="6074701B">
      <w:pPr>
        <w:outlineLvl w:val="2"/>
        <w:rPr>
          <w:rFonts w:ascii="Times New Roman" w:hAnsi="Times New Roman"/>
          <w:color w:val="auto"/>
          <w:szCs w:val="24"/>
          <w:highlight w:val="none"/>
        </w:rPr>
      </w:pPr>
      <w:bookmarkStart w:id="167" w:name="_Toc13191"/>
      <w:bookmarkStart w:id="168" w:name="_Toc15525"/>
      <w:bookmarkStart w:id="169" w:name="_Toc10343"/>
      <w:r>
        <w:rPr>
          <w:rFonts w:hint="eastAsia" w:ascii="Times New Roman" w:hAnsi="Times New Roman"/>
          <w:color w:val="auto"/>
          <w:szCs w:val="24"/>
          <w:highlight w:val="none"/>
        </w:rPr>
        <w:t>2）系统必须提供平台级的负载均衡和容错能力；</w:t>
      </w:r>
      <w:bookmarkEnd w:id="167"/>
      <w:bookmarkEnd w:id="168"/>
      <w:bookmarkEnd w:id="169"/>
    </w:p>
    <w:p w14:paraId="7131ABBB">
      <w:pPr>
        <w:rPr>
          <w:rFonts w:ascii="Times New Roman" w:hAnsi="Times New Roman"/>
          <w:color w:val="auto"/>
          <w:szCs w:val="24"/>
          <w:highlight w:val="none"/>
        </w:rPr>
      </w:pPr>
      <w:r>
        <w:rPr>
          <w:rFonts w:hint="eastAsia" w:ascii="Times New Roman" w:hAnsi="Times New Roman"/>
          <w:color w:val="auto"/>
          <w:szCs w:val="24"/>
          <w:highlight w:val="none"/>
        </w:rPr>
        <w:t>3）主机系统能够保持7*24稳定的不间断运行，从系统软硬件平台及网络等方面来保证系统的稳定性；</w:t>
      </w:r>
    </w:p>
    <w:p w14:paraId="3CF176A3">
      <w:pPr>
        <w:outlineLvl w:val="2"/>
        <w:rPr>
          <w:rFonts w:ascii="Times New Roman" w:hAnsi="Times New Roman"/>
          <w:color w:val="auto"/>
          <w:szCs w:val="24"/>
          <w:highlight w:val="none"/>
        </w:rPr>
      </w:pPr>
      <w:bookmarkStart w:id="170" w:name="_Toc24956"/>
      <w:bookmarkStart w:id="171" w:name="_Toc9003"/>
      <w:bookmarkStart w:id="172" w:name="_Toc30073"/>
      <w:r>
        <w:rPr>
          <w:rFonts w:hint="eastAsia" w:ascii="Times New Roman" w:hAnsi="Times New Roman"/>
          <w:color w:val="auto"/>
          <w:szCs w:val="24"/>
          <w:highlight w:val="none"/>
        </w:rPr>
        <w:t>4）可用率：系统总体平均可用率在99.99%以上。</w:t>
      </w:r>
      <w:bookmarkEnd w:id="170"/>
      <w:bookmarkEnd w:id="171"/>
      <w:bookmarkEnd w:id="172"/>
    </w:p>
    <w:p w14:paraId="2B4952CF">
      <w:pPr>
        <w:pStyle w:val="4"/>
        <w:outlineLvl w:val="1"/>
        <w:rPr>
          <w:rFonts w:ascii="Times New Roman" w:hAnsi="Times New Roman"/>
          <w:color w:val="auto"/>
          <w:szCs w:val="24"/>
          <w:highlight w:val="none"/>
        </w:rPr>
      </w:pPr>
      <w:bookmarkStart w:id="173" w:name="_Toc4152"/>
      <w:bookmarkStart w:id="174" w:name="_Toc10520"/>
      <w:bookmarkStart w:id="175" w:name="_Toc13948"/>
      <w:r>
        <w:rPr>
          <w:rFonts w:hint="eastAsia" w:ascii="Times New Roman" w:hAnsi="Times New Roman"/>
          <w:color w:val="auto"/>
          <w:szCs w:val="24"/>
          <w:highlight w:val="none"/>
        </w:rPr>
        <w:t>2</w:t>
      </w:r>
      <w:r>
        <w:rPr>
          <w:rFonts w:ascii="Times New Roman" w:hAnsi="Times New Roman"/>
          <w:color w:val="auto"/>
          <w:szCs w:val="24"/>
          <w:highlight w:val="none"/>
        </w:rPr>
        <w:t xml:space="preserve">.5 </w:t>
      </w:r>
      <w:r>
        <w:rPr>
          <w:rFonts w:hint="eastAsia" w:ascii="Times New Roman" w:hAnsi="Times New Roman"/>
          <w:color w:val="auto"/>
          <w:szCs w:val="24"/>
          <w:highlight w:val="none"/>
        </w:rPr>
        <w:t>安全性要求</w:t>
      </w:r>
      <w:bookmarkEnd w:id="173"/>
      <w:bookmarkEnd w:id="174"/>
      <w:bookmarkEnd w:id="175"/>
    </w:p>
    <w:p w14:paraId="01CBA3AD">
      <w:pPr>
        <w:rPr>
          <w:rFonts w:ascii="Times New Roman" w:hAnsi="Times New Roman"/>
          <w:color w:val="auto"/>
          <w:szCs w:val="24"/>
          <w:highlight w:val="none"/>
        </w:rPr>
      </w:pPr>
      <w:r>
        <w:rPr>
          <w:rFonts w:hint="eastAsia" w:ascii="Times New Roman" w:hAnsi="Times New Roman"/>
          <w:color w:val="auto"/>
          <w:szCs w:val="24"/>
          <w:highlight w:val="none"/>
        </w:rPr>
        <w:t>为确保信息安全，采取的措施包括但不限于以下：</w:t>
      </w:r>
    </w:p>
    <w:p w14:paraId="01C296F6">
      <w:pPr>
        <w:rPr>
          <w:rFonts w:ascii="Times New Roman" w:hAnsi="Times New Roman"/>
          <w:color w:val="auto"/>
          <w:szCs w:val="24"/>
          <w:highlight w:val="none"/>
        </w:rPr>
      </w:pPr>
      <w:r>
        <w:rPr>
          <w:rFonts w:hint="eastAsia" w:ascii="Times New Roman" w:hAnsi="Times New Roman"/>
          <w:color w:val="auto"/>
          <w:szCs w:val="24"/>
          <w:highlight w:val="none"/>
        </w:rPr>
        <w:t>1）平台安全：架构设计符合安全性要求，平台软件达到安全设计标准且不低于同业相关系统要求。</w:t>
      </w:r>
    </w:p>
    <w:p w14:paraId="643C682E">
      <w:pPr>
        <w:rPr>
          <w:rFonts w:ascii="Times New Roman" w:hAnsi="Times New Roman"/>
          <w:color w:val="auto"/>
          <w:szCs w:val="24"/>
          <w:highlight w:val="none"/>
        </w:rPr>
      </w:pPr>
      <w:r>
        <w:rPr>
          <w:rFonts w:hint="eastAsia" w:ascii="Times New Roman" w:hAnsi="Times New Roman"/>
          <w:color w:val="auto"/>
          <w:szCs w:val="24"/>
          <w:highlight w:val="none"/>
        </w:rPr>
        <w:t>2）数据安全：支持文档安全软件整合技术，从而做到数据传输加密、远程安全访问、数据存储加密，数据部署网络区域应支持入侵检测与防御系统、防火墙的应用。</w:t>
      </w:r>
    </w:p>
    <w:p w14:paraId="29C5DA95">
      <w:pPr>
        <w:outlineLvl w:val="2"/>
        <w:rPr>
          <w:rFonts w:ascii="Times New Roman" w:hAnsi="Times New Roman"/>
          <w:color w:val="auto"/>
          <w:szCs w:val="24"/>
          <w:highlight w:val="none"/>
        </w:rPr>
      </w:pPr>
      <w:bookmarkStart w:id="176" w:name="_Toc15376"/>
      <w:bookmarkStart w:id="177" w:name="_Toc17552"/>
      <w:bookmarkStart w:id="178" w:name="_Toc19261"/>
      <w:r>
        <w:rPr>
          <w:rFonts w:hint="eastAsia" w:ascii="Times New Roman" w:hAnsi="Times New Roman"/>
          <w:color w:val="auto"/>
          <w:szCs w:val="24"/>
          <w:highlight w:val="none"/>
        </w:rPr>
        <w:t>3）容灾备份：支持各种容灾的软硬件设备的使用等。</w:t>
      </w:r>
      <w:bookmarkEnd w:id="176"/>
      <w:bookmarkEnd w:id="177"/>
      <w:bookmarkEnd w:id="178"/>
    </w:p>
    <w:p w14:paraId="1971F7F9">
      <w:pPr>
        <w:rPr>
          <w:rFonts w:ascii="Times New Roman" w:hAnsi="Times New Roman"/>
          <w:color w:val="auto"/>
          <w:szCs w:val="24"/>
          <w:highlight w:val="none"/>
        </w:rPr>
      </w:pPr>
      <w:r>
        <w:rPr>
          <w:rFonts w:hint="eastAsia" w:ascii="Times New Roman" w:hAnsi="Times New Roman"/>
          <w:color w:val="auto"/>
          <w:szCs w:val="24"/>
          <w:highlight w:val="none"/>
        </w:rPr>
        <w:t>4）管理安全：提供完善的日志功能，能够记录系统使用人员的关键操作，保证系统应用的安全。</w:t>
      </w:r>
    </w:p>
    <w:p w14:paraId="1BB05272">
      <w:pPr>
        <w:rPr>
          <w:rFonts w:ascii="Times New Roman" w:hAnsi="Times New Roman"/>
          <w:color w:val="auto"/>
          <w:szCs w:val="24"/>
          <w:highlight w:val="none"/>
        </w:rPr>
      </w:pPr>
      <w:r>
        <w:rPr>
          <w:rFonts w:hint="eastAsia" w:ascii="Times New Roman" w:hAnsi="Times New Roman"/>
          <w:color w:val="auto"/>
          <w:szCs w:val="24"/>
          <w:highlight w:val="none"/>
        </w:rPr>
        <w:t>5）密码策略：初始密码强制更改、启用验证码、密码过期控制、密码错误次数控制、密码强度设置等，不得以明文的方式保存任何相关密码，防止暴力破解和恶意攻击。</w:t>
      </w:r>
    </w:p>
    <w:p w14:paraId="05BD42E8">
      <w:pPr>
        <w:outlineLvl w:val="2"/>
        <w:rPr>
          <w:rFonts w:ascii="Times New Roman" w:hAnsi="Times New Roman"/>
          <w:color w:val="auto"/>
          <w:szCs w:val="24"/>
          <w:highlight w:val="none"/>
        </w:rPr>
      </w:pPr>
      <w:bookmarkStart w:id="179" w:name="_Toc13831"/>
      <w:bookmarkStart w:id="180" w:name="_Toc10135"/>
      <w:bookmarkStart w:id="181" w:name="_Toc16028"/>
      <w:r>
        <w:rPr>
          <w:rFonts w:hint="eastAsia" w:ascii="Times New Roman" w:hAnsi="Times New Roman"/>
          <w:color w:val="auto"/>
          <w:szCs w:val="24"/>
          <w:highlight w:val="none"/>
        </w:rPr>
        <w:t>6）系统严密、灵活的访问安全控制；</w:t>
      </w:r>
      <w:bookmarkEnd w:id="179"/>
      <w:bookmarkEnd w:id="180"/>
      <w:bookmarkEnd w:id="181"/>
    </w:p>
    <w:p w14:paraId="6F7800C5">
      <w:pPr>
        <w:rPr>
          <w:rFonts w:ascii="Times New Roman" w:hAnsi="Times New Roman"/>
          <w:color w:val="auto"/>
          <w:szCs w:val="24"/>
          <w:highlight w:val="none"/>
        </w:rPr>
      </w:pPr>
      <w:r>
        <w:rPr>
          <w:rFonts w:hint="eastAsia" w:ascii="Times New Roman" w:hAnsi="Times New Roman"/>
          <w:color w:val="auto"/>
          <w:szCs w:val="24"/>
          <w:highlight w:val="none"/>
        </w:rPr>
        <w:t>7）系统有整体的用户/权限管理体系，可统一进行用户/权限的管理，实现到字段级的查询、修改、管理权限控制；</w:t>
      </w:r>
    </w:p>
    <w:p w14:paraId="30A9409C">
      <w:pPr>
        <w:rPr>
          <w:rFonts w:ascii="Times New Roman" w:hAnsi="Times New Roman" w:cs="Times New Roman"/>
          <w:color w:val="auto"/>
          <w:szCs w:val="24"/>
          <w:highlight w:val="none"/>
        </w:rPr>
      </w:pPr>
      <w:r>
        <w:rPr>
          <w:rFonts w:ascii="Times New Roman" w:hAnsi="Times New Roman" w:cs="Times New Roman"/>
          <w:color w:val="auto"/>
          <w:szCs w:val="24"/>
          <w:highlight w:val="none"/>
        </w:rPr>
        <w:t>具体如下表所示：</w:t>
      </w:r>
    </w:p>
    <w:tbl>
      <w:tblPr>
        <w:tblStyle w:val="24"/>
        <w:tblW w:w="0" w:type="auto"/>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6"/>
        <w:gridCol w:w="826"/>
        <w:gridCol w:w="6869"/>
      </w:tblGrid>
      <w:tr w14:paraId="5FC4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3D10B39C">
            <w:pPr>
              <w:ind w:firstLine="0" w:firstLineChars="0"/>
              <w:jc w:val="center"/>
              <w:rPr>
                <w:rFonts w:ascii="Times New Roman" w:hAnsi="Times New Roman" w:eastAsia="方正仿宋_GBK" w:cs="Times New Roman"/>
                <w:color w:val="auto"/>
                <w:highlight w:val="none"/>
              </w:rPr>
            </w:pPr>
            <w:r>
              <w:rPr>
                <w:rFonts w:ascii="Times New Roman" w:hAnsi="Times New Roman" w:eastAsia="方正仿宋_GBK" w:cs="Times New Roman"/>
                <w:b/>
                <w:bCs/>
                <w:color w:val="auto"/>
                <w:sz w:val="20"/>
                <w:highlight w:val="none"/>
              </w:rPr>
              <w:t>类别</w:t>
            </w:r>
          </w:p>
        </w:tc>
        <w:tc>
          <w:tcPr>
            <w:tcW w:w="826"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2974BD39">
            <w:pPr>
              <w:ind w:firstLine="0" w:firstLineChars="0"/>
              <w:jc w:val="center"/>
              <w:rPr>
                <w:rFonts w:ascii="Times New Roman" w:hAnsi="Times New Roman" w:eastAsia="方正仿宋_GBK" w:cs="Times New Roman"/>
                <w:color w:val="auto"/>
                <w:highlight w:val="none"/>
              </w:rPr>
            </w:pPr>
            <w:r>
              <w:rPr>
                <w:rFonts w:ascii="Times New Roman" w:hAnsi="Times New Roman" w:eastAsia="方正仿宋_GBK" w:cs="Times New Roman"/>
                <w:b/>
                <w:bCs/>
                <w:color w:val="auto"/>
                <w:sz w:val="20"/>
                <w:highlight w:val="none"/>
              </w:rPr>
              <w:t>子类</w:t>
            </w:r>
          </w:p>
        </w:tc>
        <w:tc>
          <w:tcPr>
            <w:tcW w:w="6869" w:type="dxa"/>
            <w:tcBorders>
              <w:top w:val="single" w:color="auto" w:sz="6" w:space="0"/>
              <w:left w:val="single" w:color="auto" w:sz="6" w:space="0"/>
              <w:bottom w:val="nil"/>
              <w:right w:val="single" w:color="auto" w:sz="6" w:space="0"/>
              <w:tl2br w:val="nil"/>
              <w:tr2bl w:val="nil"/>
            </w:tcBorders>
            <w:shd w:val="clear" w:color="auto" w:fill="BFBFBF"/>
            <w:noWrap/>
            <w:vAlign w:val="center"/>
          </w:tcPr>
          <w:p w14:paraId="70242E60">
            <w:pPr>
              <w:jc w:val="center"/>
              <w:rPr>
                <w:rFonts w:ascii="Times New Roman" w:hAnsi="Times New Roman" w:eastAsia="方正仿宋_GBK" w:cs="Times New Roman"/>
                <w:color w:val="auto"/>
                <w:highlight w:val="none"/>
              </w:rPr>
            </w:pPr>
            <w:r>
              <w:rPr>
                <w:rFonts w:ascii="Times New Roman" w:hAnsi="Times New Roman" w:eastAsia="方正仿宋_GBK" w:cs="Times New Roman"/>
                <w:b/>
                <w:bCs/>
                <w:color w:val="auto"/>
                <w:sz w:val="20"/>
                <w:highlight w:val="none"/>
              </w:rPr>
              <w:t>安全需求</w:t>
            </w:r>
          </w:p>
        </w:tc>
      </w:tr>
      <w:tr w14:paraId="00D6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AA96EBC">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身份认证</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7F215A5">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口令安全策略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B281FB1">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应用系统应具有口令复杂度限制功能，并在设置密码、修改密码、重置密码的时候进行密码复杂度校验：</w:t>
            </w:r>
          </w:p>
          <w:p w14:paraId="0BD16AF4">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（1）口令复杂度要求：长度8位及以上，至少包含大写，小写字母，数字，特殊字符中的三种或三种以上；</w:t>
            </w:r>
          </w:p>
          <w:p w14:paraId="7FC71C1C">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（2）不能使用和用户名相同的密码；</w:t>
            </w:r>
          </w:p>
          <w:p w14:paraId="06C46045">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（3）避免使用默认口令，如果使用，应在用户首次登录时，强制用户修改密码。</w:t>
            </w:r>
          </w:p>
          <w:p w14:paraId="7EB2B7D8">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（4）系统各用户应根据使用场景定期更改密码，设置密码更新周期频率（最长不超过90天）。</w:t>
            </w:r>
          </w:p>
        </w:tc>
      </w:tr>
      <w:tr w14:paraId="24C6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EEC4061">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5D64BF30">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口令加密传输</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3B9A55F1">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用户口令在传输过程中需进行加密，建议使用md5加盐(随机数)、sha2、pbkdf2等方式进行加密传输，禁止直接使用明文传输，禁止直接使用MD5、sha1等弱加密方式。</w:t>
            </w:r>
          </w:p>
        </w:tc>
      </w:tr>
      <w:tr w14:paraId="69B4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FB1CE0">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253B728">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防暴力猜解</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18B81DA7">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身份认证时，应防止暴力猜解账号口令：</w:t>
            </w:r>
          </w:p>
          <w:p w14:paraId="4A12383A">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（1）在登录认证失败时给出通用的错误提示（如“账号或密码错误”），不能透露用户ID是否存在等信息。</w:t>
            </w:r>
          </w:p>
          <w:p w14:paraId="50D1A6DF">
            <w:pPr>
              <w:spacing w:line="240" w:lineRule="auto"/>
              <w:rPr>
                <w:rFonts w:ascii="Times New Roman" w:hAnsi="Times New Roman" w:eastAsia="方正仿宋_GBK" w:cs="Times New Roman"/>
                <w:color w:val="auto"/>
                <w:sz w:val="20"/>
                <w:highlight w:val="none"/>
                <w:u w:color="000000"/>
              </w:rPr>
            </w:pPr>
            <w:r>
              <w:rPr>
                <w:rFonts w:ascii="Times New Roman" w:hAnsi="Times New Roman" w:eastAsia="方正仿宋_GBK" w:cs="Times New Roman"/>
                <w:color w:val="auto"/>
                <w:sz w:val="20"/>
                <w:highlight w:val="none"/>
              </w:rPr>
              <w:t>（2）记录尝试次数，当超过阈值时（例如五次），限制访问（限制IP或锁定用户，锁定时间及解锁方式自行确定）。</w:t>
            </w:r>
          </w:p>
          <w:p w14:paraId="51F4C307">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u w:color="000000"/>
              </w:rPr>
              <w:t>（3）使用图片验证码防止暴力破解。</w:t>
            </w:r>
          </w:p>
        </w:tc>
      </w:tr>
      <w:tr w14:paraId="482A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82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25B67E9">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Cookie安全性</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0A88A9B">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Cookie安全性</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DFCAD31">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禁止将账号口令等敏感信息明文或简单编码存放在Cookie中。</w:t>
            </w:r>
          </w:p>
        </w:tc>
      </w:tr>
      <w:tr w14:paraId="2250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33A2504">
            <w:pPr>
              <w:jc w:val="center"/>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访问控制</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412DA2D">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未授权访问</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3A4EBFBC">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应建立安全的访问控制机制，禁止未登录用户访问用户登录后的资源、页面或URL。</w:t>
            </w:r>
          </w:p>
        </w:tc>
      </w:tr>
      <w:tr w14:paraId="720D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A22D0F5">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694564B5">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防水平越权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05BD06B">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重要操作（如转账交易、查询类操作、账号修改）时，系统应在服务器端对用户输入数据的合法性和有效性进行校验，防止水平越权（如用户A通过修改账号ID越权对用户B的账号进行操作）。</w:t>
            </w:r>
          </w:p>
        </w:tc>
      </w:tr>
      <w:tr w14:paraId="0C26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D6A2C8">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7CD9DB11">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防垂直越权</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167EC99D">
            <w:pPr>
              <w:spacing w:line="240" w:lineRule="auto"/>
              <w:rPr>
                <w:rFonts w:ascii="Times New Roman" w:hAnsi="Times New Roman" w:eastAsia="方正仿宋_GBK" w:cs="Times New Roman"/>
                <w:color w:val="auto"/>
                <w:sz w:val="20"/>
                <w:highlight w:val="none"/>
                <w:u w:color="000000"/>
              </w:rPr>
            </w:pPr>
            <w:r>
              <w:rPr>
                <w:rFonts w:ascii="Times New Roman" w:hAnsi="Times New Roman" w:eastAsia="方正仿宋_GBK" w:cs="Times New Roman"/>
                <w:color w:val="auto"/>
                <w:sz w:val="20"/>
                <w:highlight w:val="none"/>
                <w:u w:color="000000"/>
              </w:rPr>
              <w:t>（1）授予不同账户为完成各自承担任务所需的最小权限，应严格限制默认账户或预设账户的权限，禁止将所有权限集中在某一预设账户上。</w:t>
            </w:r>
          </w:p>
          <w:p w14:paraId="0801DFE8">
            <w:pPr>
              <w:spacing w:line="240" w:lineRule="auto"/>
              <w:rPr>
                <w:rFonts w:ascii="Times New Roman" w:hAnsi="Times New Roman" w:eastAsia="方正仿宋_GBK" w:cs="Times New Roman"/>
                <w:color w:val="auto"/>
                <w:sz w:val="20"/>
                <w:highlight w:val="none"/>
                <w:u w:color="000000"/>
              </w:rPr>
            </w:pPr>
            <w:r>
              <w:rPr>
                <w:rFonts w:ascii="Times New Roman" w:hAnsi="Times New Roman" w:eastAsia="方正仿宋_GBK" w:cs="Times New Roman"/>
                <w:color w:val="auto"/>
                <w:sz w:val="20"/>
                <w:highlight w:val="none"/>
                <w:u w:color="000000"/>
              </w:rPr>
              <w:t>（2）在为用户授权时，服务器端按照权限规则对权限进行校验，互斥的权限不能共存于一人。如操作和审核权限。</w:t>
            </w:r>
          </w:p>
          <w:p w14:paraId="164EE213">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u w:color="000000"/>
              </w:rPr>
              <w:t>（3）在重要操作（如账号增删改、授权、业务操作、业务审批）时，系统应在服务器端对当前用户的权限进行校验，防止垂直越权。</w:t>
            </w:r>
          </w:p>
        </w:tc>
      </w:tr>
      <w:tr w14:paraId="4BF8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4EB1EDA">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输入校验</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6138661">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防sql注入</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2D8ED409">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应用系统应具有统一的防SQL注入机制：</w:t>
            </w:r>
          </w:p>
          <w:p w14:paraId="17635E2B">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（1）防SQL注入输入校验，至少校验以下危险字符：select、 where、 from、and、or、union等。</w:t>
            </w:r>
          </w:p>
          <w:p w14:paraId="2EA947CE">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（2）应使用存储过程或参数化查询，避免使用字符串拼接SQL语句，防止SQL注入。</w:t>
            </w:r>
          </w:p>
        </w:tc>
      </w:tr>
      <w:tr w14:paraId="474B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433E6FE">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58DEFE52">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防跨站</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4506A48A">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应用系统应具有统一的防XSS跨站校验攻击机制：</w:t>
            </w:r>
          </w:p>
          <w:p w14:paraId="2CF5FFA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（1）防跨站输入校验，至少应校验以下危险字符：&lt;&gt; " ' % ( ) &amp; + \ \' \"，prompt，script， alert等。</w:t>
            </w:r>
          </w:p>
          <w:p w14:paraId="15646703">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（2）防跨站输出编码，如果数据是输出到HTML中则进行Html输出编码，如果数据是输出到javascript代码中进行拼接，则进行javascript输出编码。</w:t>
            </w:r>
          </w:p>
          <w:p w14:paraId="56CDD31A">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u w:color="000000"/>
              </w:rPr>
              <w:t>（3）设置cookie的HttpOnly属性，能够有效防止XSS攻击。</w:t>
            </w:r>
          </w:p>
        </w:tc>
      </w:tr>
      <w:tr w14:paraId="5526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FCF69FD">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文件上传</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3C9A3205">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防止任意文件上传</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FA651A1">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应对上传文件进行以下处理，防止任意文件上传：</w:t>
            </w:r>
          </w:p>
          <w:p w14:paraId="5DE255A9">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（1）使用白名单方式控制上传文件的类型。服务器端应对上传文件的大小、扩展名、类型（报头信息）进行校验，防止任意文件上传。</w:t>
            </w:r>
          </w:p>
          <w:p w14:paraId="3D79B9A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（2）文件应尽量保存在文件服务器或web目录外部，避免通过web应用直接访问上传的文件。</w:t>
            </w:r>
          </w:p>
          <w:p w14:paraId="2D0B72AD">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（3）应控制文件上传目录的权限，禁止运行权限。</w:t>
            </w:r>
          </w:p>
          <w:p w14:paraId="25A94D26">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（4）应对上传文件进行重命名。</w:t>
            </w:r>
          </w:p>
        </w:tc>
      </w:tr>
      <w:tr w14:paraId="10AB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C8817A">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8DABC21">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输入校验</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8085386">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应对上传文件中的所有参数字段（如文件名称、文件类型、其他信息等）进行输入校验，防止注入、跨站等漏洞。</w:t>
            </w:r>
          </w:p>
        </w:tc>
      </w:tr>
      <w:tr w14:paraId="1FDE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26"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974DBAC">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数据安全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0039C9D">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口令加密存储</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2AA4D37A">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用户口令在存储过程中需进行加密，建议使用md5加盐(随机数)、sha2、pbkdf2等方式进行加密存储，禁止直接使用明文存储，禁止直接使用MD5、sha1等弱加密方式。</w:t>
            </w:r>
          </w:p>
        </w:tc>
      </w:tr>
      <w:tr w14:paraId="67B8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D427B3">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293FE80D">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多余信息返回</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520D8B80">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对服务器返回的参数做严格的限制，保证不是功能必须的参数不在返回的参数中，防止多余信息引起的数据泄露。</w:t>
            </w:r>
          </w:p>
        </w:tc>
      </w:tr>
      <w:tr w14:paraId="351D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9C87ACF">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95B8976">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敏感信息显示要求</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33A07FD5">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避免在html页面、js文件、客户端等前端上直接显示绝对路径、内网IP地址、账号口令等敏感信息。如：</w:t>
            </w:r>
          </w:p>
          <w:p w14:paraId="052F1804">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http://XX.XX.XX.XX/index.js;</w:t>
            </w:r>
          </w:p>
          <w:p w14:paraId="1AD547F1">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/var/www/html;</w:t>
            </w:r>
          </w:p>
          <w:p w14:paraId="20085AC5">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user=admin,pass=admin;</w:t>
            </w:r>
          </w:p>
        </w:tc>
      </w:tr>
      <w:tr w14:paraId="2E75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826"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8D45BF">
            <w:pPr>
              <w:rPr>
                <w:color w:val="auto"/>
                <w:highlight w:val="none"/>
              </w:rPr>
            </w:pP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42C3E99C">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敏感数据脱敏</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7ED26F29">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敏感数据在显示时，应进行脱敏处理，如：</w:t>
            </w:r>
          </w:p>
          <w:p w14:paraId="68424C3F">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姓名：张三脱敏为*三</w:t>
            </w:r>
          </w:p>
          <w:p w14:paraId="79F9C59D">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身份证号：1002**********1237</w:t>
            </w:r>
          </w:p>
          <w:p w14:paraId="2C0E05B7">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手机号：186****0781</w:t>
            </w:r>
          </w:p>
          <w:p w14:paraId="529FB881">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银行卡号：623078*********4846</w:t>
            </w:r>
          </w:p>
          <w:p w14:paraId="7418DC1A">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住址：****3单元302</w:t>
            </w:r>
          </w:p>
        </w:tc>
      </w:tr>
      <w:tr w14:paraId="517A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64C9E5A6">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系统容错</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A74ED49">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统一错误处理</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65D381F8">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应用系统应有统一错误处理功能，有效屏蔽系统技术错误信息，不将系统产生的错误信息（如中间件信息、数据库信息）直接反馈给客户端，提升用户体验，防止信息泄露。</w:t>
            </w:r>
          </w:p>
        </w:tc>
      </w:tr>
      <w:tr w14:paraId="6022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1C7064D9">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框架安全</w:t>
            </w:r>
          </w:p>
        </w:tc>
        <w:tc>
          <w:tcPr>
            <w:tcW w:w="826" w:type="dxa"/>
            <w:tcBorders>
              <w:top w:val="single" w:color="auto" w:sz="6" w:space="0"/>
              <w:left w:val="single" w:color="auto" w:sz="6" w:space="0"/>
              <w:bottom w:val="single" w:color="auto" w:sz="6" w:space="0"/>
              <w:right w:val="single" w:color="auto" w:sz="6" w:space="0"/>
              <w:tl2br w:val="nil"/>
              <w:tr2bl w:val="nil"/>
            </w:tcBorders>
            <w:noWrap/>
            <w:vAlign w:val="center"/>
          </w:tcPr>
          <w:p w14:paraId="03450017">
            <w:pPr>
              <w:ind w:firstLine="0" w:firstLineChars="0"/>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第三方组件或框架</w:t>
            </w:r>
          </w:p>
        </w:tc>
        <w:tc>
          <w:tcPr>
            <w:tcW w:w="6869" w:type="dxa"/>
            <w:tcBorders>
              <w:top w:val="single" w:color="auto" w:sz="6" w:space="0"/>
              <w:left w:val="single" w:color="auto" w:sz="6" w:space="0"/>
              <w:bottom w:val="single" w:color="auto" w:sz="6" w:space="0"/>
              <w:right w:val="single" w:color="auto" w:sz="6" w:space="0"/>
              <w:tl2br w:val="nil"/>
              <w:tr2bl w:val="nil"/>
            </w:tcBorders>
            <w:noWrap/>
            <w:vAlign w:val="center"/>
          </w:tcPr>
          <w:p w14:paraId="3514C9BD">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组件和中间件是导致漏洞的重要原因，使用时需遵守如下要求：</w:t>
            </w:r>
          </w:p>
          <w:p w14:paraId="4B23F828">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1.使用的版本需是官方正常维护的版本，如不是最新版本，需更新当前版本的安全补丁或升级；</w:t>
            </w:r>
          </w:p>
          <w:p w14:paraId="17EDF932">
            <w:pPr>
              <w:spacing w:line="240" w:lineRule="auto"/>
              <w:rPr>
                <w:rFonts w:ascii="Times New Roman" w:hAnsi="Times New Roman" w:eastAsia="方正仿宋_GBK" w:cs="Times New Roman"/>
                <w:color w:val="auto"/>
                <w:sz w:val="20"/>
                <w:highlight w:val="none"/>
              </w:rPr>
            </w:pPr>
            <w:r>
              <w:rPr>
                <w:rFonts w:ascii="Times New Roman" w:hAnsi="Times New Roman" w:eastAsia="方正仿宋_GBK" w:cs="Times New Roman"/>
                <w:color w:val="auto"/>
                <w:sz w:val="20"/>
                <w:highlight w:val="none"/>
              </w:rPr>
              <w:t>2.对使用的组件进行安全认证或限制源IP访问，避免造成未授权访问漏洞，如mongoDB、redis、Memcached、JBOSS、VNC、Zookeeper、Rsync、ElasticSearch、Hadoop、Kibana、Confluence、Jenkins、spring boot等；</w:t>
            </w:r>
          </w:p>
          <w:p w14:paraId="7D762CED">
            <w:pPr>
              <w:spacing w:line="240" w:lineRule="auto"/>
              <w:rPr>
                <w:rFonts w:ascii="Times New Roman" w:hAnsi="Times New Roman" w:eastAsia="方正仿宋_GBK" w:cs="Times New Roman"/>
                <w:color w:val="auto"/>
                <w:highlight w:val="none"/>
              </w:rPr>
            </w:pPr>
            <w:r>
              <w:rPr>
                <w:rFonts w:ascii="Times New Roman" w:hAnsi="Times New Roman" w:eastAsia="方正仿宋_GBK" w:cs="Times New Roman"/>
                <w:color w:val="auto"/>
                <w:sz w:val="20"/>
                <w:highlight w:val="none"/>
              </w:rPr>
              <w:t>3.登录各组件的默认口令需进行修改，修改要求参照口令安全策略，如JBOSS、Tomcat、ActiveMQ等；</w:t>
            </w:r>
          </w:p>
        </w:tc>
      </w:tr>
    </w:tbl>
    <w:p w14:paraId="03B6E91C">
      <w:pPr>
        <w:pStyle w:val="4"/>
        <w:outlineLvl w:val="1"/>
        <w:rPr>
          <w:rFonts w:ascii="Times New Roman" w:hAnsi="Times New Roman"/>
          <w:color w:val="auto"/>
          <w:szCs w:val="24"/>
          <w:highlight w:val="none"/>
        </w:rPr>
      </w:pPr>
      <w:bookmarkStart w:id="182" w:name="_Toc1463"/>
      <w:bookmarkStart w:id="183" w:name="_Toc18316"/>
      <w:bookmarkStart w:id="184" w:name="_Toc7355"/>
      <w:r>
        <w:rPr>
          <w:rFonts w:hint="eastAsia" w:ascii="Times New Roman" w:hAnsi="Times New Roman"/>
          <w:color w:val="auto"/>
          <w:szCs w:val="24"/>
          <w:highlight w:val="none"/>
        </w:rPr>
        <w:t>2</w:t>
      </w:r>
      <w:r>
        <w:rPr>
          <w:rFonts w:ascii="Times New Roman" w:hAnsi="Times New Roman"/>
          <w:color w:val="auto"/>
          <w:szCs w:val="24"/>
          <w:highlight w:val="none"/>
        </w:rPr>
        <w:t xml:space="preserve">.6 </w:t>
      </w:r>
      <w:r>
        <w:rPr>
          <w:rFonts w:hint="eastAsia" w:ascii="Times New Roman" w:hAnsi="Times New Roman"/>
          <w:color w:val="auto"/>
          <w:szCs w:val="24"/>
          <w:highlight w:val="none"/>
        </w:rPr>
        <w:t>可扩展性需求</w:t>
      </w:r>
      <w:bookmarkEnd w:id="182"/>
      <w:bookmarkEnd w:id="183"/>
      <w:bookmarkEnd w:id="184"/>
    </w:p>
    <w:p w14:paraId="31F7C327">
      <w:pPr>
        <w:rPr>
          <w:rFonts w:ascii="Times New Roman" w:hAnsi="Times New Roman"/>
          <w:color w:val="auto"/>
          <w:szCs w:val="24"/>
          <w:highlight w:val="none"/>
        </w:rPr>
      </w:pPr>
      <w:r>
        <w:rPr>
          <w:rFonts w:hint="eastAsia" w:ascii="Times New Roman" w:hAnsi="Times New Roman"/>
          <w:color w:val="auto"/>
          <w:szCs w:val="24"/>
          <w:highlight w:val="none"/>
        </w:rPr>
        <w:t>1）系统要求支持主流操作系统、数据库和通讯中间件，对软、硬件平台具有良好的可扩展能力，支持跨平台客制化开发。</w:t>
      </w:r>
    </w:p>
    <w:p w14:paraId="4E8D5BB0">
      <w:pPr>
        <w:rPr>
          <w:rFonts w:ascii="Times New Roman" w:hAnsi="Times New Roman"/>
          <w:color w:val="auto"/>
          <w:szCs w:val="24"/>
          <w:highlight w:val="none"/>
        </w:rPr>
      </w:pPr>
      <w:r>
        <w:rPr>
          <w:rFonts w:hint="eastAsia" w:ascii="Times New Roman" w:hAnsi="Times New Roman"/>
          <w:color w:val="auto"/>
          <w:szCs w:val="24"/>
          <w:highlight w:val="none"/>
        </w:rPr>
        <w:t>2）支持交易数据导入、模型参数维护、计量、会计核算、报表模块对于新产品的支持，系统容易改进、扩展和升级。</w:t>
      </w:r>
    </w:p>
    <w:p w14:paraId="0005E2A0">
      <w:pPr>
        <w:rPr>
          <w:rFonts w:ascii="Times New Roman" w:hAnsi="Times New Roman"/>
          <w:color w:val="auto"/>
          <w:szCs w:val="24"/>
          <w:highlight w:val="none"/>
        </w:rPr>
      </w:pPr>
      <w:r>
        <w:rPr>
          <w:rFonts w:hint="eastAsia" w:ascii="Times New Roman" w:hAnsi="Times New Roman"/>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504255A7">
      <w:pPr>
        <w:rPr>
          <w:rFonts w:ascii="Times New Roman" w:hAnsi="Times New Roman"/>
          <w:color w:val="auto"/>
          <w:szCs w:val="24"/>
          <w:highlight w:val="none"/>
        </w:rPr>
      </w:pPr>
      <w:r>
        <w:rPr>
          <w:rFonts w:hint="eastAsia" w:ascii="Times New Roman" w:hAnsi="Times New Roman"/>
          <w:color w:val="auto"/>
          <w:szCs w:val="24"/>
          <w:highlight w:val="none"/>
        </w:rPr>
        <w:t>4）系统的计算能力支持横向扩展；</w:t>
      </w:r>
    </w:p>
    <w:p w14:paraId="513DF046">
      <w:pPr>
        <w:rPr>
          <w:rFonts w:ascii="Times New Roman" w:hAnsi="Times New Roman"/>
          <w:color w:val="auto"/>
          <w:szCs w:val="24"/>
          <w:highlight w:val="none"/>
        </w:rPr>
      </w:pPr>
      <w:r>
        <w:rPr>
          <w:rFonts w:hint="eastAsia" w:ascii="Times New Roman" w:hAnsi="Times New Roman"/>
          <w:color w:val="auto"/>
          <w:szCs w:val="24"/>
          <w:highlight w:val="none"/>
        </w:rPr>
        <w:t>5）对第三方平台提供良好的接口支持和扩展能力。</w:t>
      </w:r>
    </w:p>
    <w:p w14:paraId="221E3A2D">
      <w:pPr>
        <w:pStyle w:val="4"/>
        <w:outlineLvl w:val="1"/>
        <w:rPr>
          <w:rFonts w:ascii="Times New Roman" w:hAnsi="Times New Roman"/>
          <w:color w:val="auto"/>
          <w:szCs w:val="24"/>
          <w:highlight w:val="none"/>
        </w:rPr>
      </w:pPr>
      <w:bookmarkStart w:id="185" w:name="_Toc29233"/>
      <w:bookmarkStart w:id="186" w:name="_Toc18280"/>
      <w:bookmarkStart w:id="187" w:name="_Toc1245"/>
      <w:r>
        <w:rPr>
          <w:rFonts w:hint="eastAsia" w:ascii="Times New Roman" w:hAnsi="Times New Roman"/>
          <w:color w:val="auto"/>
          <w:szCs w:val="24"/>
          <w:highlight w:val="none"/>
        </w:rPr>
        <w:t>2</w:t>
      </w:r>
      <w:r>
        <w:rPr>
          <w:rFonts w:ascii="Times New Roman" w:hAnsi="Times New Roman"/>
          <w:color w:val="auto"/>
          <w:szCs w:val="24"/>
          <w:highlight w:val="none"/>
        </w:rPr>
        <w:t xml:space="preserve">.7 </w:t>
      </w:r>
      <w:r>
        <w:rPr>
          <w:rFonts w:hint="eastAsia" w:ascii="Times New Roman" w:hAnsi="Times New Roman"/>
          <w:color w:val="auto"/>
          <w:szCs w:val="24"/>
          <w:highlight w:val="none"/>
        </w:rPr>
        <w:t>二次开发要求</w:t>
      </w:r>
      <w:bookmarkEnd w:id="185"/>
      <w:bookmarkEnd w:id="186"/>
      <w:bookmarkEnd w:id="187"/>
    </w:p>
    <w:p w14:paraId="3CA9EB2B">
      <w:pPr>
        <w:rPr>
          <w:rFonts w:ascii="Times New Roman" w:hAnsi="Times New Roman"/>
          <w:color w:val="auto"/>
          <w:szCs w:val="24"/>
          <w:highlight w:val="none"/>
        </w:rPr>
      </w:pPr>
      <w:r>
        <w:rPr>
          <w:rFonts w:hint="eastAsia" w:ascii="Times New Roman" w:hAnsi="Times New Roman"/>
          <w:color w:val="auto"/>
          <w:szCs w:val="24"/>
          <w:highlight w:val="none"/>
        </w:rPr>
        <w:t>为满足本行业务发展需要，系统应能灵活、方便、快捷地支持个性化需求开发，相关要求包括：</w:t>
      </w:r>
    </w:p>
    <w:p w14:paraId="31F56FC3">
      <w:pPr>
        <w:rPr>
          <w:rFonts w:ascii="Times New Roman" w:hAnsi="Times New Roman"/>
          <w:color w:val="auto"/>
          <w:szCs w:val="24"/>
          <w:highlight w:val="none"/>
        </w:rPr>
      </w:pPr>
      <w:r>
        <w:rPr>
          <w:rFonts w:hint="eastAsia" w:ascii="Times New Roman" w:hAnsi="Times New Roman"/>
          <w:color w:val="auto"/>
          <w:szCs w:val="24"/>
          <w:highlight w:val="none"/>
        </w:rPr>
        <w:t>1）支持模型参数的个性化调整，从而适应监管要求及行内业务需求的变化；</w:t>
      </w:r>
    </w:p>
    <w:p w14:paraId="56179000">
      <w:pPr>
        <w:rPr>
          <w:rFonts w:ascii="Times New Roman" w:hAnsi="Times New Roman"/>
          <w:color w:val="auto"/>
          <w:szCs w:val="24"/>
          <w:highlight w:val="none"/>
        </w:rPr>
      </w:pPr>
      <w:r>
        <w:rPr>
          <w:rFonts w:hint="eastAsia" w:ascii="Times New Roman" w:hAnsi="Times New Roman"/>
          <w:color w:val="auto"/>
          <w:szCs w:val="24"/>
          <w:highlight w:val="none"/>
        </w:rPr>
        <w:t>2）支持数据采集范围扩展及接口快速开发；</w:t>
      </w:r>
    </w:p>
    <w:p w14:paraId="4510E580">
      <w:pPr>
        <w:rPr>
          <w:rFonts w:ascii="Times New Roman" w:hAnsi="Times New Roman"/>
          <w:color w:val="auto"/>
          <w:szCs w:val="24"/>
          <w:highlight w:val="none"/>
        </w:rPr>
      </w:pPr>
      <w:r>
        <w:rPr>
          <w:rFonts w:hint="eastAsia" w:ascii="Times New Roman" w:hAnsi="Times New Roman"/>
          <w:color w:val="auto"/>
          <w:szCs w:val="24"/>
          <w:highlight w:val="none"/>
        </w:rPr>
        <w:t>3）支持较为便捷的全量/增量程序版本抽取和提交；</w:t>
      </w:r>
    </w:p>
    <w:p w14:paraId="0454B5B7">
      <w:pPr>
        <w:rPr>
          <w:rFonts w:ascii="Times New Roman" w:hAnsi="Times New Roman"/>
          <w:color w:val="auto"/>
          <w:szCs w:val="24"/>
          <w:highlight w:val="none"/>
        </w:rPr>
      </w:pPr>
      <w:r>
        <w:rPr>
          <w:rFonts w:hint="eastAsia" w:ascii="Times New Roman" w:hAnsi="Times New Roman"/>
          <w:color w:val="auto"/>
          <w:szCs w:val="24"/>
          <w:highlight w:val="none"/>
        </w:rPr>
        <w:t>4）支持日常需求改造涉及的其他开发要求。</w:t>
      </w:r>
    </w:p>
    <w:p w14:paraId="23982B22">
      <w:pPr>
        <w:pStyle w:val="4"/>
        <w:outlineLvl w:val="1"/>
        <w:rPr>
          <w:rFonts w:ascii="Times New Roman" w:hAnsi="Times New Roman"/>
          <w:color w:val="auto"/>
          <w:szCs w:val="24"/>
          <w:highlight w:val="none"/>
        </w:rPr>
      </w:pPr>
      <w:bookmarkStart w:id="188" w:name="_Toc28422"/>
      <w:bookmarkStart w:id="189" w:name="_Toc28028"/>
      <w:bookmarkStart w:id="190" w:name="_Toc31831"/>
      <w:r>
        <w:rPr>
          <w:rFonts w:hint="eastAsia" w:ascii="Times New Roman" w:hAnsi="Times New Roman"/>
          <w:color w:val="auto"/>
          <w:szCs w:val="24"/>
          <w:highlight w:val="none"/>
        </w:rPr>
        <w:t>2</w:t>
      </w:r>
      <w:r>
        <w:rPr>
          <w:rFonts w:ascii="Times New Roman" w:hAnsi="Times New Roman"/>
          <w:color w:val="auto"/>
          <w:szCs w:val="24"/>
          <w:highlight w:val="none"/>
        </w:rPr>
        <w:t xml:space="preserve">.8 </w:t>
      </w:r>
      <w:r>
        <w:rPr>
          <w:rFonts w:hint="eastAsia" w:ascii="Times New Roman" w:hAnsi="Times New Roman"/>
          <w:color w:val="auto"/>
          <w:szCs w:val="24"/>
          <w:highlight w:val="none"/>
        </w:rPr>
        <w:t>其它非功能性要求</w:t>
      </w:r>
      <w:bookmarkEnd w:id="188"/>
      <w:bookmarkEnd w:id="189"/>
      <w:bookmarkEnd w:id="190"/>
    </w:p>
    <w:p w14:paraId="6B3942B6">
      <w:pPr>
        <w:outlineLvl w:val="2"/>
        <w:rPr>
          <w:rFonts w:ascii="Times New Roman" w:hAnsi="Times New Roman"/>
          <w:color w:val="auto"/>
          <w:szCs w:val="24"/>
          <w:highlight w:val="none"/>
        </w:rPr>
      </w:pPr>
      <w:bookmarkStart w:id="191" w:name="_Toc28759"/>
      <w:bookmarkStart w:id="192" w:name="_Toc12119"/>
      <w:bookmarkStart w:id="193" w:name="_Toc28522"/>
      <w:r>
        <w:rPr>
          <w:rFonts w:ascii="Times New Roman" w:hAnsi="Times New Roman"/>
          <w:color w:val="auto"/>
          <w:szCs w:val="24"/>
          <w:highlight w:val="none"/>
        </w:rPr>
        <w:t>2.8.</w:t>
      </w:r>
      <w:r>
        <w:rPr>
          <w:rFonts w:hint="eastAsia" w:ascii="Times New Roman" w:hAnsi="Times New Roman"/>
          <w:color w:val="auto"/>
          <w:szCs w:val="24"/>
          <w:highlight w:val="none"/>
        </w:rPr>
        <w:t>1 运维要求</w:t>
      </w:r>
      <w:bookmarkEnd w:id="191"/>
      <w:bookmarkEnd w:id="192"/>
      <w:bookmarkEnd w:id="193"/>
    </w:p>
    <w:p w14:paraId="0E34AF10">
      <w:pPr>
        <w:rPr>
          <w:rFonts w:ascii="Times New Roman" w:hAnsi="Times New Roman"/>
          <w:color w:val="auto"/>
          <w:szCs w:val="24"/>
          <w:highlight w:val="none"/>
        </w:rPr>
      </w:pPr>
      <w:r>
        <w:rPr>
          <w:rFonts w:hint="eastAsia" w:ascii="Times New Roman" w:hAnsi="Times New Roman"/>
          <w:color w:val="auto"/>
          <w:szCs w:val="24"/>
          <w:highlight w:val="none"/>
        </w:rPr>
        <w:t>1）提供日常运行监控和完整的系统维护管理的方案：提供日志、实时交易监控等系统问题定位方案；提供日志和历史数据备份、清理机制；</w:t>
      </w:r>
    </w:p>
    <w:p w14:paraId="77A7BB74">
      <w:pPr>
        <w:rPr>
          <w:rFonts w:ascii="Times New Roman" w:hAnsi="Times New Roman"/>
          <w:color w:val="auto"/>
          <w:szCs w:val="24"/>
          <w:highlight w:val="none"/>
        </w:rPr>
      </w:pPr>
      <w:r>
        <w:rPr>
          <w:rFonts w:hint="eastAsia" w:ascii="Times New Roman" w:hAnsi="Times New Roman"/>
          <w:color w:val="auto"/>
          <w:szCs w:val="24"/>
          <w:highlight w:val="none"/>
        </w:rPr>
        <w:t>2） 提供应用系统之间逻辑独立、启停服务时系统间不相互影响的部署方案（十分重要），保障系统的7*24小时运行；</w:t>
      </w:r>
    </w:p>
    <w:p w14:paraId="073D0BB8">
      <w:pPr>
        <w:rPr>
          <w:rFonts w:ascii="Times New Roman" w:hAnsi="Times New Roman"/>
          <w:color w:val="auto"/>
          <w:szCs w:val="24"/>
          <w:highlight w:val="none"/>
        </w:rPr>
      </w:pPr>
      <w:r>
        <w:rPr>
          <w:rFonts w:hint="eastAsia" w:ascii="Times New Roman" w:hAnsi="Times New Roman"/>
          <w:color w:val="auto"/>
          <w:szCs w:val="24"/>
          <w:highlight w:val="none"/>
        </w:rPr>
        <w:t>3）提供系统资源运行情况实时监控报告；提供系统出现异常预警报告；提供系统运行情况报表等。</w:t>
      </w:r>
    </w:p>
    <w:p w14:paraId="47AEF1BF">
      <w:pPr>
        <w:rPr>
          <w:rFonts w:ascii="Times New Roman" w:hAnsi="Times New Roman"/>
          <w:color w:val="auto"/>
          <w:szCs w:val="24"/>
          <w:highlight w:val="none"/>
        </w:rPr>
      </w:pPr>
      <w:r>
        <w:rPr>
          <w:rFonts w:hint="eastAsia" w:ascii="Times New Roman" w:hAnsi="Times New Roman"/>
          <w:color w:val="auto"/>
          <w:szCs w:val="24"/>
          <w:highlight w:val="none"/>
        </w:rPr>
        <w:t>4）涉及重大生产故障，需15分钟内响应，30分钟内提供临时解决方案并能恢复生产服务，并安排响应的技术专家进行技术支持。</w:t>
      </w:r>
    </w:p>
    <w:p w14:paraId="1452F7A7">
      <w:pPr>
        <w:outlineLvl w:val="3"/>
        <w:rPr>
          <w:rFonts w:ascii="Times New Roman" w:hAnsi="Times New Roman" w:cs="Times New Roman"/>
          <w:color w:val="auto"/>
          <w:szCs w:val="24"/>
          <w:highlight w:val="none"/>
        </w:rPr>
      </w:pPr>
      <w:r>
        <w:rPr>
          <w:rFonts w:ascii="Times New Roman" w:hAnsi="Times New Roman" w:cs="Times New Roman"/>
          <w:color w:val="auto"/>
          <w:szCs w:val="24"/>
          <w:highlight w:val="none"/>
        </w:rPr>
        <w:t>5）对接比选人监控运维体系，满足监控体系各项要求。</w:t>
      </w:r>
    </w:p>
    <w:p w14:paraId="31B20FEF">
      <w:pPr>
        <w:outlineLvl w:val="2"/>
        <w:rPr>
          <w:rFonts w:ascii="Times New Roman" w:hAnsi="Times New Roman"/>
          <w:color w:val="auto"/>
          <w:szCs w:val="24"/>
          <w:highlight w:val="none"/>
        </w:rPr>
      </w:pPr>
      <w:bookmarkStart w:id="194" w:name="_Toc11472"/>
      <w:bookmarkStart w:id="195" w:name="_Toc2798"/>
      <w:bookmarkStart w:id="196" w:name="_Toc32242"/>
      <w:r>
        <w:rPr>
          <w:rFonts w:ascii="Times New Roman" w:hAnsi="Times New Roman"/>
          <w:color w:val="auto"/>
          <w:szCs w:val="24"/>
          <w:highlight w:val="none"/>
        </w:rPr>
        <w:t>2.8.</w:t>
      </w:r>
      <w:r>
        <w:rPr>
          <w:rFonts w:hint="eastAsia" w:ascii="Times New Roman" w:hAnsi="Times New Roman"/>
          <w:color w:val="auto"/>
          <w:szCs w:val="24"/>
          <w:highlight w:val="none"/>
        </w:rPr>
        <w:t>2 日志要求</w:t>
      </w:r>
      <w:bookmarkEnd w:id="194"/>
      <w:bookmarkEnd w:id="195"/>
      <w:bookmarkEnd w:id="196"/>
    </w:p>
    <w:p w14:paraId="0DF5EC87">
      <w:pPr>
        <w:rPr>
          <w:rFonts w:ascii="Times New Roman" w:hAnsi="Times New Roman"/>
          <w:color w:val="auto"/>
          <w:szCs w:val="24"/>
          <w:highlight w:val="none"/>
        </w:rPr>
      </w:pPr>
      <w:r>
        <w:rPr>
          <w:rFonts w:hint="eastAsia" w:ascii="Times New Roman" w:hAnsi="Times New Roman"/>
          <w:color w:val="auto"/>
          <w:szCs w:val="24"/>
          <w:highlight w:val="none"/>
        </w:rPr>
        <w:t>1）应完整记录所有通讯日志，如果通讯日志为字节码的，不能直接查看的，应提供查看工具。</w:t>
      </w:r>
    </w:p>
    <w:p w14:paraId="34613EB0">
      <w:pPr>
        <w:rPr>
          <w:rFonts w:ascii="Times New Roman" w:hAnsi="Times New Roman"/>
          <w:color w:val="auto"/>
          <w:szCs w:val="24"/>
          <w:highlight w:val="none"/>
        </w:rPr>
      </w:pPr>
      <w:r>
        <w:rPr>
          <w:rFonts w:hint="eastAsia" w:ascii="Times New Roman" w:hAnsi="Times New Roman"/>
          <w:color w:val="auto"/>
          <w:szCs w:val="24"/>
          <w:highlight w:val="none"/>
        </w:rPr>
        <w:t>2）应完整记录交易日志，方便交易统计分析，不同类型的交易可分不同的交易日志表。</w:t>
      </w:r>
    </w:p>
    <w:p w14:paraId="3EB4EA16">
      <w:pPr>
        <w:rPr>
          <w:rFonts w:ascii="Times New Roman" w:hAnsi="Times New Roman"/>
          <w:color w:val="auto"/>
          <w:szCs w:val="24"/>
          <w:highlight w:val="none"/>
        </w:rPr>
      </w:pPr>
      <w:r>
        <w:rPr>
          <w:rFonts w:hint="eastAsia" w:ascii="Times New Roman" w:hAnsi="Times New Roman"/>
          <w:color w:val="auto"/>
          <w:szCs w:val="24"/>
          <w:highlight w:val="none"/>
        </w:rPr>
        <w:t>3）可在线动态调整日志级别，在生产环境下定位问题时不需要中断服务。</w:t>
      </w:r>
    </w:p>
    <w:p w14:paraId="3DA8C093">
      <w:pPr>
        <w:outlineLvl w:val="3"/>
        <w:rPr>
          <w:rFonts w:ascii="Times New Roman" w:hAnsi="Times New Roman"/>
          <w:color w:val="auto"/>
          <w:szCs w:val="24"/>
          <w:highlight w:val="none"/>
        </w:rPr>
      </w:pPr>
      <w:r>
        <w:rPr>
          <w:rFonts w:hint="eastAsia" w:ascii="Times New Roman" w:hAnsi="Times New Roman"/>
          <w:color w:val="auto"/>
          <w:szCs w:val="24"/>
          <w:highlight w:val="none"/>
        </w:rPr>
        <w:t>4）系统相关日志应输出在应用目录之外。</w:t>
      </w:r>
    </w:p>
    <w:p w14:paraId="576E808F">
      <w:pPr>
        <w:rPr>
          <w:rFonts w:ascii="Times New Roman" w:hAnsi="Times New Roman"/>
          <w:color w:val="auto"/>
          <w:szCs w:val="24"/>
          <w:highlight w:val="none"/>
        </w:rPr>
      </w:pPr>
      <w:r>
        <w:rPr>
          <w:rFonts w:hint="eastAsia" w:ascii="Times New Roman" w:hAnsi="Times New Roman"/>
          <w:color w:val="auto"/>
          <w:szCs w:val="24"/>
          <w:highlight w:val="none"/>
        </w:rPr>
        <w:t>5）不应在日志中记录客户支付敏感信息；不允许保留非本机构的客户敏感信息。</w:t>
      </w:r>
    </w:p>
    <w:p w14:paraId="2DE9A73A">
      <w:pPr>
        <w:outlineLvl w:val="2"/>
        <w:rPr>
          <w:rFonts w:ascii="Times New Roman" w:hAnsi="Times New Roman"/>
          <w:color w:val="auto"/>
          <w:szCs w:val="24"/>
          <w:highlight w:val="none"/>
        </w:rPr>
      </w:pPr>
      <w:bookmarkStart w:id="197" w:name="_Toc750"/>
      <w:bookmarkStart w:id="198" w:name="_Toc3474"/>
      <w:bookmarkStart w:id="199" w:name="_Toc2235"/>
      <w:r>
        <w:rPr>
          <w:rFonts w:ascii="Times New Roman" w:hAnsi="Times New Roman"/>
          <w:color w:val="auto"/>
          <w:szCs w:val="24"/>
          <w:highlight w:val="none"/>
        </w:rPr>
        <w:t>2.8.</w:t>
      </w:r>
      <w:r>
        <w:rPr>
          <w:rFonts w:hint="eastAsia" w:ascii="Times New Roman" w:hAnsi="Times New Roman"/>
          <w:color w:val="auto"/>
          <w:szCs w:val="24"/>
          <w:highlight w:val="none"/>
        </w:rPr>
        <w:t>3 自动监控指标</w:t>
      </w:r>
      <w:bookmarkEnd w:id="197"/>
      <w:bookmarkEnd w:id="198"/>
      <w:bookmarkEnd w:id="199"/>
    </w:p>
    <w:p w14:paraId="6F886207">
      <w:pPr>
        <w:outlineLvl w:val="3"/>
        <w:rPr>
          <w:rFonts w:ascii="Times New Roman" w:hAnsi="Times New Roman"/>
          <w:color w:val="auto"/>
          <w:szCs w:val="24"/>
          <w:highlight w:val="none"/>
        </w:rPr>
      </w:pPr>
      <w:r>
        <w:rPr>
          <w:rFonts w:hint="eastAsia" w:ascii="Times New Roman" w:hAnsi="Times New Roman"/>
          <w:color w:val="auto"/>
          <w:szCs w:val="24"/>
          <w:highlight w:val="none"/>
        </w:rPr>
        <w:t>1）磁盘占用率（关键目录）、CPU使用率、内存占用率等；</w:t>
      </w:r>
    </w:p>
    <w:p w14:paraId="59A0853B">
      <w:pPr>
        <w:rPr>
          <w:rFonts w:ascii="Times New Roman" w:hAnsi="Times New Roman"/>
          <w:color w:val="auto"/>
          <w:szCs w:val="24"/>
          <w:highlight w:val="none"/>
        </w:rPr>
      </w:pPr>
      <w:r>
        <w:rPr>
          <w:rFonts w:hint="eastAsia" w:ascii="Times New Roman" w:hAnsi="Times New Roman"/>
          <w:color w:val="auto"/>
          <w:szCs w:val="24"/>
          <w:highlight w:val="none"/>
        </w:rPr>
        <w:t>2）数据库连接池使用情况：总连接数、空闲连接数、使用中连接数；线程池使用情况：总线程、空闲线程、使用中线程；</w:t>
      </w:r>
    </w:p>
    <w:p w14:paraId="059D28C2">
      <w:pPr>
        <w:rPr>
          <w:rFonts w:ascii="Times New Roman" w:hAnsi="Times New Roman"/>
          <w:color w:val="auto"/>
          <w:szCs w:val="24"/>
          <w:highlight w:val="none"/>
        </w:rPr>
      </w:pPr>
      <w:r>
        <w:rPr>
          <w:rFonts w:hint="eastAsia" w:ascii="Times New Roman" w:hAnsi="Times New Roman"/>
          <w:color w:val="auto"/>
          <w:szCs w:val="24"/>
          <w:highlight w:val="none"/>
        </w:rPr>
        <w:t>3）虚拟机堆内存情况（适用Java）：空闲内存、使用中内存；</w:t>
      </w:r>
    </w:p>
    <w:p w14:paraId="7D8270F0">
      <w:pPr>
        <w:rPr>
          <w:rFonts w:ascii="Times New Roman" w:hAnsi="Times New Roman"/>
          <w:color w:val="auto"/>
          <w:szCs w:val="24"/>
          <w:highlight w:val="none"/>
        </w:rPr>
      </w:pPr>
      <w:r>
        <w:rPr>
          <w:rFonts w:hint="eastAsia" w:ascii="Times New Roman" w:hAnsi="Times New Roman"/>
          <w:color w:val="auto"/>
          <w:szCs w:val="24"/>
          <w:highlight w:val="none"/>
        </w:rPr>
        <w:t>4）交易级的错误，应用系统重大错误；</w:t>
      </w:r>
    </w:p>
    <w:p w14:paraId="1E355128">
      <w:pPr>
        <w:pStyle w:val="4"/>
        <w:outlineLvl w:val="1"/>
        <w:rPr>
          <w:rFonts w:ascii="Times New Roman" w:hAnsi="Times New Roman"/>
          <w:color w:val="auto"/>
          <w:szCs w:val="24"/>
          <w:highlight w:val="none"/>
        </w:rPr>
      </w:pPr>
      <w:bookmarkStart w:id="200" w:name="_Toc815"/>
      <w:bookmarkStart w:id="201" w:name="_Toc24486"/>
      <w:bookmarkStart w:id="202" w:name="_Toc11229"/>
      <w:r>
        <w:rPr>
          <w:rFonts w:hint="eastAsia" w:ascii="Times New Roman" w:hAnsi="Times New Roman"/>
          <w:color w:val="auto"/>
          <w:szCs w:val="24"/>
          <w:highlight w:val="none"/>
        </w:rPr>
        <w:t>2</w:t>
      </w:r>
      <w:r>
        <w:rPr>
          <w:rFonts w:ascii="Times New Roman" w:hAnsi="Times New Roman"/>
          <w:color w:val="auto"/>
          <w:szCs w:val="24"/>
          <w:highlight w:val="none"/>
        </w:rPr>
        <w:t xml:space="preserve">.9 </w:t>
      </w:r>
      <w:r>
        <w:rPr>
          <w:rFonts w:hint="eastAsia" w:ascii="Times New Roman" w:hAnsi="Times New Roman"/>
          <w:color w:val="auto"/>
          <w:szCs w:val="24"/>
          <w:highlight w:val="none"/>
        </w:rPr>
        <w:t>应当遵循的标准和规范</w:t>
      </w:r>
      <w:bookmarkEnd w:id="200"/>
      <w:bookmarkEnd w:id="201"/>
      <w:bookmarkEnd w:id="202"/>
    </w:p>
    <w:p w14:paraId="43046DB4">
      <w:pPr>
        <w:rPr>
          <w:rFonts w:ascii="Times New Roman" w:hAnsi="Times New Roman"/>
          <w:color w:val="auto"/>
          <w:szCs w:val="24"/>
          <w:highlight w:val="none"/>
        </w:rPr>
      </w:pPr>
      <w:r>
        <w:rPr>
          <w:rFonts w:hint="eastAsia" w:ascii="Times New Roman" w:hAnsi="Times New Roman"/>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68314627">
      <w:pPr>
        <w:rPr>
          <w:rFonts w:ascii="Times New Roman" w:hAnsi="Times New Roman"/>
          <w:color w:val="auto"/>
          <w:szCs w:val="24"/>
          <w:highlight w:val="none"/>
        </w:rPr>
      </w:pPr>
      <w:r>
        <w:rPr>
          <w:rFonts w:hint="eastAsia" w:ascii="Times New Roman" w:hAnsi="Times New Roman"/>
          <w:color w:val="auto"/>
          <w:szCs w:val="24"/>
          <w:highlight w:val="none"/>
        </w:rPr>
        <w:t>系统架构必须遵循比选人应用架构统一架构规范；对外交互界面（含接口、交互流程）均需遵照比选人确定统一规范进行设计和开发</w:t>
      </w:r>
      <w:r>
        <w:rPr>
          <w:rFonts w:ascii="Times New Roman" w:hAnsi="Times New Roman" w:cs="Times New Roman"/>
          <w:color w:val="auto"/>
          <w:szCs w:val="24"/>
          <w:highlight w:val="none"/>
        </w:rPr>
        <w:t>，接口交互均需要通过分布式应用服务管理平台（以下简称“ESC”），数据文件交互优先使用 ESC 文件中心进行文件交互</w:t>
      </w:r>
      <w:r>
        <w:rPr>
          <w:rFonts w:hint="eastAsia" w:ascii="Times New Roman" w:hAnsi="Times New Roman"/>
          <w:color w:val="auto"/>
          <w:szCs w:val="24"/>
          <w:highlight w:val="none"/>
        </w:rPr>
        <w:t>；同时开发过程的产出物（如：设计文档、代码、测试案例、测试报告等）也需完全遵照比选人确定的统一标准规范完成。</w:t>
      </w:r>
    </w:p>
    <w:p w14:paraId="0BD74EF1">
      <w:pPr>
        <w:rPr>
          <w:rFonts w:ascii="Times New Roman" w:hAnsi="Times New Roman"/>
          <w:color w:val="auto"/>
          <w:szCs w:val="24"/>
          <w:highlight w:val="none"/>
        </w:rPr>
      </w:pPr>
      <w:r>
        <w:rPr>
          <w:rFonts w:ascii="Times New Roman" w:hAnsi="Times New Roman" w:cs="Times New Roman"/>
          <w:color w:val="auto"/>
          <w:szCs w:val="24"/>
          <w:highlight w:val="none"/>
        </w:rPr>
        <w:t>数据落标、数据治理。一是统一机构编码、人员信息，提升数据规范性；二是完善事件类数据的管理，解决统计报送痛点；规范码值体系；三是建立规范高效的数据同步机制；四是数据库设计应遵循一致性、完整性、规范化、安全性、可伸缩性与可扩展性原则，对数据来源进行统一、系统的分析与设计，协调好各种数据源，保证数据的一致性、完整性，数据库结构的设计应充分考虑后期发展和数据移植的需要；五是数据表设计原则上应满足每张表都应该有主键，一旦生成之后不允许复用和更改主键，以便于下游系统复用抽取、加工数据。</w:t>
      </w:r>
    </w:p>
    <w:p w14:paraId="324FFC06">
      <w:pPr>
        <w:rPr>
          <w:rFonts w:ascii="Times New Roman" w:hAnsi="Times New Roman"/>
          <w:color w:val="auto"/>
          <w:szCs w:val="24"/>
          <w:highlight w:val="none"/>
        </w:rPr>
      </w:pPr>
      <w:r>
        <w:rPr>
          <w:rFonts w:hint="eastAsia" w:ascii="Times New Roman" w:hAnsi="Times New Roman"/>
          <w:color w:val="auto"/>
          <w:szCs w:val="24"/>
          <w:highlight w:val="none"/>
        </w:rPr>
        <w:t>业务处理符合国家法律、法规和有关政策规定。数据标准要满足银监会及人民银行相关管理办法及标准化的要求。</w:t>
      </w:r>
    </w:p>
    <w:p w14:paraId="21656737">
      <w:pPr>
        <w:pStyle w:val="4"/>
        <w:outlineLvl w:val="1"/>
        <w:rPr>
          <w:rFonts w:ascii="Times New Roman" w:hAnsi="Times New Roman"/>
          <w:color w:val="auto"/>
          <w:szCs w:val="24"/>
          <w:highlight w:val="none"/>
        </w:rPr>
      </w:pPr>
      <w:bookmarkStart w:id="203" w:name="_Toc17930"/>
      <w:bookmarkStart w:id="204" w:name="_Toc9165"/>
      <w:bookmarkStart w:id="205" w:name="_Toc12797"/>
      <w:r>
        <w:rPr>
          <w:rFonts w:hint="eastAsia" w:ascii="Times New Roman" w:hAnsi="Times New Roman"/>
          <w:color w:val="auto"/>
          <w:szCs w:val="24"/>
          <w:highlight w:val="none"/>
        </w:rPr>
        <w:t>2</w:t>
      </w:r>
      <w:r>
        <w:rPr>
          <w:rFonts w:ascii="Times New Roman" w:hAnsi="Times New Roman"/>
          <w:color w:val="auto"/>
          <w:szCs w:val="24"/>
          <w:highlight w:val="none"/>
        </w:rPr>
        <w:t xml:space="preserve">.10 </w:t>
      </w:r>
      <w:r>
        <w:rPr>
          <w:rFonts w:hint="eastAsia" w:ascii="Times New Roman" w:hAnsi="Times New Roman"/>
          <w:color w:val="auto"/>
          <w:szCs w:val="24"/>
          <w:highlight w:val="none"/>
        </w:rPr>
        <w:t>其他技术要求</w:t>
      </w:r>
      <w:bookmarkEnd w:id="203"/>
      <w:bookmarkEnd w:id="204"/>
      <w:bookmarkEnd w:id="205"/>
    </w:p>
    <w:p w14:paraId="4DF9E454">
      <w:pPr>
        <w:rPr>
          <w:rFonts w:ascii="Times New Roman" w:hAnsi="Times New Roman"/>
          <w:color w:val="auto"/>
          <w:szCs w:val="24"/>
          <w:highlight w:val="none"/>
        </w:rPr>
      </w:pPr>
      <w:r>
        <w:rPr>
          <w:rFonts w:hint="eastAsia" w:ascii="Times New Roman" w:hAnsi="Times New Roman"/>
          <w:color w:val="auto"/>
          <w:szCs w:val="24"/>
          <w:highlight w:val="none"/>
        </w:rPr>
        <w:t>1）开发环境基于J2EE轻量级框架，支持JDK版本：JDK1.8及以上版本。</w:t>
      </w:r>
    </w:p>
    <w:p w14:paraId="0BF0CDB5">
      <w:pPr>
        <w:rPr>
          <w:rFonts w:ascii="Times New Roman" w:hAnsi="Times New Roman"/>
          <w:color w:val="auto"/>
          <w:szCs w:val="24"/>
          <w:highlight w:val="none"/>
        </w:rPr>
      </w:pPr>
      <w:r>
        <w:rPr>
          <w:rFonts w:hint="eastAsia" w:ascii="Times New Roman" w:hAnsi="Times New Roman"/>
          <w:color w:val="auto"/>
          <w:szCs w:val="24"/>
          <w:highlight w:val="none"/>
        </w:rPr>
        <w:t>2）操作系统、数据库和中间件满足以下要求：服务端操作系统支持Linux（RHEL 7.</w:t>
      </w:r>
      <w:r>
        <w:rPr>
          <w:rFonts w:ascii="Times New Roman" w:hAnsi="Times New Roman"/>
          <w:color w:val="auto"/>
          <w:szCs w:val="24"/>
          <w:highlight w:val="none"/>
        </w:rPr>
        <w:t>9</w:t>
      </w:r>
      <w:r>
        <w:rPr>
          <w:rFonts w:hint="eastAsia" w:ascii="Times New Roman" w:hAnsi="Times New Roman"/>
          <w:color w:val="auto"/>
          <w:szCs w:val="24"/>
          <w:highlight w:val="none"/>
        </w:rPr>
        <w:t>）</w:t>
      </w:r>
      <w:r>
        <w:rPr>
          <w:rFonts w:ascii="Times New Roman" w:hAnsi="Times New Roman" w:cs="Times New Roman"/>
          <w:color w:val="auto"/>
          <w:szCs w:val="24"/>
          <w:highlight w:val="none"/>
        </w:rPr>
        <w:t>、银河麒麟V10等</w:t>
      </w:r>
      <w:r>
        <w:rPr>
          <w:rFonts w:hint="eastAsia" w:ascii="Times New Roman" w:hAnsi="Times New Roman"/>
          <w:color w:val="auto"/>
          <w:szCs w:val="24"/>
          <w:highlight w:val="none"/>
        </w:rPr>
        <w:t>，支持Oracle（19C）数据库（支持rac）</w:t>
      </w:r>
      <w:r>
        <w:rPr>
          <w:rFonts w:ascii="Times New Roman" w:hAnsi="Times New Roman" w:cs="Times New Roman"/>
          <w:color w:val="auto"/>
          <w:szCs w:val="24"/>
          <w:highlight w:val="none"/>
        </w:rPr>
        <w:t>、OceanBase数据库等</w:t>
      </w:r>
      <w:r>
        <w:rPr>
          <w:rFonts w:hint="eastAsia" w:ascii="Times New Roman" w:hAnsi="Times New Roman"/>
          <w:color w:val="auto"/>
          <w:szCs w:val="24"/>
          <w:highlight w:val="none"/>
        </w:rPr>
        <w:t>，支持</w:t>
      </w:r>
      <w:r>
        <w:rPr>
          <w:rFonts w:ascii="Times New Roman" w:hAnsi="Times New Roman" w:cs="Times New Roman"/>
          <w:color w:val="auto"/>
          <w:szCs w:val="24"/>
          <w:highlight w:val="none"/>
        </w:rPr>
        <w:t>TongWeb、</w:t>
      </w:r>
      <w:r>
        <w:rPr>
          <w:rFonts w:hint="eastAsia" w:ascii="Times New Roman" w:hAnsi="Times New Roman"/>
          <w:color w:val="auto"/>
          <w:szCs w:val="24"/>
          <w:highlight w:val="none"/>
        </w:rPr>
        <w:t>Weblogic（12.2.1.</w:t>
      </w:r>
      <w:r>
        <w:rPr>
          <w:rFonts w:ascii="Times New Roman" w:hAnsi="Times New Roman"/>
          <w:color w:val="auto"/>
          <w:szCs w:val="24"/>
          <w:highlight w:val="none"/>
        </w:rPr>
        <w:t>4</w:t>
      </w:r>
      <w:r>
        <w:rPr>
          <w:rFonts w:hint="eastAsia" w:ascii="Times New Roman" w:hAnsi="Times New Roman"/>
          <w:color w:val="auto"/>
          <w:szCs w:val="24"/>
          <w:highlight w:val="none"/>
        </w:rPr>
        <w:t>及以上）中间件及Tomcat中间件。</w:t>
      </w:r>
    </w:p>
    <w:p w14:paraId="5C30ABC5">
      <w:pPr>
        <w:rPr>
          <w:rFonts w:ascii="Times New Roman" w:hAnsi="Times New Roman"/>
          <w:color w:val="auto"/>
          <w:szCs w:val="24"/>
          <w:highlight w:val="none"/>
        </w:rPr>
      </w:pPr>
      <w:r>
        <w:rPr>
          <w:rFonts w:hint="eastAsia" w:ascii="Times New Roman" w:hAnsi="Times New Roman"/>
          <w:color w:val="auto"/>
          <w:szCs w:val="24"/>
          <w:highlight w:val="none"/>
        </w:rPr>
        <w:t>3）必须支持Windows全系操作系统，即WinXP/Win7/Win8/Win10，</w:t>
      </w:r>
      <w:r>
        <w:rPr>
          <w:rFonts w:ascii="Times New Roman" w:hAnsi="Times New Roman" w:cs="Times New Roman"/>
          <w:color w:val="auto"/>
          <w:szCs w:val="24"/>
          <w:highlight w:val="none"/>
        </w:rPr>
        <w:t>支持麒麟桌面操作系统，</w:t>
      </w:r>
      <w:r>
        <w:rPr>
          <w:rFonts w:hint="eastAsia" w:ascii="Times New Roman" w:hAnsi="Times New Roman"/>
          <w:color w:val="auto"/>
          <w:szCs w:val="24"/>
          <w:highlight w:val="none"/>
        </w:rPr>
        <w:t>支持谷歌、360、IE6及以上版本浏览器使用</w:t>
      </w:r>
      <w:r>
        <w:rPr>
          <w:rFonts w:ascii="Times New Roman" w:hAnsi="Times New Roman" w:cs="Times New Roman"/>
          <w:color w:val="auto"/>
          <w:szCs w:val="24"/>
          <w:highlight w:val="none"/>
        </w:rPr>
        <w:t>，支持统信、奇安信、360等国产浏览器使用。</w:t>
      </w:r>
    </w:p>
    <w:p w14:paraId="14DB2D89">
      <w:pPr>
        <w:rPr>
          <w:rFonts w:ascii="Times New Roman" w:hAnsi="Times New Roman"/>
          <w:color w:val="auto"/>
          <w:szCs w:val="24"/>
          <w:highlight w:val="none"/>
        </w:rPr>
      </w:pPr>
      <w:r>
        <w:rPr>
          <w:rFonts w:ascii="Times New Roman" w:hAnsi="Times New Roman"/>
          <w:color w:val="auto"/>
          <w:szCs w:val="24"/>
          <w:highlight w:val="none"/>
        </w:rPr>
        <w:t>4</w:t>
      </w:r>
      <w:r>
        <w:rPr>
          <w:rFonts w:hint="eastAsia" w:ascii="Times New Roman" w:hAnsi="Times New Roman"/>
          <w:color w:val="auto"/>
          <w:szCs w:val="24"/>
          <w:highlight w:val="none"/>
        </w:rPr>
        <w:t>）系统基础架构和底层数据库具备灵活性。</w:t>
      </w:r>
    </w:p>
    <w:p w14:paraId="79898B45">
      <w:pPr>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）系统可集群部署，支持负载均衡，具备横向可扩展性。</w:t>
      </w:r>
    </w:p>
    <w:p w14:paraId="41068B42">
      <w:pPr>
        <w:rPr>
          <w:rFonts w:ascii="Times New Roman" w:hAnsi="Times New Roman"/>
          <w:color w:val="auto"/>
          <w:szCs w:val="24"/>
          <w:highlight w:val="none"/>
        </w:rPr>
      </w:pPr>
      <w:r>
        <w:rPr>
          <w:rFonts w:ascii="Times New Roman" w:hAnsi="Times New Roman"/>
          <w:color w:val="auto"/>
          <w:szCs w:val="24"/>
          <w:highlight w:val="none"/>
        </w:rPr>
        <w:t>6</w:t>
      </w:r>
      <w:r>
        <w:rPr>
          <w:rFonts w:hint="eastAsia" w:ascii="Times New Roman" w:hAnsi="Times New Roman"/>
          <w:color w:val="auto"/>
          <w:szCs w:val="24"/>
          <w:highlight w:val="none"/>
        </w:rPr>
        <w:t>）系统处理能力能够满足现有业务数据以及未来三年可能发展的业务数据量。</w:t>
      </w:r>
    </w:p>
    <w:p w14:paraId="56D51981">
      <w:pPr>
        <w:rPr>
          <w:rFonts w:ascii="Times New Roman" w:hAnsi="Times New Roman"/>
          <w:color w:val="auto"/>
          <w:szCs w:val="24"/>
          <w:highlight w:val="none"/>
        </w:rPr>
      </w:pPr>
      <w:r>
        <w:rPr>
          <w:rFonts w:ascii="Times New Roman" w:hAnsi="Times New Roman"/>
          <w:color w:val="auto"/>
          <w:szCs w:val="24"/>
          <w:highlight w:val="none"/>
        </w:rPr>
        <w:t>7</w:t>
      </w:r>
      <w:r>
        <w:rPr>
          <w:rFonts w:hint="eastAsia" w:ascii="Times New Roman" w:hAnsi="Times New Roman"/>
          <w:color w:val="auto"/>
          <w:szCs w:val="24"/>
          <w:highlight w:val="none"/>
        </w:rPr>
        <w:t>）系统开发需要符合我行开发规范和整体框架要求。</w:t>
      </w:r>
    </w:p>
    <w:p w14:paraId="6AA0E193">
      <w:pPr>
        <w:rPr>
          <w:rFonts w:ascii="Times New Roman" w:hAnsi="Times New Roman"/>
          <w:color w:val="auto"/>
          <w:szCs w:val="24"/>
          <w:highlight w:val="none"/>
        </w:rPr>
      </w:pPr>
      <w:r>
        <w:rPr>
          <w:rFonts w:ascii="Times New Roman" w:hAnsi="Times New Roman"/>
          <w:color w:val="auto"/>
          <w:szCs w:val="24"/>
          <w:highlight w:val="none"/>
        </w:rPr>
        <w:t>8</w:t>
      </w:r>
      <w:r>
        <w:rPr>
          <w:rFonts w:hint="eastAsia" w:ascii="Times New Roman" w:hAnsi="Times New Roman"/>
          <w:color w:val="auto"/>
          <w:szCs w:val="24"/>
          <w:highlight w:val="none"/>
        </w:rPr>
        <w:t>）系统需支持dns方式连接数据库以及应用。</w:t>
      </w:r>
    </w:p>
    <w:p w14:paraId="48801B4A">
      <w:pPr>
        <w:rPr>
          <w:rFonts w:ascii="Times New Roman" w:hAnsi="Times New Roman"/>
          <w:color w:val="auto"/>
          <w:szCs w:val="24"/>
          <w:highlight w:val="none"/>
        </w:rPr>
      </w:pPr>
      <w:r>
        <w:rPr>
          <w:rFonts w:ascii="Times New Roman" w:hAnsi="Times New Roman"/>
          <w:color w:val="auto"/>
          <w:szCs w:val="24"/>
          <w:highlight w:val="none"/>
        </w:rPr>
        <w:t>9</w:t>
      </w:r>
      <w:r>
        <w:rPr>
          <w:rFonts w:hint="eastAsia" w:ascii="Times New Roman" w:hAnsi="Times New Roman"/>
          <w:color w:val="auto"/>
          <w:szCs w:val="24"/>
          <w:highlight w:val="none"/>
        </w:rPr>
        <w:t>）原则上不对系统许可（license）做限制。</w:t>
      </w:r>
    </w:p>
    <w:p w14:paraId="44610AD8">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0</w:t>
      </w:r>
      <w:r>
        <w:rPr>
          <w:rFonts w:hint="eastAsia" w:ascii="Times New Roman" w:hAnsi="Times New Roman"/>
          <w:color w:val="auto"/>
          <w:szCs w:val="24"/>
          <w:highlight w:val="none"/>
        </w:rPr>
        <w:t>）参选人需提供完善的数据备份方案及备份机制。</w:t>
      </w:r>
    </w:p>
    <w:p w14:paraId="474ED461">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1</w:t>
      </w:r>
      <w:r>
        <w:rPr>
          <w:rFonts w:hint="eastAsia" w:ascii="Times New Roman" w:hAnsi="Times New Roman"/>
          <w:color w:val="auto"/>
          <w:szCs w:val="24"/>
          <w:highlight w:val="none"/>
        </w:rPr>
        <w:t>）需支持IPV6协议。</w:t>
      </w:r>
    </w:p>
    <w:p w14:paraId="7EF8D31B">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2</w:t>
      </w:r>
      <w:r>
        <w:rPr>
          <w:rFonts w:hint="eastAsia" w:ascii="Times New Roman" w:hAnsi="Times New Roman"/>
          <w:color w:val="auto"/>
          <w:szCs w:val="24"/>
          <w:highlight w:val="none"/>
        </w:rPr>
        <w:t>）禁止应用软件部署使用的安装码或授权码与其运行的基础环境（如：硬盘序列号、CPU序列号或网卡序列号等）进行绑定。</w:t>
      </w:r>
    </w:p>
    <w:p w14:paraId="6C639455">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3</w:t>
      </w:r>
      <w:r>
        <w:rPr>
          <w:rFonts w:hint="eastAsia" w:ascii="Times New Roman" w:hAnsi="Times New Roman"/>
          <w:color w:val="auto"/>
          <w:szCs w:val="24"/>
          <w:highlight w:val="none"/>
        </w:rPr>
        <w:t>）系统在集群部署共享文件访问时使用对象存储（不得使用NAS）。</w:t>
      </w:r>
    </w:p>
    <w:p w14:paraId="3E1092D9">
      <w:pPr>
        <w:rPr>
          <w:rFonts w:ascii="Times New Roman" w:hAnsi="Times New Roman"/>
          <w:color w:val="auto"/>
          <w:szCs w:val="24"/>
          <w:highlight w:val="none"/>
        </w:rPr>
      </w:pPr>
      <w:r>
        <w:rPr>
          <w:rFonts w:ascii="Times New Roman" w:hAnsi="Times New Roman"/>
          <w:color w:val="auto"/>
          <w:szCs w:val="24"/>
          <w:highlight w:val="none"/>
        </w:rPr>
        <w:t>14）</w:t>
      </w:r>
      <w:r>
        <w:rPr>
          <w:rFonts w:ascii="Times New Roman" w:hAnsi="Times New Roman" w:cs="Times New Roman"/>
          <w:color w:val="auto"/>
          <w:szCs w:val="24"/>
          <w:highlight w:val="none"/>
        </w:rPr>
        <w:t>系统应按照比选人研发运维标准完成比选人DevOps研发效能平台和AiOps智能运维平台的对接。</w:t>
      </w:r>
    </w:p>
    <w:p w14:paraId="0DBBB783">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5</w:t>
      </w:r>
      <w:r>
        <w:rPr>
          <w:rFonts w:hint="eastAsia" w:ascii="Times New Roman" w:hAnsi="Times New Roman"/>
          <w:color w:val="auto"/>
          <w:szCs w:val="24"/>
          <w:highlight w:val="none"/>
        </w:rPr>
        <w:t>）</w:t>
      </w:r>
      <w:r>
        <w:rPr>
          <w:rFonts w:ascii="Times New Roman" w:hAnsi="Times New Roman" w:cs="Times New Roman"/>
          <w:color w:val="auto"/>
          <w:szCs w:val="24"/>
          <w:highlight w:val="none"/>
        </w:rPr>
        <w:t>从底层技术框架及系统管理功能中提供完备的应用层面安全保密支撑，支持信创软硬件运行环境，对信息系统提供全方位的安全支持。</w:t>
      </w:r>
    </w:p>
    <w:p w14:paraId="01A0067C">
      <w:pPr>
        <w:pStyle w:val="3"/>
        <w:numPr>
          <w:ilvl w:val="0"/>
          <w:numId w:val="0"/>
        </w:numPr>
        <w:ind w:left="360" w:leftChars="0" w:hanging="360" w:firstLineChars="0"/>
        <w:outlineLvl w:val="2"/>
        <w:rPr>
          <w:rFonts w:ascii="Times New Roman" w:hAnsi="Times New Roman"/>
          <w:color w:val="auto"/>
          <w:highlight w:val="none"/>
        </w:rPr>
      </w:pPr>
      <w:bookmarkStart w:id="206" w:name="_Toc8659"/>
      <w:bookmarkStart w:id="207" w:name="_Toc8520"/>
      <w:bookmarkStart w:id="208" w:name="_Toc16213"/>
      <w:r>
        <w:rPr>
          <w:rFonts w:hint="default" w:ascii="Times New Roman" w:hAnsi="Times New Roman" w:eastAsia="宋体" w:cstheme="majorBidi"/>
          <w:b/>
          <w:bCs/>
          <w:snapToGrid w:val="0"/>
          <w:color w:val="auto"/>
          <w:kern w:val="2"/>
          <w:sz w:val="21"/>
          <w:szCs w:val="24"/>
          <w:highlight w:val="none"/>
          <w:lang w:val="en-US" w:eastAsia="zh-CN" w:bidi="ar-SA"/>
        </w:rPr>
        <w:t>3.</w:t>
      </w:r>
      <w:r>
        <w:rPr>
          <w:rFonts w:hint="eastAsia" w:ascii="Times New Roman" w:hAnsi="Times New Roman"/>
          <w:color w:val="auto"/>
          <w:highlight w:val="none"/>
        </w:rPr>
        <w:t>测试要求</w:t>
      </w:r>
      <w:bookmarkEnd w:id="206"/>
      <w:bookmarkEnd w:id="207"/>
      <w:bookmarkEnd w:id="208"/>
    </w:p>
    <w:p w14:paraId="372625A5">
      <w:pPr>
        <w:spacing w:line="360" w:lineRule="auto"/>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w:t>
      </w:r>
      <w:r>
        <w:rPr>
          <w:rFonts w:ascii="Times New Roman" w:hAnsi="Times New Roman"/>
          <w:color w:val="auto"/>
          <w:szCs w:val="24"/>
          <w:highlight w:val="none"/>
        </w:rPr>
        <w:t>参选人应负责系统的单元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测试，提交完整的测试案例及达到准出标准的单元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测试报告。</w:t>
      </w:r>
    </w:p>
    <w:p w14:paraId="6F030B62">
      <w:pPr>
        <w:spacing w:line="360" w:lineRule="auto"/>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w:t>
      </w:r>
      <w:r>
        <w:rPr>
          <w:rFonts w:ascii="Times New Roman" w:hAnsi="Times New Roman"/>
          <w:color w:val="auto"/>
          <w:szCs w:val="24"/>
          <w:highlight w:val="none"/>
        </w:rPr>
        <w:t>参选人应提供专职的性能测试负责人及性能测试人员进行系统的性能测试，提交满足系统性能指标的性能测试报告。</w:t>
      </w:r>
    </w:p>
    <w:p w14:paraId="60B2E187">
      <w:pPr>
        <w:spacing w:line="360" w:lineRule="auto"/>
        <w:rPr>
          <w:rFonts w:ascii="Times New Roman" w:hAnsi="Times New Roman"/>
          <w:color w:val="auto"/>
          <w:szCs w:val="24"/>
          <w:highlight w:val="none"/>
        </w:rPr>
      </w:pPr>
      <w:r>
        <w:rPr>
          <w:rFonts w:ascii="Times New Roman" w:hAnsi="Times New Roman"/>
          <w:color w:val="auto"/>
          <w:szCs w:val="24"/>
          <w:highlight w:val="none"/>
        </w:rPr>
        <w:t>3</w:t>
      </w:r>
      <w:r>
        <w:rPr>
          <w:rFonts w:hint="eastAsia" w:ascii="Times New Roman" w:hAnsi="Times New Roman"/>
          <w:color w:val="auto"/>
          <w:szCs w:val="24"/>
          <w:highlight w:val="none"/>
        </w:rPr>
        <w:t>）</w:t>
      </w:r>
      <w:r>
        <w:rPr>
          <w:rFonts w:ascii="Times New Roman" w:hAnsi="Times New Roman"/>
          <w:color w:val="auto"/>
          <w:szCs w:val="24"/>
          <w:highlight w:val="none"/>
        </w:rPr>
        <w:t>参选人应指派专职的测试项目经理及项目成员进行系统测试，参照</w:t>
      </w:r>
      <w:r>
        <w:rPr>
          <w:rFonts w:hint="eastAsia" w:ascii="Times New Roman" w:hAnsi="Times New Roman"/>
          <w:color w:val="auto"/>
          <w:szCs w:val="24"/>
          <w:highlight w:val="none"/>
        </w:rPr>
        <w:t>比选人</w:t>
      </w:r>
      <w:r>
        <w:rPr>
          <w:rFonts w:ascii="Times New Roman" w:hAnsi="Times New Roman"/>
          <w:color w:val="auto"/>
          <w:szCs w:val="24"/>
          <w:highlight w:val="none"/>
        </w:rPr>
        <w:t>系统测试准入准出标准。</w:t>
      </w:r>
    </w:p>
    <w:tbl>
      <w:tblPr>
        <w:tblStyle w:val="24"/>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7046B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9C7B5E1">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系统测试准入准出标准</w:t>
            </w:r>
          </w:p>
        </w:tc>
      </w:tr>
      <w:tr w14:paraId="0E53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11BC0D8">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一、系统测试准入标准</w:t>
            </w:r>
          </w:p>
        </w:tc>
      </w:tr>
      <w:tr w14:paraId="2A6A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51888C4">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阶段</w:t>
            </w:r>
          </w:p>
        </w:tc>
        <w:tc>
          <w:tcPr>
            <w:tcW w:w="6889" w:type="dxa"/>
            <w:shd w:val="clear" w:color="auto" w:fill="auto"/>
            <w:vAlign w:val="center"/>
          </w:tcPr>
          <w:p w14:paraId="73D2E3E2">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准入条件</w:t>
            </w:r>
          </w:p>
        </w:tc>
      </w:tr>
      <w:tr w14:paraId="485C2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8816AA2">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计划阶段</w:t>
            </w:r>
          </w:p>
        </w:tc>
        <w:tc>
          <w:tcPr>
            <w:tcW w:w="6889" w:type="dxa"/>
            <w:shd w:val="clear" w:color="auto" w:fill="auto"/>
            <w:vAlign w:val="center"/>
          </w:tcPr>
          <w:p w14:paraId="4D82FBE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开发项目整体项目计划必须包含系统测试计划或系统测试计划时间</w:t>
            </w:r>
          </w:p>
        </w:tc>
      </w:tr>
      <w:tr w14:paraId="57F08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6F9C2B6">
            <w:pPr>
              <w:rPr>
                <w:color w:val="auto"/>
                <w:highlight w:val="none"/>
              </w:rPr>
            </w:pPr>
          </w:p>
        </w:tc>
        <w:tc>
          <w:tcPr>
            <w:tcW w:w="6889" w:type="dxa"/>
            <w:shd w:val="clear" w:color="auto" w:fill="auto"/>
            <w:vAlign w:val="center"/>
          </w:tcPr>
          <w:p w14:paraId="10ED25CA">
            <w:pPr>
              <w:rPr>
                <w:color w:val="auto"/>
                <w:highlight w:val="none"/>
              </w:rPr>
            </w:pPr>
          </w:p>
        </w:tc>
      </w:tr>
      <w:tr w14:paraId="5FE56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A67712C">
            <w:pPr>
              <w:rPr>
                <w:color w:val="auto"/>
                <w:highlight w:val="none"/>
              </w:rPr>
            </w:pPr>
          </w:p>
        </w:tc>
        <w:tc>
          <w:tcPr>
            <w:tcW w:w="6889" w:type="dxa"/>
            <w:shd w:val="clear" w:color="auto" w:fill="auto"/>
            <w:vAlign w:val="center"/>
          </w:tcPr>
          <w:p w14:paraId="3796FF4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测试方要求的需求说明书及相关说明书已经通过评审，并形成终稿；文档包括但不限于：业务需求、需求说明书、系统原型、概要设计（可选）、用户手册（可选）</w:t>
            </w:r>
          </w:p>
        </w:tc>
      </w:tr>
      <w:tr w14:paraId="37776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00D0BF9">
            <w:pPr>
              <w:rPr>
                <w:color w:val="auto"/>
                <w:highlight w:val="none"/>
              </w:rPr>
            </w:pPr>
          </w:p>
        </w:tc>
        <w:tc>
          <w:tcPr>
            <w:tcW w:w="6889" w:type="dxa"/>
            <w:shd w:val="clear" w:color="auto" w:fill="auto"/>
            <w:vAlign w:val="center"/>
          </w:tcPr>
          <w:p w14:paraId="7FB2B81F">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变更影响范围是否提供</w:t>
            </w:r>
          </w:p>
        </w:tc>
      </w:tr>
      <w:tr w14:paraId="798A7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6EF8D38">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执行阶段</w:t>
            </w:r>
          </w:p>
        </w:tc>
        <w:tc>
          <w:tcPr>
            <w:tcW w:w="6889" w:type="dxa"/>
            <w:shd w:val="clear" w:color="auto" w:fill="auto"/>
            <w:vAlign w:val="center"/>
          </w:tcPr>
          <w:p w14:paraId="40A925CF">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72FEC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753E76CE">
            <w:pPr>
              <w:rPr>
                <w:color w:val="auto"/>
                <w:highlight w:val="none"/>
              </w:rPr>
            </w:pPr>
          </w:p>
        </w:tc>
        <w:tc>
          <w:tcPr>
            <w:tcW w:w="6889" w:type="dxa"/>
            <w:shd w:val="clear" w:color="auto" w:fill="auto"/>
            <w:vAlign w:val="center"/>
          </w:tcPr>
          <w:p w14:paraId="16B5176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系统测试案例准备就绪（案例密度为35条/每功能点）</w:t>
            </w:r>
          </w:p>
        </w:tc>
      </w:tr>
      <w:tr w14:paraId="67E3C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7FD86D95">
            <w:pPr>
              <w:rPr>
                <w:color w:val="auto"/>
                <w:highlight w:val="none"/>
              </w:rPr>
            </w:pPr>
          </w:p>
        </w:tc>
        <w:tc>
          <w:tcPr>
            <w:tcW w:w="6889" w:type="dxa"/>
            <w:shd w:val="clear" w:color="auto" w:fill="auto"/>
            <w:vAlign w:val="center"/>
          </w:tcPr>
          <w:p w14:paraId="532BEA6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测试环境准备就绪</w:t>
            </w:r>
          </w:p>
        </w:tc>
      </w:tr>
      <w:tr w14:paraId="33A45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579CFA9">
            <w:pPr>
              <w:rPr>
                <w:color w:val="auto"/>
                <w:highlight w:val="none"/>
              </w:rPr>
            </w:pPr>
          </w:p>
        </w:tc>
        <w:tc>
          <w:tcPr>
            <w:tcW w:w="6889" w:type="dxa"/>
            <w:shd w:val="clear" w:color="auto" w:fill="auto"/>
            <w:vAlign w:val="center"/>
          </w:tcPr>
          <w:p w14:paraId="46F1DD2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测试版本能够成功部署到测试环境。（如果测试和开发处于同一环境，则在系统测试开始前应该按照开发提交的版本重新部署）</w:t>
            </w:r>
          </w:p>
        </w:tc>
      </w:tr>
      <w:tr w14:paraId="2BC43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FEDF809">
            <w:pPr>
              <w:rPr>
                <w:color w:val="auto"/>
                <w:highlight w:val="none"/>
              </w:rPr>
            </w:pPr>
          </w:p>
        </w:tc>
        <w:tc>
          <w:tcPr>
            <w:tcW w:w="6889" w:type="dxa"/>
            <w:shd w:val="clear" w:color="auto" w:fill="auto"/>
            <w:vAlign w:val="center"/>
          </w:tcPr>
          <w:p w14:paraId="211E2F0F">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冒烟测试达到通过标准（冒烟测试案例通过率大于90%，有效缺陷率不高于10%）</w:t>
            </w:r>
          </w:p>
        </w:tc>
      </w:tr>
      <w:tr w14:paraId="6B6EF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8185" w:type="dxa"/>
            <w:gridSpan w:val="2"/>
            <w:shd w:val="clear" w:color="auto" w:fill="auto"/>
            <w:vAlign w:val="center"/>
          </w:tcPr>
          <w:p w14:paraId="2EF74BB3">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二、暂停/继续标准：满足下列之一的条件并由项目组审核同意，测试可以暂停</w:t>
            </w:r>
          </w:p>
        </w:tc>
      </w:tr>
      <w:tr w14:paraId="63403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48263B5">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889" w:type="dxa"/>
            <w:shd w:val="clear" w:color="auto" w:fill="auto"/>
            <w:vAlign w:val="center"/>
          </w:tcPr>
          <w:p w14:paraId="69C96E35">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暂停条件</w:t>
            </w:r>
          </w:p>
        </w:tc>
      </w:tr>
      <w:tr w14:paraId="4EBC9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3320364">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889" w:type="dxa"/>
            <w:shd w:val="clear" w:color="auto" w:fill="auto"/>
            <w:vAlign w:val="center"/>
          </w:tcPr>
          <w:p w14:paraId="39FA814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由于程序、环境原因导致测试无法进行</w:t>
            </w:r>
          </w:p>
        </w:tc>
      </w:tr>
      <w:tr w14:paraId="672B9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5A738CD">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889" w:type="dxa"/>
            <w:shd w:val="clear" w:color="auto" w:fill="auto"/>
            <w:vAlign w:val="center"/>
          </w:tcPr>
          <w:p w14:paraId="7B6A7CA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项目暂停，已无测试必要</w:t>
            </w:r>
          </w:p>
        </w:tc>
      </w:tr>
      <w:tr w14:paraId="2BF8F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4925293">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3</w:t>
            </w:r>
          </w:p>
        </w:tc>
        <w:tc>
          <w:tcPr>
            <w:tcW w:w="6889" w:type="dxa"/>
            <w:shd w:val="clear" w:color="auto" w:fill="auto"/>
            <w:vAlign w:val="center"/>
          </w:tcPr>
          <w:p w14:paraId="4CD85DA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测试需求稳定指数小于70%，则暂停测试执行</w:t>
            </w:r>
          </w:p>
        </w:tc>
      </w:tr>
      <w:tr w14:paraId="44BF5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AA004A0">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4</w:t>
            </w:r>
          </w:p>
        </w:tc>
        <w:tc>
          <w:tcPr>
            <w:tcW w:w="6889" w:type="dxa"/>
            <w:shd w:val="clear" w:color="auto" w:fill="auto"/>
            <w:vAlign w:val="center"/>
          </w:tcPr>
          <w:p w14:paraId="27095C1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每个里程碑节点或执行轮次案例执行通过率低于60%，则暂停测试执行</w:t>
            </w:r>
          </w:p>
        </w:tc>
      </w:tr>
      <w:tr w14:paraId="31541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1A3F3A7">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5</w:t>
            </w:r>
          </w:p>
        </w:tc>
        <w:tc>
          <w:tcPr>
            <w:tcW w:w="6889" w:type="dxa"/>
            <w:shd w:val="clear" w:color="auto" w:fill="auto"/>
            <w:vAlign w:val="center"/>
          </w:tcPr>
          <w:p w14:paraId="7741EF8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每个里程碑节点或执行轮次缺陷解决率低于50%，则暂停测试执行</w:t>
            </w:r>
          </w:p>
        </w:tc>
      </w:tr>
      <w:tr w14:paraId="75B4A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89A6A12">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6</w:t>
            </w:r>
          </w:p>
        </w:tc>
        <w:tc>
          <w:tcPr>
            <w:tcW w:w="6889" w:type="dxa"/>
            <w:shd w:val="clear" w:color="auto" w:fill="auto"/>
            <w:vAlign w:val="center"/>
          </w:tcPr>
          <w:p w14:paraId="364CBA3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每个里程碑节点或执行轮次缺陷的案例命中率大于25%，则暂停测试执行</w:t>
            </w:r>
          </w:p>
        </w:tc>
      </w:tr>
      <w:tr w14:paraId="5BC07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F3C1367">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7</w:t>
            </w:r>
          </w:p>
        </w:tc>
        <w:tc>
          <w:tcPr>
            <w:tcW w:w="6889" w:type="dxa"/>
            <w:shd w:val="clear" w:color="auto" w:fill="auto"/>
            <w:vAlign w:val="center"/>
          </w:tcPr>
          <w:p w14:paraId="06E3E05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每个里程碑节点或执行轮次严重以上缺陷占比大于35%，则暂停测试执行</w:t>
            </w:r>
          </w:p>
        </w:tc>
      </w:tr>
      <w:tr w14:paraId="40ED5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841D09A">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8</w:t>
            </w:r>
          </w:p>
        </w:tc>
        <w:tc>
          <w:tcPr>
            <w:tcW w:w="6889" w:type="dxa"/>
            <w:shd w:val="clear" w:color="auto" w:fill="auto"/>
            <w:vAlign w:val="center"/>
          </w:tcPr>
          <w:p w14:paraId="25791BB5">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测试环境、测试数据、测试人员等等测试必备条件不再具备或发生变化导致测试不能进行，则暂停测试执行</w:t>
            </w:r>
          </w:p>
        </w:tc>
      </w:tr>
      <w:tr w14:paraId="11A8E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862CE40">
            <w:pPr>
              <w:spacing w:line="240" w:lineRule="auto"/>
              <w:ind w:firstLine="0" w:firstLineChars="0"/>
              <w:jc w:val="cente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9</w:t>
            </w:r>
          </w:p>
        </w:tc>
        <w:tc>
          <w:tcPr>
            <w:tcW w:w="6889" w:type="dxa"/>
            <w:shd w:val="clear" w:color="auto" w:fill="auto"/>
            <w:vAlign w:val="center"/>
          </w:tcPr>
          <w:p w14:paraId="7E699D2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项目组确定的可以暂停的其他条件</w:t>
            </w:r>
          </w:p>
        </w:tc>
      </w:tr>
      <w:tr w14:paraId="45C47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E0B5458">
            <w:pPr>
              <w:spacing w:line="240" w:lineRule="auto"/>
              <w:ind w:firstLine="0" w:firstLineChars="0"/>
              <w:jc w:val="center"/>
              <w:rPr>
                <w:rFonts w:hint="default" w:ascii="Times New Roman" w:hAnsi="Times New Roman" w:eastAsia="宋体"/>
                <w:color w:val="auto"/>
                <w:szCs w:val="24"/>
                <w:highlight w:val="none"/>
                <w:lang w:val="en-US" w:eastAsia="zh-CN"/>
              </w:rPr>
            </w:pPr>
            <w:r>
              <w:rPr>
                <w:rFonts w:hint="eastAsia" w:ascii="Times New Roman" w:hAnsi="Times New Roman"/>
                <w:color w:val="auto"/>
                <w:szCs w:val="24"/>
                <w:highlight w:val="none"/>
                <w:lang w:val="en-US" w:eastAsia="zh-CN"/>
              </w:rPr>
              <w:t>10</w:t>
            </w:r>
          </w:p>
        </w:tc>
        <w:tc>
          <w:tcPr>
            <w:tcW w:w="6889" w:type="dxa"/>
            <w:shd w:val="clear" w:color="auto" w:fill="auto"/>
            <w:vAlign w:val="center"/>
          </w:tcPr>
          <w:p w14:paraId="5D34DF53">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恢复以上的条件并由项目组审核同意，测试可以继续</w:t>
            </w:r>
          </w:p>
        </w:tc>
      </w:tr>
      <w:tr w14:paraId="0B3E1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BE76D98">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三、系统测试准出标准：同时满足以下条件，系统测试完成</w:t>
            </w:r>
          </w:p>
        </w:tc>
      </w:tr>
      <w:tr w14:paraId="773AD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44DC233">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889" w:type="dxa"/>
            <w:shd w:val="clear" w:color="auto" w:fill="auto"/>
            <w:vAlign w:val="center"/>
          </w:tcPr>
          <w:p w14:paraId="3EFA9FDB">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准出条件</w:t>
            </w:r>
          </w:p>
        </w:tc>
      </w:tr>
      <w:tr w14:paraId="0A315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0A35963">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889" w:type="dxa"/>
            <w:shd w:val="clear" w:color="auto" w:fill="auto"/>
            <w:vAlign w:val="center"/>
          </w:tcPr>
          <w:p w14:paraId="6172530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测试需求覆盖率达到100%，测试案例覆盖度100%</w:t>
            </w:r>
          </w:p>
        </w:tc>
      </w:tr>
      <w:tr w14:paraId="245A5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015C812">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889" w:type="dxa"/>
            <w:shd w:val="clear" w:color="auto" w:fill="auto"/>
            <w:vAlign w:val="center"/>
          </w:tcPr>
          <w:p w14:paraId="338A674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测试案例执行率达到100%，测试通过率95%</w:t>
            </w:r>
          </w:p>
        </w:tc>
      </w:tr>
      <w:tr w14:paraId="48E9E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D9955CD">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3</w:t>
            </w:r>
          </w:p>
        </w:tc>
        <w:tc>
          <w:tcPr>
            <w:tcW w:w="6889" w:type="dxa"/>
            <w:shd w:val="clear" w:color="auto" w:fill="auto"/>
            <w:vAlign w:val="center"/>
          </w:tcPr>
          <w:p w14:paraId="5608CBB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缺陷修复率达到95%</w:t>
            </w:r>
          </w:p>
        </w:tc>
      </w:tr>
      <w:tr w14:paraId="66805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603C84A">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4</w:t>
            </w:r>
          </w:p>
        </w:tc>
        <w:tc>
          <w:tcPr>
            <w:tcW w:w="6889" w:type="dxa"/>
            <w:shd w:val="clear" w:color="auto" w:fill="auto"/>
            <w:vAlign w:val="center"/>
          </w:tcPr>
          <w:p w14:paraId="774DA42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致命缺陷、严重缺陷解决率达到100%</w:t>
            </w:r>
          </w:p>
        </w:tc>
      </w:tr>
      <w:tr w14:paraId="0CD79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0DEF738">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5</w:t>
            </w:r>
          </w:p>
        </w:tc>
        <w:tc>
          <w:tcPr>
            <w:tcW w:w="6889" w:type="dxa"/>
            <w:shd w:val="clear" w:color="auto" w:fill="auto"/>
            <w:vAlign w:val="center"/>
          </w:tcPr>
          <w:p w14:paraId="50079BE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一般缺陷、微小缺陷解决率达到90%以上，建议缺陷解决率达到80%以上，且未解决缺陷得项目组认可</w:t>
            </w:r>
          </w:p>
        </w:tc>
      </w:tr>
      <w:tr w14:paraId="50B6E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3755C3E">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6</w:t>
            </w:r>
          </w:p>
        </w:tc>
        <w:tc>
          <w:tcPr>
            <w:tcW w:w="6889" w:type="dxa"/>
            <w:shd w:val="clear" w:color="auto" w:fill="auto"/>
            <w:vAlign w:val="center"/>
          </w:tcPr>
          <w:p w14:paraId="02A061F0">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提交系统测试报告及通过评审</w:t>
            </w:r>
          </w:p>
        </w:tc>
      </w:tr>
      <w:tr w14:paraId="46A46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EE1DA8B">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四、测试指标公式附录</w:t>
            </w:r>
          </w:p>
        </w:tc>
      </w:tr>
      <w:tr w14:paraId="20A4E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444D055">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TPI</w:t>
            </w:r>
          </w:p>
        </w:tc>
        <w:tc>
          <w:tcPr>
            <w:tcW w:w="6889" w:type="dxa"/>
            <w:shd w:val="clear" w:color="auto" w:fill="auto"/>
            <w:vAlign w:val="center"/>
          </w:tcPr>
          <w:p w14:paraId="64BEC1DE">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公式</w:t>
            </w:r>
          </w:p>
        </w:tc>
      </w:tr>
      <w:tr w14:paraId="0D452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65E4A3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w:t>
            </w:r>
          </w:p>
        </w:tc>
        <w:tc>
          <w:tcPr>
            <w:tcW w:w="6889" w:type="dxa"/>
            <w:shd w:val="clear" w:color="auto" w:fill="auto"/>
            <w:vAlign w:val="center"/>
          </w:tcPr>
          <w:p w14:paraId="6049791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测试需求覆盖点/软件需求功能点</w:t>
            </w:r>
          </w:p>
        </w:tc>
      </w:tr>
      <w:tr w14:paraId="471B9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62748BB">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有效案例总数</w:t>
            </w:r>
          </w:p>
        </w:tc>
        <w:tc>
          <w:tcPr>
            <w:tcW w:w="6889" w:type="dxa"/>
            <w:shd w:val="clear" w:color="auto" w:fill="auto"/>
            <w:vAlign w:val="center"/>
          </w:tcPr>
          <w:p w14:paraId="2A3CB29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案例总数-无效案例总数</w:t>
            </w:r>
          </w:p>
        </w:tc>
      </w:tr>
      <w:tr w14:paraId="5D6A6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3F7B24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w:t>
            </w:r>
          </w:p>
        </w:tc>
        <w:tc>
          <w:tcPr>
            <w:tcW w:w="6889" w:type="dxa"/>
            <w:shd w:val="clear" w:color="auto" w:fill="auto"/>
            <w:vAlign w:val="center"/>
          </w:tcPr>
          <w:p w14:paraId="14C9B5C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缺陷总数-无效缺陷总数-伪缺陷总数</w:t>
            </w:r>
          </w:p>
        </w:tc>
      </w:tr>
      <w:tr w14:paraId="51149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284FE3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w:t>
            </w:r>
          </w:p>
        </w:tc>
        <w:tc>
          <w:tcPr>
            <w:tcW w:w="6889" w:type="dxa"/>
            <w:shd w:val="clear" w:color="auto" w:fill="auto"/>
            <w:vAlign w:val="center"/>
          </w:tcPr>
          <w:p w14:paraId="3D5208D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严重及致命缺陷总数-无效的严重及致命缺陷总数</w:t>
            </w:r>
          </w:p>
        </w:tc>
      </w:tr>
      <w:tr w14:paraId="245FF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95E827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案例执行率</w:t>
            </w:r>
          </w:p>
        </w:tc>
        <w:tc>
          <w:tcPr>
            <w:tcW w:w="6889" w:type="dxa"/>
            <w:shd w:val="clear" w:color="auto" w:fill="auto"/>
            <w:vAlign w:val="center"/>
          </w:tcPr>
          <w:p w14:paraId="7572EFC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每轮执行案例数/每轮计划执行的案例个数</w:t>
            </w:r>
          </w:p>
        </w:tc>
      </w:tr>
      <w:tr w14:paraId="1245E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1D8241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需求稳定指数</w:t>
            </w:r>
          </w:p>
        </w:tc>
        <w:tc>
          <w:tcPr>
            <w:tcW w:w="6889" w:type="dxa"/>
            <w:shd w:val="clear" w:color="auto" w:fill="auto"/>
            <w:vAlign w:val="center"/>
          </w:tcPr>
          <w:p w14:paraId="3C13414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（测试需求分析中规则数量-业务需求因素引起变更的测试需求规则数-开发因素引起变更的测试需求规则数）/测试需求分析中规则数量</w:t>
            </w:r>
          </w:p>
        </w:tc>
      </w:tr>
      <w:tr w14:paraId="1B967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D2C476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案例执行通过率</w:t>
            </w:r>
          </w:p>
        </w:tc>
        <w:tc>
          <w:tcPr>
            <w:tcW w:w="6889" w:type="dxa"/>
            <w:shd w:val="clear" w:color="auto" w:fill="auto"/>
            <w:vAlign w:val="center"/>
          </w:tcPr>
          <w:p w14:paraId="4EAB58C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每轮执行通过的案例个数/每轮执行案例数</w:t>
            </w:r>
          </w:p>
        </w:tc>
      </w:tr>
      <w:tr w14:paraId="788F9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0DE1825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缺陷的案例命中率</w:t>
            </w:r>
          </w:p>
        </w:tc>
        <w:tc>
          <w:tcPr>
            <w:tcW w:w="6889" w:type="dxa"/>
            <w:shd w:val="clear" w:color="auto" w:fill="auto"/>
            <w:vAlign w:val="bottom"/>
          </w:tcPr>
          <w:p w14:paraId="57D77F7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有效缺陷总数/有效案例总数</w:t>
            </w:r>
          </w:p>
        </w:tc>
      </w:tr>
      <w:tr w14:paraId="71A15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0954570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严重以上缺陷占比</w:t>
            </w:r>
          </w:p>
        </w:tc>
        <w:tc>
          <w:tcPr>
            <w:tcW w:w="6889" w:type="dxa"/>
            <w:shd w:val="clear" w:color="auto" w:fill="auto"/>
            <w:vAlign w:val="bottom"/>
          </w:tcPr>
          <w:p w14:paraId="1ECCB99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严重以上缺陷总数/有效缺陷总数</w:t>
            </w:r>
          </w:p>
        </w:tc>
      </w:tr>
      <w:tr w14:paraId="201B3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063FAB1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缺陷解决率</w:t>
            </w:r>
          </w:p>
        </w:tc>
        <w:tc>
          <w:tcPr>
            <w:tcW w:w="6889" w:type="dxa"/>
            <w:shd w:val="clear" w:color="auto" w:fill="auto"/>
            <w:vAlign w:val="bottom"/>
          </w:tcPr>
          <w:p w14:paraId="4F88ED1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关闭缺陷总数/有效缺陷总数</w:t>
            </w:r>
          </w:p>
        </w:tc>
      </w:tr>
    </w:tbl>
    <w:p w14:paraId="2A8788D4">
      <w:pPr>
        <w:rPr>
          <w:rFonts w:ascii="Times New Roman" w:hAnsi="Times New Roman"/>
          <w:color w:val="auto"/>
          <w:highlight w:val="none"/>
        </w:rPr>
      </w:pPr>
    </w:p>
    <w:p w14:paraId="70AEF3AD">
      <w:pPr>
        <w:pStyle w:val="3"/>
        <w:numPr>
          <w:ilvl w:val="0"/>
          <w:numId w:val="0"/>
        </w:numPr>
        <w:ind w:left="360" w:leftChars="0" w:hanging="360" w:firstLineChars="0"/>
        <w:outlineLvl w:val="2"/>
        <w:rPr>
          <w:rFonts w:ascii="Times New Roman" w:hAnsi="Times New Roman"/>
          <w:color w:val="auto"/>
          <w:highlight w:val="none"/>
        </w:rPr>
      </w:pPr>
      <w:bookmarkStart w:id="209" w:name="_Toc4278"/>
      <w:bookmarkStart w:id="210" w:name="_Toc14184"/>
      <w:bookmarkStart w:id="211" w:name="_Toc6339"/>
      <w:r>
        <w:rPr>
          <w:rFonts w:hint="default" w:ascii="Times New Roman" w:hAnsi="Times New Roman" w:eastAsia="宋体" w:cstheme="majorBidi"/>
          <w:b/>
          <w:bCs/>
          <w:snapToGrid w:val="0"/>
          <w:color w:val="auto"/>
          <w:kern w:val="2"/>
          <w:sz w:val="21"/>
          <w:szCs w:val="24"/>
          <w:highlight w:val="none"/>
          <w:lang w:val="en-US" w:eastAsia="zh-CN" w:bidi="ar-SA"/>
        </w:rPr>
        <w:t>4.</w:t>
      </w:r>
      <w:r>
        <w:rPr>
          <w:rFonts w:hint="eastAsia" w:ascii="Times New Roman" w:hAnsi="Times New Roman" w:cs="Cambria"/>
          <w:bCs w:val="0"/>
          <w:color w:val="auto"/>
          <w:highlight w:val="none"/>
        </w:rPr>
        <w:t>人员要求</w:t>
      </w:r>
      <w:bookmarkEnd w:id="209"/>
      <w:bookmarkEnd w:id="210"/>
      <w:bookmarkEnd w:id="211"/>
    </w:p>
    <w:p w14:paraId="0C506137">
      <w:pPr>
        <w:snapToGrid w:val="0"/>
        <w:spacing w:line="360" w:lineRule="auto"/>
        <w:rPr>
          <w:rFonts w:hint="eastAsia" w:ascii="Times New Roman" w:hAnsi="Times New Roman" w:eastAsia="宋体" w:cs="Cambria"/>
          <w:b/>
          <w:color w:val="auto"/>
          <w:szCs w:val="24"/>
          <w:highlight w:val="none"/>
          <w:lang w:val="en-US" w:eastAsia="zh-CN"/>
        </w:rPr>
      </w:pPr>
      <w:bookmarkStart w:id="212" w:name="_Toc89675142"/>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参选</w:t>
      </w:r>
      <w:r>
        <w:rPr>
          <w:rFonts w:hint="eastAsia" w:ascii="Times New Roman" w:hAnsi="Times New Roman"/>
          <w:color w:val="auto"/>
          <w:highlight w:val="none"/>
        </w:rPr>
        <w:t>人应承诺未征得我行书面同意的情况下不得更换项目成员。</w:t>
      </w:r>
      <w:bookmarkEnd w:id="212"/>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提供承诺函</w:t>
      </w:r>
      <w:r>
        <w:rPr>
          <w:rFonts w:hint="eastAsia" w:ascii="Times New Roman" w:hAnsi="Times New Roman"/>
          <w:color w:val="auto"/>
          <w:highlight w:val="none"/>
          <w:lang w:eastAsia="zh-CN"/>
        </w:rPr>
        <w:t>】</w:t>
      </w:r>
    </w:p>
    <w:p w14:paraId="25AE1EA4">
      <w:pPr>
        <w:snapToGrid w:val="0"/>
        <w:spacing w:line="360" w:lineRule="auto"/>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w:t>
      </w:r>
      <w:r>
        <w:rPr>
          <w:rFonts w:hint="eastAsia" w:ascii="Times New Roman" w:hAnsi="Times New Roman"/>
          <w:snapToGrid w:val="0"/>
          <w:color w:val="auto"/>
          <w:kern w:val="0"/>
          <w:szCs w:val="28"/>
          <w:highlight w:val="none"/>
        </w:rPr>
        <w:t>所有成员必须为</w:t>
      </w:r>
      <w:r>
        <w:rPr>
          <w:rFonts w:hint="eastAsia" w:ascii="Times New Roman" w:hAnsi="Times New Roman"/>
          <w:color w:val="auto"/>
          <w:highlight w:val="none"/>
        </w:rPr>
        <w:t>参选人</w:t>
      </w:r>
      <w:r>
        <w:rPr>
          <w:rFonts w:hint="eastAsia" w:ascii="Times New Roman" w:hAnsi="Times New Roman"/>
          <w:snapToGrid w:val="0"/>
          <w:color w:val="auto"/>
          <w:kern w:val="0"/>
          <w:szCs w:val="28"/>
          <w:highlight w:val="none"/>
        </w:rPr>
        <w:t>单位员工，</w:t>
      </w:r>
      <w:r>
        <w:rPr>
          <w:rFonts w:hint="eastAsia" w:ascii="Times New Roman" w:hAnsi="Times New Roman"/>
          <w:color w:val="auto"/>
          <w:highlight w:val="none"/>
        </w:rPr>
        <w:t>参选人项目组成员须提供近半年公司为其缴纳社保的证明材料，不得外包其他单位员工</w:t>
      </w:r>
      <w:r>
        <w:rPr>
          <w:rFonts w:hint="eastAsia"/>
          <w:color w:val="auto"/>
          <w:highlight w:val="none"/>
          <w:lang w:eastAsia="zh-CN"/>
        </w:rPr>
        <w:t>。员工参保单位为参选人或委托第三方公司代缴，均认定有效；若员工社保委托第三方公司代缴，需提供代缴材料证明与第三方签订的合同或协议。总公司参选的，分公司员工可计算入内，子公司不计算入内。分支机构参选的，总公司人员不计算入内。）</w:t>
      </w:r>
      <w:r>
        <w:rPr>
          <w:rFonts w:hint="eastAsia" w:ascii="Times New Roman" w:hAnsi="Times New Roman" w:cs="Times New Roman"/>
          <w:b/>
          <w:snapToGrid w:val="0"/>
          <w:color w:val="auto"/>
          <w:kern w:val="0"/>
          <w:szCs w:val="28"/>
          <w:highlight w:val="none"/>
        </w:rPr>
        <w:t>【</w:t>
      </w:r>
      <w:r>
        <w:rPr>
          <w:rFonts w:hint="eastAsia" w:ascii="Times New Roman" w:hAnsi="Times New Roman" w:cs="Times New Roman"/>
          <w:b w:val="0"/>
          <w:bCs/>
          <w:snapToGrid w:val="0"/>
          <w:color w:val="auto"/>
          <w:kern w:val="0"/>
          <w:szCs w:val="28"/>
          <w:highlight w:val="none"/>
        </w:rPr>
        <w:t>提供</w:t>
      </w:r>
      <w:r>
        <w:rPr>
          <w:rFonts w:hint="eastAsia" w:ascii="Times New Roman" w:hAnsi="Times New Roman"/>
          <w:color w:val="auto"/>
          <w:highlight w:val="none"/>
        </w:rPr>
        <w:t>近半年公司为项目组成员缴纳社保的证明材料</w:t>
      </w:r>
      <w:r>
        <w:rPr>
          <w:rFonts w:hint="eastAsia" w:ascii="Times New Roman" w:hAnsi="Times New Roman" w:cs="Times New Roman"/>
          <w:b/>
          <w:snapToGrid w:val="0"/>
          <w:color w:val="auto"/>
          <w:kern w:val="0"/>
          <w:szCs w:val="28"/>
          <w:highlight w:val="none"/>
        </w:rPr>
        <w:t>】</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4E18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A41D878">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590AA74C">
            <w:pPr>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lang w:val="en-US" w:eastAsia="zh-Hans"/>
              </w:rPr>
              <w:t>具有</w:t>
            </w:r>
            <w:r>
              <w:rPr>
                <w:rFonts w:hint="eastAsia" w:ascii="Times New Roman" w:hAnsi="Times New Roman" w:cs="Cambria"/>
                <w:color w:val="auto"/>
                <w:kern w:val="0"/>
                <w:highlight w:val="none"/>
                <w:lang w:val="en-US" w:eastAsia="zh-CN"/>
              </w:rPr>
              <w:t>信息系统项目管理师、系统分析师、系统规划与管理师等高级职业资格证书</w:t>
            </w:r>
            <w:r>
              <w:rPr>
                <w:rFonts w:hint="eastAsia" w:ascii="Times New Roman" w:hAnsi="Times New Roman" w:cs="Cambria"/>
                <w:color w:val="auto"/>
                <w:kern w:val="0"/>
                <w:highlight w:val="none"/>
                <w:lang w:val="en-US" w:eastAsia="zh-Hans"/>
              </w:rPr>
              <w:t>，</w:t>
            </w:r>
            <w:r>
              <w:rPr>
                <w:rFonts w:hint="eastAsia" w:ascii="Times New Roman" w:hAnsi="Times New Roman" w:cs="Cambria"/>
                <w:color w:val="auto"/>
                <w:kern w:val="0"/>
                <w:highlight w:val="none"/>
              </w:rPr>
              <w:t>主导过三个</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lang w:val="en-US" w:eastAsia="zh-CN"/>
              </w:rPr>
              <w:t>含</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rPr>
              <w:t>以上同类项目和具有五年</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lang w:val="en-US" w:eastAsia="zh-CN"/>
              </w:rPr>
              <w:t>含</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rPr>
              <w:t>以上项目经理工作经验</w:t>
            </w:r>
            <w:r>
              <w:rPr>
                <w:rFonts w:hint="eastAsia" w:ascii="Times New Roman" w:hAnsi="Times New Roman"/>
                <w:color w:val="auto"/>
                <w:highlight w:val="none"/>
              </w:rPr>
              <w:t>，具有独当一面的技术能力；直接对项目的实施负责，通过对工期、成本、质量的控制（包括总体制定、执行、跟踪、调整相关计划，协调项目可用资源），确保项目按要求完成。</w:t>
            </w:r>
          </w:p>
        </w:tc>
      </w:tr>
      <w:tr w14:paraId="46B1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6BE0E10">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需求分析师</w:t>
            </w:r>
          </w:p>
        </w:tc>
        <w:tc>
          <w:tcPr>
            <w:tcW w:w="7660" w:type="dxa"/>
            <w:tcBorders>
              <w:top w:val="single" w:color="auto" w:sz="4" w:space="0"/>
              <w:left w:val="single" w:color="auto" w:sz="4" w:space="0"/>
              <w:bottom w:val="single" w:color="auto" w:sz="4" w:space="0"/>
              <w:right w:val="single" w:color="auto" w:sz="4" w:space="0"/>
            </w:tcBorders>
          </w:tcPr>
          <w:p w14:paraId="783FC0F0">
            <w:pPr>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主导完成过三个</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lang w:val="en-US" w:eastAsia="zh-CN"/>
              </w:rPr>
              <w:t>含</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rPr>
              <w:t>以上同类项目的需求分析、设计，</w:t>
            </w:r>
            <w:r>
              <w:rPr>
                <w:rFonts w:hint="eastAsia" w:ascii="Times New Roman" w:hAnsi="Times New Roman"/>
                <w:color w:val="auto"/>
                <w:highlight w:val="none"/>
              </w:rPr>
              <w:t>熟悉银行业务流程和相关法律法规，能够辅助比选人完成业务流程梳理、整合以及创新，善于表达，具有良好的沟通技巧和能力。</w:t>
            </w:r>
          </w:p>
        </w:tc>
      </w:tr>
      <w:tr w14:paraId="522F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A570BB2">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2C4CE5C5">
            <w:pPr>
              <w:snapToGrid w:val="0"/>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主导过三个</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lang w:val="en-US" w:eastAsia="zh-CN"/>
              </w:rPr>
              <w:t>含</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rPr>
              <w:t>以上同类项目和七年</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lang w:val="en-US" w:eastAsia="zh-CN"/>
              </w:rPr>
              <w:t>含</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rPr>
              <w:t>以上相关工作经历</w:t>
            </w:r>
            <w:r>
              <w:rPr>
                <w:rFonts w:hint="eastAsia" w:ascii="Times New Roman" w:hAnsi="Times New Roman"/>
                <w:color w:val="auto"/>
                <w:highlight w:val="none"/>
              </w:rPr>
              <w:t>，并且熟悉SOA、分布式架构以及主流开发框架。</w:t>
            </w:r>
          </w:p>
        </w:tc>
      </w:tr>
      <w:tr w14:paraId="7F4E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7EEEB21">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62E628E1">
            <w:pPr>
              <w:snapToGrid w:val="0"/>
              <w:spacing w:line="240" w:lineRule="auto"/>
              <w:ind w:firstLine="0" w:firstLineChars="0"/>
              <w:rPr>
                <w:rFonts w:ascii="Times New Roman" w:hAnsi="Times New Roman"/>
                <w:color w:val="auto"/>
                <w:highlight w:val="none"/>
              </w:rPr>
            </w:pPr>
            <w:r>
              <w:rPr>
                <w:rFonts w:hint="eastAsia" w:ascii="Times New Roman" w:hAnsi="Times New Roman"/>
                <w:color w:val="auto"/>
                <w:highlight w:val="none"/>
              </w:rPr>
              <w:t>至少二年</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lang w:val="en-US" w:eastAsia="zh-CN"/>
              </w:rPr>
              <w:t>含</w:t>
            </w:r>
            <w:r>
              <w:rPr>
                <w:rFonts w:hint="eastAsia" w:ascii="Times New Roman" w:hAnsi="Times New Roman" w:cs="Cambria"/>
                <w:color w:val="auto"/>
                <w:kern w:val="0"/>
                <w:highlight w:val="none"/>
                <w:lang w:eastAsia="zh-CN"/>
              </w:rPr>
              <w:t>）</w:t>
            </w:r>
            <w:r>
              <w:rPr>
                <w:rFonts w:hint="eastAsia" w:ascii="Times New Roman" w:hAnsi="Times New Roman"/>
                <w:color w:val="auto"/>
                <w:highlight w:val="none"/>
              </w:rPr>
              <w:t>开发经验，开发组长须有至少五年</w:t>
            </w:r>
            <w:r>
              <w:rPr>
                <w:rFonts w:hint="eastAsia" w:ascii="Times New Roman" w:hAnsi="Times New Roman" w:cs="Cambria"/>
                <w:color w:val="auto"/>
                <w:kern w:val="0"/>
                <w:highlight w:val="none"/>
                <w:lang w:eastAsia="zh-CN"/>
              </w:rPr>
              <w:t>（</w:t>
            </w:r>
            <w:r>
              <w:rPr>
                <w:rFonts w:hint="eastAsia" w:ascii="Times New Roman" w:hAnsi="Times New Roman" w:cs="Cambria"/>
                <w:color w:val="auto"/>
                <w:kern w:val="0"/>
                <w:highlight w:val="none"/>
                <w:lang w:val="en-US" w:eastAsia="zh-CN"/>
              </w:rPr>
              <w:t>含</w:t>
            </w:r>
            <w:r>
              <w:rPr>
                <w:rFonts w:hint="eastAsia" w:ascii="Times New Roman" w:hAnsi="Times New Roman" w:cs="Cambria"/>
                <w:color w:val="auto"/>
                <w:kern w:val="0"/>
                <w:highlight w:val="none"/>
                <w:lang w:eastAsia="zh-CN"/>
              </w:rPr>
              <w:t>）</w:t>
            </w:r>
            <w:r>
              <w:rPr>
                <w:rFonts w:hint="eastAsia" w:ascii="Times New Roman" w:hAnsi="Times New Roman"/>
                <w:color w:val="auto"/>
                <w:highlight w:val="none"/>
              </w:rPr>
              <w:t>开发经验，且均有</w:t>
            </w:r>
            <w:r>
              <w:rPr>
                <w:rFonts w:ascii="Times New Roman" w:hAnsi="Times New Roman" w:cs="Times New Roman"/>
                <w:color w:val="auto"/>
                <w:highlight w:val="none"/>
              </w:rPr>
              <w:t>银行业相关系统的项目实施经历。</w:t>
            </w:r>
          </w:p>
        </w:tc>
      </w:tr>
      <w:tr w14:paraId="3C26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4CCD184">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21B5F670">
            <w:pPr>
              <w:snapToGrid w:val="0"/>
              <w:spacing w:line="240" w:lineRule="auto"/>
              <w:ind w:firstLine="0" w:firstLineChars="0"/>
              <w:rPr>
                <w:rFonts w:ascii="Times New Roman" w:hAnsi="Times New Roman"/>
                <w:snapToGrid w:val="0"/>
                <w:color w:val="auto"/>
                <w:kern w:val="0"/>
                <w:highlight w:val="none"/>
              </w:rPr>
            </w:pPr>
            <w:r>
              <w:rPr>
                <w:rFonts w:ascii="Times New Roman" w:hAnsi="Times New Roman" w:cs="Times New Roman"/>
                <w:color w:val="auto"/>
                <w:highlight w:val="none"/>
              </w:rPr>
              <w:t>具有两年（含）以上银行业相关系统测试经验，</w:t>
            </w:r>
            <w:r>
              <w:rPr>
                <w:rFonts w:ascii="Times New Roman" w:hAnsi="Times New Roman" w:cs="Times New Roman"/>
                <w:color w:val="auto"/>
                <w:kern w:val="0"/>
                <w:highlight w:val="none"/>
              </w:rPr>
              <w:t>项目测试经理主导完成过二个</w:t>
            </w:r>
            <w:r>
              <w:rPr>
                <w:rFonts w:hint="eastAsia" w:ascii="Times New Roman" w:hAnsi="Times New Roman" w:cs="Times New Roman"/>
                <w:color w:val="auto"/>
                <w:kern w:val="0"/>
                <w:highlight w:val="none"/>
                <w:lang w:eastAsia="zh-CN"/>
              </w:rPr>
              <w:t>（</w:t>
            </w:r>
            <w:r>
              <w:rPr>
                <w:rFonts w:hint="eastAsia" w:ascii="Times New Roman" w:hAnsi="Times New Roman" w:cs="Times New Roman"/>
                <w:color w:val="auto"/>
                <w:kern w:val="0"/>
                <w:highlight w:val="none"/>
                <w:lang w:val="en-US" w:eastAsia="zh-CN"/>
              </w:rPr>
              <w:t>含</w:t>
            </w:r>
            <w:r>
              <w:rPr>
                <w:rFonts w:hint="eastAsia" w:ascii="Times New Roman" w:hAnsi="Times New Roman" w:cs="Times New Roman"/>
                <w:color w:val="auto"/>
                <w:kern w:val="0"/>
                <w:highlight w:val="none"/>
                <w:lang w:eastAsia="zh-CN"/>
              </w:rPr>
              <w:t>）</w:t>
            </w:r>
            <w:r>
              <w:rPr>
                <w:rFonts w:ascii="Times New Roman" w:hAnsi="Times New Roman" w:cs="Times New Roman"/>
                <w:color w:val="auto"/>
                <w:kern w:val="0"/>
                <w:highlight w:val="none"/>
              </w:rPr>
              <w:t>以上同类项目的系统测试工作</w:t>
            </w:r>
            <w:r>
              <w:rPr>
                <w:rFonts w:ascii="Times New Roman" w:hAnsi="Times New Roman" w:cs="Times New Roman"/>
                <w:color w:val="auto"/>
                <w:highlight w:val="none"/>
              </w:rPr>
              <w:t>，且具有三年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含</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以上银行业、保险业、信托业、证券业和租赁业）相关系统测试经验。</w:t>
            </w:r>
          </w:p>
        </w:tc>
      </w:tr>
    </w:tbl>
    <w:p w14:paraId="29A1BAD8">
      <w:pPr>
        <w:spacing w:line="400" w:lineRule="exact"/>
        <w:ind w:firstLine="0" w:firstLineChars="0"/>
        <w:jc w:val="left"/>
        <w:rPr>
          <w:rFonts w:hint="eastAsia" w:ascii="宋体" w:hAnsi="宋体" w:eastAsia="宋体" w:cs="宋体"/>
          <w:color w:val="auto"/>
          <w:sz w:val="21"/>
          <w:szCs w:val="21"/>
          <w:highlight w:val="none"/>
        </w:rPr>
      </w:pPr>
      <w:r>
        <w:rPr>
          <w:rFonts w:ascii="Times New Roman" w:hAnsi="Times New Roman"/>
          <w:color w:val="auto"/>
          <w:highlight w:val="none"/>
        </w:rPr>
        <w:t>3</w:t>
      </w:r>
      <w:r>
        <w:rPr>
          <w:rFonts w:hint="eastAsia" w:ascii="Times New Roman" w:hAnsi="Times New Roman"/>
          <w:color w:val="auto"/>
          <w:highlight w:val="none"/>
        </w:rPr>
        <w:t>）</w:t>
      </w:r>
      <w:r>
        <w:rPr>
          <w:rFonts w:hint="eastAsia" w:ascii="Times New Roman" w:hAnsi="Times New Roman"/>
          <w:snapToGrid w:val="0"/>
          <w:color w:val="auto"/>
          <w:kern w:val="0"/>
          <w:highlight w:val="none"/>
        </w:rPr>
        <w:t>比选人将对</w:t>
      </w:r>
      <w:r>
        <w:rPr>
          <w:rFonts w:hint="eastAsia" w:ascii="Times New Roman" w:hAnsi="Times New Roman"/>
          <w:snapToGrid w:val="0"/>
          <w:color w:val="auto"/>
          <w:kern w:val="0"/>
          <w:highlight w:val="none"/>
          <w:lang w:val="en-US" w:eastAsia="zh-CN"/>
        </w:rPr>
        <w:t>参选人</w:t>
      </w:r>
      <w:r>
        <w:rPr>
          <w:rFonts w:hint="eastAsia" w:ascii="Times New Roman" w:hAnsi="Times New Roman"/>
          <w:snapToGrid w:val="0"/>
          <w:color w:val="auto"/>
          <w:kern w:val="0"/>
          <w:highlight w:val="none"/>
        </w:rPr>
        <w:t>所提供的人员进行审核，达不到</w:t>
      </w:r>
      <w:r>
        <w:rPr>
          <w:rFonts w:ascii="Times New Roman" w:hAnsi="Times New Roman"/>
          <w:snapToGrid w:val="0"/>
          <w:color w:val="auto"/>
          <w:kern w:val="0"/>
          <w:highlight w:val="none"/>
        </w:rPr>
        <w:t>比选人</w:t>
      </w:r>
      <w:r>
        <w:rPr>
          <w:rFonts w:hint="eastAsia" w:ascii="Times New Roman" w:hAnsi="Times New Roman"/>
          <w:snapToGrid w:val="0"/>
          <w:color w:val="auto"/>
          <w:kern w:val="0"/>
          <w:highlight w:val="none"/>
        </w:rPr>
        <w:t>要求的将要求替换。</w:t>
      </w:r>
      <w:r>
        <w:rPr>
          <w:rFonts w:ascii="Times New Roman" w:hAnsi="Times New Roman" w:cs="Times New Roman"/>
          <w:snapToGrid w:val="0"/>
          <w:color w:val="auto"/>
          <w:kern w:val="0"/>
          <w:highlight w:val="none"/>
        </w:rPr>
        <w:t>最终审核通过的项目组成员在合同签订时不得进行更换。</w:t>
      </w:r>
      <w:r>
        <w:rPr>
          <w:rFonts w:hint="eastAsia" w:ascii="Times New Roman" w:hAnsi="Times New Roman" w:cs="Times New Roman"/>
          <w:snapToGrid w:val="0"/>
          <w:color w:val="auto"/>
          <w:kern w:val="0"/>
          <w:highlight w:val="none"/>
        </w:rPr>
        <w:t>【提供</w:t>
      </w:r>
      <w:r>
        <w:rPr>
          <w:rFonts w:ascii="Times New Roman" w:hAnsi="Times New Roman" w:cs="Times New Roman"/>
          <w:snapToGrid w:val="0"/>
          <w:color w:val="auto"/>
          <w:kern w:val="0"/>
          <w:highlight w:val="none"/>
        </w:rPr>
        <w:t>项目组成员简历信息</w:t>
      </w:r>
      <w:r>
        <w:rPr>
          <w:rFonts w:hint="eastAsia" w:cs="Times New Roman"/>
          <w:snapToGrid w:val="0"/>
          <w:color w:val="auto"/>
          <w:kern w:val="0"/>
          <w:highlight w:val="none"/>
          <w:lang w:eastAsia="zh-CN"/>
        </w:rPr>
        <w:t>：</w:t>
      </w:r>
      <w:r>
        <w:rPr>
          <w:rFonts w:hint="eastAsia" w:ascii="宋体" w:hAnsi="宋体" w:eastAsia="宋体" w:cs="宋体"/>
          <w:color w:val="auto"/>
          <w:sz w:val="21"/>
          <w:szCs w:val="21"/>
          <w:highlight w:val="none"/>
        </w:rPr>
        <w:t>人员项目经验需提供人员简历，简历中的工作经历提供相应的证明材料，包括但不限于满足要求的案例合同中的项目组成员名单，盖有合作方公章的证明材料等；工作经验年限需提供个人社保缴费记录。</w:t>
      </w:r>
    </w:p>
    <w:p w14:paraId="78C70D18">
      <w:pPr>
        <w:outlineLvl w:val="3"/>
        <w:rPr>
          <w:rFonts w:ascii="Times New Roman" w:hAnsi="Times New Roman"/>
          <w:color w:val="auto"/>
          <w:szCs w:val="24"/>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szCs w:val="24"/>
          <w:highlight w:val="none"/>
        </w:rPr>
        <w:t>项目组成员若有违约违规行为将由参选人承担责任。</w:t>
      </w:r>
    </w:p>
    <w:p w14:paraId="66532B49">
      <w:pPr>
        <w:outlineLvl w:val="3"/>
        <w:rPr>
          <w:rFonts w:ascii="Times New Roman" w:hAnsi="Times New Roman"/>
          <w:color w:val="auto"/>
          <w:szCs w:val="24"/>
          <w:highlight w:val="none"/>
        </w:rPr>
      </w:pPr>
    </w:p>
    <w:p w14:paraId="7B3A3FE8">
      <w:pPr>
        <w:pStyle w:val="3"/>
        <w:numPr>
          <w:ilvl w:val="0"/>
          <w:numId w:val="0"/>
        </w:numPr>
        <w:ind w:left="360" w:leftChars="0" w:hanging="360" w:firstLineChars="0"/>
        <w:outlineLvl w:val="2"/>
        <w:rPr>
          <w:rFonts w:ascii="Times New Roman" w:hAnsi="Times New Roman"/>
          <w:color w:val="auto"/>
          <w:highlight w:val="none"/>
        </w:rPr>
      </w:pPr>
      <w:bookmarkStart w:id="213" w:name="_Toc12184"/>
      <w:bookmarkStart w:id="214" w:name="_Toc7237"/>
      <w:bookmarkStart w:id="215" w:name="_Toc19950"/>
      <w:bookmarkStart w:id="216" w:name="_Toc15059418"/>
      <w:bookmarkStart w:id="217" w:name="_Toc89675144"/>
      <w:r>
        <w:rPr>
          <w:rFonts w:hint="default" w:ascii="Times New Roman" w:hAnsi="Times New Roman" w:eastAsia="宋体" w:cstheme="majorBidi"/>
          <w:b/>
          <w:bCs/>
          <w:snapToGrid w:val="0"/>
          <w:color w:val="auto"/>
          <w:kern w:val="2"/>
          <w:sz w:val="21"/>
          <w:szCs w:val="24"/>
          <w:highlight w:val="none"/>
          <w:lang w:val="en-US" w:eastAsia="zh-CN" w:bidi="ar-SA"/>
        </w:rPr>
        <w:t>5.</w:t>
      </w:r>
      <w:r>
        <w:rPr>
          <w:rFonts w:hint="eastAsia" w:ascii="Times New Roman" w:hAnsi="Times New Roman"/>
          <w:color w:val="auto"/>
          <w:highlight w:val="none"/>
        </w:rPr>
        <w:t>项目实施要求</w:t>
      </w:r>
      <w:bookmarkEnd w:id="213"/>
      <w:bookmarkEnd w:id="214"/>
      <w:bookmarkEnd w:id="215"/>
    </w:p>
    <w:p w14:paraId="006CF98F">
      <w:pPr>
        <w:rPr>
          <w:rFonts w:ascii="Times New Roman" w:hAnsi="Times New Roman"/>
          <w:color w:val="auto"/>
          <w:highlight w:val="none"/>
        </w:rPr>
      </w:pPr>
      <w:r>
        <w:rPr>
          <w:rFonts w:hint="eastAsia" w:ascii="Times New Roman" w:hAnsi="Times New Roman"/>
          <w:color w:val="auto"/>
          <w:highlight w:val="none"/>
        </w:rPr>
        <w:t>在本项目实施周期内，如遇到原系统功能与需求不符，需要及时调整实施方案，满足比选人的要求，并征得比选人同意方可变更。</w:t>
      </w:r>
    </w:p>
    <w:p w14:paraId="6DA3322E">
      <w:pPr>
        <w:rPr>
          <w:rFonts w:ascii="Times New Roman" w:hAnsi="Times New Roman"/>
          <w:color w:val="auto"/>
          <w:highlight w:val="none"/>
        </w:rPr>
      </w:pPr>
      <w:r>
        <w:rPr>
          <w:rFonts w:hint="eastAsia" w:ascii="Times New Roman" w:hAnsi="Times New Roman"/>
          <w:color w:val="auto"/>
          <w:highlight w:val="none"/>
        </w:rPr>
        <w:t>参选人在项目实施过程中，需按照比选人项目管理规范提供相应文档（所有提交文档必须为中文）。</w:t>
      </w:r>
    </w:p>
    <w:p w14:paraId="1314F7F6">
      <w:pPr>
        <w:rPr>
          <w:rFonts w:ascii="Times New Roman" w:hAnsi="Times New Roman"/>
          <w:color w:val="auto"/>
          <w:highlight w:val="none"/>
        </w:rPr>
      </w:pPr>
      <w:r>
        <w:rPr>
          <w:rFonts w:hint="eastAsia" w:ascii="Times New Roman" w:hAnsi="Times New Roman"/>
          <w:color w:val="auto"/>
          <w:highlight w:val="none"/>
        </w:rPr>
        <w:t>本项目为现场开发，原则上不允许远程开发模式，除非得到比选人的明确认可和授权。</w:t>
      </w:r>
    </w:p>
    <w:p w14:paraId="0E381A34">
      <w:pPr>
        <w:pStyle w:val="3"/>
        <w:numPr>
          <w:ilvl w:val="0"/>
          <w:numId w:val="0"/>
        </w:numPr>
        <w:ind w:left="360" w:leftChars="0" w:hanging="360" w:firstLineChars="0"/>
        <w:outlineLvl w:val="2"/>
        <w:rPr>
          <w:rFonts w:ascii="Times New Roman" w:hAnsi="Times New Roman"/>
          <w:color w:val="auto"/>
          <w:highlight w:val="none"/>
        </w:rPr>
      </w:pPr>
      <w:bookmarkStart w:id="218" w:name="_Toc20063"/>
      <w:bookmarkStart w:id="219" w:name="_Toc19484"/>
      <w:bookmarkStart w:id="220" w:name="_Toc30388"/>
      <w:r>
        <w:rPr>
          <w:rFonts w:hint="default" w:ascii="Times New Roman" w:hAnsi="Times New Roman" w:eastAsia="宋体" w:cstheme="majorBidi"/>
          <w:b/>
          <w:bCs/>
          <w:snapToGrid w:val="0"/>
          <w:color w:val="auto"/>
          <w:kern w:val="2"/>
          <w:sz w:val="21"/>
          <w:szCs w:val="24"/>
          <w:highlight w:val="none"/>
          <w:lang w:val="en-US" w:eastAsia="zh-CN" w:bidi="ar-SA"/>
        </w:rPr>
        <w:t>6.</w:t>
      </w:r>
      <w:r>
        <w:rPr>
          <w:rFonts w:hint="eastAsia" w:ascii="Times New Roman" w:hAnsi="Times New Roman"/>
          <w:color w:val="auto"/>
          <w:highlight w:val="none"/>
        </w:rPr>
        <w:t>项目源代码要求</w:t>
      </w:r>
      <w:bookmarkEnd w:id="218"/>
      <w:bookmarkEnd w:id="219"/>
      <w:bookmarkEnd w:id="220"/>
    </w:p>
    <w:p w14:paraId="767A8028">
      <w:pPr>
        <w:rPr>
          <w:rFonts w:ascii="Times New Roman" w:hAnsi="Times New Roman"/>
          <w:color w:val="auto"/>
          <w:highlight w:val="none"/>
        </w:rPr>
      </w:pPr>
      <w:r>
        <w:rPr>
          <w:rFonts w:hint="eastAsia" w:ascii="Times New Roman" w:hAnsi="Times New Roman"/>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auto"/>
          <w:highlight w:val="none"/>
        </w:rPr>
        <w:t>归双方共有</w:t>
      </w:r>
      <w:r>
        <w:rPr>
          <w:rFonts w:hint="eastAsia" w:ascii="Times New Roman" w:hAnsi="Times New Roman"/>
          <w:color w:val="auto"/>
          <w:highlight w:val="none"/>
        </w:rPr>
        <w:t>。针对共有部分，比选人拥有在比选人及其分支机构使用及后续开发的权利，参选人拥有在其公司和其他组织范围内使用的权利，但参选人使用时不得侵犯比选人利益。</w:t>
      </w:r>
    </w:p>
    <w:p w14:paraId="1A9C6E3F">
      <w:pPr>
        <w:pStyle w:val="3"/>
        <w:numPr>
          <w:ilvl w:val="0"/>
          <w:numId w:val="0"/>
        </w:numPr>
        <w:ind w:left="360" w:leftChars="0" w:hanging="360" w:firstLineChars="0"/>
        <w:outlineLvl w:val="2"/>
        <w:rPr>
          <w:rFonts w:ascii="Times New Roman" w:hAnsi="Times New Roman"/>
          <w:color w:val="auto"/>
          <w:highlight w:val="none"/>
        </w:rPr>
      </w:pPr>
      <w:bookmarkStart w:id="221" w:name="_Toc15234"/>
      <w:bookmarkStart w:id="222" w:name="_Toc6069"/>
      <w:bookmarkStart w:id="223" w:name="_Toc21743"/>
      <w:r>
        <w:rPr>
          <w:rFonts w:hint="default" w:ascii="Times New Roman" w:hAnsi="Times New Roman" w:eastAsia="宋体" w:cstheme="majorBidi"/>
          <w:b/>
          <w:bCs/>
          <w:snapToGrid w:val="0"/>
          <w:color w:val="auto"/>
          <w:kern w:val="2"/>
          <w:sz w:val="21"/>
          <w:szCs w:val="24"/>
          <w:highlight w:val="none"/>
          <w:lang w:val="en-US" w:eastAsia="zh-CN" w:bidi="ar-SA"/>
        </w:rPr>
        <w:t>7.</w:t>
      </w:r>
      <w:r>
        <w:rPr>
          <w:rFonts w:hint="eastAsia" w:ascii="Times New Roman" w:hAnsi="Times New Roman"/>
          <w:color w:val="auto"/>
          <w:highlight w:val="none"/>
        </w:rPr>
        <w:t>交付周期、地点</w:t>
      </w:r>
      <w:bookmarkEnd w:id="216"/>
      <w:bookmarkEnd w:id="217"/>
      <w:bookmarkEnd w:id="221"/>
      <w:bookmarkEnd w:id="222"/>
      <w:bookmarkEnd w:id="223"/>
    </w:p>
    <w:p w14:paraId="0A4330EA">
      <w:pPr>
        <w:pStyle w:val="4"/>
        <w:outlineLvl w:val="1"/>
        <w:rPr>
          <w:rFonts w:ascii="Times New Roman" w:hAnsi="Times New Roman"/>
          <w:color w:val="auto"/>
          <w:highlight w:val="none"/>
        </w:rPr>
      </w:pPr>
      <w:bookmarkStart w:id="224" w:name="_Toc28102"/>
      <w:bookmarkStart w:id="225" w:name="_Toc20084"/>
      <w:bookmarkStart w:id="226" w:name="_Toc17641"/>
      <w:bookmarkStart w:id="227" w:name="_Toc15059420"/>
      <w:bookmarkStart w:id="228" w:name="_Toc89675146"/>
      <w:bookmarkStart w:id="229" w:name="_Toc440628915"/>
      <w:bookmarkStart w:id="230" w:name="_Toc432254881"/>
      <w:bookmarkStart w:id="231" w:name="_Toc387826347"/>
      <w:bookmarkStart w:id="232" w:name="_Toc1125"/>
      <w:r>
        <w:rPr>
          <w:rFonts w:ascii="Times New Roman" w:hAnsi="Times New Roman"/>
          <w:color w:val="auto"/>
          <w:highlight w:val="none"/>
        </w:rPr>
        <w:t>7</w:t>
      </w:r>
      <w:r>
        <w:rPr>
          <w:rFonts w:hint="eastAsia" w:ascii="Times New Roman" w:hAnsi="Times New Roman"/>
          <w:color w:val="auto"/>
          <w:highlight w:val="none"/>
        </w:rPr>
        <w:t>.1 交付时间</w:t>
      </w:r>
      <w:bookmarkEnd w:id="224"/>
      <w:bookmarkEnd w:id="225"/>
      <w:bookmarkEnd w:id="226"/>
    </w:p>
    <w:p w14:paraId="2D8F09AA">
      <w:pPr>
        <w:rPr>
          <w:rFonts w:ascii="Times New Roman" w:hAnsi="Times New Roman"/>
          <w:color w:val="auto"/>
          <w:highlight w:val="none"/>
        </w:rPr>
      </w:pPr>
      <w:r>
        <w:rPr>
          <w:rFonts w:hint="eastAsia" w:ascii="Times New Roman" w:hAnsi="Times New Roman"/>
          <w:color w:val="auto"/>
          <w:highlight w:val="none"/>
        </w:rPr>
        <w:t>以项目合同为准。</w:t>
      </w:r>
    </w:p>
    <w:p w14:paraId="1C03C864">
      <w:pPr>
        <w:pStyle w:val="4"/>
        <w:outlineLvl w:val="1"/>
        <w:rPr>
          <w:rFonts w:ascii="Times New Roman" w:hAnsi="Times New Roman"/>
          <w:color w:val="auto"/>
          <w:highlight w:val="none"/>
        </w:rPr>
      </w:pPr>
      <w:bookmarkStart w:id="233" w:name="_Toc29445"/>
      <w:bookmarkStart w:id="234" w:name="_Toc6264"/>
      <w:bookmarkStart w:id="235" w:name="_Toc4383"/>
      <w:r>
        <w:rPr>
          <w:rFonts w:ascii="Times New Roman" w:hAnsi="Times New Roman"/>
          <w:color w:val="auto"/>
          <w:highlight w:val="none"/>
        </w:rPr>
        <w:t>7</w:t>
      </w:r>
      <w:r>
        <w:rPr>
          <w:rFonts w:hint="eastAsia" w:ascii="Times New Roman" w:hAnsi="Times New Roman"/>
          <w:color w:val="auto"/>
          <w:highlight w:val="none"/>
        </w:rPr>
        <w:t>.2 实施及交付地点</w:t>
      </w:r>
      <w:bookmarkEnd w:id="233"/>
      <w:bookmarkEnd w:id="234"/>
      <w:bookmarkEnd w:id="235"/>
    </w:p>
    <w:p w14:paraId="6CD9FA1A">
      <w:pPr>
        <w:rPr>
          <w:rFonts w:ascii="Times New Roman" w:hAnsi="Times New Roman"/>
          <w:color w:val="auto"/>
          <w:highlight w:val="none"/>
        </w:rPr>
      </w:pPr>
      <w:r>
        <w:rPr>
          <w:rFonts w:hint="eastAsia" w:ascii="Times New Roman" w:hAnsi="Times New Roman"/>
          <w:color w:val="auto"/>
          <w:highlight w:val="none"/>
        </w:rPr>
        <w:t>比选人指定地点。</w:t>
      </w:r>
    </w:p>
    <w:p w14:paraId="65B0D7C6">
      <w:pPr>
        <w:pStyle w:val="3"/>
        <w:numPr>
          <w:ilvl w:val="0"/>
          <w:numId w:val="0"/>
        </w:numPr>
        <w:ind w:left="360" w:leftChars="0" w:hanging="360" w:firstLineChars="0"/>
        <w:outlineLvl w:val="2"/>
        <w:rPr>
          <w:rFonts w:ascii="Times New Roman" w:hAnsi="Times New Roman"/>
          <w:color w:val="auto"/>
          <w:highlight w:val="none"/>
        </w:rPr>
      </w:pPr>
      <w:bookmarkStart w:id="236" w:name="_Toc17193"/>
      <w:bookmarkStart w:id="237" w:name="_Toc32019"/>
      <w:bookmarkStart w:id="238" w:name="_Toc22140"/>
      <w:r>
        <w:rPr>
          <w:rFonts w:hint="default" w:ascii="Times New Roman" w:hAnsi="Times New Roman" w:eastAsia="宋体" w:cstheme="majorBidi"/>
          <w:b/>
          <w:bCs/>
          <w:snapToGrid w:val="0"/>
          <w:color w:val="auto"/>
          <w:kern w:val="2"/>
          <w:sz w:val="21"/>
          <w:szCs w:val="24"/>
          <w:highlight w:val="none"/>
          <w:lang w:val="en-US" w:eastAsia="zh-CN" w:bidi="ar-SA"/>
        </w:rPr>
        <w:t>8.</w:t>
      </w:r>
      <w:r>
        <w:rPr>
          <w:rFonts w:hint="eastAsia" w:ascii="Times New Roman" w:hAnsi="Times New Roman"/>
          <w:color w:val="auto"/>
          <w:highlight w:val="none"/>
        </w:rPr>
        <w:t>验收测试</w:t>
      </w:r>
      <w:bookmarkEnd w:id="236"/>
      <w:bookmarkEnd w:id="237"/>
      <w:bookmarkEnd w:id="238"/>
    </w:p>
    <w:p w14:paraId="1B369F7C">
      <w:pPr>
        <w:pStyle w:val="4"/>
        <w:outlineLvl w:val="1"/>
        <w:rPr>
          <w:rFonts w:ascii="Times New Roman" w:hAnsi="Times New Roman"/>
          <w:color w:val="auto"/>
          <w:szCs w:val="20"/>
          <w:highlight w:val="none"/>
        </w:rPr>
      </w:pPr>
      <w:bookmarkStart w:id="239" w:name="_Toc26551"/>
      <w:bookmarkStart w:id="240" w:name="_Toc26051"/>
      <w:bookmarkStart w:id="241" w:name="_Toc30182"/>
      <w:r>
        <w:rPr>
          <w:rFonts w:hint="eastAsia" w:ascii="Times New Roman" w:hAnsi="Times New Roman"/>
          <w:color w:val="auto"/>
          <w:szCs w:val="20"/>
          <w:highlight w:val="none"/>
        </w:rPr>
        <w:t>8</w:t>
      </w:r>
      <w:r>
        <w:rPr>
          <w:rFonts w:ascii="Times New Roman" w:hAnsi="Times New Roman"/>
          <w:color w:val="auto"/>
          <w:szCs w:val="20"/>
          <w:highlight w:val="none"/>
        </w:rPr>
        <w:t xml:space="preserve">.1 </w:t>
      </w:r>
      <w:r>
        <w:rPr>
          <w:rFonts w:hint="eastAsia" w:ascii="Times New Roman" w:hAnsi="Times New Roman"/>
          <w:color w:val="auto"/>
          <w:szCs w:val="20"/>
          <w:highlight w:val="none"/>
        </w:rPr>
        <w:t>验收测试的范围</w:t>
      </w:r>
      <w:bookmarkEnd w:id="239"/>
      <w:bookmarkEnd w:id="240"/>
      <w:bookmarkEnd w:id="241"/>
    </w:p>
    <w:p w14:paraId="1212785A">
      <w:pPr>
        <w:rPr>
          <w:rFonts w:ascii="Times New Roman" w:hAnsi="Times New Roman"/>
          <w:color w:val="auto"/>
          <w:highlight w:val="none"/>
        </w:rPr>
      </w:pPr>
      <w:r>
        <w:rPr>
          <w:rFonts w:hint="eastAsia" w:ascii="Times New Roman" w:hAnsi="Times New Roman"/>
          <w:color w:val="auto"/>
          <w:highlight w:val="none"/>
        </w:rPr>
        <w:t>验收测试的范围为项目实施完毕,上线前最终确认的所有需求。</w:t>
      </w:r>
    </w:p>
    <w:p w14:paraId="79A5E662">
      <w:pPr>
        <w:pStyle w:val="4"/>
        <w:outlineLvl w:val="1"/>
        <w:rPr>
          <w:rFonts w:ascii="Times New Roman" w:hAnsi="Times New Roman"/>
          <w:color w:val="auto"/>
          <w:szCs w:val="20"/>
          <w:highlight w:val="none"/>
        </w:rPr>
      </w:pPr>
      <w:bookmarkStart w:id="242" w:name="_Toc16556"/>
      <w:bookmarkStart w:id="243" w:name="_Toc3293"/>
      <w:bookmarkStart w:id="244" w:name="_Toc23868"/>
      <w:r>
        <w:rPr>
          <w:rFonts w:hint="eastAsia" w:ascii="Times New Roman" w:hAnsi="Times New Roman"/>
          <w:color w:val="auto"/>
          <w:szCs w:val="20"/>
          <w:highlight w:val="none"/>
        </w:rPr>
        <w:t>8</w:t>
      </w:r>
      <w:r>
        <w:rPr>
          <w:rFonts w:ascii="Times New Roman" w:hAnsi="Times New Roman"/>
          <w:color w:val="auto"/>
          <w:szCs w:val="20"/>
          <w:highlight w:val="none"/>
        </w:rPr>
        <w:t xml:space="preserve">.2 </w:t>
      </w:r>
      <w:r>
        <w:rPr>
          <w:rFonts w:hint="eastAsia" w:ascii="Times New Roman" w:hAnsi="Times New Roman"/>
          <w:color w:val="auto"/>
          <w:szCs w:val="20"/>
          <w:highlight w:val="none"/>
        </w:rPr>
        <w:t>验收测试的组织</w:t>
      </w:r>
      <w:bookmarkEnd w:id="242"/>
      <w:bookmarkEnd w:id="243"/>
      <w:bookmarkEnd w:id="244"/>
    </w:p>
    <w:p w14:paraId="547BCD9A">
      <w:pPr>
        <w:rPr>
          <w:rFonts w:ascii="Times New Roman" w:hAnsi="Times New Roman" w:cs="Times New Roman"/>
          <w:color w:val="auto"/>
          <w:highlight w:val="none"/>
        </w:rPr>
      </w:pPr>
      <w:r>
        <w:rPr>
          <w:rFonts w:ascii="Times New Roman" w:hAnsi="Times New Roman" w:cs="Times New Roman"/>
          <w:color w:val="auto"/>
          <w:highlight w:val="none"/>
        </w:rPr>
        <w:t>比选人根据验收范围对项目进行验收，验收过程中参选人需根据比选人提出的验收意见对系统进行及时优化，出现严重缺陷或质量问题时，比选人可以决定暂停所有验收工作，直至缺陷和问题得到纠正，造成比选人损失的，由中选人承担。</w:t>
      </w:r>
    </w:p>
    <w:p w14:paraId="5C86E830">
      <w:pPr>
        <w:pStyle w:val="4"/>
        <w:outlineLvl w:val="1"/>
        <w:rPr>
          <w:rFonts w:ascii="Times New Roman" w:hAnsi="Times New Roman"/>
          <w:color w:val="auto"/>
          <w:szCs w:val="20"/>
          <w:highlight w:val="none"/>
        </w:rPr>
      </w:pPr>
      <w:bookmarkStart w:id="245" w:name="_Toc4607"/>
      <w:bookmarkStart w:id="246" w:name="_Toc22928"/>
      <w:bookmarkStart w:id="247" w:name="_Toc17915"/>
      <w:r>
        <w:rPr>
          <w:rFonts w:hint="eastAsia" w:ascii="Times New Roman" w:hAnsi="Times New Roman"/>
          <w:color w:val="auto"/>
          <w:szCs w:val="20"/>
          <w:highlight w:val="none"/>
        </w:rPr>
        <w:t>8</w:t>
      </w:r>
      <w:r>
        <w:rPr>
          <w:rFonts w:ascii="Times New Roman" w:hAnsi="Times New Roman"/>
          <w:color w:val="auto"/>
          <w:szCs w:val="20"/>
          <w:highlight w:val="none"/>
        </w:rPr>
        <w:t xml:space="preserve">.3 </w:t>
      </w:r>
      <w:r>
        <w:rPr>
          <w:rFonts w:hint="eastAsia" w:ascii="Times New Roman" w:hAnsi="Times New Roman"/>
          <w:color w:val="auto"/>
          <w:szCs w:val="20"/>
          <w:highlight w:val="none"/>
        </w:rPr>
        <w:t>验收测试的程序</w:t>
      </w:r>
      <w:bookmarkEnd w:id="245"/>
      <w:bookmarkEnd w:id="246"/>
      <w:bookmarkEnd w:id="247"/>
    </w:p>
    <w:p w14:paraId="22276E7F">
      <w:pPr>
        <w:rPr>
          <w:rFonts w:ascii="Times New Roman" w:hAnsi="Times New Roman"/>
          <w:color w:val="auto"/>
          <w:highlight w:val="none"/>
        </w:rPr>
      </w:pPr>
      <w:r>
        <w:rPr>
          <w:rFonts w:hint="eastAsia" w:ascii="Times New Roman" w:hAnsi="Times New Roman"/>
          <w:color w:val="auto"/>
          <w:highlight w:val="none"/>
        </w:rPr>
        <w:t>1）对各功能模块进行测试；</w:t>
      </w:r>
    </w:p>
    <w:p w14:paraId="716A8F89">
      <w:pPr>
        <w:rPr>
          <w:rFonts w:ascii="Times New Roman" w:hAnsi="Times New Roman"/>
          <w:color w:val="auto"/>
          <w:highlight w:val="none"/>
        </w:rPr>
      </w:pPr>
      <w:r>
        <w:rPr>
          <w:rFonts w:hint="eastAsia" w:ascii="Times New Roman" w:hAnsi="Times New Roman"/>
          <w:color w:val="auto"/>
          <w:highlight w:val="none"/>
        </w:rPr>
        <w:t>2）在各功能模块测试合格的前提下，对系统进行全面初验；</w:t>
      </w:r>
    </w:p>
    <w:p w14:paraId="2FDED62D">
      <w:pPr>
        <w:rPr>
          <w:rFonts w:ascii="Times New Roman" w:hAnsi="Times New Roman"/>
          <w:color w:val="auto"/>
          <w:highlight w:val="none"/>
        </w:rPr>
      </w:pPr>
      <w:r>
        <w:rPr>
          <w:rFonts w:hint="eastAsia" w:ascii="Times New Roman" w:hAnsi="Times New Roman"/>
          <w:color w:val="auto"/>
          <w:highlight w:val="none"/>
        </w:rPr>
        <w:t>3）系统验收测试合格后，进入试运行阶段；</w:t>
      </w:r>
    </w:p>
    <w:p w14:paraId="3DEA35D5">
      <w:pPr>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）系统在全行上线运行三个月后，进行验收。</w:t>
      </w:r>
    </w:p>
    <w:p w14:paraId="6238E7EB">
      <w:pPr>
        <w:pStyle w:val="4"/>
        <w:outlineLvl w:val="1"/>
        <w:rPr>
          <w:rFonts w:ascii="Times New Roman" w:hAnsi="Times New Roman"/>
          <w:color w:val="auto"/>
          <w:szCs w:val="20"/>
          <w:highlight w:val="none"/>
        </w:rPr>
      </w:pPr>
      <w:bookmarkStart w:id="248" w:name="_Toc17157"/>
      <w:bookmarkStart w:id="249" w:name="_Toc22923"/>
      <w:bookmarkStart w:id="250" w:name="_Toc31386"/>
      <w:r>
        <w:rPr>
          <w:rFonts w:hint="eastAsia" w:ascii="Times New Roman" w:hAnsi="Times New Roman"/>
          <w:color w:val="auto"/>
          <w:szCs w:val="20"/>
          <w:highlight w:val="none"/>
        </w:rPr>
        <w:t>8</w:t>
      </w:r>
      <w:r>
        <w:rPr>
          <w:rFonts w:ascii="Times New Roman" w:hAnsi="Times New Roman"/>
          <w:color w:val="auto"/>
          <w:szCs w:val="20"/>
          <w:highlight w:val="none"/>
        </w:rPr>
        <w:t xml:space="preserve">.4 </w:t>
      </w:r>
      <w:r>
        <w:rPr>
          <w:rFonts w:hint="eastAsia" w:ascii="Times New Roman" w:hAnsi="Times New Roman"/>
          <w:color w:val="auto"/>
          <w:szCs w:val="20"/>
          <w:highlight w:val="none"/>
        </w:rPr>
        <w:t>验收测试的评定</w:t>
      </w:r>
      <w:bookmarkEnd w:id="248"/>
      <w:bookmarkEnd w:id="249"/>
      <w:bookmarkEnd w:id="250"/>
    </w:p>
    <w:p w14:paraId="429CD63B">
      <w:pPr>
        <w:rPr>
          <w:rFonts w:ascii="Times New Roman" w:hAnsi="Times New Roman"/>
          <w:color w:val="auto"/>
          <w:highlight w:val="none"/>
        </w:rPr>
      </w:pPr>
      <w:r>
        <w:rPr>
          <w:rFonts w:hint="eastAsia" w:ascii="Times New Roman" w:hAnsi="Times New Roman"/>
          <w:color w:val="auto"/>
          <w:highlight w:val="none"/>
        </w:rPr>
        <w:t>测试结果按下列级别评定，并经验收小组签字认可：</w:t>
      </w:r>
    </w:p>
    <w:p w14:paraId="0BCFA42C">
      <w:pPr>
        <w:rPr>
          <w:rFonts w:ascii="Times New Roman" w:hAnsi="Times New Roman"/>
          <w:color w:val="auto"/>
          <w:highlight w:val="none"/>
        </w:rPr>
      </w:pPr>
      <w:r>
        <w:rPr>
          <w:rFonts w:hint="eastAsia" w:ascii="Times New Roman" w:hAnsi="Times New Roman"/>
          <w:color w:val="auto"/>
          <w:highlight w:val="none"/>
        </w:rPr>
        <w:t>•优良：功能和质量达到预期目的。</w:t>
      </w:r>
    </w:p>
    <w:p w14:paraId="5F5CFF21">
      <w:pPr>
        <w:rPr>
          <w:rFonts w:ascii="Times New Roman" w:hAnsi="Times New Roman"/>
          <w:color w:val="auto"/>
          <w:highlight w:val="none"/>
        </w:rPr>
      </w:pPr>
      <w:r>
        <w:rPr>
          <w:rFonts w:hint="eastAsia" w:ascii="Times New Roman" w:hAnsi="Times New Roman"/>
          <w:color w:val="auto"/>
          <w:highlight w:val="none"/>
        </w:rPr>
        <w:t>•合格：部分功能和质量不能满足比选人的要求，但中选人（集成商）采取了改正措施，使测试结果达到预期目的。</w:t>
      </w:r>
    </w:p>
    <w:p w14:paraId="4117BFF4">
      <w:pPr>
        <w:rPr>
          <w:rFonts w:ascii="Times New Roman" w:hAnsi="Times New Roman"/>
          <w:color w:val="auto"/>
          <w:highlight w:val="none"/>
        </w:rPr>
      </w:pPr>
      <w:r>
        <w:rPr>
          <w:rFonts w:hint="eastAsia" w:ascii="Times New Roman" w:hAnsi="Times New Roman"/>
          <w:color w:val="auto"/>
          <w:highlight w:val="none"/>
        </w:rPr>
        <w:t>•不合格：功能和质量不能满足比选人的要求。</w:t>
      </w:r>
    </w:p>
    <w:p w14:paraId="25E6FA5F">
      <w:pPr>
        <w:pStyle w:val="3"/>
        <w:numPr>
          <w:ilvl w:val="0"/>
          <w:numId w:val="0"/>
        </w:numPr>
        <w:ind w:left="360" w:hanging="360"/>
        <w:outlineLvl w:val="2"/>
        <w:rPr>
          <w:color w:val="auto"/>
          <w:highlight w:val="none"/>
        </w:rPr>
      </w:pPr>
      <w:bookmarkStart w:id="251" w:name="_Toc21285"/>
      <w:bookmarkStart w:id="252" w:name="_Toc3931"/>
      <w:bookmarkStart w:id="253" w:name="_Toc17296"/>
      <w:r>
        <w:rPr>
          <w:rFonts w:hint="default" w:ascii="Times New Roman" w:hAnsi="Times New Roman" w:eastAsia="宋体" w:cstheme="majorBidi"/>
          <w:b/>
          <w:bCs/>
          <w:snapToGrid w:val="0"/>
          <w:color w:val="auto"/>
          <w:kern w:val="2"/>
          <w:sz w:val="21"/>
          <w:szCs w:val="24"/>
          <w:highlight w:val="none"/>
          <w:lang w:val="en-US" w:eastAsia="zh-CN" w:bidi="ar-SA"/>
        </w:rPr>
        <w:t>9.</w:t>
      </w:r>
      <w:r>
        <w:rPr>
          <w:rFonts w:hint="eastAsia"/>
          <w:color w:val="auto"/>
          <w:kern w:val="0"/>
          <w:highlight w:val="none"/>
        </w:rPr>
        <w:t>售后服务和支持</w:t>
      </w:r>
      <w:bookmarkEnd w:id="251"/>
      <w:bookmarkEnd w:id="252"/>
      <w:bookmarkEnd w:id="253"/>
    </w:p>
    <w:p w14:paraId="30DF683E">
      <w:pPr>
        <w:pStyle w:val="3"/>
        <w:numPr>
          <w:ilvl w:val="0"/>
          <w:numId w:val="0"/>
        </w:numPr>
        <w:ind w:firstLine="0"/>
        <w:rPr>
          <w:rFonts w:ascii="Times New Roman" w:hAnsi="Times New Roman"/>
          <w:color w:val="auto"/>
          <w:highlight w:val="none"/>
        </w:rPr>
      </w:pPr>
      <w:bookmarkStart w:id="254" w:name="_Toc13079"/>
      <w:bookmarkStart w:id="255" w:name="_Toc17051"/>
      <w:bookmarkStart w:id="256" w:name="_Toc31660"/>
      <w:r>
        <w:rPr>
          <w:rFonts w:hint="eastAsia"/>
          <w:color w:val="auto"/>
          <w:highlight w:val="none"/>
        </w:rPr>
        <w:t>在本次比选中，参选人应在参选文件中提供</w:t>
      </w:r>
      <w:r>
        <w:rPr>
          <w:rFonts w:ascii="Times New Roman" w:hAnsi="Times New Roman" w:cs="Times New Roman"/>
          <w:color w:val="auto"/>
          <w:highlight w:val="none"/>
        </w:rPr>
        <w:t>售后服务和培训方案</w:t>
      </w:r>
      <w:r>
        <w:rPr>
          <w:rFonts w:hint="eastAsia"/>
          <w:color w:val="auto"/>
          <w:highlight w:val="none"/>
        </w:rPr>
        <w:t>供比选人查看</w:t>
      </w:r>
      <w:r>
        <w:rPr>
          <w:rFonts w:hint="eastAsia"/>
          <w:color w:val="auto"/>
          <w:highlight w:val="none"/>
          <w:lang w:eastAsia="zh-CN"/>
        </w:rPr>
        <w:t>，</w:t>
      </w:r>
      <w:bookmarkEnd w:id="254"/>
      <w:bookmarkEnd w:id="255"/>
      <w:bookmarkEnd w:id="256"/>
      <w:bookmarkStart w:id="257" w:name="_Toc16495"/>
      <w:bookmarkStart w:id="258" w:name="_Toc18606"/>
      <w:bookmarkStart w:id="259" w:name="_Toc14441"/>
      <w:r>
        <w:rPr>
          <w:rFonts w:hint="eastAsia" w:ascii="Times New Roman" w:hAnsi="Times New Roman"/>
          <w:color w:val="auto"/>
          <w:highlight w:val="none"/>
        </w:rPr>
        <w:t>服务和支持范围：</w:t>
      </w:r>
      <w:bookmarkEnd w:id="257"/>
      <w:bookmarkEnd w:id="258"/>
      <w:bookmarkEnd w:id="259"/>
    </w:p>
    <w:p w14:paraId="1B111198">
      <w:pPr>
        <w:rPr>
          <w:rFonts w:ascii="Times New Roman" w:hAnsi="Times New Roman"/>
          <w:color w:val="auto"/>
          <w:highlight w:val="none"/>
        </w:rPr>
      </w:pPr>
      <w:r>
        <w:rPr>
          <w:rFonts w:hint="eastAsia" w:ascii="Times New Roman" w:hAnsi="Times New Roman"/>
          <w:color w:val="auto"/>
          <w:highlight w:val="none"/>
        </w:rPr>
        <w:t>•系统的安装、部署和调试；</w:t>
      </w:r>
    </w:p>
    <w:p w14:paraId="1F9B9E40">
      <w:pPr>
        <w:rPr>
          <w:rFonts w:ascii="Times New Roman" w:hAnsi="Times New Roman"/>
          <w:color w:val="auto"/>
          <w:highlight w:val="none"/>
        </w:rPr>
      </w:pPr>
      <w:r>
        <w:rPr>
          <w:rFonts w:hint="eastAsia" w:ascii="Times New Roman" w:hAnsi="Times New Roman"/>
          <w:color w:val="auto"/>
          <w:highlight w:val="none"/>
        </w:rPr>
        <w:t>•项目的验收测试；</w:t>
      </w:r>
    </w:p>
    <w:p w14:paraId="07FE8F1D">
      <w:pPr>
        <w:rPr>
          <w:rFonts w:ascii="Times New Roman" w:hAnsi="Times New Roman"/>
          <w:color w:val="auto"/>
          <w:highlight w:val="none"/>
        </w:rPr>
      </w:pPr>
      <w:r>
        <w:rPr>
          <w:rFonts w:hint="eastAsia" w:ascii="Times New Roman" w:hAnsi="Times New Roman"/>
          <w:color w:val="auto"/>
          <w:highlight w:val="none"/>
        </w:rPr>
        <w:t>•项目的数据转换、数据迁移、模拟运行和试运行；</w:t>
      </w:r>
    </w:p>
    <w:p w14:paraId="22348CEF">
      <w:pPr>
        <w:rPr>
          <w:rFonts w:ascii="Times New Roman" w:hAnsi="Times New Roman"/>
          <w:color w:val="auto"/>
          <w:highlight w:val="none"/>
        </w:rPr>
      </w:pPr>
      <w:r>
        <w:rPr>
          <w:rFonts w:hint="eastAsia" w:ascii="Times New Roman" w:hAnsi="Times New Roman"/>
          <w:color w:val="auto"/>
          <w:highlight w:val="none"/>
        </w:rPr>
        <w:t>•与系统运行有关的技术问题（含操作系统、数据库、应用系统的整体性能调优等）</w:t>
      </w:r>
    </w:p>
    <w:p w14:paraId="51013D51">
      <w:pPr>
        <w:rPr>
          <w:rFonts w:ascii="Times New Roman" w:hAnsi="Times New Roman"/>
          <w:color w:val="auto"/>
          <w:highlight w:val="none"/>
        </w:rPr>
      </w:pPr>
      <w:r>
        <w:rPr>
          <w:rFonts w:hint="eastAsia" w:ascii="Times New Roman" w:hAnsi="Times New Roman"/>
          <w:color w:val="auto"/>
          <w:highlight w:val="none"/>
        </w:rPr>
        <w:t>•项目上线后两年内，针对本项目的完善性需求以及监管提出的安全性需求，中选人需免费进行开发。</w:t>
      </w:r>
    </w:p>
    <w:p w14:paraId="4E95F685">
      <w:pPr>
        <w:rPr>
          <w:rFonts w:ascii="Times New Roman" w:hAnsi="Times New Roman"/>
          <w:color w:val="auto"/>
          <w:highlight w:val="none"/>
        </w:rPr>
      </w:pPr>
      <w:r>
        <w:rPr>
          <w:rFonts w:hint="eastAsia" w:ascii="Times New Roman" w:hAnsi="Times New Roman"/>
          <w:color w:val="auto"/>
          <w:highlight w:val="none"/>
        </w:rPr>
        <w:t>•相关技术及业务培训（其中在项目实施前必须组织技术人员进行平台二次开发培训，并提供平台的所有技术文档等）</w:t>
      </w:r>
    </w:p>
    <w:p w14:paraId="7C428A46">
      <w:pPr>
        <w:rPr>
          <w:rFonts w:ascii="Times New Roman" w:hAnsi="Times New Roman"/>
          <w:color w:val="auto"/>
          <w:highlight w:val="none"/>
        </w:rPr>
      </w:pPr>
      <w:r>
        <w:rPr>
          <w:rFonts w:hint="eastAsia" w:ascii="Times New Roman" w:hAnsi="Times New Roman"/>
          <w:color w:val="auto"/>
          <w:highlight w:val="none"/>
        </w:rPr>
        <w:t>•</w:t>
      </w:r>
      <w:bookmarkStart w:id="260" w:name="_Hlk22733819"/>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w:t>
      </w:r>
      <w:bookmarkEnd w:id="260"/>
      <w:r>
        <w:rPr>
          <w:rFonts w:hint="eastAsia" w:ascii="Times New Roman" w:hAnsi="Times New Roman"/>
          <w:color w:val="auto"/>
          <w:highlight w:val="none"/>
        </w:rPr>
        <w:t>以年度计算，</w:t>
      </w:r>
      <w:r>
        <w:rPr>
          <w:rFonts w:ascii="Times New Roman" w:hAnsi="Times New Roman"/>
          <w:color w:val="auto"/>
          <w:highlight w:val="none"/>
        </w:rPr>
        <w:t>应至少提供2</w:t>
      </w:r>
      <w:r>
        <w:rPr>
          <w:rFonts w:hint="eastAsia" w:ascii="Times New Roman" w:hAnsi="Times New Roman"/>
          <w:color w:val="auto"/>
          <w:highlight w:val="none"/>
        </w:rPr>
        <w:t>年</w:t>
      </w:r>
      <w:r>
        <w:rPr>
          <w:rFonts w:hint="eastAsia" w:ascii="Times New Roman" w:hAnsi="Times New Roman"/>
          <w:color w:val="auto"/>
          <w:highlight w:val="none"/>
          <w:lang w:val="en-US" w:eastAsia="zh-CN"/>
        </w:rPr>
        <w:t>免费</w:t>
      </w:r>
      <w:r>
        <w:rPr>
          <w:rFonts w:ascii="Times New Roman" w:hAnsi="Times New Roman"/>
          <w:color w:val="auto"/>
          <w:highlight w:val="none"/>
        </w:rPr>
        <w:t>维保</w:t>
      </w:r>
      <w:r>
        <w:rPr>
          <w:rFonts w:hint="eastAsia" w:ascii="Times New Roman" w:hAnsi="Times New Roman"/>
          <w:color w:val="auto"/>
          <w:highlight w:val="none"/>
        </w:rPr>
        <w:t>，</w:t>
      </w: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维保期起始日为验收后次日，</w:t>
      </w: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维保期结束日需延期至到期当年的6月30日或12月31日中较近日期（即维保延期最长不超过半年）。</w:t>
      </w:r>
    </w:p>
    <w:p w14:paraId="7D8A3104">
      <w:pPr>
        <w:rPr>
          <w:rFonts w:ascii="Times New Roman" w:hAnsi="Times New Roman"/>
          <w:color w:val="auto"/>
          <w:highlight w:val="none"/>
        </w:rPr>
      </w:pPr>
      <w:r>
        <w:rPr>
          <w:rFonts w:hint="eastAsia" w:ascii="Times New Roman" w:hAnsi="Times New Roman"/>
          <w:color w:val="auto"/>
          <w:highlight w:val="none"/>
        </w:rPr>
        <w:t>•参选人在参选文件中详细说明在系统</w:t>
      </w: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维保期的具体服务内容，系统</w:t>
      </w: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维保期过后有偿维保的内容、价格及收取方式，若按开发量评估收取，应说明每人/月价格；</w:t>
      </w:r>
    </w:p>
    <w:p w14:paraId="78875B1B">
      <w:pPr>
        <w:rPr>
          <w:rFonts w:ascii="Times New Roman" w:hAnsi="Times New Roman"/>
          <w:color w:val="auto"/>
          <w:highlight w:val="none"/>
        </w:rPr>
      </w:pPr>
      <w:r>
        <w:rPr>
          <w:rFonts w:hint="eastAsia" w:ascii="Times New Roman" w:hAnsi="Times New Roman"/>
          <w:color w:val="auto"/>
          <w:highlight w:val="none"/>
        </w:rPr>
        <w:t>参选人在参选文件中需对以上相关内容进行阐述并作出相应承诺。</w:t>
      </w:r>
    </w:p>
    <w:p w14:paraId="37E51D39">
      <w:pPr>
        <w:rPr>
          <w:rFonts w:ascii="Times New Roman" w:hAnsi="Times New Roman"/>
          <w:color w:val="auto"/>
          <w:highlight w:val="none"/>
        </w:rPr>
      </w:pPr>
      <w:r>
        <w:rPr>
          <w:rFonts w:hint="eastAsia" w:ascii="Times New Roman" w:hAnsi="Times New Roman" w:cs="Times New Roman"/>
          <w:color w:val="auto"/>
          <w:highlight w:val="none"/>
        </w:rPr>
        <w:t>【提供</w:t>
      </w:r>
      <w:r>
        <w:rPr>
          <w:rFonts w:ascii="Times New Roman" w:hAnsi="Times New Roman" w:cs="Times New Roman"/>
          <w:color w:val="auto"/>
          <w:highlight w:val="none"/>
        </w:rPr>
        <w:t>售后服务</w:t>
      </w:r>
      <w:r>
        <w:rPr>
          <w:rFonts w:hint="eastAsia" w:ascii="Times New Roman" w:hAnsi="Times New Roman" w:cs="Times New Roman"/>
          <w:color w:val="auto"/>
          <w:highlight w:val="none"/>
          <w:lang w:val="en-US" w:eastAsia="zh-CN"/>
        </w:rPr>
        <w:t>和培训方案</w:t>
      </w:r>
      <w:r>
        <w:rPr>
          <w:rFonts w:hint="eastAsia" w:ascii="Times New Roman" w:hAnsi="Times New Roman" w:cs="Times New Roman"/>
          <w:color w:val="auto"/>
          <w:highlight w:val="none"/>
        </w:rPr>
        <w:t>】</w:t>
      </w:r>
    </w:p>
    <w:p w14:paraId="30B1C7C5">
      <w:pPr>
        <w:pStyle w:val="3"/>
        <w:numPr>
          <w:ilvl w:val="0"/>
          <w:numId w:val="0"/>
        </w:numPr>
        <w:ind w:left="360" w:leftChars="0" w:hanging="360" w:firstLineChars="0"/>
        <w:outlineLvl w:val="2"/>
        <w:rPr>
          <w:rFonts w:ascii="Times New Roman" w:hAnsi="Times New Roman"/>
          <w:color w:val="auto"/>
          <w:highlight w:val="none"/>
        </w:rPr>
      </w:pPr>
      <w:bookmarkStart w:id="261" w:name="_Toc24412"/>
      <w:bookmarkStart w:id="262" w:name="_Toc30902"/>
      <w:bookmarkStart w:id="263" w:name="_Toc21651"/>
      <w:r>
        <w:rPr>
          <w:rFonts w:hint="default" w:ascii="Times New Roman" w:hAnsi="Times New Roman" w:eastAsia="宋体" w:cstheme="majorBidi"/>
          <w:b/>
          <w:bCs/>
          <w:snapToGrid w:val="0"/>
          <w:color w:val="auto"/>
          <w:kern w:val="2"/>
          <w:sz w:val="21"/>
          <w:szCs w:val="24"/>
          <w:highlight w:val="none"/>
          <w:lang w:val="en-US" w:eastAsia="zh-CN" w:bidi="ar-SA"/>
        </w:rPr>
        <w:t>10.</w:t>
      </w:r>
      <w:r>
        <w:rPr>
          <w:rFonts w:hint="eastAsia"/>
          <w:color w:val="auto"/>
          <w:kern w:val="0"/>
          <w:highlight w:val="none"/>
        </w:rPr>
        <w:t>系统维保费用</w:t>
      </w:r>
      <w:bookmarkEnd w:id="261"/>
      <w:bookmarkEnd w:id="262"/>
      <w:bookmarkEnd w:id="263"/>
    </w:p>
    <w:p w14:paraId="43FBAF57">
      <w:pPr>
        <w:rPr>
          <w:rFonts w:ascii="Times New Roman" w:hAnsi="Times New Roman"/>
          <w:color w:val="auto"/>
          <w:highlight w:val="none"/>
        </w:rPr>
      </w:pP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维护期满后，每年维护费用不高于合同价8%，且每年系统升级改造工作量2个人</w:t>
      </w:r>
      <w:r>
        <w:rPr>
          <w:rFonts w:hint="eastAsia" w:ascii="Times New Roman" w:hAnsi="Times New Roman"/>
          <w:color w:val="auto"/>
          <w:highlight w:val="none"/>
          <w:lang w:val="en-US" w:eastAsia="zh-CN"/>
        </w:rPr>
        <w:t>/</w:t>
      </w:r>
      <w:r>
        <w:rPr>
          <w:rFonts w:hint="eastAsia" w:ascii="Times New Roman" w:hAnsi="Times New Roman"/>
          <w:color w:val="auto"/>
          <w:highlight w:val="none"/>
        </w:rPr>
        <w:t>月内不收费</w:t>
      </w:r>
      <w:r>
        <w:rPr>
          <w:rFonts w:ascii="Times New Roman" w:hAnsi="Times New Roman" w:cs="Times New Roman"/>
          <w:snapToGrid w:val="0"/>
          <w:color w:val="auto"/>
          <w:kern w:val="0"/>
          <w:szCs w:val="24"/>
          <w:highlight w:val="none"/>
        </w:rPr>
        <w:t>（工作量以比选人的最终评估为准）</w:t>
      </w:r>
      <w:r>
        <w:rPr>
          <w:rFonts w:hint="eastAsia" w:ascii="Times New Roman" w:hAnsi="Times New Roman"/>
          <w:color w:val="auto"/>
          <w:highlight w:val="none"/>
        </w:rPr>
        <w:t>，具体维保费用以合同约定为准。</w:t>
      </w:r>
      <w:r>
        <w:rPr>
          <w:rFonts w:ascii="Times New Roman" w:hAnsi="Times New Roman" w:cs="Times New Roman"/>
          <w:snapToGrid w:val="0"/>
          <w:color w:val="auto"/>
          <w:kern w:val="0"/>
          <w:szCs w:val="24"/>
          <w:highlight w:val="none"/>
        </w:rPr>
        <w:t>如比选人每年购买中选人的驻场实施服务费用高于系统维保费用的，中选人不再收取维保费用。在安全加固、BUG修复等方面应免费开展维护，不得另行收费。</w:t>
      </w:r>
    </w:p>
    <w:p w14:paraId="3F94627A">
      <w:pPr>
        <w:pStyle w:val="3"/>
        <w:numPr>
          <w:ilvl w:val="0"/>
          <w:numId w:val="0"/>
        </w:numPr>
        <w:ind w:left="360" w:leftChars="0" w:hanging="360" w:firstLineChars="0"/>
        <w:outlineLvl w:val="2"/>
        <w:rPr>
          <w:rFonts w:ascii="Times New Roman" w:hAnsi="Times New Roman"/>
          <w:color w:val="auto"/>
          <w:highlight w:val="none"/>
        </w:rPr>
      </w:pPr>
      <w:bookmarkStart w:id="264" w:name="_Toc4760"/>
      <w:bookmarkStart w:id="265" w:name="_Toc17753"/>
      <w:bookmarkStart w:id="266" w:name="_Toc8021"/>
      <w:r>
        <w:rPr>
          <w:rFonts w:hint="default" w:ascii="Times New Roman" w:hAnsi="Times New Roman" w:eastAsia="宋体" w:cstheme="majorBidi"/>
          <w:b/>
          <w:bCs/>
          <w:snapToGrid w:val="0"/>
          <w:color w:val="auto"/>
          <w:kern w:val="2"/>
          <w:sz w:val="21"/>
          <w:szCs w:val="24"/>
          <w:highlight w:val="none"/>
          <w:lang w:val="en-US" w:eastAsia="zh-CN" w:bidi="ar-SA"/>
        </w:rPr>
        <w:t>11.</w:t>
      </w:r>
      <w:r>
        <w:rPr>
          <w:rFonts w:hint="eastAsia" w:ascii="Times New Roman" w:hAnsi="Times New Roman"/>
          <w:color w:val="auto"/>
          <w:highlight w:val="none"/>
        </w:rPr>
        <w:t>文档和培训</w:t>
      </w:r>
      <w:bookmarkEnd w:id="264"/>
      <w:bookmarkEnd w:id="265"/>
      <w:bookmarkEnd w:id="266"/>
    </w:p>
    <w:p w14:paraId="261ECF4C">
      <w:pPr>
        <w:pStyle w:val="4"/>
        <w:outlineLvl w:val="1"/>
        <w:rPr>
          <w:rFonts w:ascii="Times New Roman" w:hAnsi="Times New Roman"/>
          <w:color w:val="auto"/>
          <w:szCs w:val="20"/>
          <w:highlight w:val="none"/>
        </w:rPr>
      </w:pPr>
      <w:bookmarkStart w:id="267" w:name="_Toc11453"/>
      <w:bookmarkStart w:id="268" w:name="_Toc32024"/>
      <w:bookmarkStart w:id="269" w:name="_Toc13934"/>
      <w:r>
        <w:rPr>
          <w:rFonts w:hint="eastAsia" w:ascii="Times New Roman" w:hAnsi="Times New Roman"/>
          <w:color w:val="auto"/>
          <w:highlight w:val="none"/>
        </w:rPr>
        <w:t>1</w:t>
      </w:r>
      <w:r>
        <w:rPr>
          <w:rFonts w:ascii="Times New Roman" w:hAnsi="Times New Roman"/>
          <w:color w:val="auto"/>
          <w:highlight w:val="none"/>
        </w:rPr>
        <w:t xml:space="preserve">1.1 </w:t>
      </w:r>
      <w:r>
        <w:rPr>
          <w:rFonts w:hint="eastAsia" w:ascii="Times New Roman" w:hAnsi="Times New Roman"/>
          <w:color w:val="auto"/>
          <w:szCs w:val="20"/>
          <w:highlight w:val="none"/>
        </w:rPr>
        <w:t>文档</w:t>
      </w:r>
      <w:bookmarkEnd w:id="267"/>
      <w:bookmarkEnd w:id="268"/>
      <w:bookmarkEnd w:id="269"/>
    </w:p>
    <w:p w14:paraId="76A26D9D">
      <w:pPr>
        <w:outlineLvl w:val="2"/>
        <w:rPr>
          <w:rFonts w:ascii="Times New Roman" w:hAnsi="Times New Roman"/>
          <w:color w:val="auto"/>
          <w:highlight w:val="none"/>
        </w:rPr>
      </w:pPr>
      <w:bookmarkStart w:id="270" w:name="_Toc13575"/>
      <w:bookmarkStart w:id="271" w:name="_Toc31664"/>
      <w:bookmarkStart w:id="272" w:name="_Toc763"/>
      <w:r>
        <w:rPr>
          <w:rFonts w:hint="eastAsia" w:ascii="Times New Roman" w:hAnsi="Times New Roman"/>
          <w:color w:val="auto"/>
          <w:highlight w:val="none"/>
        </w:rPr>
        <w:t>1）文档范围</w:t>
      </w:r>
      <w:bookmarkEnd w:id="270"/>
      <w:bookmarkEnd w:id="271"/>
      <w:bookmarkEnd w:id="272"/>
    </w:p>
    <w:p w14:paraId="4E93FC16">
      <w:pPr>
        <w:rPr>
          <w:rFonts w:ascii="Times New Roman" w:hAnsi="Times New Roman"/>
          <w:color w:val="auto"/>
          <w:highlight w:val="none"/>
        </w:rPr>
      </w:pPr>
      <w:r>
        <w:rPr>
          <w:rFonts w:hint="eastAsia" w:ascii="Times New Roman" w:hAnsi="Times New Roman"/>
          <w:color w:val="auto"/>
          <w:highlight w:val="none"/>
        </w:rPr>
        <w:t>包括中选人收集整理的系统建设中所形成的全部文字记载、录音和照片等，项目验收后由中选人向比选人提供。</w:t>
      </w:r>
    </w:p>
    <w:p w14:paraId="4C25F85B">
      <w:pPr>
        <w:outlineLvl w:val="2"/>
        <w:rPr>
          <w:rFonts w:ascii="Times New Roman" w:hAnsi="Times New Roman"/>
          <w:color w:val="auto"/>
          <w:highlight w:val="none"/>
        </w:rPr>
      </w:pPr>
      <w:bookmarkStart w:id="273" w:name="_Toc9618"/>
      <w:bookmarkStart w:id="274" w:name="_Toc16379"/>
      <w:bookmarkStart w:id="275" w:name="_Toc16563"/>
      <w:r>
        <w:rPr>
          <w:rFonts w:hint="eastAsia" w:ascii="Times New Roman" w:hAnsi="Times New Roman"/>
          <w:color w:val="auto"/>
          <w:highlight w:val="none"/>
        </w:rPr>
        <w:t>2）文档内容</w:t>
      </w:r>
      <w:bookmarkEnd w:id="273"/>
      <w:bookmarkEnd w:id="274"/>
      <w:bookmarkEnd w:id="275"/>
    </w:p>
    <w:p w14:paraId="668045E1">
      <w:pPr>
        <w:rPr>
          <w:rFonts w:ascii="Times New Roman" w:hAnsi="Times New Roman"/>
          <w:color w:val="auto"/>
          <w:highlight w:val="none"/>
        </w:rPr>
      </w:pPr>
      <w:r>
        <w:rPr>
          <w:rFonts w:hint="eastAsia" w:ascii="Times New Roman" w:hAnsi="Times New Roman"/>
          <w:color w:val="auto"/>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7CB6D639">
      <w:pPr>
        <w:outlineLvl w:val="2"/>
        <w:rPr>
          <w:rFonts w:ascii="Times New Roman" w:hAnsi="Times New Roman"/>
          <w:color w:val="auto"/>
          <w:highlight w:val="none"/>
        </w:rPr>
      </w:pPr>
      <w:bookmarkStart w:id="276" w:name="_Toc22645"/>
      <w:bookmarkStart w:id="277" w:name="_Toc20545"/>
      <w:bookmarkStart w:id="278" w:name="_Toc22300"/>
      <w:r>
        <w:rPr>
          <w:rFonts w:hint="eastAsia" w:ascii="Times New Roman" w:hAnsi="Times New Roman"/>
          <w:color w:val="auto"/>
          <w:highlight w:val="none"/>
        </w:rPr>
        <w:t>3）要求</w:t>
      </w:r>
      <w:bookmarkEnd w:id="276"/>
      <w:bookmarkEnd w:id="277"/>
      <w:bookmarkEnd w:id="278"/>
      <w:r>
        <w:rPr>
          <w:rFonts w:hint="eastAsia" w:ascii="Times New Roman" w:hAnsi="Times New Roman"/>
          <w:color w:val="auto"/>
          <w:highlight w:val="none"/>
        </w:rPr>
        <w:t xml:space="preserve"> </w:t>
      </w:r>
    </w:p>
    <w:p w14:paraId="73F2A720">
      <w:pPr>
        <w:rPr>
          <w:rFonts w:ascii="Times New Roman" w:hAnsi="Times New Roman"/>
          <w:color w:val="auto"/>
          <w:highlight w:val="none"/>
        </w:rPr>
      </w:pPr>
      <w:r>
        <w:rPr>
          <w:rFonts w:hint="eastAsia" w:ascii="Times New Roman" w:hAnsi="Times New Roman"/>
          <w:color w:val="auto"/>
          <w:highlight w:val="none"/>
        </w:rPr>
        <w:t>参选人提供的文档要保持完整性和准确性。所有文档都采用简体中文（第三方产品出厂文件除外）。</w:t>
      </w:r>
    </w:p>
    <w:p w14:paraId="7B349D36">
      <w:pPr>
        <w:pStyle w:val="4"/>
        <w:outlineLvl w:val="1"/>
        <w:rPr>
          <w:rFonts w:ascii="Times New Roman" w:hAnsi="Times New Roman"/>
          <w:color w:val="auto"/>
          <w:szCs w:val="20"/>
          <w:highlight w:val="none"/>
        </w:rPr>
      </w:pPr>
      <w:bookmarkStart w:id="279" w:name="_Toc5212"/>
      <w:bookmarkStart w:id="280" w:name="_Toc26965"/>
      <w:bookmarkStart w:id="281" w:name="_Toc14920"/>
      <w:r>
        <w:rPr>
          <w:rFonts w:hint="eastAsia" w:ascii="Times New Roman" w:hAnsi="Times New Roman"/>
          <w:color w:val="auto"/>
          <w:szCs w:val="20"/>
          <w:highlight w:val="none"/>
        </w:rPr>
        <w:t>1</w:t>
      </w:r>
      <w:r>
        <w:rPr>
          <w:rFonts w:ascii="Times New Roman" w:hAnsi="Times New Roman"/>
          <w:color w:val="auto"/>
          <w:szCs w:val="20"/>
          <w:highlight w:val="none"/>
        </w:rPr>
        <w:t xml:space="preserve">1.2 </w:t>
      </w:r>
      <w:r>
        <w:rPr>
          <w:rFonts w:hint="eastAsia" w:ascii="Times New Roman" w:hAnsi="Times New Roman"/>
          <w:color w:val="auto"/>
          <w:szCs w:val="20"/>
          <w:highlight w:val="none"/>
        </w:rPr>
        <w:t>培训</w:t>
      </w:r>
      <w:bookmarkEnd w:id="279"/>
      <w:bookmarkEnd w:id="280"/>
      <w:bookmarkEnd w:id="281"/>
    </w:p>
    <w:p w14:paraId="058B453D">
      <w:pPr>
        <w:outlineLvl w:val="2"/>
        <w:rPr>
          <w:rFonts w:ascii="Times New Roman" w:hAnsi="Times New Roman"/>
          <w:color w:val="auto"/>
          <w:highlight w:val="none"/>
        </w:rPr>
      </w:pPr>
      <w:bookmarkStart w:id="282" w:name="_Toc2230"/>
      <w:bookmarkStart w:id="283" w:name="_Toc26771"/>
      <w:bookmarkStart w:id="284" w:name="_Toc1533"/>
      <w:r>
        <w:rPr>
          <w:rFonts w:hint="eastAsia" w:ascii="Times New Roman" w:hAnsi="Times New Roman"/>
          <w:color w:val="auto"/>
          <w:highlight w:val="none"/>
        </w:rPr>
        <w:t>1）培训人员</w:t>
      </w:r>
      <w:bookmarkEnd w:id="282"/>
      <w:bookmarkEnd w:id="283"/>
      <w:bookmarkEnd w:id="284"/>
    </w:p>
    <w:p w14:paraId="7AFC1E23">
      <w:pPr>
        <w:rPr>
          <w:rFonts w:ascii="Times New Roman" w:hAnsi="Times New Roman"/>
          <w:color w:val="auto"/>
          <w:highlight w:val="none"/>
        </w:rPr>
      </w:pPr>
      <w:r>
        <w:rPr>
          <w:rFonts w:hint="eastAsia" w:ascii="Times New Roman" w:hAnsi="Times New Roman"/>
          <w:color w:val="auto"/>
          <w:highlight w:val="none"/>
        </w:rPr>
        <w:t>中选人应对下列人员进行相应的技术培训：</w:t>
      </w:r>
    </w:p>
    <w:p w14:paraId="6F7AE806">
      <w:pPr>
        <w:rPr>
          <w:rFonts w:ascii="Times New Roman" w:hAnsi="Times New Roman"/>
          <w:color w:val="auto"/>
          <w:highlight w:val="none"/>
        </w:rPr>
      </w:pPr>
      <w:r>
        <w:rPr>
          <w:rFonts w:hint="eastAsia" w:ascii="Times New Roman" w:hAnsi="Times New Roman"/>
          <w:color w:val="auto"/>
          <w:highlight w:val="none"/>
        </w:rPr>
        <w:t>包括但不限于涉及本项目的相关开发人员、运维人员以及业务人员等。</w:t>
      </w:r>
    </w:p>
    <w:p w14:paraId="34DA1AEF">
      <w:pPr>
        <w:outlineLvl w:val="2"/>
        <w:rPr>
          <w:rFonts w:ascii="Times New Roman" w:hAnsi="Times New Roman"/>
          <w:color w:val="auto"/>
          <w:highlight w:val="none"/>
        </w:rPr>
      </w:pPr>
      <w:bookmarkStart w:id="285" w:name="_Toc13949"/>
      <w:bookmarkStart w:id="286" w:name="_Toc585"/>
      <w:bookmarkStart w:id="287" w:name="_Toc26203"/>
      <w:r>
        <w:rPr>
          <w:rFonts w:hint="eastAsia" w:ascii="Times New Roman" w:hAnsi="Times New Roman"/>
          <w:color w:val="auto"/>
          <w:highlight w:val="none"/>
        </w:rPr>
        <w:t>2）要求</w:t>
      </w:r>
      <w:bookmarkEnd w:id="285"/>
      <w:bookmarkEnd w:id="286"/>
      <w:bookmarkEnd w:id="287"/>
    </w:p>
    <w:p w14:paraId="126F6375">
      <w:pPr>
        <w:rPr>
          <w:rFonts w:ascii="Times New Roman" w:hAnsi="Times New Roman"/>
          <w:color w:val="auto"/>
          <w:highlight w:val="none"/>
        </w:rPr>
      </w:pPr>
      <w:r>
        <w:rPr>
          <w:rFonts w:hint="eastAsia" w:ascii="Times New Roman" w:hAnsi="Times New Roman"/>
          <w:color w:val="auto"/>
          <w:highlight w:val="none"/>
        </w:rPr>
        <w:t>对所有的培训，参选人除提供完备的书面教材外，还应提交培训方案和计划。</w:t>
      </w:r>
    </w:p>
    <w:p w14:paraId="69071EAD">
      <w:pPr>
        <w:rPr>
          <w:rFonts w:hint="eastAsia" w:ascii="Times New Roman" w:hAnsi="Times New Roman"/>
          <w:color w:val="auto"/>
          <w:highlight w:val="none"/>
        </w:rPr>
      </w:pPr>
      <w:r>
        <w:rPr>
          <w:rFonts w:hint="eastAsia" w:ascii="Times New Roman" w:hAnsi="Times New Roman"/>
          <w:color w:val="auto"/>
          <w:highlight w:val="none"/>
        </w:rPr>
        <w:t>比选人要求所有的培训在比选人指定地点进行。</w:t>
      </w:r>
    </w:p>
    <w:p w14:paraId="1FD9000D">
      <w:pPr>
        <w:pStyle w:val="3"/>
        <w:numPr>
          <w:ilvl w:val="0"/>
          <w:numId w:val="0"/>
        </w:numPr>
        <w:ind w:left="360" w:leftChars="0" w:hanging="360" w:firstLineChars="0"/>
        <w:outlineLvl w:val="3"/>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12.</w:t>
      </w:r>
      <w:r>
        <w:rPr>
          <w:rFonts w:hint="eastAsia" w:ascii="Times New Roman" w:hAnsi="Times New Roman"/>
          <w:color w:val="auto"/>
          <w:highlight w:val="none"/>
        </w:rPr>
        <w:t>服务连续性预案</w:t>
      </w:r>
    </w:p>
    <w:p w14:paraId="20E46982">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6C10B2E2">
      <w:pPr>
        <w:pStyle w:val="3"/>
        <w:numPr>
          <w:ilvl w:val="0"/>
          <w:numId w:val="0"/>
        </w:numPr>
        <w:ind w:left="360" w:leftChars="0" w:hanging="360" w:firstLineChars="0"/>
        <w:outlineLvl w:val="3"/>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13.</w:t>
      </w:r>
      <w:r>
        <w:rPr>
          <w:rFonts w:hint="eastAsia" w:ascii="Times New Roman" w:hAnsi="Times New Roman"/>
          <w:color w:val="auto"/>
          <w:highlight w:val="none"/>
        </w:rPr>
        <w:t>项目实施方案</w:t>
      </w:r>
    </w:p>
    <w:p w14:paraId="632A7D07">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227"/>
    <w:bookmarkEnd w:id="228"/>
    <w:p w14:paraId="5E858532">
      <w:pPr>
        <w:pStyle w:val="3"/>
        <w:numPr>
          <w:ilvl w:val="0"/>
          <w:numId w:val="0"/>
        </w:numPr>
        <w:ind w:left="360" w:leftChars="0" w:hanging="360" w:firstLineChars="0"/>
        <w:outlineLvl w:val="3"/>
        <w:rPr>
          <w:rFonts w:ascii="Times New Roman" w:hAnsi="Times New Roman"/>
          <w:color w:val="auto"/>
          <w:highlight w:val="none"/>
        </w:rPr>
      </w:pPr>
      <w:bookmarkStart w:id="288" w:name="_Toc89675148"/>
      <w:bookmarkStart w:id="289" w:name="_Toc15059422"/>
      <w:r>
        <w:rPr>
          <w:rFonts w:hint="default" w:ascii="Times New Roman" w:hAnsi="Times New Roman" w:eastAsia="宋体" w:cstheme="majorBidi"/>
          <w:b/>
          <w:bCs/>
          <w:snapToGrid w:val="0"/>
          <w:color w:val="auto"/>
          <w:kern w:val="2"/>
          <w:sz w:val="21"/>
          <w:szCs w:val="24"/>
          <w:highlight w:val="none"/>
          <w:lang w:val="en-US" w:eastAsia="zh-CN" w:bidi="ar-SA"/>
        </w:rPr>
        <w:t>14.</w:t>
      </w:r>
      <w:r>
        <w:rPr>
          <w:rFonts w:hint="eastAsia" w:ascii="Times New Roman" w:hAnsi="Times New Roman"/>
          <w:color w:val="auto"/>
          <w:highlight w:val="none"/>
        </w:rPr>
        <w:t>付款方式</w:t>
      </w:r>
      <w:bookmarkEnd w:id="288"/>
      <w:bookmarkEnd w:id="289"/>
    </w:p>
    <w:p w14:paraId="58DBFE16">
      <w:pPr>
        <w:rPr>
          <w:rFonts w:ascii="Times New Roman" w:hAnsi="Times New Roman" w:cs="Times New Roman"/>
          <w:snapToGrid w:val="0"/>
          <w:color w:val="auto"/>
          <w:highlight w:val="none"/>
        </w:rPr>
      </w:pPr>
      <w:r>
        <w:rPr>
          <w:rFonts w:ascii="Times New Roman" w:hAnsi="Times New Roman" w:cs="Times New Roman"/>
          <w:snapToGrid w:val="0"/>
          <w:color w:val="auto"/>
          <w:highlight w:val="none"/>
        </w:rPr>
        <w:t>本项目款项采用分期付款方式，具体如下：</w:t>
      </w:r>
    </w:p>
    <w:p w14:paraId="3DAA4EC5">
      <w:pPr>
        <w:rPr>
          <w:rFonts w:ascii="Times New Roman" w:hAnsi="Times New Roman" w:cs="Times New Roman"/>
          <w:snapToGrid w:val="0"/>
          <w:color w:val="auto"/>
          <w:highlight w:val="none"/>
        </w:rPr>
      </w:pPr>
      <w:r>
        <w:rPr>
          <w:rFonts w:ascii="Times New Roman" w:hAnsi="Times New Roman" w:cs="Times New Roman"/>
          <w:snapToGrid w:val="0"/>
          <w:color w:val="auto"/>
          <w:highlight w:val="none"/>
        </w:rPr>
        <w:t>·项目安装、调试并投入试运行后30个工作日内，支付项目合同总价的60％。</w:t>
      </w:r>
    </w:p>
    <w:p w14:paraId="3000CA37">
      <w:pPr>
        <w:rPr>
          <w:rFonts w:ascii="Times New Roman" w:hAnsi="Times New Roman" w:cs="Times New Roman"/>
          <w:snapToGrid w:val="0"/>
          <w:color w:val="auto"/>
          <w:highlight w:val="none"/>
        </w:rPr>
      </w:pPr>
      <w:r>
        <w:rPr>
          <w:rFonts w:ascii="Times New Roman" w:hAnsi="Times New Roman" w:cs="Times New Roman"/>
          <w:snapToGrid w:val="0"/>
          <w:color w:val="auto"/>
          <w:highlight w:val="none"/>
        </w:rPr>
        <w:t>·项目正式验收合格后30个工作日内，支付项目合同总价的30％。</w:t>
      </w:r>
    </w:p>
    <w:p w14:paraId="4B24AC59">
      <w:pPr>
        <w:rPr>
          <w:rFonts w:ascii="Times New Roman" w:hAnsi="Times New Roman"/>
          <w:color w:val="auto"/>
          <w:highlight w:val="none"/>
        </w:rPr>
      </w:pPr>
      <w:r>
        <w:rPr>
          <w:rFonts w:ascii="Times New Roman" w:hAnsi="Times New Roman" w:cs="Times New Roman"/>
          <w:snapToGrid w:val="0"/>
          <w:color w:val="auto"/>
          <w:highlight w:val="none"/>
        </w:rPr>
        <w:t>·维护到期后30个工作日内，支付项目合同总价的10%。</w:t>
      </w:r>
    </w:p>
    <w:p w14:paraId="51FF86A1">
      <w:pPr>
        <w:pStyle w:val="3"/>
        <w:numPr>
          <w:ilvl w:val="0"/>
          <w:numId w:val="0"/>
        </w:numPr>
        <w:ind w:left="360" w:leftChars="0" w:hanging="360" w:firstLineChars="0"/>
        <w:outlineLvl w:val="3"/>
        <w:rPr>
          <w:rFonts w:ascii="Times New Roman" w:hAnsi="Times New Roman"/>
          <w:color w:val="auto"/>
          <w:highlight w:val="none"/>
        </w:rPr>
      </w:pPr>
      <w:bookmarkStart w:id="290" w:name="_Toc15059424"/>
      <w:bookmarkStart w:id="291" w:name="_Toc89675150"/>
      <w:r>
        <w:rPr>
          <w:rFonts w:hint="default" w:ascii="Times New Roman" w:hAnsi="Times New Roman" w:eastAsia="宋体" w:cstheme="majorBidi"/>
          <w:b/>
          <w:bCs/>
          <w:snapToGrid w:val="0"/>
          <w:color w:val="auto"/>
          <w:kern w:val="2"/>
          <w:sz w:val="21"/>
          <w:szCs w:val="24"/>
          <w:highlight w:val="none"/>
          <w:lang w:val="en-US" w:eastAsia="zh-CN" w:bidi="ar-SA"/>
        </w:rPr>
        <w:t>15.</w:t>
      </w:r>
      <w:r>
        <w:rPr>
          <w:rFonts w:hint="eastAsia" w:ascii="Times New Roman" w:hAnsi="Times New Roman"/>
          <w:color w:val="auto"/>
          <w:highlight w:val="none"/>
        </w:rPr>
        <w:t>保密条款</w:t>
      </w:r>
      <w:bookmarkEnd w:id="229"/>
      <w:bookmarkEnd w:id="230"/>
      <w:bookmarkEnd w:id="231"/>
      <w:bookmarkEnd w:id="232"/>
      <w:bookmarkEnd w:id="290"/>
      <w:bookmarkEnd w:id="291"/>
    </w:p>
    <w:p w14:paraId="604C4237">
      <w:pPr>
        <w:pStyle w:val="4"/>
        <w:outlineLvl w:val="1"/>
        <w:rPr>
          <w:rFonts w:ascii="Times New Roman" w:hAnsi="Times New Roman"/>
          <w:color w:val="auto"/>
          <w:highlight w:val="none"/>
        </w:rPr>
      </w:pPr>
      <w:bookmarkStart w:id="292" w:name="_Toc29838"/>
      <w:bookmarkStart w:id="293" w:name="_Toc16602"/>
      <w:bookmarkStart w:id="294" w:name="_Toc10669"/>
      <w:r>
        <w:rPr>
          <w:rFonts w:hint="eastAsia" w:ascii="Times New Roman" w:hAnsi="Times New Roman"/>
          <w:color w:val="auto"/>
          <w:highlight w:val="none"/>
        </w:rPr>
        <w:t>1</w:t>
      </w:r>
      <w:r>
        <w:rPr>
          <w:rFonts w:ascii="Times New Roman" w:hAnsi="Times New Roman"/>
          <w:color w:val="auto"/>
          <w:highlight w:val="none"/>
        </w:rPr>
        <w:t>5</w:t>
      </w:r>
      <w:r>
        <w:rPr>
          <w:rFonts w:hint="eastAsia" w:ascii="Times New Roman" w:hAnsi="Times New Roman"/>
          <w:color w:val="auto"/>
          <w:highlight w:val="none"/>
        </w:rPr>
        <w:t>.1 保密范围</w:t>
      </w:r>
      <w:bookmarkEnd w:id="292"/>
      <w:bookmarkEnd w:id="293"/>
      <w:bookmarkEnd w:id="294"/>
    </w:p>
    <w:p w14:paraId="2E24DD74">
      <w:pPr>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5870F667">
      <w:pPr>
        <w:pStyle w:val="4"/>
        <w:outlineLvl w:val="1"/>
        <w:rPr>
          <w:rFonts w:ascii="Times New Roman" w:hAnsi="Times New Roman"/>
          <w:color w:val="auto"/>
          <w:highlight w:val="none"/>
        </w:rPr>
      </w:pPr>
      <w:bookmarkStart w:id="295" w:name="_Toc27739"/>
      <w:bookmarkStart w:id="296" w:name="_Toc23594"/>
      <w:bookmarkStart w:id="297" w:name="_Toc13755"/>
      <w:r>
        <w:rPr>
          <w:rFonts w:ascii="Times New Roman" w:hAnsi="Times New Roman"/>
          <w:color w:val="auto"/>
          <w:highlight w:val="none"/>
        </w:rPr>
        <w:t>15</w:t>
      </w:r>
      <w:r>
        <w:rPr>
          <w:rFonts w:hint="eastAsia" w:ascii="Times New Roman" w:hAnsi="Times New Roman"/>
          <w:color w:val="auto"/>
          <w:highlight w:val="none"/>
        </w:rPr>
        <w:t>.2 保密责任</w:t>
      </w:r>
      <w:bookmarkEnd w:id="295"/>
      <w:bookmarkEnd w:id="296"/>
      <w:bookmarkEnd w:id="297"/>
    </w:p>
    <w:p w14:paraId="046938D3">
      <w:pPr>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148A0442">
      <w:pPr>
        <w:pStyle w:val="3"/>
        <w:numPr>
          <w:ilvl w:val="0"/>
          <w:numId w:val="0"/>
        </w:numPr>
        <w:ind w:left="360" w:leftChars="0" w:hanging="360" w:firstLineChars="0"/>
        <w:outlineLvl w:val="2"/>
        <w:rPr>
          <w:rFonts w:ascii="Times New Roman" w:hAnsi="Times New Roman"/>
          <w:color w:val="auto"/>
          <w:highlight w:val="none"/>
        </w:rPr>
      </w:pPr>
      <w:bookmarkStart w:id="298" w:name="_Toc19688"/>
      <w:bookmarkStart w:id="299" w:name="_Toc28175"/>
      <w:bookmarkStart w:id="300" w:name="_Toc30731"/>
      <w:r>
        <w:rPr>
          <w:rFonts w:hint="default" w:ascii="Times New Roman" w:hAnsi="Times New Roman" w:eastAsia="宋体" w:cstheme="majorBidi"/>
          <w:b/>
          <w:bCs/>
          <w:snapToGrid w:val="0"/>
          <w:color w:val="auto"/>
          <w:kern w:val="2"/>
          <w:sz w:val="21"/>
          <w:szCs w:val="24"/>
          <w:highlight w:val="none"/>
          <w:lang w:val="en-US" w:eastAsia="zh-CN" w:bidi="ar-SA"/>
        </w:rPr>
        <w:t>16.</w:t>
      </w:r>
      <w:r>
        <w:rPr>
          <w:rFonts w:hint="eastAsia" w:ascii="Times New Roman" w:hAnsi="Times New Roman"/>
          <w:color w:val="auto"/>
          <w:highlight w:val="none"/>
        </w:rPr>
        <w:t>报价要求</w:t>
      </w:r>
      <w:bookmarkEnd w:id="298"/>
      <w:bookmarkEnd w:id="299"/>
      <w:bookmarkEnd w:id="300"/>
    </w:p>
    <w:p w14:paraId="3E47BB5F">
      <w:pPr>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参选人应严格按照《参选文件格式》的“报价一览表”的格式认真填写。</w:t>
      </w:r>
    </w:p>
    <w:p w14:paraId="54D337AF">
      <w:pPr>
        <w:pStyle w:val="3"/>
        <w:numPr>
          <w:ilvl w:val="0"/>
          <w:numId w:val="0"/>
        </w:numPr>
        <w:ind w:left="360" w:leftChars="0" w:hanging="360" w:firstLineChars="0"/>
        <w:outlineLvl w:val="2"/>
        <w:rPr>
          <w:rFonts w:ascii="Times New Roman" w:hAnsi="Times New Roman"/>
          <w:color w:val="auto"/>
          <w:highlight w:val="none"/>
        </w:rPr>
      </w:pPr>
      <w:bookmarkStart w:id="301" w:name="_Toc15059426"/>
      <w:bookmarkStart w:id="302" w:name="_Toc89675152"/>
      <w:bookmarkStart w:id="303" w:name="_Toc17945"/>
      <w:bookmarkStart w:id="304" w:name="_Toc31126"/>
      <w:bookmarkStart w:id="305" w:name="_Toc12806"/>
      <w:r>
        <w:rPr>
          <w:rFonts w:hint="default" w:ascii="Times New Roman" w:hAnsi="Times New Roman" w:eastAsia="宋体" w:cstheme="majorBidi"/>
          <w:b/>
          <w:bCs/>
          <w:snapToGrid w:val="0"/>
          <w:color w:val="auto"/>
          <w:kern w:val="2"/>
          <w:sz w:val="21"/>
          <w:szCs w:val="24"/>
          <w:highlight w:val="none"/>
          <w:lang w:val="en-US" w:eastAsia="zh-CN" w:bidi="ar-SA"/>
        </w:rPr>
        <w:t>17.</w:t>
      </w:r>
      <w:r>
        <w:rPr>
          <w:rFonts w:hint="eastAsia" w:ascii="Times New Roman" w:hAnsi="Times New Roman"/>
          <w:color w:val="auto"/>
          <w:highlight w:val="none"/>
        </w:rPr>
        <w:t>知识产权</w:t>
      </w:r>
      <w:bookmarkEnd w:id="301"/>
      <w:bookmarkEnd w:id="302"/>
      <w:bookmarkEnd w:id="303"/>
      <w:bookmarkEnd w:id="304"/>
      <w:bookmarkEnd w:id="305"/>
    </w:p>
    <w:p w14:paraId="44119D9E">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6B158D8">
      <w:pPr>
        <w:rPr>
          <w:rFonts w:ascii="Times New Roman" w:hAnsi="Times New Roman"/>
          <w:color w:val="auto"/>
          <w:highlight w:val="none"/>
        </w:rPr>
      </w:pPr>
      <w:r>
        <w:rPr>
          <w:rFonts w:hint="eastAsia" w:ascii="Times New Roman" w:hAnsi="Times New Roman"/>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25C5F6D7">
      <w:pPr>
        <w:pStyle w:val="3"/>
        <w:numPr>
          <w:ilvl w:val="0"/>
          <w:numId w:val="0"/>
        </w:numPr>
        <w:ind w:left="360" w:leftChars="0" w:hanging="360" w:firstLineChars="0"/>
        <w:outlineLvl w:val="2"/>
        <w:rPr>
          <w:rFonts w:ascii="Times New Roman" w:hAnsi="Times New Roman"/>
          <w:color w:val="auto"/>
          <w:highlight w:val="none"/>
        </w:rPr>
      </w:pPr>
      <w:bookmarkStart w:id="306" w:name="_Toc89675153"/>
      <w:bookmarkStart w:id="307" w:name="_Toc22015"/>
      <w:bookmarkStart w:id="308" w:name="_Toc15059427"/>
      <w:bookmarkStart w:id="309" w:name="_Toc10523"/>
      <w:bookmarkStart w:id="310" w:name="_Toc17104"/>
      <w:r>
        <w:rPr>
          <w:rFonts w:hint="default" w:ascii="Times New Roman" w:hAnsi="Times New Roman" w:eastAsia="宋体" w:cstheme="majorBidi"/>
          <w:b/>
          <w:bCs/>
          <w:snapToGrid w:val="0"/>
          <w:color w:val="auto"/>
          <w:kern w:val="2"/>
          <w:sz w:val="21"/>
          <w:szCs w:val="24"/>
          <w:highlight w:val="none"/>
          <w:lang w:val="en-US" w:eastAsia="zh-CN" w:bidi="ar-SA"/>
        </w:rPr>
        <w:t>18.</w:t>
      </w:r>
      <w:r>
        <w:rPr>
          <w:rFonts w:hint="eastAsia" w:ascii="Times New Roman" w:hAnsi="Times New Roman"/>
          <w:color w:val="auto"/>
          <w:highlight w:val="none"/>
        </w:rPr>
        <w:t>其他</w:t>
      </w:r>
      <w:bookmarkEnd w:id="306"/>
      <w:bookmarkEnd w:id="307"/>
      <w:bookmarkEnd w:id="308"/>
      <w:bookmarkEnd w:id="309"/>
      <w:bookmarkEnd w:id="310"/>
    </w:p>
    <w:p w14:paraId="26AC1AD4">
      <w:pPr>
        <w:ind w:firstLine="480"/>
        <w:rPr>
          <w:rFonts w:hint="eastAsia"/>
          <w:color w:val="auto"/>
          <w:highlight w:val="none"/>
        </w:rPr>
      </w:pPr>
      <w:r>
        <w:rPr>
          <w:rFonts w:hint="eastAsia" w:ascii="Times New Roman" w:hAnsi="Times New Roman"/>
          <w:color w:val="auto"/>
          <w:highlight w:val="none"/>
          <w:lang w:val="en-US" w:eastAsia="zh-CN"/>
        </w:rPr>
        <w:t>18.1</w:t>
      </w:r>
      <w:r>
        <w:rPr>
          <w:rFonts w:hint="eastAsia"/>
          <w:color w:val="auto"/>
          <w:highlight w:val="none"/>
        </w:rPr>
        <w:t>参选人必须在响应承诺函中对本章内容做出整体性响应和承诺，承诺内容必须达到本章及比选文件其他条款的要求。</w:t>
      </w:r>
    </w:p>
    <w:p w14:paraId="4F64732A">
      <w:pPr>
        <w:rPr>
          <w:rFonts w:ascii="Times New Roman" w:hAnsi="Times New Roman" w:cs="Times New Roman"/>
          <w:color w:val="auto"/>
          <w:highlight w:val="none"/>
        </w:rPr>
      </w:pPr>
      <w:r>
        <w:rPr>
          <w:rFonts w:hint="eastAsia" w:ascii="Times New Roman" w:hAnsi="Times New Roman"/>
          <w:color w:val="auto"/>
          <w:highlight w:val="none"/>
          <w:lang w:val="en-US" w:eastAsia="zh-CN"/>
        </w:rPr>
        <w:t>18.2</w:t>
      </w:r>
      <w:r>
        <w:rPr>
          <w:rFonts w:ascii="Times New Roman" w:hAnsi="Times New Roman" w:cs="Times New Roman"/>
          <w:color w:val="auto"/>
          <w:highlight w:val="none"/>
        </w:rPr>
        <w:t>参选人应根据本章内容和要求，提供对应材料</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无遗漏。</w:t>
      </w:r>
    </w:p>
    <w:p w14:paraId="60D81E25">
      <w:pPr>
        <w:rPr>
          <w:rFonts w:ascii="Times New Roman" w:hAnsi="Times New Roman"/>
          <w:color w:val="auto"/>
          <w:highlight w:val="none"/>
        </w:rPr>
      </w:pPr>
      <w:r>
        <w:rPr>
          <w:rFonts w:hint="eastAsia" w:ascii="Times New Roman" w:hAnsi="Times New Roman"/>
          <w:color w:val="auto"/>
          <w:highlight w:val="none"/>
          <w:lang w:val="en-US" w:eastAsia="zh-CN"/>
        </w:rPr>
        <w:t>18.3</w:t>
      </w:r>
      <w:r>
        <w:rPr>
          <w:rFonts w:hint="eastAsia" w:ascii="Times New Roman" w:hAnsi="Times New Roman"/>
          <w:color w:val="auto"/>
          <w:highlight w:val="none"/>
        </w:rPr>
        <w:t>其他未尽事宜由供需双方在合同中详细约定。</w:t>
      </w:r>
    </w:p>
    <w:p w14:paraId="2E7C3202">
      <w:pPr>
        <w:keepNext w:val="0"/>
        <w:snapToGrid w:val="0"/>
        <w:spacing w:line="360" w:lineRule="auto"/>
        <w:rPr>
          <w:rFonts w:ascii="Times New Roman" w:hAnsi="Times New Roman" w:cs="宋体"/>
          <w:snapToGrid w:val="0"/>
          <w:color w:val="auto"/>
          <w:kern w:val="0"/>
          <w:szCs w:val="24"/>
          <w:highlight w:val="none"/>
        </w:rPr>
      </w:pPr>
      <w:r>
        <w:rPr>
          <w:rFonts w:ascii="Times New Roman" w:hAnsi="Times New Roman" w:cs="宋体"/>
          <w:snapToGrid w:val="0"/>
          <w:color w:val="auto"/>
          <w:kern w:val="0"/>
          <w:szCs w:val="24"/>
          <w:highlight w:val="none"/>
        </w:rPr>
        <w:br w:type="page"/>
      </w:r>
    </w:p>
    <w:p w14:paraId="6271A35A">
      <w:pPr>
        <w:pStyle w:val="3"/>
        <w:outlineLvl w:val="3"/>
        <w:rPr>
          <w:rFonts w:ascii="Times New Roman" w:hAnsi="Times New Roman"/>
          <w:color w:val="auto"/>
          <w:highlight w:val="none"/>
        </w:rPr>
      </w:pPr>
      <w:bookmarkStart w:id="311" w:name="_Toc2627"/>
      <w:r>
        <w:rPr>
          <w:rFonts w:ascii="Times New Roman" w:hAnsi="Times New Roman"/>
          <w:color w:val="auto"/>
          <w:highlight w:val="none"/>
        </w:rPr>
        <w:t>附件一：报名函</w:t>
      </w:r>
      <w:bookmarkEnd w:id="311"/>
    </w:p>
    <w:p w14:paraId="72A4F250">
      <w:pPr>
        <w:ind w:firstLine="0" w:firstLineChars="0"/>
        <w:rPr>
          <w:rFonts w:ascii="Times New Roman" w:hAnsi="Times New Roman" w:cs="Times New Roman"/>
          <w:color w:val="auto"/>
          <w:highlight w:val="none"/>
        </w:rPr>
      </w:pPr>
    </w:p>
    <w:p w14:paraId="56158494">
      <w:pPr>
        <w:rPr>
          <w:rFonts w:ascii="Times New Roman" w:hAnsi="Times New Roman" w:cs="Times New Roman"/>
          <w:color w:val="auto"/>
          <w:highlight w:val="none"/>
        </w:rPr>
      </w:pPr>
    </w:p>
    <w:p w14:paraId="25A54DC8">
      <w:pPr>
        <w:jc w:val="center"/>
        <w:rPr>
          <w:rFonts w:ascii="Times New Roman" w:hAnsi="Times New Roman" w:cs="Times New Roman"/>
          <w:b/>
          <w:bCs/>
          <w:snapToGrid w:val="0"/>
          <w:color w:val="auto"/>
          <w:kern w:val="0"/>
          <w:sz w:val="36"/>
          <w:szCs w:val="36"/>
          <w:highlight w:val="none"/>
        </w:rPr>
      </w:pPr>
      <w:r>
        <w:rPr>
          <w:rFonts w:ascii="Times New Roman" w:hAnsi="Times New Roman" w:cs="Times New Roman"/>
          <w:b/>
          <w:bCs/>
          <w:snapToGrid w:val="0"/>
          <w:color w:val="auto"/>
          <w:kern w:val="0"/>
          <w:sz w:val="36"/>
          <w:szCs w:val="36"/>
          <w:highlight w:val="none"/>
        </w:rPr>
        <w:t>报名函</w:t>
      </w:r>
    </w:p>
    <w:p w14:paraId="03CBDACE">
      <w:pPr>
        <w:autoSpaceDE/>
        <w:autoSpaceDN/>
        <w:ind w:firstLine="0" w:firstLineChars="0"/>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重庆三峡银行股份有限公司：</w:t>
      </w:r>
    </w:p>
    <w:p w14:paraId="3304C4A3">
      <w:pPr>
        <w:autoSpaceDE/>
        <w:autoSpaceDN/>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我单位报名参加“重庆三峡银行民事案件管理系统建设项目”，将根据比选文件要求，完成本项目POC测试及比选文件递交等项目流程。</w:t>
      </w:r>
    </w:p>
    <w:p w14:paraId="13B9E618">
      <w:pPr>
        <w:autoSpaceDE/>
        <w:autoSpaceDN/>
        <w:jc w:val="right"/>
        <w:rPr>
          <w:rFonts w:ascii="Times New Roman" w:hAnsi="Times New Roman" w:cs="Times New Roman"/>
          <w:snapToGrid w:val="0"/>
          <w:color w:val="auto"/>
          <w:kern w:val="0"/>
          <w:szCs w:val="24"/>
          <w:highlight w:val="none"/>
        </w:rPr>
      </w:pPr>
    </w:p>
    <w:p w14:paraId="06092C31">
      <w:pPr>
        <w:autoSpaceDE/>
        <w:autoSpaceDN/>
        <w:jc w:val="right"/>
        <w:rPr>
          <w:rFonts w:ascii="Times New Roman" w:hAnsi="Times New Roman" w:cs="Times New Roman"/>
          <w:snapToGrid w:val="0"/>
          <w:color w:val="auto"/>
          <w:kern w:val="0"/>
          <w:szCs w:val="24"/>
          <w:highlight w:val="none"/>
        </w:rPr>
      </w:pPr>
    </w:p>
    <w:p w14:paraId="4006550C">
      <w:pPr>
        <w:autoSpaceDE/>
        <w:autoSpaceDN/>
        <w:jc w:val="right"/>
        <w:rPr>
          <w:rFonts w:ascii="Times New Roman" w:hAnsi="Times New Roman" w:cs="Times New Roman"/>
          <w:snapToGrid w:val="0"/>
          <w:color w:val="auto"/>
          <w:kern w:val="0"/>
          <w:szCs w:val="24"/>
          <w:highlight w:val="none"/>
        </w:rPr>
      </w:pPr>
    </w:p>
    <w:p w14:paraId="4435D874">
      <w:pPr>
        <w:autoSpaceDE/>
        <w:autoSpaceDN/>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单位名称（盖章）：</w:t>
      </w:r>
    </w:p>
    <w:p w14:paraId="148480AA">
      <w:pPr>
        <w:autoSpaceDE/>
        <w:autoSpaceDN/>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联系人：</w:t>
      </w:r>
    </w:p>
    <w:p w14:paraId="1328FBD0">
      <w:pPr>
        <w:autoSpaceDE/>
        <w:autoSpaceDN/>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联系电话：</w:t>
      </w:r>
    </w:p>
    <w:p w14:paraId="5AADF66B">
      <w:pPr>
        <w:wordWrap w:val="0"/>
        <w:autoSpaceDE/>
        <w:autoSpaceDN/>
        <w:jc w:val="right"/>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2024年  月  日</w:t>
      </w:r>
    </w:p>
    <w:p w14:paraId="5920C3B2">
      <w:pP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br w:type="page"/>
      </w:r>
    </w:p>
    <w:p w14:paraId="51F94C1C">
      <w:pPr>
        <w:pStyle w:val="3"/>
        <w:rPr>
          <w:rFonts w:ascii="Times New Roman" w:hAnsi="Times New Roman"/>
          <w:color w:val="auto"/>
          <w:highlight w:val="none"/>
        </w:rPr>
      </w:pPr>
      <w:bookmarkStart w:id="312" w:name="_Toc4954"/>
      <w:bookmarkStart w:id="313" w:name="_Toc28957"/>
      <w:bookmarkStart w:id="314" w:name="_Toc15172"/>
      <w:bookmarkStart w:id="315" w:name="_Toc13353"/>
      <w:r>
        <w:rPr>
          <w:rFonts w:ascii="Times New Roman" w:hAnsi="Times New Roman"/>
          <w:color w:val="auto"/>
          <w:highlight w:val="none"/>
        </w:rPr>
        <w:t>附件二：POC测试方案</w:t>
      </w:r>
      <w:bookmarkEnd w:id="312"/>
      <w:bookmarkEnd w:id="313"/>
      <w:bookmarkEnd w:id="314"/>
      <w:bookmarkEnd w:id="315"/>
    </w:p>
    <w:p w14:paraId="66A35580">
      <w:pPr>
        <w:outlineLvl w:val="3"/>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一、POC测试背景</w:t>
      </w:r>
    </w:p>
    <w:p w14:paraId="3B7DDD05">
      <w:pPr>
        <w:outlineLvl w:val="2"/>
        <w:rPr>
          <w:rFonts w:ascii="Times New Roman" w:hAnsi="Times New Roman" w:cs="Times New Roman"/>
          <w:b/>
          <w:bCs/>
          <w:color w:val="auto"/>
          <w:szCs w:val="24"/>
          <w:highlight w:val="none"/>
        </w:rPr>
      </w:pPr>
      <w:bookmarkStart w:id="316" w:name="_Toc27370"/>
      <w:bookmarkStart w:id="317" w:name="_Toc18341"/>
      <w:bookmarkStart w:id="318" w:name="_Toc17970"/>
      <w:r>
        <w:rPr>
          <w:rFonts w:ascii="Times New Roman" w:hAnsi="Times New Roman" w:cs="Times New Roman"/>
          <w:b/>
          <w:bCs/>
          <w:color w:val="auto"/>
          <w:szCs w:val="24"/>
          <w:highlight w:val="none"/>
        </w:rPr>
        <w:t>1.测试范围</w:t>
      </w:r>
      <w:bookmarkEnd w:id="316"/>
      <w:bookmarkEnd w:id="317"/>
      <w:bookmarkEnd w:id="318"/>
    </w:p>
    <w:p w14:paraId="6F9D9382">
      <w:pPr>
        <w:rPr>
          <w:rFonts w:ascii="Times New Roman" w:hAnsi="Times New Roman"/>
          <w:color w:val="auto"/>
          <w:highlight w:val="none"/>
        </w:rPr>
      </w:pPr>
      <w:r>
        <w:rPr>
          <w:rFonts w:hint="eastAsia" w:ascii="Times New Roman" w:hAnsi="Times New Roman"/>
          <w:color w:val="auto"/>
          <w:highlight w:val="none"/>
        </w:rPr>
        <w:t>为持续提升民事诉讼案件管理质效，不断推进案件管理信息智能化转型，切实推动全生命周期民事案件管理，促进实现 “以案促管、以管创效”，拟新建民事案件管理系统，以打造集案件审批、案件推进、跟踪监测、统计管理等功能为一体的综合智能化民事案件管理模式。</w:t>
      </w:r>
    </w:p>
    <w:p w14:paraId="0785E2FF">
      <w:pPr>
        <w:rPr>
          <w:rFonts w:ascii="Times New Roman" w:hAnsi="Times New Roman" w:cs="Times New Roman"/>
          <w:color w:val="auto"/>
          <w:highlight w:val="none"/>
        </w:rPr>
      </w:pPr>
      <w:r>
        <w:rPr>
          <w:rFonts w:ascii="Times New Roman" w:hAnsi="Times New Roman" w:cs="Times New Roman"/>
          <w:color w:val="auto"/>
          <w:highlight w:val="none"/>
        </w:rPr>
        <w:t>为保证项目质量，结合前期与厂商沟通交流的结果，经过民事案件管理系统建设项目相关成员商议后，决定对潜在厂商进行POC测试。</w:t>
      </w:r>
    </w:p>
    <w:p w14:paraId="63075414">
      <w:pPr>
        <w:outlineLvl w:val="2"/>
        <w:rPr>
          <w:rFonts w:ascii="Times New Roman" w:hAnsi="Times New Roman" w:cs="Times New Roman"/>
          <w:b/>
          <w:bCs/>
          <w:color w:val="auto"/>
          <w:highlight w:val="none"/>
        </w:rPr>
      </w:pPr>
      <w:bookmarkStart w:id="319" w:name="_Toc20573"/>
      <w:bookmarkStart w:id="320" w:name="_Toc24980"/>
      <w:bookmarkStart w:id="321" w:name="_Toc6206"/>
      <w:r>
        <w:rPr>
          <w:rFonts w:ascii="Times New Roman" w:hAnsi="Times New Roman" w:cs="Times New Roman"/>
          <w:b/>
          <w:bCs/>
          <w:color w:val="auto"/>
          <w:highlight w:val="none"/>
        </w:rPr>
        <w:t>2.测试目的</w:t>
      </w:r>
      <w:bookmarkEnd w:id="319"/>
      <w:bookmarkEnd w:id="320"/>
      <w:bookmarkEnd w:id="321"/>
    </w:p>
    <w:p w14:paraId="2FAEE56F">
      <w:pPr>
        <w:rPr>
          <w:rFonts w:ascii="Times New Roman" w:hAnsi="Times New Roman" w:cs="Times New Roman"/>
          <w:color w:val="auto"/>
          <w:highlight w:val="none"/>
        </w:rPr>
      </w:pPr>
      <w:r>
        <w:rPr>
          <w:rFonts w:ascii="Times New Roman" w:hAnsi="Times New Roman" w:cs="Times New Roman"/>
          <w:color w:val="auto"/>
          <w:highlight w:val="none"/>
        </w:rPr>
        <w:t>本次POC的目的是通过现场系统搭建以及客户化的系统演示，使比选人进一步了解和考察各厂商的产品，评估各家厂商的产品是否满足业务和技术需求。通过对各家厂商咨询、产品及实施各方面的综合比较，帮助比选人选择一家既能满足业务需求，又在行业内领先、典型的系统供应商。</w:t>
      </w:r>
    </w:p>
    <w:p w14:paraId="166D55B2">
      <w:pPr>
        <w:rPr>
          <w:rFonts w:ascii="Times New Roman" w:hAnsi="Times New Roman" w:cs="Times New Roman"/>
          <w:color w:val="auto"/>
          <w:highlight w:val="none"/>
        </w:rPr>
      </w:pPr>
      <w:r>
        <w:rPr>
          <w:rFonts w:ascii="Times New Roman" w:hAnsi="Times New Roman" w:cs="Times New Roman"/>
          <w:color w:val="auto"/>
          <w:highlight w:val="none"/>
        </w:rPr>
        <w:t>通过本测试，应达到如下目的：</w:t>
      </w:r>
    </w:p>
    <w:p w14:paraId="1B1C175C">
      <w:pPr>
        <w:rPr>
          <w:rFonts w:ascii="Times New Roman" w:hAnsi="Times New Roman" w:cs="Times New Roman"/>
          <w:color w:val="auto"/>
          <w:highlight w:val="none"/>
        </w:rPr>
      </w:pPr>
      <w:r>
        <w:rPr>
          <w:rFonts w:ascii="Times New Roman" w:hAnsi="Times New Roman" w:cs="Times New Roman"/>
          <w:color w:val="auto"/>
          <w:highlight w:val="none"/>
        </w:rPr>
        <w:t>（1）考察系统技术体系及业务体系先进性及针对比选人业务和技术需求的适应性；</w:t>
      </w:r>
    </w:p>
    <w:p w14:paraId="6459C2D4">
      <w:pPr>
        <w:outlineLvl w:val="3"/>
        <w:rPr>
          <w:rFonts w:ascii="Times New Roman" w:hAnsi="Times New Roman" w:cs="Times New Roman"/>
          <w:color w:val="auto"/>
          <w:highlight w:val="none"/>
        </w:rPr>
      </w:pPr>
      <w:r>
        <w:rPr>
          <w:rFonts w:ascii="Times New Roman" w:hAnsi="Times New Roman" w:cs="Times New Roman"/>
          <w:color w:val="auto"/>
          <w:highlight w:val="none"/>
        </w:rPr>
        <w:t>（2）验证系统能否在信创基座上正常运行；</w:t>
      </w:r>
    </w:p>
    <w:p w14:paraId="3474EB06">
      <w:pPr>
        <w:rPr>
          <w:rFonts w:ascii="Times New Roman" w:hAnsi="Times New Roman" w:cs="Times New Roman"/>
          <w:color w:val="auto"/>
          <w:highlight w:val="none"/>
        </w:rPr>
      </w:pPr>
      <w:r>
        <w:rPr>
          <w:rFonts w:ascii="Times New Roman" w:hAnsi="Times New Roman" w:cs="Times New Roman"/>
          <w:color w:val="auto"/>
          <w:highlight w:val="none"/>
        </w:rPr>
        <w:t>（3）查看厂商对行方需求的理解能力和将其转换为可实际落地产品规划和完整可用产品设计的能力；</w:t>
      </w:r>
    </w:p>
    <w:p w14:paraId="01813AC2">
      <w:pPr>
        <w:rPr>
          <w:rFonts w:ascii="Times New Roman" w:hAnsi="Times New Roman" w:cs="Times New Roman"/>
          <w:color w:val="auto"/>
          <w:highlight w:val="none"/>
        </w:rPr>
      </w:pPr>
      <w:r>
        <w:rPr>
          <w:rFonts w:ascii="Times New Roman" w:hAnsi="Times New Roman" w:cs="Times New Roman"/>
          <w:color w:val="auto"/>
          <w:highlight w:val="none"/>
        </w:rPr>
        <w:t>（4）检验系统是否具有良好的可交互性；</w:t>
      </w:r>
    </w:p>
    <w:p w14:paraId="05C69C5C">
      <w:pPr>
        <w:rPr>
          <w:rFonts w:ascii="Times New Roman" w:hAnsi="Times New Roman" w:cs="Times New Roman"/>
          <w:color w:val="auto"/>
          <w:highlight w:val="none"/>
        </w:rPr>
      </w:pPr>
      <w:r>
        <w:rPr>
          <w:rFonts w:ascii="Times New Roman" w:hAnsi="Times New Roman" w:cs="Times New Roman"/>
          <w:color w:val="auto"/>
          <w:highlight w:val="none"/>
        </w:rPr>
        <w:t>（5）检验系统的可管理性、系统安全性、可扩展性、可维护性等。</w:t>
      </w:r>
    </w:p>
    <w:p w14:paraId="3FF97C04">
      <w:pPr>
        <w:outlineLvl w:val="2"/>
        <w:rPr>
          <w:rFonts w:ascii="Times New Roman" w:hAnsi="Times New Roman" w:cs="Times New Roman"/>
          <w:b/>
          <w:bCs/>
          <w:color w:val="auto"/>
          <w:szCs w:val="24"/>
          <w:highlight w:val="none"/>
        </w:rPr>
      </w:pPr>
      <w:bookmarkStart w:id="322" w:name="_Toc15084"/>
      <w:bookmarkStart w:id="323" w:name="_Toc22128"/>
      <w:bookmarkStart w:id="324" w:name="_Toc19966"/>
      <w:bookmarkStart w:id="325" w:name="_Toc29820"/>
      <w:r>
        <w:rPr>
          <w:rFonts w:ascii="Times New Roman" w:hAnsi="Times New Roman" w:cs="Times New Roman"/>
          <w:b/>
          <w:bCs/>
          <w:color w:val="auto"/>
          <w:szCs w:val="24"/>
          <w:highlight w:val="none"/>
        </w:rPr>
        <w:t>3.测试原则</w:t>
      </w:r>
      <w:bookmarkEnd w:id="322"/>
      <w:bookmarkEnd w:id="323"/>
      <w:bookmarkEnd w:id="324"/>
      <w:bookmarkEnd w:id="325"/>
    </w:p>
    <w:p w14:paraId="66D99CB8">
      <w:pPr>
        <w:rPr>
          <w:rFonts w:ascii="Times New Roman" w:hAnsi="Times New Roman" w:cs="Times New Roman"/>
          <w:color w:val="auto"/>
          <w:highlight w:val="none"/>
        </w:rPr>
      </w:pPr>
      <w:r>
        <w:rPr>
          <w:rFonts w:ascii="Times New Roman" w:hAnsi="Times New Roman" w:cs="Times New Roman"/>
          <w:color w:val="auto"/>
          <w:highlight w:val="none"/>
        </w:rPr>
        <w:t>本次POC测试工作的重点是在有限时间内测试参测厂商的民事案件管理系统。因此，进行系统概念验证工作时需贯彻以下的原则：</w:t>
      </w:r>
    </w:p>
    <w:p w14:paraId="4505F8BC">
      <w:pPr>
        <w:rPr>
          <w:rFonts w:ascii="Times New Roman" w:hAnsi="Times New Roman" w:cs="Times New Roman"/>
          <w:color w:val="auto"/>
          <w:highlight w:val="none"/>
        </w:rPr>
      </w:pPr>
      <w:r>
        <w:rPr>
          <w:rFonts w:ascii="Times New Roman" w:hAnsi="Times New Roman" w:cs="Times New Roman"/>
          <w:color w:val="auto"/>
          <w:highlight w:val="none"/>
        </w:rPr>
        <w:t>整个测试过程体现公平、公正、严密、严谨、严肃的原则。</w:t>
      </w:r>
    </w:p>
    <w:p w14:paraId="7526EC18">
      <w:pPr>
        <w:rPr>
          <w:rFonts w:ascii="Times New Roman" w:hAnsi="Times New Roman" w:cs="Times New Roman"/>
          <w:color w:val="auto"/>
          <w:highlight w:val="none"/>
        </w:rPr>
      </w:pPr>
      <w:r>
        <w:rPr>
          <w:rFonts w:ascii="Times New Roman" w:hAnsi="Times New Roman" w:cs="Times New Roman"/>
          <w:color w:val="auto"/>
          <w:highlight w:val="none"/>
        </w:rPr>
        <w:t>测试硬件环境一致性原则，各方测试使用相同的硬件配置。</w:t>
      </w:r>
    </w:p>
    <w:p w14:paraId="2B46687A">
      <w:pPr>
        <w:rPr>
          <w:rFonts w:ascii="Times New Roman" w:hAnsi="Times New Roman" w:cs="Times New Roman"/>
          <w:color w:val="auto"/>
          <w:highlight w:val="none"/>
        </w:rPr>
      </w:pPr>
      <w:r>
        <w:rPr>
          <w:rFonts w:ascii="Times New Roman" w:hAnsi="Times New Roman" w:cs="Times New Roman"/>
          <w:color w:val="auto"/>
          <w:highlight w:val="none"/>
        </w:rPr>
        <w:t>测试评价合理性原则，行方制定合理的测试评分流程与评分细项，以客观事实为依据、实事求是表达测试结果。</w:t>
      </w:r>
    </w:p>
    <w:p w14:paraId="6712150B">
      <w:pPr>
        <w:rPr>
          <w:rFonts w:ascii="Times New Roman" w:hAnsi="Times New Roman" w:cs="Times New Roman"/>
          <w:color w:val="auto"/>
          <w:highlight w:val="none"/>
        </w:rPr>
      </w:pPr>
      <w:r>
        <w:rPr>
          <w:rFonts w:ascii="Times New Roman" w:hAnsi="Times New Roman" w:cs="Times New Roman"/>
          <w:color w:val="auto"/>
          <w:highlight w:val="none"/>
        </w:rPr>
        <w:t>测试的内容需要涵盖本方案所涉及到的内容和功能点，而对于本方案中没有提及而测试厂商又认为非常重要的功能，可以在POC测试过程中进行适当的演示。</w:t>
      </w:r>
    </w:p>
    <w:p w14:paraId="0E1109EA">
      <w:pPr>
        <w:rPr>
          <w:rFonts w:ascii="Times New Roman" w:hAnsi="Times New Roman" w:cs="Times New Roman"/>
          <w:color w:val="auto"/>
          <w:highlight w:val="none"/>
        </w:rPr>
      </w:pPr>
      <w:r>
        <w:rPr>
          <w:rFonts w:ascii="Times New Roman" w:hAnsi="Times New Roman" w:cs="Times New Roman"/>
          <w:color w:val="auto"/>
          <w:highlight w:val="none"/>
        </w:rPr>
        <w:t>参测厂商应坚持客观、公平、公正的原则，严格遵守测试纪律，协同完成各项测试任务，并注意做好保密工作，未经比选人许可，任何人不得擅自披露有关的测试情况和数据。</w:t>
      </w:r>
    </w:p>
    <w:p w14:paraId="535239E0">
      <w:pPr>
        <w:outlineLvl w:val="3"/>
        <w:rPr>
          <w:rFonts w:ascii="Times New Roman" w:hAnsi="Times New Roman" w:cs="Times New Roman"/>
          <w:b/>
          <w:bCs/>
          <w:color w:val="auto"/>
          <w:szCs w:val="24"/>
          <w:highlight w:val="none"/>
        </w:rPr>
      </w:pPr>
      <w:r>
        <w:rPr>
          <w:rFonts w:ascii="Times New Roman" w:hAnsi="Times New Roman" w:cs="Times New Roman"/>
          <w:b/>
          <w:bCs/>
          <w:color w:val="auto"/>
          <w:szCs w:val="24"/>
          <w:highlight w:val="none"/>
        </w:rPr>
        <w:t>二、POC测试安排</w:t>
      </w:r>
    </w:p>
    <w:p w14:paraId="46C2918E">
      <w:pPr>
        <w:outlineLvl w:val="2"/>
        <w:rPr>
          <w:rFonts w:ascii="Times New Roman" w:hAnsi="Times New Roman" w:cs="Times New Roman"/>
          <w:b/>
          <w:bCs/>
          <w:color w:val="auto"/>
          <w:szCs w:val="24"/>
          <w:highlight w:val="none"/>
        </w:rPr>
      </w:pPr>
      <w:bookmarkStart w:id="326" w:name="_Toc18276"/>
      <w:bookmarkStart w:id="327" w:name="_Toc16081"/>
      <w:bookmarkStart w:id="328" w:name="_Toc30908"/>
      <w:r>
        <w:rPr>
          <w:rFonts w:ascii="Times New Roman" w:hAnsi="Times New Roman" w:cs="Times New Roman"/>
          <w:b/>
          <w:bCs/>
          <w:color w:val="auto"/>
          <w:szCs w:val="24"/>
          <w:highlight w:val="none"/>
        </w:rPr>
        <w:t>1.POC测试时间、地点、顺序</w:t>
      </w:r>
      <w:bookmarkEnd w:id="326"/>
      <w:bookmarkEnd w:id="327"/>
      <w:bookmarkEnd w:id="328"/>
    </w:p>
    <w:p w14:paraId="5E986D61">
      <w:pPr>
        <w:rPr>
          <w:rFonts w:ascii="Times New Roman" w:hAnsi="Times New Roman" w:cs="Times New Roman"/>
          <w:color w:val="auto"/>
          <w:highlight w:val="none"/>
        </w:rPr>
      </w:pPr>
      <w:r>
        <w:rPr>
          <w:rFonts w:ascii="Times New Roman" w:hAnsi="Times New Roman" w:cs="Times New Roman"/>
          <w:color w:val="auto"/>
          <w:highlight w:val="none"/>
        </w:rPr>
        <w:t>本次POC测试时间根据项目实际情况安排，在比选前完成，厂商根据安排分批次入场实施，在规定时间内完成相关POC测试案例内容。</w:t>
      </w:r>
    </w:p>
    <w:p w14:paraId="6470945D">
      <w:pPr>
        <w:outlineLvl w:val="3"/>
        <w:rPr>
          <w:rFonts w:ascii="Times New Roman" w:hAnsi="Times New Roman" w:cs="Times New Roman"/>
          <w:color w:val="auto"/>
          <w:highlight w:val="none"/>
        </w:rPr>
      </w:pPr>
      <w:r>
        <w:rPr>
          <w:rFonts w:ascii="Times New Roman" w:hAnsi="Times New Roman" w:cs="Times New Roman"/>
          <w:color w:val="auto"/>
          <w:highlight w:val="none"/>
        </w:rPr>
        <w:t>（1）时间</w:t>
      </w:r>
    </w:p>
    <w:p w14:paraId="000755E4">
      <w:pPr>
        <w:rPr>
          <w:rFonts w:ascii="Times New Roman" w:hAnsi="Times New Roman" w:cs="Times New Roman"/>
          <w:color w:val="auto"/>
          <w:highlight w:val="none"/>
        </w:rPr>
      </w:pPr>
      <w:r>
        <w:rPr>
          <w:rFonts w:ascii="Times New Roman" w:hAnsi="Times New Roman" w:cs="Times New Roman"/>
          <w:color w:val="auto"/>
          <w:highlight w:val="none"/>
        </w:rPr>
        <w:t>根据项目实际情况安排</w:t>
      </w:r>
    </w:p>
    <w:p w14:paraId="0317D55B">
      <w:pPr>
        <w:outlineLvl w:val="3"/>
        <w:rPr>
          <w:rFonts w:ascii="Times New Roman" w:hAnsi="Times New Roman" w:cs="Times New Roman"/>
          <w:color w:val="auto"/>
          <w:highlight w:val="none"/>
        </w:rPr>
      </w:pPr>
      <w:r>
        <w:rPr>
          <w:rFonts w:ascii="Times New Roman" w:hAnsi="Times New Roman" w:cs="Times New Roman"/>
          <w:color w:val="auto"/>
          <w:highlight w:val="none"/>
        </w:rPr>
        <w:t>（2）地点</w:t>
      </w:r>
    </w:p>
    <w:p w14:paraId="58EEFA56">
      <w:pPr>
        <w:rPr>
          <w:rFonts w:ascii="Times New Roman" w:hAnsi="Times New Roman" w:cs="Times New Roman"/>
          <w:color w:val="auto"/>
          <w:highlight w:val="none"/>
        </w:rPr>
      </w:pPr>
      <w:r>
        <w:rPr>
          <w:rFonts w:ascii="Times New Roman" w:hAnsi="Times New Roman" w:cs="Times New Roman"/>
          <w:color w:val="auto"/>
          <w:highlight w:val="none"/>
        </w:rPr>
        <w:t>重庆三峡银行西永办公楼</w:t>
      </w:r>
    </w:p>
    <w:p w14:paraId="03B6321C">
      <w:pPr>
        <w:rPr>
          <w:rFonts w:ascii="Times New Roman" w:hAnsi="Times New Roman" w:cs="Times New Roman"/>
          <w:color w:val="auto"/>
          <w:highlight w:val="none"/>
        </w:rPr>
      </w:pPr>
      <w:r>
        <w:rPr>
          <w:rFonts w:ascii="Times New Roman" w:hAnsi="Times New Roman" w:cs="Times New Roman"/>
          <w:color w:val="auto"/>
          <w:highlight w:val="none"/>
        </w:rPr>
        <w:t>（重庆市沙坪坝区学城大道67号西永软件园2号楼）</w:t>
      </w:r>
    </w:p>
    <w:p w14:paraId="50C20F33">
      <w:pPr>
        <w:outlineLvl w:val="2"/>
        <w:rPr>
          <w:rFonts w:ascii="Times New Roman" w:hAnsi="Times New Roman" w:cs="Times New Roman"/>
          <w:b/>
          <w:bCs/>
          <w:color w:val="auto"/>
          <w:szCs w:val="24"/>
          <w:highlight w:val="none"/>
        </w:rPr>
      </w:pPr>
      <w:bookmarkStart w:id="329" w:name="_Toc28738"/>
      <w:bookmarkStart w:id="330" w:name="_Toc27519"/>
      <w:bookmarkStart w:id="331" w:name="_Toc5103"/>
      <w:r>
        <w:rPr>
          <w:rFonts w:ascii="Times New Roman" w:hAnsi="Times New Roman" w:cs="Times New Roman"/>
          <w:b/>
          <w:bCs/>
          <w:color w:val="auto"/>
          <w:szCs w:val="24"/>
          <w:highlight w:val="none"/>
        </w:rPr>
        <w:t>2.POC测试计划</w:t>
      </w:r>
      <w:bookmarkEnd w:id="329"/>
      <w:bookmarkEnd w:id="330"/>
      <w:bookmarkEnd w:id="331"/>
    </w:p>
    <w:p w14:paraId="38DC77D4">
      <w:pPr>
        <w:rPr>
          <w:rFonts w:ascii="Times New Roman" w:hAnsi="Times New Roman" w:cs="Times New Roman"/>
          <w:color w:val="auto"/>
          <w:highlight w:val="none"/>
        </w:rPr>
      </w:pPr>
      <w:r>
        <w:rPr>
          <w:rFonts w:ascii="Times New Roman" w:hAnsi="Times New Roman" w:cs="Times New Roman"/>
          <w:color w:val="auto"/>
          <w:highlight w:val="none"/>
        </w:rPr>
        <w:t>POC测试实施阶段包括环境的搭建、现场开发；业务需求展示讲解，厂商与比选人业务、科技人员交流，以及根据POC测试案例进行测试评分。具体日程安排如下：</w:t>
      </w:r>
    </w:p>
    <w:tbl>
      <w:tblPr>
        <w:tblStyle w:val="24"/>
        <w:tblW w:w="82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912"/>
        <w:gridCol w:w="4772"/>
      </w:tblGrid>
      <w:tr w14:paraId="0A3A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1587"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63106C8A">
            <w:pPr>
              <w:widowControl/>
              <w:ind w:firstLine="0" w:firstLineChars="0"/>
              <w:jc w:val="center"/>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主要任务</w:t>
            </w:r>
          </w:p>
        </w:tc>
        <w:tc>
          <w:tcPr>
            <w:tcW w:w="1912"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7D5711B6">
            <w:pPr>
              <w:widowControl/>
              <w:ind w:firstLine="0" w:firstLineChars="0"/>
              <w:jc w:val="center"/>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人员</w:t>
            </w:r>
          </w:p>
        </w:tc>
        <w:tc>
          <w:tcPr>
            <w:tcW w:w="4772"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11ADCBF6">
            <w:pPr>
              <w:widowControl/>
              <w:ind w:firstLine="0" w:firstLineChars="0"/>
              <w:jc w:val="center"/>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备注</w:t>
            </w:r>
          </w:p>
        </w:tc>
      </w:tr>
      <w:tr w14:paraId="52DA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28C0">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POC测试准备</w:t>
            </w:r>
          </w:p>
        </w:tc>
        <w:tc>
          <w:tcPr>
            <w:tcW w:w="19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85A3E">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厂商</w:t>
            </w:r>
          </w:p>
        </w:tc>
        <w:tc>
          <w:tcPr>
            <w:tcW w:w="4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7B9BD">
            <w:pPr>
              <w:widowControl/>
              <w:ind w:firstLine="0" w:firstLineChars="0"/>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环境搭建、系统开发测试</w:t>
            </w:r>
          </w:p>
        </w:tc>
      </w:tr>
      <w:tr w14:paraId="533C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BFE35C">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POC测试检验</w:t>
            </w:r>
          </w:p>
        </w:tc>
        <w:tc>
          <w:tcPr>
            <w:tcW w:w="19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A90C16">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厂商、比选人业务、科技人员</w:t>
            </w:r>
          </w:p>
        </w:tc>
        <w:tc>
          <w:tcPr>
            <w:tcW w:w="4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AD508">
            <w:pPr>
              <w:widowControl/>
              <w:ind w:firstLine="0" w:firstLineChars="0"/>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1、业务需求展示讲解，业务、技术沟通交流</w:t>
            </w:r>
          </w:p>
        </w:tc>
      </w:tr>
      <w:tr w14:paraId="372D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87" w:type="dxa"/>
            <w:vMerge w:val="continue"/>
            <w:tcBorders>
              <w:top w:val="single" w:color="auto" w:sz="4" w:space="0"/>
              <w:left w:val="single" w:color="auto" w:sz="4" w:space="0"/>
              <w:bottom w:val="single" w:color="auto" w:sz="4" w:space="0"/>
              <w:right w:val="single" w:color="auto" w:sz="4" w:space="0"/>
            </w:tcBorders>
            <w:noWrap/>
            <w:vAlign w:val="center"/>
          </w:tcPr>
          <w:p w14:paraId="372891B0">
            <w:pPr>
              <w:rPr>
                <w:color w:val="auto"/>
                <w:highlight w:val="none"/>
              </w:rPr>
            </w:pPr>
          </w:p>
        </w:tc>
        <w:tc>
          <w:tcPr>
            <w:tcW w:w="1912" w:type="dxa"/>
            <w:vMerge w:val="continue"/>
            <w:tcBorders>
              <w:top w:val="single" w:color="auto" w:sz="4" w:space="0"/>
              <w:left w:val="single" w:color="auto" w:sz="4" w:space="0"/>
              <w:bottom w:val="single" w:color="auto" w:sz="4" w:space="0"/>
              <w:right w:val="single" w:color="auto" w:sz="4" w:space="0"/>
            </w:tcBorders>
            <w:noWrap/>
            <w:vAlign w:val="center"/>
          </w:tcPr>
          <w:p w14:paraId="5F61D0B4">
            <w:pPr>
              <w:rPr>
                <w:color w:val="auto"/>
                <w:highlight w:val="none"/>
              </w:rPr>
            </w:pPr>
          </w:p>
        </w:tc>
        <w:tc>
          <w:tcPr>
            <w:tcW w:w="4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7096F">
            <w:pPr>
              <w:widowControl/>
              <w:ind w:firstLine="0" w:firstLineChars="0"/>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2、业务与科技人员测试、评分</w:t>
            </w:r>
          </w:p>
        </w:tc>
      </w:tr>
    </w:tbl>
    <w:p w14:paraId="1E746E76">
      <w:pPr>
        <w:snapToGrid w:val="0"/>
        <w:spacing w:line="360" w:lineRule="auto"/>
        <w:rPr>
          <w:rFonts w:ascii="Times New Roman" w:hAnsi="Times New Roman" w:cs="宋体"/>
          <w:snapToGrid w:val="0"/>
          <w:color w:val="auto"/>
          <w:kern w:val="0"/>
          <w:szCs w:val="24"/>
          <w:highlight w:val="none"/>
        </w:rPr>
      </w:pPr>
      <w:r>
        <w:rPr>
          <w:rFonts w:ascii="Times New Roman" w:hAnsi="Times New Roman" w:cs="Times New Roman"/>
          <w:b/>
          <w:bCs/>
          <w:color w:val="auto"/>
          <w:szCs w:val="24"/>
          <w:highlight w:val="none"/>
        </w:rPr>
        <w:t>3.POC环境</w:t>
      </w:r>
    </w:p>
    <w:tbl>
      <w:tblPr>
        <w:tblStyle w:val="24"/>
        <w:tblW w:w="83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116"/>
        <w:gridCol w:w="5000"/>
        <w:gridCol w:w="984"/>
      </w:tblGrid>
      <w:tr w14:paraId="67EF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05"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55A6E6C4">
            <w:pPr>
              <w:widowControl/>
              <w:snapToGrid w:val="0"/>
              <w:ind w:firstLine="0" w:firstLineChars="0"/>
              <w:jc w:val="left"/>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服务器名</w:t>
            </w:r>
          </w:p>
        </w:tc>
        <w:tc>
          <w:tcPr>
            <w:tcW w:w="1116"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3FF666F9">
            <w:pPr>
              <w:widowControl/>
              <w:snapToGrid w:val="0"/>
              <w:ind w:firstLine="0" w:firstLineChars="0"/>
              <w:jc w:val="left"/>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用途</w:t>
            </w:r>
          </w:p>
        </w:tc>
        <w:tc>
          <w:tcPr>
            <w:tcW w:w="5000"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3D51EAA2">
            <w:pPr>
              <w:widowControl/>
              <w:snapToGrid w:val="0"/>
              <w:ind w:firstLine="0" w:firstLineChars="0"/>
              <w:jc w:val="left"/>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软硬件配置</w:t>
            </w:r>
          </w:p>
        </w:tc>
        <w:tc>
          <w:tcPr>
            <w:tcW w:w="984" w:type="dxa"/>
            <w:tcBorders>
              <w:top w:val="single" w:color="auto" w:sz="4" w:space="0"/>
              <w:left w:val="single" w:color="auto" w:sz="4" w:space="0"/>
              <w:bottom w:val="single" w:color="auto" w:sz="4" w:space="0"/>
              <w:right w:val="single" w:color="auto" w:sz="4" w:space="0"/>
            </w:tcBorders>
            <w:shd w:val="clear" w:color="auto" w:fill="9CC2E5"/>
            <w:noWrap/>
            <w:vAlign w:val="center"/>
          </w:tcPr>
          <w:p w14:paraId="650CFD6B">
            <w:pPr>
              <w:widowControl/>
              <w:snapToGrid w:val="0"/>
              <w:ind w:firstLine="0" w:firstLineChars="0"/>
              <w:jc w:val="left"/>
              <w:rPr>
                <w:rFonts w:ascii="Times New Roman" w:hAnsi="Times New Roman" w:cs="Times New Roman"/>
                <w:b/>
                <w:bCs/>
                <w:color w:val="auto"/>
                <w:kern w:val="0"/>
                <w:szCs w:val="24"/>
                <w:highlight w:val="none"/>
              </w:rPr>
            </w:pPr>
            <w:r>
              <w:rPr>
                <w:rFonts w:ascii="Times New Roman" w:hAnsi="Times New Roman" w:cs="Times New Roman"/>
                <w:b/>
                <w:bCs/>
                <w:color w:val="auto"/>
                <w:kern w:val="0"/>
                <w:szCs w:val="24"/>
                <w:highlight w:val="none"/>
              </w:rPr>
              <w:t>提供方</w:t>
            </w:r>
          </w:p>
        </w:tc>
      </w:tr>
      <w:tr w14:paraId="0474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28538">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应用服务器</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6FF76">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应用部署</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5C7F">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操作系统：银河麒麟V10</w:t>
            </w:r>
          </w:p>
          <w:p w14:paraId="367F74DC">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CPU：鲲鹏</w:t>
            </w:r>
          </w:p>
          <w:p w14:paraId="38BE876D">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中间件：东方通</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9501A">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比选人</w:t>
            </w:r>
          </w:p>
        </w:tc>
      </w:tr>
      <w:tr w14:paraId="366B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AA116">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数据库服务器</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B23FB">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数据库</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5A4A4">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操作系统：银河麒麟V10</w:t>
            </w:r>
          </w:p>
          <w:p w14:paraId="4FEA090A">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CPU：鲲鹏</w:t>
            </w:r>
          </w:p>
          <w:p w14:paraId="27096D73">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数据库：OceanBase4.2.1</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9AA47">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比选人</w:t>
            </w:r>
          </w:p>
        </w:tc>
      </w:tr>
      <w:tr w14:paraId="0430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66447">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测试PC</w:t>
            </w:r>
          </w:p>
        </w:tc>
        <w:tc>
          <w:tcPr>
            <w:tcW w:w="11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4CB40">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终端体验、测试</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535F2">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系统必须支持Windows全系桌面操作系统（即Win7/Win8/Win10/Win11）、统信桌面操作系统、麒麟桌面操作系统，支持谷歌、火狐、edge浏览器、支持统信、奇安信、360等国产浏览器使用</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8537D">
            <w:pPr>
              <w:widowControl/>
              <w:ind w:firstLine="0" w:firstLineChars="0"/>
              <w:jc w:val="center"/>
              <w:rPr>
                <w:rFonts w:ascii="Times New Roman" w:hAnsi="Times New Roman" w:cs="Times New Roman"/>
                <w:color w:val="auto"/>
                <w:kern w:val="0"/>
                <w:sz w:val="22"/>
                <w:highlight w:val="none"/>
              </w:rPr>
            </w:pPr>
            <w:r>
              <w:rPr>
                <w:rFonts w:ascii="Times New Roman" w:hAnsi="Times New Roman" w:cs="Times New Roman"/>
                <w:color w:val="auto"/>
                <w:kern w:val="0"/>
                <w:sz w:val="22"/>
                <w:highlight w:val="none"/>
              </w:rPr>
              <w:t>比选人</w:t>
            </w:r>
          </w:p>
        </w:tc>
      </w:tr>
    </w:tbl>
    <w:p w14:paraId="112FB286">
      <w:pPr>
        <w:pStyle w:val="39"/>
        <w:tabs>
          <w:tab w:val="left" w:pos="2770"/>
        </w:tabs>
        <w:rPr>
          <w:rFonts w:ascii="Times New Roman" w:hAnsi="Times New Roman" w:cs="Times New Roman"/>
          <w:b/>
          <w:bCs/>
          <w:color w:val="auto"/>
          <w:sz w:val="28"/>
          <w:szCs w:val="28"/>
          <w:highlight w:val="none"/>
        </w:rPr>
      </w:pPr>
      <w:r>
        <w:rPr>
          <w:rFonts w:ascii="Times New Roman" w:hAnsi="Times New Roman" w:cs="Times New Roman"/>
          <w:b/>
          <w:bCs/>
          <w:color w:val="auto"/>
          <w:szCs w:val="24"/>
          <w:highlight w:val="none"/>
        </w:rPr>
        <w:t>4.测试数据</w:t>
      </w:r>
    </w:p>
    <w:p w14:paraId="07599676">
      <w:pPr>
        <w:pStyle w:val="39"/>
        <w:adjustRightInd w:val="0"/>
        <w:snapToGrid w:val="0"/>
        <w:rPr>
          <w:rFonts w:ascii="Times New Roman" w:hAnsi="Times New Roman" w:cs="Times New Roman"/>
          <w:color w:val="auto"/>
          <w:szCs w:val="24"/>
          <w:highlight w:val="none"/>
        </w:rPr>
      </w:pPr>
      <w:r>
        <w:rPr>
          <w:rFonts w:ascii="Times New Roman" w:hAnsi="Times New Roman" w:cs="Times New Roman"/>
          <w:color w:val="auto"/>
          <w:szCs w:val="24"/>
          <w:highlight w:val="none"/>
        </w:rPr>
        <w:t>参测厂商除提供可运行的民事案件管理系统外，建议提供支撑全套业务流程开展所需的相关业务数据，以便充分演示。</w:t>
      </w:r>
    </w:p>
    <w:p w14:paraId="4C44E1ED">
      <w:pPr>
        <w:outlineLvl w:val="2"/>
        <w:rPr>
          <w:rFonts w:ascii="Times New Roman" w:hAnsi="Times New Roman" w:cs="Times New Roman"/>
          <w:b/>
          <w:bCs/>
          <w:color w:val="auto"/>
          <w:highlight w:val="none"/>
        </w:rPr>
      </w:pPr>
      <w:bookmarkStart w:id="332" w:name="_Toc2002"/>
      <w:bookmarkStart w:id="333" w:name="_Toc12965"/>
      <w:bookmarkStart w:id="334" w:name="_Toc3683"/>
      <w:bookmarkStart w:id="335" w:name="_Toc28144"/>
      <w:r>
        <w:rPr>
          <w:rFonts w:ascii="Times New Roman" w:hAnsi="Times New Roman" w:cs="Times New Roman"/>
          <w:b/>
          <w:bCs/>
          <w:color w:val="auto"/>
          <w:highlight w:val="none"/>
        </w:rPr>
        <w:t>5.数据安全与保密要求</w:t>
      </w:r>
      <w:bookmarkEnd w:id="332"/>
      <w:bookmarkEnd w:id="333"/>
      <w:bookmarkEnd w:id="334"/>
      <w:bookmarkEnd w:id="335"/>
    </w:p>
    <w:p w14:paraId="78B66EB6">
      <w:pPr>
        <w:snapToGrid w:val="0"/>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比选人的科技人员和参测厂商应达成共同的保密意识，明确测试数据只能用于本次POC，不得以任何形式（包括电子邮件、即时聊天工具、U盘和工作人员笔记本电脑等）将比选人相关信息、文件或数据泄露。在POC测试结束后由比选人监督将测试设备及测试人员工作设备(包括电脑、移动介质、网盘等)中的本次测试数据全部清除。</w:t>
      </w:r>
    </w:p>
    <w:tbl>
      <w:tblPr>
        <w:tblStyle w:val="24"/>
        <w:tblW w:w="87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6"/>
        <w:gridCol w:w="909"/>
        <w:gridCol w:w="740"/>
        <w:gridCol w:w="1207"/>
        <w:gridCol w:w="5311"/>
      </w:tblGrid>
      <w:tr w14:paraId="4966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596" w:type="dxa"/>
            <w:tcBorders>
              <w:top w:val="single" w:color="auto" w:sz="6" w:space="0"/>
              <w:left w:val="single" w:color="auto" w:sz="6" w:space="0"/>
              <w:bottom w:val="single" w:color="auto" w:sz="4" w:space="0"/>
              <w:right w:val="single" w:color="auto" w:sz="6" w:space="0"/>
              <w:tl2br w:val="nil"/>
              <w:tr2bl w:val="nil"/>
            </w:tcBorders>
            <w:shd w:val="clear" w:color="FFFFFF" w:fill="D8D8D8"/>
            <w:noWrap/>
            <w:vAlign w:val="center"/>
          </w:tcPr>
          <w:p w14:paraId="5B1F927F">
            <w:pPr>
              <w:ind w:firstLine="0" w:firstLineChars="0"/>
              <w:jc w:val="center"/>
              <w:rPr>
                <w:rFonts w:ascii="Times New Roman" w:hAnsi="Times New Roman" w:cs="Times New Roman"/>
                <w:b/>
                <w:color w:val="auto"/>
                <w:sz w:val="20"/>
                <w:highlight w:val="none"/>
              </w:rPr>
            </w:pPr>
            <w:r>
              <w:rPr>
                <w:rFonts w:ascii="Times New Roman" w:hAnsi="Times New Roman" w:cs="Times New Roman"/>
                <w:b/>
                <w:color w:val="auto"/>
                <w:sz w:val="20"/>
                <w:highlight w:val="none"/>
              </w:rPr>
              <w:t>序号</w:t>
            </w:r>
          </w:p>
        </w:tc>
        <w:tc>
          <w:tcPr>
            <w:tcW w:w="909" w:type="dxa"/>
            <w:tcBorders>
              <w:top w:val="single" w:color="auto" w:sz="6" w:space="0"/>
              <w:left w:val="single" w:color="auto" w:sz="6" w:space="0"/>
              <w:bottom w:val="single" w:color="auto" w:sz="4" w:space="0"/>
              <w:right w:val="single" w:color="auto" w:sz="6" w:space="0"/>
              <w:tl2br w:val="nil"/>
              <w:tr2bl w:val="nil"/>
            </w:tcBorders>
            <w:shd w:val="clear" w:color="FFFFFF" w:fill="D8D8D8"/>
            <w:noWrap/>
            <w:vAlign w:val="center"/>
          </w:tcPr>
          <w:p w14:paraId="6A4B30C6">
            <w:pPr>
              <w:ind w:firstLine="0" w:firstLineChars="0"/>
              <w:jc w:val="center"/>
              <w:rPr>
                <w:rFonts w:ascii="Times New Roman" w:hAnsi="Times New Roman" w:cs="Times New Roman"/>
                <w:b/>
                <w:color w:val="auto"/>
                <w:sz w:val="20"/>
                <w:highlight w:val="none"/>
              </w:rPr>
            </w:pPr>
            <w:r>
              <w:rPr>
                <w:rFonts w:ascii="Times New Roman" w:hAnsi="Times New Roman" w:cs="Times New Roman"/>
                <w:b/>
                <w:color w:val="auto"/>
                <w:sz w:val="20"/>
                <w:highlight w:val="none"/>
              </w:rPr>
              <w:t>测试类型</w:t>
            </w:r>
          </w:p>
        </w:tc>
        <w:tc>
          <w:tcPr>
            <w:tcW w:w="1947" w:type="dxa"/>
            <w:gridSpan w:val="2"/>
            <w:tcBorders>
              <w:top w:val="single" w:color="auto" w:sz="6" w:space="0"/>
              <w:left w:val="single" w:color="auto" w:sz="6" w:space="0"/>
              <w:bottom w:val="single" w:color="auto" w:sz="4" w:space="0"/>
              <w:right w:val="single" w:color="auto" w:sz="6" w:space="0"/>
              <w:tl2br w:val="nil"/>
              <w:tr2bl w:val="nil"/>
            </w:tcBorders>
            <w:shd w:val="clear" w:color="FFFFFF" w:fill="D8D8D8"/>
            <w:noWrap/>
            <w:vAlign w:val="center"/>
          </w:tcPr>
          <w:p w14:paraId="0CFC1FD1">
            <w:pPr>
              <w:ind w:firstLine="0" w:firstLineChars="0"/>
              <w:jc w:val="center"/>
              <w:rPr>
                <w:rFonts w:ascii="Times New Roman" w:hAnsi="Times New Roman" w:cs="Times New Roman"/>
                <w:b/>
                <w:color w:val="auto"/>
                <w:sz w:val="20"/>
                <w:highlight w:val="none"/>
              </w:rPr>
            </w:pPr>
            <w:r>
              <w:rPr>
                <w:rFonts w:ascii="Times New Roman" w:hAnsi="Times New Roman" w:cs="Times New Roman"/>
                <w:b/>
                <w:color w:val="auto"/>
                <w:sz w:val="20"/>
                <w:highlight w:val="none"/>
              </w:rPr>
              <w:t>POC模块</w:t>
            </w:r>
          </w:p>
        </w:tc>
        <w:tc>
          <w:tcPr>
            <w:tcW w:w="5311" w:type="dxa"/>
            <w:tcBorders>
              <w:top w:val="single" w:color="auto" w:sz="6" w:space="0"/>
              <w:left w:val="single" w:color="auto" w:sz="6" w:space="0"/>
              <w:bottom w:val="single" w:color="auto" w:sz="4" w:space="0"/>
              <w:right w:val="single" w:color="auto" w:sz="6" w:space="0"/>
              <w:tl2br w:val="nil"/>
              <w:tr2bl w:val="nil"/>
            </w:tcBorders>
            <w:shd w:val="clear" w:color="FFFFFF" w:fill="D8D8D8"/>
            <w:noWrap/>
            <w:vAlign w:val="center"/>
          </w:tcPr>
          <w:p w14:paraId="78E4FB8C">
            <w:pPr>
              <w:jc w:val="center"/>
              <w:rPr>
                <w:rFonts w:ascii="Times New Roman" w:hAnsi="Times New Roman" w:cs="Times New Roman"/>
                <w:b/>
                <w:color w:val="auto"/>
                <w:sz w:val="20"/>
                <w:highlight w:val="none"/>
              </w:rPr>
            </w:pPr>
            <w:r>
              <w:rPr>
                <w:rFonts w:ascii="Times New Roman" w:hAnsi="Times New Roman" w:cs="Times New Roman"/>
                <w:b/>
                <w:color w:val="auto"/>
                <w:sz w:val="20"/>
                <w:highlight w:val="none"/>
              </w:rPr>
              <w:t>考查点</w:t>
            </w:r>
          </w:p>
        </w:tc>
      </w:tr>
      <w:tr w14:paraId="055D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21EC5F97">
            <w:pPr>
              <w:ind w:firstLine="0" w:firstLineChars="0"/>
              <w:jc w:val="both"/>
              <w:rPr>
                <w:rFonts w:ascii="Times New Roman" w:hAnsi="Times New Roman" w:cs="Times New Roman"/>
                <w:color w:val="auto"/>
                <w:sz w:val="20"/>
                <w:highlight w:val="none"/>
              </w:rPr>
            </w:pPr>
            <w:r>
              <w:rPr>
                <w:rFonts w:hint="eastAsia" w:ascii="宋体" w:cs="Times New Roman"/>
                <w:color w:val="auto"/>
                <w:sz w:val="20"/>
                <w:highlight w:val="none"/>
              </w:rPr>
              <w:t>★</w:t>
            </w:r>
            <w:r>
              <w:rPr>
                <w:rFonts w:ascii="Times New Roman" w:hAnsi="Times New Roman" w:cs="Times New Roman"/>
                <w:color w:val="auto"/>
                <w:sz w:val="20"/>
                <w:highlight w:val="none"/>
              </w:rPr>
              <w:t>1</w:t>
            </w:r>
          </w:p>
        </w:tc>
        <w:tc>
          <w:tcPr>
            <w:tcW w:w="909" w:type="dxa"/>
            <w:vMerge w:val="restart"/>
            <w:tcBorders>
              <w:top w:val="single" w:color="auto" w:sz="4" w:space="0"/>
              <w:left w:val="single" w:color="auto" w:sz="4" w:space="0"/>
              <w:right w:val="single" w:color="auto" w:sz="4" w:space="0"/>
              <w:tl2br w:val="nil"/>
              <w:tr2bl w:val="nil"/>
            </w:tcBorders>
            <w:shd w:val="clear" w:color="FFFFFF" w:fill="FFFFFF"/>
            <w:noWrap/>
            <w:vAlign w:val="center"/>
          </w:tcPr>
          <w:p w14:paraId="602362EE">
            <w:pPr>
              <w:ind w:firstLine="0" w:firstLineChars="0"/>
              <w:jc w:val="both"/>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系统建设（业务测试）</w:t>
            </w:r>
          </w:p>
        </w:tc>
        <w:tc>
          <w:tcPr>
            <w:tcW w:w="740" w:type="dxa"/>
            <w:vMerge w:val="restart"/>
            <w:tcBorders>
              <w:top w:val="single" w:color="auto" w:sz="4" w:space="0"/>
              <w:left w:val="single" w:color="auto" w:sz="4" w:space="0"/>
              <w:right w:val="single" w:color="auto" w:sz="4" w:space="0"/>
              <w:tl2br w:val="nil"/>
              <w:tr2bl w:val="nil"/>
            </w:tcBorders>
            <w:shd w:val="clear" w:color="FFFFFF" w:fill="FFFFFF"/>
            <w:noWrap/>
            <w:vAlign w:val="center"/>
          </w:tcPr>
          <w:p w14:paraId="45DDCEDA">
            <w:pPr>
              <w:ind w:firstLine="0" w:firstLineChars="0"/>
              <w:jc w:val="both"/>
              <w:rPr>
                <w:rFonts w:ascii="Times New Roman" w:hAnsi="Times New Roman" w:cs="Times New Roman"/>
                <w:b/>
                <w:color w:val="auto"/>
                <w:sz w:val="20"/>
                <w:highlight w:val="none"/>
              </w:rPr>
            </w:pPr>
            <w:r>
              <w:rPr>
                <w:rFonts w:hint="eastAsia" w:ascii="Times New Roman" w:hAnsi="Times New Roman" w:cs="Times New Roman"/>
                <w:b/>
                <w:color w:val="auto"/>
                <w:sz w:val="20"/>
                <w:highlight w:val="none"/>
              </w:rPr>
              <w:t>案件审查审批</w:t>
            </w: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72E29A3D">
            <w:pPr>
              <w:ind w:firstLine="0" w:firstLineChars="0"/>
              <w:jc w:val="both"/>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新增案件审批</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601C914E">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有新增案件提交、审查、审批等完整、便捷的</w:t>
            </w:r>
            <w:r>
              <w:rPr>
                <w:rFonts w:hint="eastAsia" w:ascii="Times New Roman" w:hAnsi="Times New Roman" w:cs="Times New Roman"/>
                <w:color w:val="auto"/>
                <w:sz w:val="20"/>
                <w:highlight w:val="none"/>
              </w:rPr>
              <w:t>流程，</w:t>
            </w:r>
            <w:r>
              <w:rPr>
                <w:rFonts w:hint="eastAsia" w:ascii="Times New Roman" w:hAnsi="Times New Roman" w:cs="Times New Roman"/>
                <w:color w:val="auto"/>
                <w:sz w:val="20"/>
                <w:highlight w:val="none"/>
                <w:lang w:val="en-US" w:eastAsia="zh-Hans"/>
              </w:rPr>
              <w:t>包括对案件基本信息、所涉业务基本信息、维权方案、代理方案等相关内容的审查审批</w:t>
            </w:r>
            <w:r>
              <w:rPr>
                <w:rFonts w:hint="eastAsia" w:ascii="Times New Roman" w:hAnsi="Times New Roman" w:cs="Times New Roman"/>
                <w:color w:val="auto"/>
                <w:sz w:val="20"/>
                <w:highlight w:val="none"/>
              </w:rPr>
              <w:t>。</w:t>
            </w:r>
          </w:p>
        </w:tc>
      </w:tr>
      <w:tr w14:paraId="7E15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2673390B">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2</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193FE3E6">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0A915453">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55FA6DBA">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案件变更审批</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64B7B2A8">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有案件变更提交、审查、审批等完整、便捷的</w:t>
            </w:r>
            <w:r>
              <w:rPr>
                <w:rFonts w:hint="eastAsia" w:ascii="Times New Roman" w:hAnsi="Times New Roman" w:cs="Times New Roman"/>
                <w:color w:val="auto"/>
                <w:sz w:val="20"/>
                <w:highlight w:val="none"/>
              </w:rPr>
              <w:t>流程，</w:t>
            </w:r>
            <w:r>
              <w:rPr>
                <w:rFonts w:hint="eastAsia" w:ascii="Times New Roman" w:hAnsi="Times New Roman" w:cs="Times New Roman"/>
                <w:color w:val="auto"/>
                <w:sz w:val="20"/>
                <w:highlight w:val="none"/>
                <w:lang w:val="en-US" w:eastAsia="zh-Hans"/>
              </w:rPr>
              <w:t>包括对案件基本信息、所涉业务基本信息、维权方案、代理方案等变更事项的审查审批</w:t>
            </w:r>
            <w:r>
              <w:rPr>
                <w:rFonts w:hint="eastAsia" w:ascii="Times New Roman" w:hAnsi="Times New Roman" w:cs="Times New Roman"/>
                <w:color w:val="auto"/>
                <w:sz w:val="20"/>
                <w:highlight w:val="none"/>
              </w:rPr>
              <w:t>。</w:t>
            </w:r>
          </w:p>
        </w:tc>
      </w:tr>
      <w:tr w14:paraId="55B0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AD3A51C">
            <w:pPr>
              <w:ind w:firstLine="0" w:firstLineChars="0"/>
              <w:rPr>
                <w:rFonts w:hint="default" w:ascii="宋体" w:cs="Times New Roman"/>
                <w:color w:val="auto"/>
                <w:sz w:val="20"/>
                <w:highlight w:val="none"/>
              </w:rPr>
            </w:pPr>
            <w:r>
              <w:rPr>
                <w:rFonts w:hint="default" w:ascii="宋体" w:cs="Times New Roman"/>
                <w:color w:val="auto"/>
                <w:sz w:val="20"/>
                <w:highlight w:val="none"/>
              </w:rPr>
              <w:t>3</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374E38F0">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2A65CF25">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1136245">
            <w:pPr>
              <w:ind w:firstLine="0" w:firstLineChars="0"/>
              <w:rPr>
                <w:rFonts w:hint="default" w:ascii="Times New Roman" w:hAnsi="Times New Roman"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案件推送发起</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14CF99B">
            <w:pPr>
              <w:rPr>
                <w:rFonts w:hint="default" w:ascii="Times New Roman" w:hAnsi="Times New Roman" w:cs="Times New Roman"/>
                <w:color w:val="auto"/>
                <w:sz w:val="20"/>
                <w:highlight w:val="none"/>
                <w:lang w:val="en-US" w:eastAsia="zh-Hans"/>
              </w:rPr>
            </w:pPr>
            <w:r>
              <w:rPr>
                <w:rFonts w:hint="eastAsia" w:ascii="Times New Roman" w:hAnsi="Times New Roman" w:cs="Times New Roman"/>
                <w:color w:val="auto"/>
                <w:sz w:val="20"/>
                <w:highlight w:val="none"/>
                <w:lang w:val="en-US" w:eastAsia="zh-Hans"/>
              </w:rPr>
              <w:t>案件审批可由人工发起并录入相关信息，信贷资产类案件可通过筛选条件由系统自动推送发起并导入业务相关信息。</w:t>
            </w:r>
          </w:p>
        </w:tc>
      </w:tr>
      <w:tr w14:paraId="6C6E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20745809">
            <w:pPr>
              <w:ind w:firstLine="0" w:firstLineChars="0"/>
              <w:rPr>
                <w:rFonts w:hint="default" w:ascii="宋体" w:cs="Times New Roman"/>
                <w:color w:val="auto"/>
                <w:sz w:val="20"/>
                <w:highlight w:val="none"/>
              </w:rPr>
            </w:pPr>
            <w:r>
              <w:rPr>
                <w:rFonts w:hint="default" w:ascii="宋体" w:cs="Times New Roman"/>
                <w:color w:val="auto"/>
                <w:sz w:val="20"/>
                <w:highlight w:val="none"/>
              </w:rPr>
              <w:t>4</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217BC870">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306753AD">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75F1744">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流程提醒及进度查看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6AECA4BE">
            <w:pPr>
              <w:rPr>
                <w:rFonts w:hint="eastAsia" w:ascii="Times New Roman" w:hAnsi="Times New Roman" w:eastAsia="宋体" w:cs="Times New Roman"/>
                <w:color w:val="auto"/>
                <w:sz w:val="20"/>
                <w:highlight w:val="none"/>
                <w:lang w:val="en-US" w:eastAsia="zh-Hans"/>
              </w:rPr>
            </w:pPr>
            <w:r>
              <w:rPr>
                <w:rFonts w:hint="eastAsia" w:ascii="Times New Roman" w:hAnsi="Times New Roman" w:cs="Times New Roman"/>
                <w:color w:val="auto"/>
                <w:sz w:val="20"/>
                <w:highlight w:val="none"/>
              </w:rPr>
              <w:t>案件审批流程实时/定期提醒（如系统消息、短信等提醒）</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rPr>
              <w:t>支持审查流程节点进展查看。</w:t>
            </w:r>
          </w:p>
        </w:tc>
      </w:tr>
      <w:tr w14:paraId="1CB8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80AA2B4">
            <w:pPr>
              <w:ind w:firstLine="0" w:firstLineChars="0"/>
              <w:rPr>
                <w:rFonts w:hint="default" w:ascii="宋体" w:cs="Times New Roman"/>
                <w:color w:val="auto"/>
                <w:sz w:val="20"/>
                <w:highlight w:val="none"/>
              </w:rPr>
            </w:pPr>
            <w:r>
              <w:rPr>
                <w:rFonts w:hint="default" w:ascii="宋体" w:cs="Times New Roman"/>
                <w:color w:val="auto"/>
                <w:sz w:val="20"/>
                <w:highlight w:val="none"/>
              </w:rPr>
              <w:t>5</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5C61182B">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17333CB1">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64A0F6ED">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审批表单</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12107834">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案件审查审批</w:t>
            </w:r>
            <w:r>
              <w:rPr>
                <w:rFonts w:hint="eastAsia" w:ascii="Times New Roman" w:hAnsi="Times New Roman" w:cs="Times New Roman"/>
                <w:color w:val="auto"/>
                <w:sz w:val="20"/>
                <w:highlight w:val="none"/>
              </w:rPr>
              <w:t>流程完结后生成表单并自动编号存档，支持表单</w:t>
            </w:r>
            <w:r>
              <w:rPr>
                <w:rFonts w:hint="eastAsia" w:ascii="Times New Roman" w:hAnsi="Times New Roman" w:cs="Times New Roman"/>
                <w:color w:val="auto"/>
                <w:sz w:val="20"/>
                <w:highlight w:val="none"/>
                <w:lang w:val="en-US" w:eastAsia="zh-Hans"/>
              </w:rPr>
              <w:t>查看及</w:t>
            </w:r>
            <w:r>
              <w:rPr>
                <w:rFonts w:hint="eastAsia" w:ascii="Times New Roman" w:hAnsi="Times New Roman" w:cs="Times New Roman"/>
                <w:color w:val="auto"/>
                <w:sz w:val="20"/>
                <w:highlight w:val="none"/>
              </w:rPr>
              <w:t>导出。</w:t>
            </w:r>
          </w:p>
        </w:tc>
      </w:tr>
      <w:tr w14:paraId="088B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B85ACA0">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6</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24B2FEA4">
            <w:pPr>
              <w:ind w:firstLine="0" w:firstLineChars="0"/>
              <w:rPr>
                <w:rFonts w:ascii="Times New Roman" w:hAnsi="Times New Roman" w:cs="Times New Roman"/>
                <w:b/>
                <w:color w:val="auto"/>
                <w:sz w:val="20"/>
                <w:highlight w:val="none"/>
              </w:rPr>
            </w:pPr>
          </w:p>
        </w:tc>
        <w:tc>
          <w:tcPr>
            <w:tcW w:w="740" w:type="dxa"/>
            <w:vMerge w:val="restart"/>
            <w:tcBorders>
              <w:top w:val="single" w:color="auto" w:sz="4" w:space="0"/>
              <w:left w:val="single" w:color="auto" w:sz="4" w:space="0"/>
              <w:right w:val="single" w:color="auto" w:sz="4" w:space="0"/>
              <w:tl2br w:val="nil"/>
              <w:tr2bl w:val="nil"/>
            </w:tcBorders>
            <w:shd w:val="clear" w:color="FFFFFF" w:fill="FFFFFF"/>
            <w:noWrap/>
            <w:vAlign w:val="center"/>
          </w:tcPr>
          <w:p w14:paraId="2FE61C85">
            <w:pPr>
              <w:ind w:firstLine="0" w:firstLineChars="0"/>
              <w:rPr>
                <w:rFonts w:ascii="Times New Roman" w:hAnsi="Times New Roman" w:cs="Times New Roman"/>
                <w:b/>
                <w:color w:val="auto"/>
                <w:sz w:val="20"/>
                <w:highlight w:val="none"/>
              </w:rPr>
            </w:pPr>
            <w:r>
              <w:rPr>
                <w:rFonts w:hint="eastAsia" w:ascii="Times New Roman" w:hAnsi="Times New Roman" w:cs="Times New Roman"/>
                <w:b/>
                <w:color w:val="auto"/>
                <w:sz w:val="20"/>
                <w:highlight w:val="none"/>
              </w:rPr>
              <w:t>案件进展跟踪监测</w:t>
            </w: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5D99EA4">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案件跟踪</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DEAD98D">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支持</w:t>
            </w:r>
            <w:r>
              <w:rPr>
                <w:rFonts w:hint="eastAsia" w:ascii="Times New Roman" w:hAnsi="Times New Roman" w:cs="Times New Roman"/>
                <w:color w:val="auto"/>
                <w:sz w:val="20"/>
                <w:highlight w:val="none"/>
              </w:rPr>
              <w:t>自</w:t>
            </w:r>
            <w:r>
              <w:rPr>
                <w:rFonts w:hint="eastAsia" w:ascii="Times New Roman" w:hAnsi="Times New Roman" w:cs="Times New Roman"/>
                <w:color w:val="auto"/>
                <w:sz w:val="20"/>
                <w:highlight w:val="none"/>
                <w:lang w:val="en-US" w:eastAsia="zh-Hans"/>
              </w:rPr>
              <w:t>案件发</w:t>
            </w:r>
            <w:r>
              <w:rPr>
                <w:rFonts w:hint="eastAsia" w:ascii="Times New Roman" w:hAnsi="Times New Roman" w:cs="Times New Roman"/>
                <w:color w:val="auto"/>
                <w:sz w:val="20"/>
                <w:highlight w:val="none"/>
              </w:rPr>
              <w:t>起至案件终结的</w:t>
            </w:r>
            <w:r>
              <w:rPr>
                <w:rFonts w:hint="eastAsia" w:ascii="Times New Roman" w:hAnsi="Times New Roman" w:cs="Times New Roman"/>
                <w:color w:val="auto"/>
                <w:sz w:val="20"/>
                <w:highlight w:val="none"/>
                <w:lang w:val="en-US" w:eastAsia="zh-Hans"/>
              </w:rPr>
              <w:t>案件</w:t>
            </w:r>
            <w:r>
              <w:rPr>
                <w:rFonts w:hint="eastAsia" w:ascii="Times New Roman" w:hAnsi="Times New Roman" w:cs="Times New Roman"/>
                <w:color w:val="auto"/>
                <w:sz w:val="20"/>
                <w:highlight w:val="none"/>
              </w:rPr>
              <w:t>“全生命周期”管理</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包含</w:t>
            </w:r>
            <w:r>
              <w:rPr>
                <w:rFonts w:hint="eastAsia" w:ascii="Times New Roman" w:hAnsi="Times New Roman" w:cs="Times New Roman"/>
                <w:color w:val="auto"/>
                <w:sz w:val="20"/>
                <w:highlight w:val="none"/>
              </w:rPr>
              <w:t>案件一审/二审/再审/仲裁/执行/特别程序等</w:t>
            </w:r>
            <w:r>
              <w:rPr>
                <w:rFonts w:hint="eastAsia" w:ascii="Times New Roman" w:hAnsi="Times New Roman" w:cs="Times New Roman"/>
                <w:color w:val="auto"/>
                <w:sz w:val="20"/>
                <w:highlight w:val="none"/>
                <w:lang w:val="en-US" w:eastAsia="zh-Hans"/>
              </w:rPr>
              <w:t>各个阶段的全流程（如：申请、立案、庭审、裁决、评估、拍卖等）跟踪管理</w:t>
            </w:r>
            <w:r>
              <w:rPr>
                <w:rFonts w:hint="eastAsia" w:ascii="Times New Roman" w:hAnsi="Times New Roman" w:cs="Times New Roman"/>
                <w:color w:val="auto"/>
                <w:sz w:val="20"/>
                <w:highlight w:val="none"/>
              </w:rPr>
              <w:t>。</w:t>
            </w:r>
          </w:p>
        </w:tc>
      </w:tr>
      <w:tr w14:paraId="5808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1807B623">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7</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06A8FFE5">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30F150ED">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596927EA">
            <w:pPr>
              <w:ind w:firstLine="0" w:firstLineChars="0"/>
              <w:rPr>
                <w:rFonts w:hint="default" w:ascii="Times New Roman" w:hAnsi="Times New Roman"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督办提醒</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9ADFE41">
            <w:pPr>
              <w:rPr>
                <w:rFonts w:hint="eastAsia" w:ascii="Times New Roman" w:hAnsi="Times New Roman" w:cs="Times New Roman"/>
                <w:color w:val="auto"/>
                <w:sz w:val="20"/>
                <w:highlight w:val="none"/>
              </w:rPr>
            </w:pPr>
            <w:r>
              <w:rPr>
                <w:rFonts w:hint="eastAsia" w:ascii="Times New Roman" w:hAnsi="Times New Roman" w:cs="Times New Roman"/>
                <w:color w:val="auto"/>
                <w:sz w:val="20"/>
                <w:highlight w:val="none"/>
              </w:rPr>
              <w:t>案件</w:t>
            </w:r>
            <w:r>
              <w:rPr>
                <w:rFonts w:hint="eastAsia" w:ascii="Times New Roman" w:hAnsi="Times New Roman" w:cs="Times New Roman"/>
                <w:color w:val="auto"/>
                <w:sz w:val="20"/>
                <w:highlight w:val="none"/>
                <w:lang w:val="en-US" w:eastAsia="zh-Hans"/>
              </w:rPr>
              <w:t>督办</w:t>
            </w:r>
            <w:r>
              <w:rPr>
                <w:rFonts w:hint="eastAsia" w:ascii="Times New Roman" w:hAnsi="Times New Roman" w:cs="Times New Roman"/>
                <w:color w:val="auto"/>
                <w:sz w:val="20"/>
                <w:highlight w:val="none"/>
              </w:rPr>
              <w:t>提醒（如系统消息、短信等提醒）。</w:t>
            </w:r>
            <w:r>
              <w:rPr>
                <w:rFonts w:hint="eastAsia" w:ascii="Times New Roman" w:hAnsi="Times New Roman" w:cs="Times New Roman"/>
                <w:color w:val="auto"/>
                <w:sz w:val="20"/>
                <w:highlight w:val="none"/>
                <w:lang w:val="en-US" w:eastAsia="zh-Hans"/>
              </w:rPr>
              <w:t>包括按月、季、半年等定期，及</w:t>
            </w:r>
            <w:r>
              <w:rPr>
                <w:rFonts w:hint="eastAsia" w:ascii="Times New Roman" w:hAnsi="Times New Roman" w:cs="Times New Roman"/>
                <w:color w:val="auto"/>
                <w:sz w:val="20"/>
                <w:highlight w:val="none"/>
              </w:rPr>
              <w:t>根据配置的审理期限、执行期限、保全期限等，提醒</w:t>
            </w:r>
            <w:r>
              <w:rPr>
                <w:rFonts w:hint="eastAsia" w:ascii="Times New Roman" w:hAnsi="Times New Roman" w:cs="Times New Roman"/>
                <w:color w:val="auto"/>
                <w:sz w:val="20"/>
                <w:highlight w:val="none"/>
                <w:lang w:val="en-US" w:eastAsia="zh-Hans"/>
              </w:rPr>
              <w:t>相关人员</w:t>
            </w:r>
            <w:r>
              <w:rPr>
                <w:rFonts w:hint="eastAsia" w:ascii="Times New Roman" w:hAnsi="Times New Roman" w:cs="Times New Roman"/>
                <w:color w:val="auto"/>
                <w:sz w:val="20"/>
                <w:highlight w:val="none"/>
              </w:rPr>
              <w:t>及时推进案件并更新</w:t>
            </w:r>
            <w:r>
              <w:rPr>
                <w:rFonts w:hint="eastAsia" w:ascii="Times New Roman" w:hAnsi="Times New Roman" w:cs="Times New Roman"/>
                <w:color w:val="auto"/>
                <w:sz w:val="20"/>
                <w:highlight w:val="none"/>
                <w:lang w:val="en-US" w:eastAsia="zh-Hans"/>
              </w:rPr>
              <w:t>案件进展</w:t>
            </w:r>
            <w:r>
              <w:rPr>
                <w:rFonts w:hint="eastAsia" w:ascii="Times New Roman" w:hAnsi="Times New Roman" w:cs="Times New Roman"/>
                <w:color w:val="auto"/>
                <w:sz w:val="20"/>
                <w:highlight w:val="none"/>
              </w:rPr>
              <w:t>信息。</w:t>
            </w:r>
          </w:p>
        </w:tc>
      </w:tr>
      <w:tr w14:paraId="68EA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5AA0E8D6">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8</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2A58FFED">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05985685">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F98E657">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进展管理</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2F36DBB3">
            <w:pPr>
              <w:rPr>
                <w:rFonts w:hint="default" w:ascii="Times New Roman" w:hAnsi="Times New Roman" w:eastAsia="宋体" w:cs="Times New Roman"/>
                <w:color w:val="auto"/>
                <w:sz w:val="20"/>
                <w:highlight w:val="none"/>
                <w:lang w:val="en-US" w:eastAsia="zh-Hans"/>
              </w:rPr>
            </w:pPr>
            <w:r>
              <w:rPr>
                <w:rFonts w:hint="eastAsia" w:ascii="Times New Roman" w:hAnsi="Times New Roman" w:cs="Times New Roman"/>
                <w:color w:val="auto"/>
                <w:sz w:val="20"/>
                <w:highlight w:val="none"/>
                <w:lang w:val="en-US" w:eastAsia="zh-Hans"/>
              </w:rPr>
              <w:t>相关人员可</w:t>
            </w:r>
            <w:r>
              <w:rPr>
                <w:rFonts w:hint="eastAsia" w:ascii="Times New Roman" w:hAnsi="Times New Roman" w:cs="Times New Roman"/>
                <w:color w:val="auto"/>
                <w:sz w:val="20"/>
                <w:highlight w:val="none"/>
              </w:rPr>
              <w:t>人工录入案件</w:t>
            </w:r>
            <w:r>
              <w:rPr>
                <w:rFonts w:hint="eastAsia" w:ascii="Times New Roman" w:hAnsi="Times New Roman" w:cs="Times New Roman"/>
                <w:color w:val="auto"/>
                <w:sz w:val="20"/>
                <w:highlight w:val="none"/>
                <w:lang w:val="en-US" w:eastAsia="zh-Hans"/>
              </w:rPr>
              <w:t>进展</w:t>
            </w:r>
            <w:r>
              <w:rPr>
                <w:rFonts w:hint="eastAsia" w:ascii="Times New Roman" w:hAnsi="Times New Roman" w:cs="Times New Roman"/>
                <w:color w:val="auto"/>
                <w:sz w:val="20"/>
                <w:highlight w:val="none"/>
              </w:rPr>
              <w:t>信息，</w:t>
            </w:r>
            <w:r>
              <w:rPr>
                <w:rFonts w:hint="eastAsia" w:ascii="Times New Roman" w:hAnsi="Times New Roman" w:cs="Times New Roman"/>
                <w:color w:val="auto"/>
                <w:sz w:val="20"/>
                <w:highlight w:val="none"/>
                <w:lang w:val="en-US" w:eastAsia="zh-Hans"/>
              </w:rPr>
              <w:t>系统可</w:t>
            </w:r>
            <w:r>
              <w:rPr>
                <w:rFonts w:hint="eastAsia" w:ascii="Times New Roman" w:hAnsi="Times New Roman" w:cs="Times New Roman"/>
                <w:color w:val="auto"/>
                <w:sz w:val="20"/>
                <w:highlight w:val="none"/>
              </w:rPr>
              <w:t>自动识别、填充立案受理通知书、开庭通知书、判决/裁决书等法律文书中的案件要素信息</w:t>
            </w:r>
            <w:r>
              <w:rPr>
                <w:rFonts w:hint="eastAsia" w:cs="Times New Roman"/>
                <w:color w:val="auto"/>
                <w:sz w:val="20"/>
                <w:highlight w:val="none"/>
                <w:lang w:eastAsia="zh-Hans"/>
              </w:rPr>
              <w:t>，</w:t>
            </w:r>
            <w:r>
              <w:rPr>
                <w:rFonts w:hint="eastAsia" w:cs="Times New Roman"/>
                <w:color w:val="auto"/>
                <w:sz w:val="20"/>
                <w:highlight w:val="none"/>
                <w:lang w:val="en-US" w:eastAsia="zh-Hans"/>
              </w:rPr>
              <w:t>支持接入</w:t>
            </w:r>
            <w:r>
              <w:rPr>
                <w:rFonts w:hint="eastAsia" w:cs="Times New Roman"/>
                <w:color w:val="auto"/>
                <w:sz w:val="20"/>
                <w:highlight w:val="none"/>
                <w:lang w:val="en-US" w:eastAsia="zh-CN"/>
              </w:rPr>
              <w:t>我行</w:t>
            </w:r>
            <w:r>
              <w:rPr>
                <w:rFonts w:hint="eastAsia" w:cs="Times New Roman"/>
                <w:color w:val="auto"/>
                <w:sz w:val="20"/>
                <w:highlight w:val="none"/>
                <w:lang w:val="en-US" w:eastAsia="zh-Hans"/>
              </w:rPr>
              <w:t>外部司法数据，并自动填充、更新案件进展信息</w:t>
            </w:r>
            <w:r>
              <w:rPr>
                <w:rFonts w:hint="eastAsia" w:ascii="Times New Roman" w:hAnsi="Times New Roman" w:cs="Times New Roman"/>
                <w:color w:val="auto"/>
                <w:sz w:val="20"/>
                <w:highlight w:val="none"/>
              </w:rPr>
              <w:t>。</w:t>
            </w:r>
          </w:p>
        </w:tc>
      </w:tr>
      <w:tr w14:paraId="59AD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17AA6D95">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9</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138B9331">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689EFED4">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28B487C">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进展上报</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7F636C60">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有案件进展信息更新上报、审核的完整流程，</w:t>
            </w:r>
            <w:r>
              <w:rPr>
                <w:rFonts w:hint="eastAsia" w:ascii="Times New Roman" w:hAnsi="Times New Roman" w:cs="Times New Roman"/>
                <w:color w:val="auto"/>
                <w:sz w:val="20"/>
                <w:highlight w:val="none"/>
              </w:rPr>
              <w:t>支持单笔/批量</w:t>
            </w:r>
            <w:r>
              <w:rPr>
                <w:rFonts w:hint="eastAsia" w:ascii="Times New Roman" w:hAnsi="Times New Roman" w:cs="Times New Roman"/>
                <w:color w:val="auto"/>
                <w:sz w:val="20"/>
                <w:highlight w:val="none"/>
                <w:lang w:val="en-US" w:eastAsia="zh-Hans"/>
              </w:rPr>
              <w:t>上报、审核。支持审核</w:t>
            </w:r>
            <w:r>
              <w:rPr>
                <w:rFonts w:hint="eastAsia" w:ascii="Times New Roman" w:hAnsi="Times New Roman" w:cs="Times New Roman"/>
                <w:color w:val="auto"/>
                <w:sz w:val="20"/>
                <w:highlight w:val="none"/>
              </w:rPr>
              <w:t>流程实时/定期提醒（如系统消息、短信等提醒）</w:t>
            </w:r>
            <w:r>
              <w:rPr>
                <w:rFonts w:hint="eastAsia" w:ascii="Times New Roman" w:hAnsi="Times New Roman" w:cs="Times New Roman"/>
                <w:color w:val="auto"/>
                <w:sz w:val="20"/>
                <w:highlight w:val="none"/>
                <w:lang w:val="en-US" w:eastAsia="zh-Hans"/>
              </w:rPr>
              <w:t>及审核</w:t>
            </w:r>
            <w:r>
              <w:rPr>
                <w:rFonts w:hint="eastAsia" w:ascii="Times New Roman" w:hAnsi="Times New Roman" w:cs="Times New Roman"/>
                <w:color w:val="auto"/>
                <w:sz w:val="20"/>
                <w:highlight w:val="none"/>
              </w:rPr>
              <w:t>节点进展查看。</w:t>
            </w:r>
          </w:p>
        </w:tc>
      </w:tr>
      <w:tr w14:paraId="6217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1EB9F3A6">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10</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09835171">
            <w:pPr>
              <w:ind w:firstLine="0" w:firstLineChars="0"/>
              <w:rPr>
                <w:rFonts w:ascii="Times New Roman" w:hAnsi="Times New Roman" w:cs="Times New Roman"/>
                <w:b/>
                <w:color w:val="auto"/>
                <w:sz w:val="20"/>
                <w:highlight w:val="none"/>
              </w:rPr>
            </w:pPr>
          </w:p>
        </w:tc>
        <w:tc>
          <w:tcPr>
            <w:tcW w:w="740" w:type="dxa"/>
            <w:vMerge w:val="restart"/>
            <w:tcBorders>
              <w:top w:val="single" w:color="auto" w:sz="4" w:space="0"/>
              <w:left w:val="single" w:color="auto" w:sz="4" w:space="0"/>
              <w:right w:val="single" w:color="auto" w:sz="4" w:space="0"/>
              <w:tl2br w:val="nil"/>
              <w:tr2bl w:val="nil"/>
            </w:tcBorders>
            <w:shd w:val="clear" w:color="FFFFFF" w:fill="FFFFFF"/>
            <w:noWrap/>
            <w:vAlign w:val="center"/>
          </w:tcPr>
          <w:p w14:paraId="09994FEE">
            <w:pPr>
              <w:ind w:firstLine="0" w:firstLineChars="0"/>
              <w:rPr>
                <w:rFonts w:ascii="Times New Roman" w:hAnsi="Times New Roman" w:cs="Times New Roman"/>
                <w:b/>
                <w:color w:val="auto"/>
                <w:sz w:val="20"/>
                <w:highlight w:val="none"/>
              </w:rPr>
            </w:pPr>
            <w:r>
              <w:rPr>
                <w:rFonts w:hint="eastAsia" w:ascii="Times New Roman" w:hAnsi="Times New Roman" w:cs="Times New Roman"/>
                <w:b/>
                <w:color w:val="auto"/>
                <w:sz w:val="20"/>
                <w:highlight w:val="none"/>
              </w:rPr>
              <w:t>全量案件信息管理</w:t>
            </w: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798A1C55">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案件统筹分类</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34E4577">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案件能够按照信贷</w:t>
            </w:r>
            <w:r>
              <w:rPr>
                <w:rFonts w:hint="eastAsia" w:ascii="Times New Roman" w:hAnsi="Times New Roman" w:cs="Times New Roman"/>
                <w:color w:val="auto"/>
                <w:sz w:val="20"/>
                <w:highlight w:val="none"/>
              </w:rPr>
              <w:t>资产（表内资产/表外资产、自有资产/代管资产等）/非</w:t>
            </w:r>
            <w:r>
              <w:rPr>
                <w:rFonts w:hint="eastAsia" w:ascii="Times New Roman" w:hAnsi="Times New Roman" w:cs="Times New Roman"/>
                <w:color w:val="auto"/>
                <w:sz w:val="20"/>
                <w:highlight w:val="none"/>
                <w:lang w:val="en-US" w:eastAsia="zh-Hans"/>
              </w:rPr>
              <w:t>信贷</w:t>
            </w:r>
            <w:r>
              <w:rPr>
                <w:rFonts w:hint="eastAsia" w:ascii="Times New Roman" w:hAnsi="Times New Roman" w:cs="Times New Roman"/>
                <w:color w:val="auto"/>
                <w:sz w:val="20"/>
                <w:highlight w:val="none"/>
              </w:rPr>
              <w:t>资产、线上/线下、主诉/被诉/第三人等</w:t>
            </w:r>
            <w:r>
              <w:rPr>
                <w:rFonts w:hint="eastAsia" w:ascii="Times New Roman" w:hAnsi="Times New Roman" w:cs="Times New Roman"/>
                <w:color w:val="auto"/>
                <w:sz w:val="20"/>
                <w:highlight w:val="none"/>
                <w:lang w:val="en-US" w:eastAsia="zh-Hans"/>
              </w:rPr>
              <w:t>不同类别进行综合分类管理，及</w:t>
            </w:r>
            <w:r>
              <w:rPr>
                <w:rFonts w:hint="eastAsia" w:ascii="Times New Roman" w:hAnsi="Times New Roman" w:cs="Times New Roman"/>
                <w:color w:val="auto"/>
                <w:sz w:val="20"/>
                <w:highlight w:val="none"/>
              </w:rPr>
              <w:t>全量案件</w:t>
            </w:r>
            <w:r>
              <w:rPr>
                <w:rFonts w:hint="eastAsia" w:ascii="Times New Roman" w:hAnsi="Times New Roman" w:cs="Times New Roman"/>
                <w:color w:val="auto"/>
                <w:sz w:val="20"/>
                <w:highlight w:val="none"/>
                <w:lang w:val="en-US" w:eastAsia="zh-Hans"/>
              </w:rPr>
              <w:t>的</w:t>
            </w:r>
            <w:r>
              <w:rPr>
                <w:rFonts w:hint="eastAsia" w:ascii="Times New Roman" w:hAnsi="Times New Roman" w:cs="Times New Roman"/>
                <w:color w:val="auto"/>
                <w:sz w:val="20"/>
                <w:highlight w:val="none"/>
              </w:rPr>
              <w:t>统筹管理。</w:t>
            </w:r>
          </w:p>
        </w:tc>
      </w:tr>
      <w:tr w14:paraId="75AD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868078A">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11</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68621F08">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0BB38374">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568FC04B">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全量信息管理</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25A46180">
            <w:pPr>
              <w:rPr>
                <w:rFonts w:hint="default" w:ascii="Times New Roman" w:hAnsi="Times New Roman" w:eastAsia="宋体" w:cs="Times New Roman"/>
                <w:color w:val="auto"/>
                <w:sz w:val="20"/>
                <w:highlight w:val="none"/>
                <w:lang w:val="en-US" w:eastAsia="zh-Hans"/>
              </w:rPr>
            </w:pPr>
            <w:r>
              <w:rPr>
                <w:rFonts w:hint="eastAsia" w:ascii="Times New Roman" w:hAnsi="Times New Roman" w:cs="Times New Roman"/>
                <w:color w:val="auto"/>
                <w:sz w:val="20"/>
                <w:highlight w:val="none"/>
                <w:lang w:val="en-US" w:eastAsia="zh-Hans"/>
              </w:rPr>
              <w:t>能够</w:t>
            </w:r>
            <w:r>
              <w:rPr>
                <w:rFonts w:hint="eastAsia" w:ascii="Times New Roman" w:hAnsi="Times New Roman" w:cs="Times New Roman"/>
                <w:color w:val="auto"/>
                <w:sz w:val="20"/>
                <w:highlight w:val="none"/>
              </w:rPr>
              <w:t>对案件基本情况、进展情况</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rPr>
              <w:t>费用情况、代理情况、处置</w:t>
            </w:r>
            <w:r>
              <w:rPr>
                <w:rFonts w:hint="eastAsia" w:ascii="Times New Roman" w:hAnsi="Times New Roman" w:cs="Times New Roman"/>
                <w:color w:val="auto"/>
                <w:sz w:val="20"/>
                <w:highlight w:val="none"/>
                <w:lang w:val="en-US" w:eastAsia="zh-Hans"/>
              </w:rPr>
              <w:t>回收</w:t>
            </w:r>
            <w:r>
              <w:rPr>
                <w:rFonts w:hint="eastAsia" w:ascii="Times New Roman" w:hAnsi="Times New Roman" w:cs="Times New Roman"/>
                <w:color w:val="auto"/>
                <w:sz w:val="20"/>
                <w:highlight w:val="none"/>
              </w:rPr>
              <w:t>情况、所涉业务情况、自查整改情况等案件所涉全量信息全面、精细管理，并建立统一规范的信息标准。</w:t>
            </w:r>
          </w:p>
        </w:tc>
      </w:tr>
      <w:tr w14:paraId="217B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A0941C5">
            <w:pPr>
              <w:ind w:firstLine="0" w:firstLineChars="0"/>
              <w:rPr>
                <w:rFonts w:hint="default" w:ascii="宋体" w:cs="Times New Roman"/>
                <w:color w:val="auto"/>
                <w:sz w:val="20"/>
                <w:highlight w:val="none"/>
              </w:rPr>
            </w:pPr>
            <w:r>
              <w:rPr>
                <w:rFonts w:hint="default" w:ascii="宋体" w:cs="Times New Roman"/>
                <w:color w:val="auto"/>
                <w:sz w:val="20"/>
                <w:highlight w:val="none"/>
              </w:rPr>
              <w:t>12</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07176A4F">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049A756C">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D4F243A">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信息自动更新</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5920199">
            <w:pPr>
              <w:rPr>
                <w:rFonts w:hint="eastAsia" w:ascii="Times New Roman" w:hAnsi="Times New Roman" w:eastAsia="宋体" w:cs="Times New Roman"/>
                <w:color w:val="auto"/>
                <w:sz w:val="20"/>
                <w:highlight w:val="none"/>
                <w:lang w:eastAsia="zh-Hans"/>
              </w:rPr>
            </w:pPr>
            <w:r>
              <w:rPr>
                <w:rFonts w:hint="eastAsia" w:ascii="Times New Roman" w:hAnsi="Times New Roman" w:cs="Times New Roman"/>
                <w:color w:val="auto"/>
                <w:sz w:val="20"/>
                <w:highlight w:val="none"/>
                <w:lang w:val="en-US" w:eastAsia="zh-Hans"/>
              </w:rPr>
              <w:t>可通过</w:t>
            </w:r>
            <w:r>
              <w:rPr>
                <w:rFonts w:hint="eastAsia" w:ascii="Times New Roman" w:hAnsi="Times New Roman" w:cs="Times New Roman"/>
                <w:color w:val="auto"/>
                <w:sz w:val="20"/>
                <w:highlight w:val="none"/>
              </w:rPr>
              <w:t>人工</w:t>
            </w:r>
            <w:r>
              <w:rPr>
                <w:rFonts w:hint="eastAsia" w:ascii="Times New Roman" w:hAnsi="Times New Roman" w:cs="Times New Roman"/>
                <w:color w:val="auto"/>
                <w:sz w:val="20"/>
                <w:highlight w:val="none"/>
                <w:lang w:val="en-US" w:eastAsia="zh-Hans"/>
              </w:rPr>
              <w:t>发起或由系统</w:t>
            </w:r>
            <w:r>
              <w:rPr>
                <w:rFonts w:hint="eastAsia" w:ascii="Times New Roman" w:hAnsi="Times New Roman" w:cs="Times New Roman"/>
                <w:color w:val="auto"/>
                <w:sz w:val="20"/>
                <w:highlight w:val="none"/>
              </w:rPr>
              <w:t>定期</w:t>
            </w:r>
            <w:r>
              <w:rPr>
                <w:rFonts w:hint="eastAsia" w:ascii="Times New Roman" w:hAnsi="Times New Roman" w:cs="Times New Roman"/>
                <w:color w:val="auto"/>
                <w:sz w:val="20"/>
                <w:highlight w:val="none"/>
                <w:lang w:val="en-US" w:eastAsia="zh-Hans"/>
              </w:rPr>
              <w:t>对信贷资产类案件所涉的</w:t>
            </w:r>
            <w:r>
              <w:rPr>
                <w:rFonts w:hint="eastAsia" w:ascii="Times New Roman" w:hAnsi="Times New Roman" w:cs="Times New Roman"/>
                <w:color w:val="auto"/>
                <w:sz w:val="20"/>
                <w:highlight w:val="none"/>
              </w:rPr>
              <w:t>业务基本情况、案件处置回收情况等业务信息</w:t>
            </w:r>
            <w:r>
              <w:rPr>
                <w:rFonts w:hint="eastAsia" w:ascii="Times New Roman" w:hAnsi="Times New Roman" w:cs="Times New Roman"/>
                <w:color w:val="auto"/>
                <w:sz w:val="20"/>
                <w:highlight w:val="none"/>
                <w:lang w:val="en-US" w:eastAsia="zh-Hans"/>
              </w:rPr>
              <w:t>进行自动</w:t>
            </w:r>
            <w:r>
              <w:rPr>
                <w:rFonts w:hint="eastAsia" w:ascii="Times New Roman" w:hAnsi="Times New Roman" w:cs="Times New Roman"/>
                <w:color w:val="auto"/>
                <w:sz w:val="20"/>
                <w:highlight w:val="none"/>
              </w:rPr>
              <w:t>更新</w:t>
            </w:r>
            <w:r>
              <w:rPr>
                <w:rFonts w:hint="eastAsia" w:ascii="Times New Roman" w:hAnsi="Times New Roman" w:cs="Times New Roman"/>
                <w:color w:val="auto"/>
                <w:sz w:val="20"/>
                <w:highlight w:val="none"/>
                <w:lang w:eastAsia="zh-Hans"/>
              </w:rPr>
              <w:t>。</w:t>
            </w:r>
          </w:p>
        </w:tc>
      </w:tr>
      <w:tr w14:paraId="45A9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2E13C428">
            <w:pPr>
              <w:ind w:firstLine="0" w:firstLineChars="0"/>
              <w:rPr>
                <w:rFonts w:hint="default" w:ascii="宋体" w:cs="Times New Roman"/>
                <w:color w:val="auto"/>
                <w:sz w:val="20"/>
                <w:highlight w:val="none"/>
              </w:rPr>
            </w:pPr>
            <w:r>
              <w:rPr>
                <w:rFonts w:hint="default" w:ascii="宋体" w:cs="Times New Roman"/>
                <w:color w:val="auto"/>
                <w:sz w:val="20"/>
                <w:highlight w:val="none"/>
              </w:rPr>
              <w:t>13</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76855E77">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bottom w:val="single" w:color="auto" w:sz="4" w:space="0"/>
              <w:right w:val="single" w:color="auto" w:sz="4" w:space="0"/>
              <w:tl2br w:val="nil"/>
              <w:tr2bl w:val="nil"/>
            </w:tcBorders>
            <w:shd w:val="clear" w:color="FFFFFF" w:fill="FFFFFF"/>
            <w:noWrap/>
            <w:vAlign w:val="center"/>
          </w:tcPr>
          <w:p w14:paraId="55A232D1">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6D870D64">
            <w:pPr>
              <w:ind w:firstLine="0" w:firstLineChars="0"/>
              <w:rPr>
                <w:rFonts w:hint="default" w:ascii="Times New Roman" w:hAnsi="Times New Roman"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信息导入</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60054F4D">
            <w:pPr>
              <w:rPr>
                <w:rFonts w:hint="eastAsia"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支持全部存量案件全量信息的单笔</w:t>
            </w:r>
            <w:r>
              <w:rPr>
                <w:rFonts w:hint="default"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批量导入。</w:t>
            </w:r>
          </w:p>
        </w:tc>
      </w:tr>
      <w:tr w14:paraId="0722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579EAF5C">
            <w:pPr>
              <w:ind w:firstLine="0" w:firstLineChars="0"/>
              <w:rPr>
                <w:rFonts w:hint="default" w:ascii="宋体" w:cs="Times New Roman"/>
                <w:color w:val="auto"/>
                <w:sz w:val="20"/>
                <w:highlight w:val="none"/>
              </w:rPr>
            </w:pPr>
            <w:r>
              <w:rPr>
                <w:rFonts w:hint="default" w:ascii="宋体" w:cs="Times New Roman"/>
                <w:color w:val="auto"/>
                <w:sz w:val="20"/>
                <w:highlight w:val="none"/>
              </w:rPr>
              <w:t>14</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4B9D92FB">
            <w:pPr>
              <w:ind w:firstLine="0" w:firstLineChars="0"/>
              <w:rPr>
                <w:rFonts w:ascii="Times New Roman" w:hAnsi="Times New Roman" w:cs="Times New Roman"/>
                <w:b/>
                <w:color w:val="auto"/>
                <w:sz w:val="20"/>
                <w:highlight w:val="none"/>
              </w:rPr>
            </w:pPr>
          </w:p>
        </w:tc>
        <w:tc>
          <w:tcPr>
            <w:tcW w:w="740" w:type="dxa"/>
            <w:vMerge w:val="restart"/>
            <w:tcBorders>
              <w:top w:val="single" w:color="auto" w:sz="4" w:space="0"/>
              <w:left w:val="single" w:color="auto" w:sz="4" w:space="0"/>
              <w:right w:val="single" w:color="auto" w:sz="4" w:space="0"/>
              <w:tl2br w:val="nil"/>
              <w:tr2bl w:val="nil"/>
            </w:tcBorders>
            <w:shd w:val="clear" w:color="FFFFFF" w:fill="FFFFFF"/>
            <w:noWrap/>
            <w:vAlign w:val="center"/>
          </w:tcPr>
          <w:p w14:paraId="702B61CF">
            <w:pPr>
              <w:ind w:firstLine="0" w:firstLineChars="0"/>
              <w:rPr>
                <w:rFonts w:ascii="Times New Roman" w:hAnsi="Times New Roman" w:cs="Times New Roman"/>
                <w:b/>
                <w:color w:val="auto"/>
                <w:sz w:val="20"/>
                <w:highlight w:val="none"/>
              </w:rPr>
            </w:pPr>
            <w:r>
              <w:rPr>
                <w:rFonts w:hint="eastAsia" w:ascii="Times New Roman" w:hAnsi="Times New Roman" w:cs="Times New Roman"/>
                <w:b/>
                <w:color w:val="auto"/>
                <w:sz w:val="20"/>
                <w:highlight w:val="none"/>
              </w:rPr>
              <w:t>案件代理管理</w:t>
            </w: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7EC2EFC">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公司律师管理</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638BD187">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支持</w:t>
            </w:r>
            <w:r>
              <w:rPr>
                <w:rFonts w:hint="eastAsia" w:ascii="Times New Roman" w:hAnsi="Times New Roman" w:cs="Times New Roman"/>
                <w:color w:val="auto"/>
                <w:sz w:val="20"/>
                <w:highlight w:val="none"/>
              </w:rPr>
              <w:t>公司律师</w:t>
            </w:r>
            <w:r>
              <w:rPr>
                <w:rFonts w:hint="eastAsia" w:ascii="Times New Roman" w:hAnsi="Times New Roman" w:cs="Times New Roman"/>
                <w:color w:val="auto"/>
                <w:sz w:val="20"/>
                <w:highlight w:val="none"/>
                <w:lang w:val="en-US" w:eastAsia="zh-Hans"/>
              </w:rPr>
              <w:t>管理，公司律师信息可录入、导入。</w:t>
            </w:r>
          </w:p>
        </w:tc>
      </w:tr>
      <w:tr w14:paraId="2D49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174557D2">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15</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622B7685">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66AFF8A1">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750DFEC8">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外聘律师管理</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28A33E6">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支持</w:t>
            </w:r>
            <w:r>
              <w:rPr>
                <w:rFonts w:hint="eastAsia" w:ascii="Times New Roman" w:hAnsi="Times New Roman" w:cs="Times New Roman"/>
                <w:color w:val="auto"/>
                <w:sz w:val="20"/>
                <w:highlight w:val="none"/>
              </w:rPr>
              <w:t>外聘律所</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常年法律顾问律所、专项代理服务律所</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rPr>
              <w:t>及律师的分类管理，律所入库及退出管理、</w:t>
            </w:r>
            <w:r>
              <w:rPr>
                <w:rFonts w:hint="eastAsia" w:ascii="Times New Roman" w:hAnsi="Times New Roman" w:cs="Times New Roman"/>
                <w:color w:val="auto"/>
                <w:sz w:val="20"/>
                <w:highlight w:val="none"/>
                <w:lang w:val="en-US" w:eastAsia="zh-Hans"/>
              </w:rPr>
              <w:t>律所及律师</w:t>
            </w:r>
            <w:r>
              <w:rPr>
                <w:rFonts w:hint="eastAsia" w:ascii="Times New Roman" w:hAnsi="Times New Roman" w:cs="Times New Roman"/>
                <w:color w:val="auto"/>
                <w:sz w:val="20"/>
                <w:highlight w:val="none"/>
              </w:rPr>
              <w:t>相关信息</w:t>
            </w:r>
            <w:r>
              <w:rPr>
                <w:rFonts w:hint="eastAsia" w:ascii="Times New Roman" w:hAnsi="Times New Roman" w:cs="Times New Roman"/>
                <w:color w:val="auto"/>
                <w:sz w:val="20"/>
                <w:highlight w:val="none"/>
                <w:lang w:val="en-US" w:eastAsia="zh-Hans"/>
              </w:rPr>
              <w:t>可</w:t>
            </w:r>
            <w:r>
              <w:rPr>
                <w:rFonts w:hint="eastAsia" w:ascii="Times New Roman" w:hAnsi="Times New Roman" w:cs="Times New Roman"/>
                <w:color w:val="auto"/>
                <w:sz w:val="20"/>
                <w:highlight w:val="none"/>
              </w:rPr>
              <w:t>录入、</w:t>
            </w:r>
            <w:r>
              <w:rPr>
                <w:rFonts w:hint="eastAsia" w:ascii="Times New Roman" w:hAnsi="Times New Roman" w:cs="Times New Roman"/>
                <w:color w:val="auto"/>
                <w:sz w:val="20"/>
                <w:highlight w:val="none"/>
                <w:lang w:val="en-US" w:eastAsia="zh-Hans"/>
              </w:rPr>
              <w:t>导入。</w:t>
            </w:r>
          </w:p>
        </w:tc>
      </w:tr>
      <w:tr w14:paraId="119F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DE0CF36">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16</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45D4C5B4">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5625AE04">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510B179">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个案选聘</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9B0D705">
            <w:pPr>
              <w:rPr>
                <w:rFonts w:hint="default" w:ascii="Times New Roman" w:hAnsi="Times New Roman" w:eastAsia="宋体" w:cs="Times New Roman"/>
                <w:color w:val="auto"/>
                <w:sz w:val="20"/>
                <w:highlight w:val="none"/>
                <w:lang w:val="en-US" w:eastAsia="zh-Hans"/>
              </w:rPr>
            </w:pPr>
            <w:r>
              <w:rPr>
                <w:rFonts w:hint="eastAsia" w:ascii="Times New Roman" w:hAnsi="Times New Roman" w:cs="Times New Roman"/>
                <w:color w:val="auto"/>
                <w:sz w:val="20"/>
                <w:highlight w:val="none"/>
              </w:rPr>
              <w:t>个案</w:t>
            </w:r>
            <w:r>
              <w:rPr>
                <w:rFonts w:hint="eastAsia" w:ascii="Times New Roman" w:hAnsi="Times New Roman" w:cs="Times New Roman"/>
                <w:color w:val="auto"/>
                <w:sz w:val="20"/>
                <w:highlight w:val="none"/>
                <w:lang w:val="en-US" w:eastAsia="zh-Hans"/>
              </w:rPr>
              <w:t>可</w:t>
            </w:r>
            <w:r>
              <w:rPr>
                <w:rFonts w:hint="eastAsia" w:ascii="Times New Roman" w:hAnsi="Times New Roman" w:cs="Times New Roman"/>
                <w:color w:val="auto"/>
                <w:sz w:val="20"/>
                <w:highlight w:val="none"/>
              </w:rPr>
              <w:t>按</w:t>
            </w:r>
            <w:r>
              <w:rPr>
                <w:rFonts w:hint="eastAsia" w:ascii="Times New Roman" w:hAnsi="Times New Roman" w:cs="Times New Roman"/>
                <w:color w:val="auto"/>
                <w:sz w:val="20"/>
                <w:highlight w:val="none"/>
                <w:lang w:val="en-US" w:eastAsia="zh-Hans"/>
              </w:rPr>
              <w:t>配置的</w:t>
            </w:r>
            <w:r>
              <w:rPr>
                <w:rFonts w:hint="eastAsia" w:ascii="Times New Roman" w:hAnsi="Times New Roman" w:cs="Times New Roman"/>
                <w:color w:val="auto"/>
                <w:sz w:val="20"/>
                <w:highlight w:val="none"/>
              </w:rPr>
              <w:t>规则分发选聘律所</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rPr>
              <w:t>分发选聘的方式为系统按设定逻辑自动向入库的外聘律所进行派单</w:t>
            </w:r>
            <w:r>
              <w:rPr>
                <w:rFonts w:hint="eastAsia" w:ascii="Times New Roman" w:hAnsi="Times New Roman" w:cs="Times New Roman"/>
                <w:color w:val="auto"/>
                <w:sz w:val="20"/>
                <w:highlight w:val="none"/>
                <w:lang w:val="en-US" w:eastAsia="zh-Hans"/>
              </w:rPr>
              <w:t>的模式。</w:t>
            </w:r>
          </w:p>
        </w:tc>
      </w:tr>
      <w:tr w14:paraId="3D9A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20A05CF9">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17</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19725CF1">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5530853F">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8BEB3D4">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考核评价</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EF1A89F">
            <w:pPr>
              <w:rPr>
                <w:rFonts w:hint="eastAsia" w:ascii="Times New Roman" w:hAnsi="Times New Roman" w:eastAsia="宋体" w:cs="Times New Roman"/>
                <w:color w:val="auto"/>
                <w:sz w:val="20"/>
                <w:highlight w:val="none"/>
                <w:lang w:eastAsia="zh-Hans"/>
              </w:rPr>
            </w:pPr>
            <w:r>
              <w:rPr>
                <w:rFonts w:hint="eastAsia" w:ascii="Times New Roman" w:hAnsi="Times New Roman" w:cs="Times New Roman"/>
                <w:color w:val="auto"/>
                <w:sz w:val="20"/>
                <w:highlight w:val="none"/>
                <w:lang w:val="en-US" w:eastAsia="zh-Hans"/>
              </w:rPr>
              <w:t>能够开展</w:t>
            </w:r>
            <w:r>
              <w:rPr>
                <w:rFonts w:hint="eastAsia" w:ascii="Times New Roman" w:hAnsi="Times New Roman" w:cs="Times New Roman"/>
                <w:color w:val="auto"/>
                <w:sz w:val="20"/>
                <w:highlight w:val="none"/>
              </w:rPr>
              <w:t>公司律师、</w:t>
            </w:r>
            <w:r>
              <w:rPr>
                <w:rFonts w:hint="eastAsia" w:ascii="Times New Roman" w:hAnsi="Times New Roman" w:cs="Times New Roman"/>
                <w:color w:val="auto"/>
                <w:sz w:val="20"/>
                <w:highlight w:val="none"/>
                <w:lang w:val="en-US" w:eastAsia="zh-Hans"/>
              </w:rPr>
              <w:t>外聘</w:t>
            </w:r>
            <w:r>
              <w:rPr>
                <w:rFonts w:hint="eastAsia" w:ascii="Times New Roman" w:hAnsi="Times New Roman" w:cs="Times New Roman"/>
                <w:color w:val="auto"/>
                <w:sz w:val="20"/>
                <w:highlight w:val="none"/>
              </w:rPr>
              <w:t>律所</w:t>
            </w:r>
            <w:r>
              <w:rPr>
                <w:rFonts w:hint="eastAsia" w:ascii="Times New Roman" w:hAnsi="Times New Roman" w:cs="Times New Roman"/>
                <w:color w:val="auto"/>
                <w:sz w:val="20"/>
                <w:highlight w:val="none"/>
                <w:lang w:val="en-US" w:eastAsia="zh-Hans"/>
              </w:rPr>
              <w:t>的考核评价，</w:t>
            </w:r>
            <w:r>
              <w:rPr>
                <w:rFonts w:hint="eastAsia" w:ascii="Times New Roman" w:hAnsi="Times New Roman" w:cs="Times New Roman"/>
                <w:color w:val="auto"/>
                <w:sz w:val="20"/>
                <w:highlight w:val="none"/>
              </w:rPr>
              <w:t>含整体服务、个案代理考评等</w:t>
            </w:r>
            <w:r>
              <w:rPr>
                <w:rFonts w:hint="eastAsia" w:ascii="Times New Roman" w:hAnsi="Times New Roman" w:cs="Times New Roman"/>
                <w:color w:val="auto"/>
                <w:sz w:val="20"/>
                <w:highlight w:val="none"/>
                <w:lang w:eastAsia="zh-Hans"/>
              </w:rPr>
              <w:t>。</w:t>
            </w:r>
          </w:p>
        </w:tc>
      </w:tr>
      <w:tr w14:paraId="3C4D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24266C13">
            <w:pPr>
              <w:ind w:firstLine="0" w:firstLineChars="0"/>
              <w:rPr>
                <w:rFonts w:hint="default" w:ascii="宋体" w:cs="Times New Roman"/>
                <w:color w:val="auto"/>
                <w:sz w:val="20"/>
                <w:highlight w:val="none"/>
              </w:rPr>
            </w:pPr>
            <w:r>
              <w:rPr>
                <w:rFonts w:hint="default" w:ascii="宋体" w:cs="Times New Roman"/>
                <w:color w:val="auto"/>
                <w:sz w:val="20"/>
                <w:highlight w:val="none"/>
              </w:rPr>
              <w:t>18</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49A9CDC2">
            <w:pPr>
              <w:ind w:firstLine="0" w:firstLineChars="0"/>
              <w:rPr>
                <w:rFonts w:ascii="Times New Roman" w:hAnsi="Times New Roman" w:cs="Times New Roman"/>
                <w:b/>
                <w:color w:val="auto"/>
                <w:sz w:val="20"/>
                <w:highlight w:val="none"/>
              </w:rPr>
            </w:pPr>
          </w:p>
        </w:tc>
        <w:tc>
          <w:tcPr>
            <w:tcW w:w="740" w:type="dxa"/>
            <w:vMerge w:val="restart"/>
            <w:tcBorders>
              <w:top w:val="single" w:color="auto" w:sz="4" w:space="0"/>
              <w:left w:val="single" w:color="auto" w:sz="4" w:space="0"/>
              <w:right w:val="single" w:color="auto" w:sz="4" w:space="0"/>
              <w:tl2br w:val="nil"/>
              <w:tr2bl w:val="nil"/>
            </w:tcBorders>
            <w:shd w:val="clear" w:color="FFFFFF" w:fill="FFFFFF"/>
            <w:noWrap/>
            <w:vAlign w:val="center"/>
          </w:tcPr>
          <w:p w14:paraId="00B1E3BD">
            <w:pPr>
              <w:ind w:firstLine="0" w:firstLineChars="0"/>
              <w:rPr>
                <w:rFonts w:ascii="Times New Roman" w:hAnsi="Times New Roman" w:cs="Times New Roman"/>
                <w:b/>
                <w:color w:val="auto"/>
                <w:sz w:val="20"/>
                <w:highlight w:val="none"/>
              </w:rPr>
            </w:pPr>
            <w:r>
              <w:rPr>
                <w:rFonts w:hint="eastAsia" w:ascii="Times New Roman" w:hAnsi="Times New Roman" w:cs="Times New Roman"/>
                <w:b/>
                <w:color w:val="auto"/>
                <w:sz w:val="20"/>
                <w:highlight w:val="none"/>
              </w:rPr>
              <w:t>案件费用管理</w:t>
            </w: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5F9B398E">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费用基础管理</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15EF4287">
            <w:pPr>
              <w:rPr>
                <w:rFonts w:hint="eastAsia" w:ascii="Times New Roman" w:hAnsi="Times New Roman" w:eastAsia="宋体" w:cs="Times New Roman"/>
                <w:color w:val="auto"/>
                <w:sz w:val="20"/>
                <w:highlight w:val="none"/>
                <w:lang w:eastAsia="zh-Hans"/>
              </w:rPr>
            </w:pPr>
            <w:r>
              <w:rPr>
                <w:rFonts w:hint="eastAsia" w:ascii="Times New Roman" w:hAnsi="Times New Roman" w:cs="Times New Roman"/>
                <w:color w:val="auto"/>
                <w:sz w:val="20"/>
                <w:highlight w:val="none"/>
                <w:lang w:val="en-US" w:eastAsia="zh-Hans"/>
              </w:rPr>
              <w:t>能够对案件各个阶段涉及的全部费用进行管理，包括</w:t>
            </w:r>
            <w:r>
              <w:rPr>
                <w:rFonts w:hint="eastAsia" w:ascii="Times New Roman" w:hAnsi="Times New Roman" w:cs="Times New Roman"/>
                <w:color w:val="auto"/>
                <w:sz w:val="20"/>
                <w:highlight w:val="none"/>
              </w:rPr>
              <w:t>诉讼费、仲裁费、公证费、保全费、评估费、拍卖/变卖费、鉴定费、翻译费、律师费等</w:t>
            </w:r>
            <w:r>
              <w:rPr>
                <w:rFonts w:hint="eastAsia" w:ascii="Times New Roman" w:hAnsi="Times New Roman" w:cs="Times New Roman"/>
                <w:color w:val="auto"/>
                <w:sz w:val="20"/>
                <w:highlight w:val="none"/>
                <w:lang w:eastAsia="zh-Hans"/>
              </w:rPr>
              <w:t>。</w:t>
            </w:r>
          </w:p>
        </w:tc>
      </w:tr>
      <w:tr w14:paraId="1A30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F0224E4">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19</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2ECB63B2">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bottom w:val="single" w:color="auto" w:sz="4" w:space="0"/>
              <w:right w:val="single" w:color="auto" w:sz="4" w:space="0"/>
              <w:tl2br w:val="nil"/>
              <w:tr2bl w:val="nil"/>
            </w:tcBorders>
            <w:shd w:val="clear" w:color="FFFFFF" w:fill="FFFFFF"/>
            <w:noWrap/>
            <w:vAlign w:val="center"/>
          </w:tcPr>
          <w:p w14:paraId="635E6EA4">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721F5980">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关联控制管理</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23B7429">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通过</w:t>
            </w:r>
            <w:r>
              <w:rPr>
                <w:rFonts w:hint="eastAsia" w:ascii="Times New Roman" w:hAnsi="Times New Roman" w:cs="Times New Roman"/>
                <w:color w:val="auto"/>
                <w:sz w:val="20"/>
                <w:highlight w:val="none"/>
              </w:rPr>
              <w:t>案件、财务信息</w:t>
            </w:r>
            <w:r>
              <w:rPr>
                <w:rFonts w:hint="eastAsia" w:ascii="Times New Roman" w:hAnsi="Times New Roman" w:cs="Times New Roman"/>
                <w:color w:val="auto"/>
                <w:sz w:val="20"/>
                <w:highlight w:val="none"/>
                <w:lang w:val="en-US" w:eastAsia="zh-Hans"/>
              </w:rPr>
              <w:t>的</w:t>
            </w:r>
            <w:r>
              <w:rPr>
                <w:rFonts w:hint="eastAsia" w:ascii="Times New Roman" w:hAnsi="Times New Roman" w:cs="Times New Roman"/>
                <w:color w:val="auto"/>
                <w:sz w:val="20"/>
                <w:highlight w:val="none"/>
              </w:rPr>
              <w:t>互联互通，</w:t>
            </w:r>
            <w:r>
              <w:rPr>
                <w:rFonts w:hint="eastAsia" w:ascii="Times New Roman" w:hAnsi="Times New Roman" w:cs="Times New Roman"/>
                <w:color w:val="auto"/>
                <w:sz w:val="20"/>
                <w:highlight w:val="none"/>
                <w:lang w:val="en-US" w:eastAsia="zh-Hans"/>
              </w:rPr>
              <w:t>实现案件费用</w:t>
            </w:r>
            <w:r>
              <w:rPr>
                <w:rFonts w:hint="eastAsia" w:ascii="Times New Roman" w:hAnsi="Times New Roman" w:cs="Times New Roman"/>
                <w:color w:val="auto"/>
                <w:sz w:val="20"/>
                <w:highlight w:val="none"/>
              </w:rPr>
              <w:t>与案件进展、代理情况、处置回收情况等</w:t>
            </w:r>
            <w:r>
              <w:rPr>
                <w:rFonts w:hint="eastAsia" w:ascii="Times New Roman" w:hAnsi="Times New Roman" w:cs="Times New Roman"/>
                <w:color w:val="auto"/>
                <w:sz w:val="20"/>
                <w:highlight w:val="none"/>
                <w:lang w:val="en-US" w:eastAsia="zh-Hans"/>
              </w:rPr>
              <w:t>的</w:t>
            </w:r>
            <w:r>
              <w:rPr>
                <w:rFonts w:hint="eastAsia" w:ascii="Times New Roman" w:hAnsi="Times New Roman" w:cs="Times New Roman"/>
                <w:color w:val="auto"/>
                <w:sz w:val="20"/>
                <w:highlight w:val="none"/>
              </w:rPr>
              <w:t>关联校验控制，</w:t>
            </w:r>
            <w:r>
              <w:rPr>
                <w:rFonts w:hint="eastAsia" w:ascii="Times New Roman" w:hAnsi="Times New Roman" w:cs="Times New Roman"/>
                <w:color w:val="auto"/>
                <w:sz w:val="20"/>
                <w:highlight w:val="none"/>
                <w:lang w:val="en-US" w:eastAsia="zh-Hans"/>
              </w:rPr>
              <w:t>达到</w:t>
            </w:r>
            <w:r>
              <w:rPr>
                <w:rFonts w:hint="eastAsia" w:ascii="Times New Roman" w:hAnsi="Times New Roman" w:cs="Times New Roman"/>
                <w:color w:val="auto"/>
                <w:sz w:val="20"/>
                <w:highlight w:val="none"/>
              </w:rPr>
              <w:t>案件</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费用</w:t>
            </w:r>
            <w:r>
              <w:rPr>
                <w:rFonts w:hint="eastAsia" w:ascii="Times New Roman" w:hAnsi="Times New Roman" w:cs="Times New Roman"/>
                <w:color w:val="auto"/>
                <w:sz w:val="20"/>
                <w:highlight w:val="none"/>
              </w:rPr>
              <w:t>双向</w:t>
            </w:r>
            <w:r>
              <w:rPr>
                <w:rFonts w:hint="eastAsia" w:ascii="Times New Roman" w:hAnsi="Times New Roman" w:cs="Times New Roman"/>
                <w:color w:val="auto"/>
                <w:sz w:val="20"/>
                <w:highlight w:val="none"/>
                <w:lang w:val="en-US" w:eastAsia="zh-Hans"/>
              </w:rPr>
              <w:t>控制</w:t>
            </w:r>
            <w:r>
              <w:rPr>
                <w:rFonts w:hint="eastAsia" w:ascii="Times New Roman" w:hAnsi="Times New Roman" w:cs="Times New Roman"/>
                <w:color w:val="auto"/>
                <w:sz w:val="20"/>
                <w:highlight w:val="none"/>
              </w:rPr>
              <w:t>管理</w:t>
            </w:r>
            <w:r>
              <w:rPr>
                <w:rFonts w:hint="eastAsia" w:ascii="Times New Roman" w:hAnsi="Times New Roman" w:cs="Times New Roman"/>
                <w:color w:val="auto"/>
                <w:sz w:val="20"/>
                <w:highlight w:val="none"/>
                <w:lang w:val="en-US" w:eastAsia="zh-Hans"/>
              </w:rPr>
              <w:t>的目的</w:t>
            </w:r>
            <w:r>
              <w:rPr>
                <w:rFonts w:hint="eastAsia" w:ascii="Times New Roman" w:hAnsi="Times New Roman" w:cs="Times New Roman"/>
                <w:color w:val="auto"/>
                <w:sz w:val="20"/>
                <w:highlight w:val="none"/>
              </w:rPr>
              <w:t>。</w:t>
            </w:r>
          </w:p>
        </w:tc>
      </w:tr>
      <w:tr w14:paraId="488B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87DEFD2">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20</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3797BA36">
            <w:pPr>
              <w:ind w:firstLine="0" w:firstLineChars="0"/>
              <w:rPr>
                <w:rFonts w:ascii="Times New Roman" w:hAnsi="Times New Roman" w:cs="Times New Roman"/>
                <w:b/>
                <w:color w:val="auto"/>
                <w:sz w:val="20"/>
                <w:highlight w:val="none"/>
              </w:rPr>
            </w:pPr>
          </w:p>
        </w:tc>
        <w:tc>
          <w:tcPr>
            <w:tcW w:w="740" w:type="dxa"/>
            <w:vMerge w:val="restart"/>
            <w:tcBorders>
              <w:top w:val="single" w:color="auto" w:sz="4" w:space="0"/>
              <w:left w:val="single" w:color="auto" w:sz="4" w:space="0"/>
              <w:right w:val="single" w:color="auto" w:sz="4" w:space="0"/>
              <w:tl2br w:val="nil"/>
              <w:tr2bl w:val="nil"/>
            </w:tcBorders>
            <w:shd w:val="clear" w:color="FFFFFF" w:fill="FFFFFF"/>
            <w:noWrap/>
            <w:vAlign w:val="center"/>
          </w:tcPr>
          <w:p w14:paraId="10725267">
            <w:pPr>
              <w:ind w:firstLine="0" w:firstLineChars="0"/>
              <w:rPr>
                <w:rFonts w:ascii="Times New Roman" w:hAnsi="Times New Roman" w:cs="Times New Roman"/>
                <w:b/>
                <w:color w:val="auto"/>
                <w:sz w:val="20"/>
                <w:highlight w:val="none"/>
              </w:rPr>
            </w:pPr>
            <w:r>
              <w:rPr>
                <w:rFonts w:hint="eastAsia" w:ascii="Times New Roman" w:hAnsi="Times New Roman" w:cs="Times New Roman"/>
                <w:b/>
                <w:color w:val="auto"/>
                <w:sz w:val="20"/>
                <w:highlight w:val="none"/>
              </w:rPr>
              <w:t>案件统计分析</w:t>
            </w: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3BE650E">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案件统计</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5F626841">
            <w:pPr>
              <w:rPr>
                <w:rFonts w:hint="default" w:ascii="Times New Roman" w:hAnsi="Times New Roman" w:eastAsia="宋体" w:cs="Times New Roman"/>
                <w:color w:val="auto"/>
                <w:sz w:val="20"/>
                <w:highlight w:val="none"/>
                <w:lang w:val="en-US" w:eastAsia="zh-Hans"/>
              </w:rPr>
            </w:pPr>
            <w:r>
              <w:rPr>
                <w:rFonts w:hint="eastAsia" w:ascii="Times New Roman" w:hAnsi="Times New Roman" w:cs="Times New Roman"/>
                <w:color w:val="auto"/>
                <w:sz w:val="20"/>
                <w:highlight w:val="none"/>
              </w:rPr>
              <w:t>案件信息</w:t>
            </w:r>
            <w:r>
              <w:rPr>
                <w:rFonts w:hint="eastAsia" w:ascii="Times New Roman" w:hAnsi="Times New Roman" w:cs="Times New Roman"/>
                <w:color w:val="auto"/>
                <w:sz w:val="20"/>
                <w:highlight w:val="none"/>
                <w:lang w:val="en-US" w:eastAsia="zh-Hans"/>
              </w:rPr>
              <w:t>可按不同时间</w:t>
            </w:r>
            <w:r>
              <w:rPr>
                <w:rFonts w:hint="eastAsia" w:ascii="Times New Roman" w:hAnsi="Times New Roman" w:cs="Times New Roman"/>
                <w:color w:val="auto"/>
                <w:sz w:val="20"/>
                <w:highlight w:val="none"/>
              </w:rPr>
              <w:t>统计，系统自动生成</w:t>
            </w:r>
            <w:r>
              <w:rPr>
                <w:rFonts w:hint="eastAsia" w:ascii="Times New Roman" w:hAnsi="Times New Roman" w:cs="Times New Roman"/>
                <w:color w:val="auto"/>
                <w:sz w:val="20"/>
                <w:highlight w:val="none"/>
                <w:lang w:val="en-US" w:eastAsia="zh-Hans"/>
              </w:rPr>
              <w:t>所选时间的</w:t>
            </w:r>
            <w:r>
              <w:rPr>
                <w:rFonts w:hint="eastAsia" w:ascii="Times New Roman" w:hAnsi="Times New Roman" w:cs="Times New Roman"/>
                <w:color w:val="auto"/>
                <w:sz w:val="20"/>
                <w:highlight w:val="none"/>
              </w:rPr>
              <w:t>案件“全生命周期”管理</w:t>
            </w:r>
            <w:r>
              <w:rPr>
                <w:rFonts w:hint="eastAsia" w:ascii="Times New Roman" w:hAnsi="Times New Roman" w:cs="Times New Roman"/>
                <w:color w:val="auto"/>
                <w:sz w:val="20"/>
                <w:highlight w:val="none"/>
                <w:lang w:val="en-US" w:eastAsia="zh-Hans"/>
              </w:rPr>
              <w:t>的相关</w:t>
            </w:r>
            <w:r>
              <w:rPr>
                <w:rFonts w:hint="eastAsia" w:ascii="Times New Roman" w:hAnsi="Times New Roman" w:cs="Times New Roman"/>
                <w:color w:val="auto"/>
                <w:sz w:val="20"/>
                <w:highlight w:val="none"/>
              </w:rPr>
              <w:t>表单</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台账</w:t>
            </w:r>
            <w:r>
              <w:rPr>
                <w:rFonts w:hint="eastAsia" w:ascii="Times New Roman" w:hAnsi="Times New Roman" w:cs="Times New Roman"/>
                <w:color w:val="auto"/>
                <w:sz w:val="20"/>
                <w:highlight w:val="none"/>
              </w:rPr>
              <w:t>，通过</w:t>
            </w:r>
            <w:r>
              <w:rPr>
                <w:rFonts w:hint="eastAsia" w:ascii="Times New Roman" w:hAnsi="Times New Roman" w:cs="Times New Roman"/>
                <w:color w:val="auto"/>
                <w:sz w:val="20"/>
                <w:highlight w:val="none"/>
                <w:lang w:val="en-US" w:eastAsia="zh-Hans"/>
              </w:rPr>
              <w:t>设置</w:t>
            </w:r>
            <w:r>
              <w:rPr>
                <w:rFonts w:hint="eastAsia" w:ascii="Times New Roman" w:hAnsi="Times New Roman" w:cs="Times New Roman"/>
                <w:color w:val="auto"/>
                <w:sz w:val="20"/>
                <w:highlight w:val="none"/>
              </w:rPr>
              <w:t>筛选项、自定义</w:t>
            </w:r>
            <w:r>
              <w:rPr>
                <w:rFonts w:hint="eastAsia" w:ascii="Times New Roman" w:hAnsi="Times New Roman" w:cs="Times New Roman"/>
                <w:color w:val="auto"/>
                <w:sz w:val="20"/>
                <w:highlight w:val="none"/>
                <w:lang w:val="en-US" w:eastAsia="zh-Hans"/>
              </w:rPr>
              <w:t>信息</w:t>
            </w:r>
            <w:r>
              <w:rPr>
                <w:rFonts w:hint="eastAsia" w:ascii="Times New Roman" w:hAnsi="Times New Roman" w:cs="Times New Roman"/>
                <w:color w:val="auto"/>
                <w:sz w:val="20"/>
                <w:highlight w:val="none"/>
              </w:rPr>
              <w:t>字段等，</w:t>
            </w:r>
            <w:r>
              <w:rPr>
                <w:rFonts w:hint="eastAsia" w:ascii="Times New Roman" w:hAnsi="Times New Roman" w:cs="Times New Roman"/>
                <w:color w:val="auto"/>
                <w:sz w:val="20"/>
                <w:highlight w:val="none"/>
                <w:lang w:val="en-US" w:eastAsia="zh-Hans"/>
              </w:rPr>
              <w:t>能够</w:t>
            </w:r>
            <w:r>
              <w:rPr>
                <w:rFonts w:hint="eastAsia" w:ascii="Times New Roman" w:hAnsi="Times New Roman" w:cs="Times New Roman"/>
                <w:color w:val="auto"/>
                <w:sz w:val="20"/>
                <w:highlight w:val="none"/>
              </w:rPr>
              <w:t>分类/批量/单笔案件全部/部分信息统计表单</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台账的</w:t>
            </w:r>
            <w:r>
              <w:rPr>
                <w:rFonts w:hint="eastAsia" w:ascii="Times New Roman" w:hAnsi="Times New Roman" w:cs="Times New Roman"/>
                <w:color w:val="auto"/>
                <w:sz w:val="20"/>
                <w:highlight w:val="none"/>
              </w:rPr>
              <w:t>生成、查看、导出</w:t>
            </w:r>
            <w:r>
              <w:rPr>
                <w:rFonts w:hint="eastAsia" w:ascii="Times New Roman" w:hAnsi="Times New Roman" w:cs="Times New Roman"/>
                <w:color w:val="auto"/>
                <w:sz w:val="20"/>
                <w:highlight w:val="none"/>
                <w:lang w:eastAsia="zh-Hans"/>
              </w:rPr>
              <w:t>。</w:t>
            </w:r>
          </w:p>
        </w:tc>
      </w:tr>
      <w:tr w14:paraId="5BF4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16BA09B2">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21</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0A6FEF46">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2F4AFD6C">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7B07AE80">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案件分析</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14B098A8">
            <w:pPr>
              <w:rPr>
                <w:rFonts w:hint="eastAsia" w:ascii="Times New Roman" w:hAnsi="Times New Roman" w:eastAsia="宋体" w:cs="Times New Roman"/>
                <w:color w:val="auto"/>
                <w:sz w:val="20"/>
                <w:highlight w:val="none"/>
                <w:lang w:eastAsia="zh-Hans"/>
              </w:rPr>
            </w:pPr>
            <w:r>
              <w:rPr>
                <w:rFonts w:hint="eastAsia" w:ascii="Times New Roman" w:hAnsi="Times New Roman" w:cs="Times New Roman"/>
                <w:color w:val="auto"/>
                <w:sz w:val="20"/>
                <w:highlight w:val="none"/>
                <w:lang w:val="en-US" w:eastAsia="zh-Hans"/>
              </w:rPr>
              <w:t>支持</w:t>
            </w:r>
            <w:r>
              <w:rPr>
                <w:rFonts w:hint="eastAsia" w:ascii="Times New Roman" w:hAnsi="Times New Roman" w:cs="Times New Roman"/>
                <w:color w:val="auto"/>
                <w:sz w:val="20"/>
                <w:highlight w:val="none"/>
              </w:rPr>
              <w:t>案件分析，根据不同维度、规则对案件情况进行智能分析并展示分析结果</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可生成</w:t>
            </w:r>
            <w:r>
              <w:rPr>
                <w:rFonts w:hint="eastAsia" w:ascii="Times New Roman" w:hAnsi="Times New Roman" w:cs="Times New Roman"/>
                <w:color w:val="auto"/>
                <w:sz w:val="20"/>
                <w:highlight w:val="none"/>
              </w:rPr>
              <w:t>表单、图表并</w:t>
            </w:r>
            <w:r>
              <w:rPr>
                <w:rFonts w:hint="eastAsia" w:ascii="Times New Roman" w:hAnsi="Times New Roman" w:cs="Times New Roman"/>
                <w:color w:val="auto"/>
                <w:sz w:val="20"/>
                <w:highlight w:val="none"/>
                <w:lang w:val="en-US" w:eastAsia="zh-Hans"/>
              </w:rPr>
              <w:t>能够</w:t>
            </w:r>
            <w:r>
              <w:rPr>
                <w:rFonts w:hint="eastAsia" w:ascii="Times New Roman" w:hAnsi="Times New Roman" w:cs="Times New Roman"/>
                <w:color w:val="auto"/>
                <w:sz w:val="20"/>
                <w:highlight w:val="none"/>
              </w:rPr>
              <w:t>导出</w:t>
            </w:r>
            <w:r>
              <w:rPr>
                <w:rFonts w:hint="eastAsia" w:ascii="Times New Roman" w:hAnsi="Times New Roman" w:cs="Times New Roman"/>
                <w:color w:val="auto"/>
                <w:sz w:val="20"/>
                <w:highlight w:val="none"/>
                <w:lang w:eastAsia="zh-Hans"/>
              </w:rPr>
              <w:t>。</w:t>
            </w:r>
          </w:p>
        </w:tc>
      </w:tr>
      <w:tr w14:paraId="25E7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242633AC">
            <w:pPr>
              <w:ind w:firstLine="0" w:firstLineChars="0"/>
              <w:rPr>
                <w:rFonts w:hint="default" w:ascii="宋体"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22</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0DF8F448">
            <w:pPr>
              <w:ind w:firstLine="0" w:firstLineChars="0"/>
              <w:rPr>
                <w:rFonts w:ascii="Times New Roman" w:hAnsi="Times New Roman" w:cs="Times New Roman"/>
                <w:b/>
                <w:color w:val="auto"/>
                <w:sz w:val="20"/>
                <w:highlight w:val="none"/>
              </w:rPr>
            </w:pPr>
          </w:p>
        </w:tc>
        <w:tc>
          <w:tcPr>
            <w:tcW w:w="740" w:type="dxa"/>
            <w:vMerge w:val="restart"/>
            <w:tcBorders>
              <w:top w:val="single" w:color="auto" w:sz="4" w:space="0"/>
              <w:left w:val="single" w:color="auto" w:sz="4" w:space="0"/>
              <w:right w:val="single" w:color="auto" w:sz="4" w:space="0"/>
              <w:tl2br w:val="nil"/>
              <w:tr2bl w:val="nil"/>
            </w:tcBorders>
            <w:shd w:val="clear" w:color="FFFFFF" w:fill="FFFFFF"/>
            <w:noWrap/>
            <w:vAlign w:val="center"/>
          </w:tcPr>
          <w:p w14:paraId="4410006F">
            <w:pPr>
              <w:ind w:firstLine="0" w:firstLineChars="0"/>
              <w:rPr>
                <w:rFonts w:ascii="Times New Roman" w:hAnsi="Times New Roman" w:cs="Times New Roman"/>
                <w:b/>
                <w:color w:val="auto"/>
                <w:sz w:val="20"/>
                <w:highlight w:val="none"/>
              </w:rPr>
            </w:pPr>
            <w:r>
              <w:rPr>
                <w:rFonts w:hint="eastAsia" w:ascii="Times New Roman" w:hAnsi="Times New Roman" w:cs="Times New Roman"/>
                <w:b/>
                <w:color w:val="auto"/>
                <w:sz w:val="20"/>
                <w:highlight w:val="none"/>
              </w:rPr>
              <w:t>案件档案管理</w:t>
            </w: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FB59D72">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自动整理</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F3BF396">
            <w:pPr>
              <w:rPr>
                <w:rFonts w:hint="eastAsia" w:ascii="Times New Roman" w:hAnsi="Times New Roman" w:eastAsia="宋体" w:cs="Times New Roman"/>
                <w:color w:val="auto"/>
                <w:sz w:val="20"/>
                <w:highlight w:val="none"/>
                <w:lang w:eastAsia="zh-Hans"/>
              </w:rPr>
            </w:pPr>
            <w:r>
              <w:rPr>
                <w:rFonts w:hint="eastAsia" w:ascii="Times New Roman" w:hAnsi="Times New Roman" w:cs="Times New Roman"/>
                <w:color w:val="auto"/>
                <w:sz w:val="20"/>
                <w:highlight w:val="none"/>
                <w:lang w:val="en-US" w:eastAsia="zh-Hans"/>
              </w:rPr>
              <w:t>可将</w:t>
            </w:r>
            <w:r>
              <w:rPr>
                <w:rFonts w:hint="eastAsia" w:ascii="Times New Roman" w:hAnsi="Times New Roman" w:cs="Times New Roman"/>
                <w:color w:val="auto"/>
                <w:sz w:val="20"/>
                <w:highlight w:val="none"/>
              </w:rPr>
              <w:t>起诉状、答辩状、执行申请书、立案受理通知书、开庭通知书、判决书、裁决书等各阶段案件重要</w:t>
            </w:r>
            <w:r>
              <w:rPr>
                <w:rFonts w:hint="eastAsia" w:ascii="Times New Roman" w:hAnsi="Times New Roman" w:cs="Times New Roman"/>
                <w:color w:val="auto"/>
                <w:sz w:val="20"/>
                <w:highlight w:val="none"/>
                <w:lang w:val="en-US" w:eastAsia="zh-Hans"/>
              </w:rPr>
              <w:t>材料规范整理、打包、</w:t>
            </w:r>
            <w:r>
              <w:rPr>
                <w:rFonts w:hint="eastAsia" w:ascii="Times New Roman" w:hAnsi="Times New Roman" w:cs="Times New Roman"/>
                <w:color w:val="auto"/>
                <w:sz w:val="20"/>
                <w:highlight w:val="none"/>
              </w:rPr>
              <w:t>归档</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rPr>
              <w:t>保存</w:t>
            </w:r>
            <w:r>
              <w:rPr>
                <w:rFonts w:hint="eastAsia" w:ascii="Times New Roman" w:hAnsi="Times New Roman" w:cs="Times New Roman"/>
                <w:color w:val="auto"/>
                <w:sz w:val="20"/>
                <w:highlight w:val="none"/>
                <w:lang w:eastAsia="zh-Hans"/>
              </w:rPr>
              <w:t>。</w:t>
            </w:r>
          </w:p>
        </w:tc>
      </w:tr>
      <w:tr w14:paraId="2CE2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1E56E64">
            <w:pPr>
              <w:ind w:firstLine="0" w:firstLineChars="0"/>
              <w:rPr>
                <w:rFonts w:hint="default" w:ascii="宋体" w:cs="Times New Roman"/>
                <w:color w:val="auto"/>
                <w:sz w:val="20"/>
                <w:highlight w:val="none"/>
              </w:rPr>
            </w:pPr>
            <w:r>
              <w:rPr>
                <w:rFonts w:hint="default" w:ascii="宋体" w:cs="Times New Roman"/>
                <w:color w:val="auto"/>
                <w:sz w:val="20"/>
                <w:highlight w:val="none"/>
              </w:rPr>
              <w:t>23</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02346514">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6768977E">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FB6220C">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档案管理</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960CCDE">
            <w:pPr>
              <w:rPr>
                <w:rFonts w:hint="default" w:ascii="Times New Roman" w:hAnsi="Times New Roman" w:cs="Times New Roman"/>
                <w:color w:val="auto"/>
                <w:sz w:val="20"/>
                <w:highlight w:val="none"/>
                <w:lang w:val="en-US"/>
              </w:rPr>
            </w:pPr>
            <w:r>
              <w:rPr>
                <w:rFonts w:hint="eastAsia" w:ascii="Times New Roman" w:hAnsi="Times New Roman" w:cs="Times New Roman"/>
                <w:color w:val="auto"/>
                <w:sz w:val="20"/>
                <w:highlight w:val="none"/>
              </w:rPr>
              <w:t>案件档案</w:t>
            </w:r>
            <w:r>
              <w:rPr>
                <w:rFonts w:hint="eastAsia" w:ascii="Times New Roman" w:hAnsi="Times New Roman" w:cs="Times New Roman"/>
                <w:color w:val="auto"/>
                <w:sz w:val="20"/>
                <w:highlight w:val="none"/>
                <w:lang w:val="en-US" w:eastAsia="zh-Hans"/>
              </w:rPr>
              <w:t>可上传、查阅、导出，可传输至比选人档案管理系统，案件档案格式、形式、保存时限等均符合比选人档案管理相关要求</w:t>
            </w:r>
            <w:r>
              <w:rPr>
                <w:rFonts w:hint="eastAsia" w:ascii="Times New Roman" w:hAnsi="Times New Roman" w:cs="Times New Roman"/>
                <w:color w:val="auto"/>
                <w:sz w:val="20"/>
                <w:highlight w:val="none"/>
              </w:rPr>
              <w:t>。</w:t>
            </w:r>
          </w:p>
        </w:tc>
      </w:tr>
      <w:tr w14:paraId="095B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737FE22D">
            <w:pPr>
              <w:ind w:firstLine="0" w:firstLineChars="0"/>
              <w:rPr>
                <w:rFonts w:hint="default" w:ascii="宋体" w:cs="Times New Roman"/>
                <w:color w:val="auto"/>
                <w:sz w:val="20"/>
                <w:highlight w:val="none"/>
              </w:rPr>
            </w:pPr>
            <w:r>
              <w:rPr>
                <w:rFonts w:hint="default" w:ascii="宋体" w:cs="Times New Roman"/>
                <w:color w:val="auto"/>
                <w:sz w:val="20"/>
                <w:highlight w:val="none"/>
              </w:rPr>
              <w:t>24</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05B3F5B6">
            <w:pPr>
              <w:ind w:firstLine="0" w:firstLineChars="0"/>
              <w:rPr>
                <w:rFonts w:ascii="Times New Roman" w:hAnsi="Times New Roman" w:cs="Times New Roman"/>
                <w:b/>
                <w:color w:val="auto"/>
                <w:sz w:val="20"/>
                <w:highlight w:val="none"/>
              </w:rPr>
            </w:pPr>
          </w:p>
        </w:tc>
        <w:tc>
          <w:tcPr>
            <w:tcW w:w="740" w:type="dxa"/>
            <w:vMerge w:val="restart"/>
            <w:tcBorders>
              <w:top w:val="single" w:color="auto" w:sz="4" w:space="0"/>
              <w:left w:val="single" w:color="auto" w:sz="4" w:space="0"/>
              <w:right w:val="single" w:color="auto" w:sz="4" w:space="0"/>
              <w:tl2br w:val="nil"/>
              <w:tr2bl w:val="nil"/>
            </w:tcBorders>
            <w:shd w:val="clear" w:color="FFFFFF" w:fill="FFFFFF"/>
            <w:noWrap/>
            <w:vAlign w:val="center"/>
          </w:tcPr>
          <w:p w14:paraId="10861FCB">
            <w:pPr>
              <w:ind w:firstLine="0" w:firstLineChars="0"/>
              <w:rPr>
                <w:rFonts w:ascii="Times New Roman" w:hAnsi="Times New Roman" w:cs="Times New Roman"/>
                <w:b/>
                <w:color w:val="auto"/>
                <w:sz w:val="20"/>
                <w:highlight w:val="none"/>
              </w:rPr>
            </w:pPr>
            <w:r>
              <w:rPr>
                <w:rFonts w:hint="eastAsia" w:ascii="Times New Roman" w:hAnsi="Times New Roman" w:cs="Times New Roman"/>
                <w:b/>
                <w:color w:val="auto"/>
                <w:sz w:val="20"/>
                <w:highlight w:val="none"/>
              </w:rPr>
              <w:t>案件权限管理</w:t>
            </w: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7CBDCD0C">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信息同步</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E4EF0FD">
            <w:pPr>
              <w:rPr>
                <w:rFonts w:hint="eastAsia" w:ascii="Times New Roman" w:hAnsi="Times New Roman" w:eastAsia="宋体" w:cs="Times New Roman"/>
                <w:color w:val="auto"/>
                <w:sz w:val="20"/>
                <w:highlight w:val="none"/>
                <w:lang w:eastAsia="zh-Hans"/>
              </w:rPr>
            </w:pPr>
            <w:r>
              <w:rPr>
                <w:rFonts w:hint="eastAsia" w:ascii="Times New Roman" w:hAnsi="Times New Roman" w:cs="Times New Roman"/>
                <w:color w:val="auto"/>
                <w:sz w:val="20"/>
                <w:highlight w:val="none"/>
                <w:lang w:val="en-US" w:eastAsia="zh-Hans"/>
              </w:rPr>
              <w:t>比选人内设机构、部门、分支行及员工</w:t>
            </w:r>
            <w:r>
              <w:rPr>
                <w:rFonts w:hint="eastAsia" w:ascii="Times New Roman" w:hAnsi="Times New Roman" w:cs="Times New Roman"/>
                <w:color w:val="auto"/>
                <w:sz w:val="20"/>
                <w:highlight w:val="none"/>
              </w:rPr>
              <w:t>信息同步</w:t>
            </w:r>
            <w:r>
              <w:rPr>
                <w:rFonts w:hint="eastAsia" w:ascii="Times New Roman" w:hAnsi="Times New Roman" w:cs="Times New Roman"/>
                <w:color w:val="auto"/>
                <w:sz w:val="20"/>
                <w:highlight w:val="none"/>
                <w:lang w:eastAsia="zh-Hans"/>
              </w:rPr>
              <w:t>。</w:t>
            </w:r>
          </w:p>
        </w:tc>
      </w:tr>
      <w:tr w14:paraId="50A4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3453E43">
            <w:pPr>
              <w:ind w:firstLine="0" w:firstLineChars="0"/>
              <w:rPr>
                <w:rFonts w:hint="default" w:ascii="宋体" w:cs="Times New Roman"/>
                <w:color w:val="auto"/>
                <w:sz w:val="20"/>
                <w:highlight w:val="none"/>
              </w:rPr>
            </w:pPr>
            <w:r>
              <w:rPr>
                <w:rFonts w:hint="default" w:ascii="宋体" w:cs="Times New Roman"/>
                <w:color w:val="auto"/>
                <w:sz w:val="20"/>
                <w:highlight w:val="none"/>
              </w:rPr>
              <w:t>25</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5381695E">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19253F12">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818551A">
            <w:pPr>
              <w:ind w:firstLine="0" w:firstLineChars="0"/>
              <w:rPr>
                <w:rFonts w:hint="default" w:ascii="Times New Roman" w:hAnsi="Times New Roman" w:eastAsia="宋体"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案件移交</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6F865F78">
            <w:pPr>
              <w:rPr>
                <w:rFonts w:ascii="Times New Roman" w:hAnsi="Times New Roman" w:cs="Times New Roman"/>
                <w:color w:val="auto"/>
                <w:sz w:val="20"/>
                <w:highlight w:val="none"/>
              </w:rPr>
            </w:pPr>
            <w:r>
              <w:rPr>
                <w:rFonts w:hint="eastAsia" w:ascii="Times New Roman" w:hAnsi="Times New Roman" w:cs="Times New Roman"/>
                <w:color w:val="auto"/>
                <w:sz w:val="20"/>
                <w:highlight w:val="none"/>
                <w:lang w:val="en-US" w:eastAsia="zh-Hans"/>
              </w:rPr>
              <w:t>个</w:t>
            </w:r>
            <w:r>
              <w:rPr>
                <w:rFonts w:hint="eastAsia" w:ascii="Times New Roman" w:hAnsi="Times New Roman" w:cs="Times New Roman"/>
                <w:color w:val="auto"/>
                <w:sz w:val="20"/>
                <w:highlight w:val="none"/>
              </w:rPr>
              <w:t>案</w:t>
            </w:r>
            <w:r>
              <w:rPr>
                <w:rFonts w:hint="eastAsia" w:ascii="Times New Roman" w:hAnsi="Times New Roman" w:cs="Times New Roman"/>
                <w:color w:val="auto"/>
                <w:sz w:val="20"/>
                <w:highlight w:val="none"/>
                <w:lang w:val="en-US" w:eastAsia="zh-Hans"/>
              </w:rPr>
              <w:t>管理权限</w:t>
            </w:r>
            <w:r>
              <w:rPr>
                <w:rFonts w:hint="eastAsia" w:ascii="Times New Roman" w:hAnsi="Times New Roman" w:cs="Times New Roman"/>
                <w:color w:val="auto"/>
                <w:sz w:val="20"/>
                <w:highlight w:val="none"/>
              </w:rPr>
              <w:t>主动、指定等移交</w:t>
            </w:r>
            <w:r>
              <w:rPr>
                <w:rFonts w:hint="eastAsia" w:ascii="Times New Roman" w:hAnsi="Times New Roman" w:cs="Times New Roman"/>
                <w:color w:val="auto"/>
                <w:sz w:val="20"/>
                <w:highlight w:val="none"/>
                <w:lang w:val="en-US" w:eastAsia="zh-Hans"/>
              </w:rPr>
              <w:t>流程，可单笔</w:t>
            </w:r>
            <w:r>
              <w:rPr>
                <w:rFonts w:hint="default"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批量移交，移交流程、记录须保存</w:t>
            </w:r>
            <w:r>
              <w:rPr>
                <w:rFonts w:hint="eastAsia" w:ascii="Times New Roman" w:hAnsi="Times New Roman" w:cs="Times New Roman"/>
                <w:color w:val="auto"/>
                <w:sz w:val="20"/>
                <w:highlight w:val="none"/>
              </w:rPr>
              <w:t>。</w:t>
            </w:r>
          </w:p>
        </w:tc>
      </w:tr>
      <w:tr w14:paraId="23B9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6EF7976C">
            <w:pPr>
              <w:ind w:firstLine="0" w:firstLineChars="0"/>
              <w:rPr>
                <w:rFonts w:hint="default" w:ascii="宋体" w:cs="Times New Roman"/>
                <w:color w:val="auto"/>
                <w:sz w:val="20"/>
                <w:highlight w:val="none"/>
              </w:rPr>
            </w:pPr>
            <w:r>
              <w:rPr>
                <w:rFonts w:hint="default" w:ascii="宋体" w:cs="Times New Roman"/>
                <w:color w:val="auto"/>
                <w:sz w:val="20"/>
                <w:highlight w:val="none"/>
              </w:rPr>
              <w:t>26</w:t>
            </w:r>
          </w:p>
        </w:tc>
        <w:tc>
          <w:tcPr>
            <w:tcW w:w="909" w:type="dxa"/>
            <w:vMerge w:val="continue"/>
            <w:tcBorders>
              <w:left w:val="single" w:color="auto" w:sz="4" w:space="0"/>
              <w:right w:val="single" w:color="auto" w:sz="4" w:space="0"/>
              <w:tl2br w:val="nil"/>
              <w:tr2bl w:val="nil"/>
            </w:tcBorders>
            <w:shd w:val="clear" w:color="FFFFFF" w:fill="FFFFFF"/>
            <w:noWrap/>
            <w:vAlign w:val="center"/>
          </w:tcPr>
          <w:p w14:paraId="24971F39">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right w:val="single" w:color="auto" w:sz="4" w:space="0"/>
              <w:tl2br w:val="nil"/>
              <w:tr2bl w:val="nil"/>
            </w:tcBorders>
            <w:shd w:val="clear" w:color="FFFFFF" w:fill="FFFFFF"/>
            <w:noWrap/>
            <w:vAlign w:val="center"/>
          </w:tcPr>
          <w:p w14:paraId="38278A5C">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5ABEE3F3">
            <w:pPr>
              <w:ind w:firstLine="0" w:firstLineChars="0"/>
              <w:rPr>
                <w:rFonts w:hint="eastAsia" w:ascii="Times New Roman" w:hAnsi="Times New Roman" w:cs="Times New Roman"/>
                <w:b/>
                <w:color w:val="auto"/>
                <w:sz w:val="20"/>
                <w:highlight w:val="none"/>
                <w:lang w:val="en-US" w:eastAsia="zh-Hans"/>
              </w:rPr>
            </w:pPr>
            <w:r>
              <w:rPr>
                <w:rFonts w:hint="eastAsia" w:ascii="Times New Roman" w:hAnsi="Times New Roman" w:cs="Times New Roman"/>
                <w:b/>
                <w:color w:val="auto"/>
                <w:sz w:val="20"/>
                <w:highlight w:val="none"/>
                <w:lang w:val="en-US" w:eastAsia="zh-Hans"/>
              </w:rPr>
              <w:t>权限管理</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42FDEF3B">
            <w:pPr>
              <w:rPr>
                <w:rFonts w:hint="eastAsia" w:ascii="Times New Roman" w:hAnsi="Times New Roman" w:cs="Times New Roman"/>
                <w:color w:val="auto"/>
                <w:sz w:val="20"/>
                <w:highlight w:val="none"/>
                <w:lang w:val="en-US" w:eastAsia="zh-Hans"/>
              </w:rPr>
            </w:pPr>
            <w:r>
              <w:rPr>
                <w:rFonts w:hint="eastAsia" w:ascii="Times New Roman" w:hAnsi="Times New Roman" w:cs="Times New Roman"/>
                <w:color w:val="auto"/>
                <w:sz w:val="20"/>
                <w:highlight w:val="none"/>
              </w:rPr>
              <w:t>案件审查审批、案件进展跟踪监测、代理管理、</w:t>
            </w:r>
            <w:r>
              <w:rPr>
                <w:rFonts w:hint="eastAsia" w:ascii="Times New Roman" w:hAnsi="Times New Roman" w:cs="Times New Roman"/>
                <w:color w:val="auto"/>
                <w:sz w:val="20"/>
                <w:highlight w:val="none"/>
                <w:lang w:val="en-US" w:eastAsia="zh-Hans"/>
              </w:rPr>
              <w:t>费用管理、</w:t>
            </w:r>
            <w:r>
              <w:rPr>
                <w:rFonts w:hint="eastAsia" w:ascii="Times New Roman" w:hAnsi="Times New Roman" w:cs="Times New Roman"/>
                <w:color w:val="auto"/>
                <w:sz w:val="20"/>
                <w:highlight w:val="none"/>
              </w:rPr>
              <w:t>案件信息查询/统计/分析</w:t>
            </w:r>
            <w:r>
              <w:rPr>
                <w:rFonts w:hint="eastAsia"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档案管理</w:t>
            </w:r>
            <w:r>
              <w:rPr>
                <w:rFonts w:hint="eastAsia" w:ascii="Times New Roman" w:hAnsi="Times New Roman" w:cs="Times New Roman"/>
                <w:color w:val="auto"/>
                <w:sz w:val="20"/>
                <w:highlight w:val="none"/>
              </w:rPr>
              <w:t>等各项权限可</w:t>
            </w:r>
            <w:r>
              <w:rPr>
                <w:rFonts w:hint="eastAsia" w:ascii="Times New Roman" w:hAnsi="Times New Roman" w:cs="Times New Roman"/>
                <w:color w:val="auto"/>
                <w:sz w:val="20"/>
                <w:highlight w:val="none"/>
                <w:lang w:val="en-US" w:eastAsia="zh-Hans"/>
              </w:rPr>
              <w:t>按不同层级、岗位等进行权限设置、管理</w:t>
            </w:r>
            <w:r>
              <w:rPr>
                <w:rFonts w:hint="eastAsia" w:ascii="Times New Roman" w:hAnsi="Times New Roman" w:cs="Times New Roman"/>
                <w:color w:val="auto"/>
                <w:sz w:val="20"/>
                <w:highlight w:val="none"/>
              </w:rPr>
              <w:t>。</w:t>
            </w:r>
          </w:p>
        </w:tc>
      </w:tr>
      <w:tr w14:paraId="19A0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31501A7">
            <w:pPr>
              <w:ind w:firstLine="0" w:firstLineChars="0"/>
              <w:rPr>
                <w:rFonts w:hint="default" w:ascii="宋体" w:cs="Times New Roman"/>
                <w:color w:val="auto"/>
                <w:sz w:val="20"/>
                <w:highlight w:val="none"/>
              </w:rPr>
            </w:pPr>
            <w:r>
              <w:rPr>
                <w:rFonts w:hint="default" w:ascii="宋体" w:cs="Times New Roman"/>
                <w:color w:val="auto"/>
                <w:sz w:val="20"/>
                <w:highlight w:val="none"/>
              </w:rPr>
              <w:t>27</w:t>
            </w:r>
          </w:p>
        </w:tc>
        <w:tc>
          <w:tcPr>
            <w:tcW w:w="909" w:type="dxa"/>
            <w:vMerge w:val="continue"/>
            <w:tcBorders>
              <w:left w:val="single" w:color="auto" w:sz="4" w:space="0"/>
              <w:bottom w:val="single" w:color="auto" w:sz="4" w:space="0"/>
              <w:right w:val="single" w:color="auto" w:sz="4" w:space="0"/>
              <w:tl2br w:val="nil"/>
              <w:tr2bl w:val="nil"/>
            </w:tcBorders>
            <w:shd w:val="clear" w:color="FFFFFF" w:fill="FFFFFF"/>
            <w:noWrap/>
            <w:vAlign w:val="center"/>
          </w:tcPr>
          <w:p w14:paraId="6228CF0F">
            <w:pPr>
              <w:ind w:firstLine="0" w:firstLineChars="0"/>
              <w:rPr>
                <w:rFonts w:ascii="Times New Roman" w:hAnsi="Times New Roman" w:cs="Times New Roman"/>
                <w:b/>
                <w:color w:val="auto"/>
                <w:sz w:val="20"/>
                <w:highlight w:val="none"/>
              </w:rPr>
            </w:pPr>
          </w:p>
        </w:tc>
        <w:tc>
          <w:tcPr>
            <w:tcW w:w="740" w:type="dxa"/>
            <w:vMerge w:val="continue"/>
            <w:tcBorders>
              <w:left w:val="single" w:color="auto" w:sz="4" w:space="0"/>
              <w:bottom w:val="single" w:color="auto" w:sz="4" w:space="0"/>
              <w:right w:val="single" w:color="auto" w:sz="4" w:space="0"/>
              <w:tl2br w:val="nil"/>
              <w:tr2bl w:val="nil"/>
            </w:tcBorders>
            <w:shd w:val="clear" w:color="FFFFFF" w:fill="FFFFFF"/>
            <w:noWrap/>
            <w:vAlign w:val="center"/>
          </w:tcPr>
          <w:p w14:paraId="19A7C738">
            <w:pPr>
              <w:ind w:firstLine="0" w:firstLineChars="0"/>
              <w:rPr>
                <w:rFonts w:ascii="Times New Roman" w:hAnsi="Times New Roman" w:cs="Times New Roman"/>
                <w:b/>
                <w:color w:val="auto"/>
                <w:sz w:val="20"/>
                <w:highlight w:val="none"/>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04874BC9">
            <w:pPr>
              <w:ind w:firstLine="0" w:firstLineChars="0"/>
              <w:rPr>
                <w:rFonts w:hint="default" w:ascii="Times New Roman" w:hAnsi="Times New Roman" w:cs="Times New Roman"/>
                <w:b/>
                <w:color w:val="auto"/>
                <w:sz w:val="20"/>
                <w:highlight w:val="none"/>
                <w:lang w:val="en-US"/>
              </w:rPr>
            </w:pPr>
            <w:r>
              <w:rPr>
                <w:rFonts w:hint="eastAsia" w:ascii="Times New Roman" w:hAnsi="Times New Roman" w:cs="Times New Roman"/>
                <w:b/>
                <w:color w:val="auto"/>
                <w:sz w:val="20"/>
                <w:highlight w:val="none"/>
                <w:lang w:val="en-US" w:eastAsia="zh-Hans"/>
              </w:rPr>
              <w:t>可配置化</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FFFFFF" w:fill="FFFFFF"/>
            <w:noWrap/>
            <w:vAlign w:val="center"/>
          </w:tcPr>
          <w:p w14:paraId="36F835E8">
            <w:pPr>
              <w:rPr>
                <w:rFonts w:hint="default" w:ascii="Times New Roman" w:hAnsi="Times New Roman" w:eastAsia="宋体" w:cs="Times New Roman"/>
                <w:color w:val="auto"/>
                <w:sz w:val="20"/>
                <w:highlight w:val="none"/>
                <w:lang w:val="en-US" w:eastAsia="zh-Hans"/>
              </w:rPr>
            </w:pPr>
            <w:r>
              <w:rPr>
                <w:rFonts w:hint="eastAsia" w:ascii="Times New Roman" w:hAnsi="Times New Roman" w:cs="Times New Roman"/>
                <w:color w:val="auto"/>
                <w:sz w:val="20"/>
                <w:highlight w:val="none"/>
                <w:lang w:val="en-US" w:eastAsia="zh-Hans"/>
              </w:rPr>
              <w:t>管理内容可配置化程度高，如</w:t>
            </w:r>
            <w:r>
              <w:rPr>
                <w:rFonts w:hint="eastAsia" w:ascii="Times New Roman" w:hAnsi="Times New Roman" w:cs="Times New Roman"/>
                <w:color w:val="auto"/>
                <w:sz w:val="20"/>
                <w:highlight w:val="none"/>
              </w:rPr>
              <w:t>案件</w:t>
            </w:r>
            <w:r>
              <w:rPr>
                <w:rFonts w:hint="eastAsia" w:ascii="Times New Roman" w:hAnsi="Times New Roman" w:cs="Times New Roman"/>
                <w:color w:val="auto"/>
                <w:sz w:val="20"/>
                <w:highlight w:val="none"/>
                <w:lang w:val="en-US" w:eastAsia="zh-Hans"/>
              </w:rPr>
              <w:t>审查审批</w:t>
            </w:r>
            <w:r>
              <w:rPr>
                <w:rFonts w:hint="eastAsia" w:ascii="Times New Roman" w:hAnsi="Times New Roman" w:cs="Times New Roman"/>
                <w:color w:val="auto"/>
                <w:sz w:val="20"/>
                <w:highlight w:val="none"/>
              </w:rPr>
              <w:t>具体内容、</w:t>
            </w:r>
            <w:r>
              <w:rPr>
                <w:rFonts w:hint="eastAsia" w:ascii="Times New Roman" w:hAnsi="Times New Roman" w:cs="Times New Roman"/>
                <w:color w:val="auto"/>
                <w:sz w:val="20"/>
                <w:highlight w:val="none"/>
                <w:lang w:val="en-US" w:eastAsia="zh-Hans"/>
              </w:rPr>
              <w:t>各管理流程节点、</w:t>
            </w:r>
            <w:r>
              <w:rPr>
                <w:rFonts w:hint="eastAsia" w:ascii="Times New Roman" w:hAnsi="Times New Roman" w:cs="Times New Roman"/>
                <w:color w:val="auto"/>
                <w:sz w:val="20"/>
                <w:highlight w:val="none"/>
              </w:rPr>
              <w:t>案件跟踪填报</w:t>
            </w:r>
            <w:r>
              <w:rPr>
                <w:rFonts w:hint="eastAsia" w:ascii="Times New Roman" w:hAnsi="Times New Roman" w:cs="Times New Roman"/>
                <w:color w:val="auto"/>
                <w:sz w:val="20"/>
                <w:highlight w:val="none"/>
                <w:lang w:val="en-US" w:eastAsia="zh-Hans"/>
              </w:rPr>
              <w:t>的</w:t>
            </w:r>
            <w:r>
              <w:rPr>
                <w:rFonts w:hint="eastAsia" w:ascii="Times New Roman" w:hAnsi="Times New Roman" w:cs="Times New Roman"/>
                <w:color w:val="auto"/>
                <w:sz w:val="20"/>
                <w:highlight w:val="none"/>
              </w:rPr>
              <w:t>具体信息、</w:t>
            </w:r>
            <w:r>
              <w:rPr>
                <w:rFonts w:hint="eastAsia" w:ascii="Times New Roman" w:hAnsi="Times New Roman" w:cs="Times New Roman"/>
                <w:color w:val="auto"/>
                <w:sz w:val="20"/>
                <w:highlight w:val="none"/>
                <w:lang w:val="en-US" w:eastAsia="zh-Hans"/>
              </w:rPr>
              <w:t>各管理</w:t>
            </w:r>
            <w:r>
              <w:rPr>
                <w:rFonts w:hint="default"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提醒</w:t>
            </w:r>
            <w:r>
              <w:rPr>
                <w:rFonts w:hint="default"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lang w:val="en-US" w:eastAsia="zh-Hans"/>
              </w:rPr>
              <w:t>跟踪的期限、统计</w:t>
            </w:r>
            <w:r>
              <w:rPr>
                <w:rFonts w:hint="eastAsia" w:ascii="Times New Roman" w:hAnsi="Times New Roman" w:cs="Times New Roman"/>
                <w:color w:val="auto"/>
                <w:sz w:val="20"/>
                <w:highlight w:val="none"/>
              </w:rPr>
              <w:t>分析</w:t>
            </w:r>
            <w:r>
              <w:rPr>
                <w:rFonts w:hint="eastAsia" w:ascii="Times New Roman" w:hAnsi="Times New Roman" w:cs="Times New Roman"/>
                <w:color w:val="auto"/>
                <w:sz w:val="20"/>
                <w:highlight w:val="none"/>
                <w:lang w:val="en-US" w:eastAsia="zh-Hans"/>
              </w:rPr>
              <w:t>的信息</w:t>
            </w:r>
            <w:r>
              <w:rPr>
                <w:rFonts w:hint="default" w:ascii="Times New Roman" w:hAnsi="Times New Roman" w:cs="Times New Roman"/>
                <w:color w:val="auto"/>
                <w:sz w:val="20"/>
                <w:highlight w:val="none"/>
                <w:lang w:eastAsia="zh-Hans"/>
              </w:rPr>
              <w:t>/</w:t>
            </w:r>
            <w:r>
              <w:rPr>
                <w:rFonts w:hint="eastAsia" w:ascii="Times New Roman" w:hAnsi="Times New Roman" w:cs="Times New Roman"/>
                <w:color w:val="auto"/>
                <w:sz w:val="20"/>
                <w:highlight w:val="none"/>
              </w:rPr>
              <w:t>维度</w:t>
            </w:r>
            <w:r>
              <w:rPr>
                <w:rFonts w:hint="default" w:ascii="Times New Roman" w:hAnsi="Times New Roman" w:cs="Times New Roman"/>
                <w:color w:val="auto"/>
                <w:sz w:val="20"/>
                <w:highlight w:val="none"/>
              </w:rPr>
              <w:t>/</w:t>
            </w:r>
            <w:r>
              <w:rPr>
                <w:rFonts w:hint="eastAsia" w:ascii="Times New Roman" w:hAnsi="Times New Roman" w:cs="Times New Roman"/>
                <w:color w:val="auto"/>
                <w:sz w:val="20"/>
                <w:highlight w:val="none"/>
              </w:rPr>
              <w:t>规则</w:t>
            </w:r>
            <w:r>
              <w:rPr>
                <w:rFonts w:hint="eastAsia" w:ascii="Times New Roman" w:hAnsi="Times New Roman" w:cs="Times New Roman"/>
                <w:color w:val="auto"/>
                <w:sz w:val="20"/>
                <w:highlight w:val="none"/>
                <w:lang w:val="en-US" w:eastAsia="zh-Hans"/>
              </w:rPr>
              <w:t>等</w:t>
            </w:r>
            <w:r>
              <w:rPr>
                <w:rFonts w:hint="eastAsia" w:ascii="Times New Roman" w:hAnsi="Times New Roman" w:cs="Times New Roman"/>
                <w:color w:val="auto"/>
                <w:sz w:val="20"/>
                <w:highlight w:val="none"/>
              </w:rPr>
              <w:t>。</w:t>
            </w:r>
          </w:p>
        </w:tc>
      </w:tr>
      <w:tr w14:paraId="0B1B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7A31443D">
            <w:pPr>
              <w:ind w:firstLine="0" w:firstLineChars="0"/>
              <w:jc w:val="both"/>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28</w:t>
            </w:r>
          </w:p>
        </w:tc>
        <w:tc>
          <w:tcPr>
            <w:tcW w:w="909"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87B415F">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系统建设（技术测试）</w:t>
            </w:r>
          </w:p>
        </w:tc>
        <w:tc>
          <w:tcPr>
            <w:tcW w:w="1947" w:type="dxa"/>
            <w:gridSpan w:val="2"/>
            <w:vMerge w:val="restart"/>
            <w:tcBorders>
              <w:top w:val="single" w:color="auto" w:sz="6" w:space="0"/>
              <w:left w:val="single" w:color="auto" w:sz="6" w:space="0"/>
              <w:bottom w:val="nil"/>
              <w:right w:val="single" w:color="auto" w:sz="6" w:space="0"/>
              <w:tl2br w:val="nil"/>
              <w:tr2bl w:val="nil"/>
            </w:tcBorders>
            <w:noWrap/>
            <w:vAlign w:val="center"/>
          </w:tcPr>
          <w:p w14:paraId="78F03138">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整体界面要求</w:t>
            </w: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76FF25E5">
            <w:pPr>
              <w:rPr>
                <w:rFonts w:ascii="Times New Roman" w:hAnsi="Times New Roman" w:cs="Times New Roman"/>
                <w:color w:val="auto"/>
                <w:sz w:val="20"/>
                <w:highlight w:val="none"/>
              </w:rPr>
            </w:pPr>
            <w:r>
              <w:rPr>
                <w:rFonts w:ascii="Times New Roman" w:hAnsi="Times New Roman" w:cs="Times New Roman"/>
                <w:color w:val="auto"/>
                <w:sz w:val="20"/>
                <w:highlight w:val="none"/>
              </w:rPr>
              <w:t>1.页面支持PC端主流浏览器（谷歌、奇安信等）的正常展示，且页面展示布局合理、界面美观、各页面风格一致。</w:t>
            </w:r>
          </w:p>
        </w:tc>
      </w:tr>
      <w:tr w14:paraId="2811F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507439B5">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29</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C2DCBD1">
            <w:pPr>
              <w:rPr>
                <w:color w:val="auto"/>
                <w:highlight w:val="none"/>
              </w:rPr>
            </w:pPr>
          </w:p>
        </w:tc>
        <w:tc>
          <w:tcPr>
            <w:tcW w:w="1947" w:type="dxa"/>
            <w:gridSpan w:val="2"/>
            <w:vMerge w:val="continue"/>
            <w:tcBorders>
              <w:top w:val="nil"/>
              <w:left w:val="single" w:color="auto" w:sz="6" w:space="0"/>
              <w:bottom w:val="nil"/>
              <w:right w:val="single" w:color="auto" w:sz="6" w:space="0"/>
              <w:tl2br w:val="nil"/>
              <w:tr2bl w:val="nil"/>
            </w:tcBorders>
            <w:noWrap/>
            <w:vAlign w:val="center"/>
          </w:tcPr>
          <w:p w14:paraId="4BB039A2">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7A050291">
            <w:pPr>
              <w:rPr>
                <w:rFonts w:ascii="Times New Roman" w:hAnsi="Times New Roman" w:cs="Times New Roman"/>
                <w:color w:val="auto"/>
                <w:sz w:val="20"/>
                <w:highlight w:val="none"/>
              </w:rPr>
            </w:pPr>
            <w:r>
              <w:rPr>
                <w:rFonts w:ascii="Times New Roman" w:hAnsi="Times New Roman" w:cs="Times New Roman"/>
                <w:color w:val="auto"/>
                <w:sz w:val="20"/>
                <w:highlight w:val="none"/>
              </w:rPr>
              <w:t>2.交易界面各输入项分布合理，界面应具有必输字段校验，关联输入项之间应有提示。</w:t>
            </w:r>
          </w:p>
        </w:tc>
      </w:tr>
      <w:tr w14:paraId="7AEE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263BA20A">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30</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76DEE1F">
            <w:pPr>
              <w:rPr>
                <w:color w:val="auto"/>
                <w:highlight w:val="none"/>
              </w:rPr>
            </w:pPr>
          </w:p>
        </w:tc>
        <w:tc>
          <w:tcPr>
            <w:tcW w:w="1947" w:type="dxa"/>
            <w:gridSpan w:val="2"/>
            <w:vMerge w:val="continue"/>
            <w:tcBorders>
              <w:top w:val="nil"/>
              <w:left w:val="single" w:color="auto" w:sz="6" w:space="0"/>
              <w:bottom w:val="nil"/>
              <w:right w:val="single" w:color="auto" w:sz="6" w:space="0"/>
              <w:tl2br w:val="nil"/>
              <w:tr2bl w:val="nil"/>
            </w:tcBorders>
            <w:noWrap/>
            <w:vAlign w:val="center"/>
          </w:tcPr>
          <w:p w14:paraId="6658E338">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34260A6B">
            <w:pPr>
              <w:rPr>
                <w:rFonts w:ascii="Times New Roman" w:hAnsi="Times New Roman" w:cs="Times New Roman"/>
                <w:color w:val="auto"/>
                <w:sz w:val="20"/>
                <w:highlight w:val="none"/>
              </w:rPr>
            </w:pPr>
            <w:r>
              <w:rPr>
                <w:rFonts w:ascii="Times New Roman" w:hAnsi="Times New Roman" w:cs="Times New Roman"/>
                <w:color w:val="auto"/>
                <w:sz w:val="20"/>
                <w:highlight w:val="none"/>
              </w:rPr>
              <w:t>3.交易界面应校验用户输入或提交信息的有效性和准确性，不符合规范能够及时有效的进行提示，如手机号、卡号、金额等正则校验。</w:t>
            </w:r>
          </w:p>
        </w:tc>
      </w:tr>
      <w:tr w14:paraId="69F5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294BEE38">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31</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6CB2D9">
            <w:pPr>
              <w:rPr>
                <w:color w:val="auto"/>
                <w:highlight w:val="none"/>
              </w:rPr>
            </w:pPr>
          </w:p>
        </w:tc>
        <w:tc>
          <w:tcPr>
            <w:tcW w:w="1947" w:type="dxa"/>
            <w:gridSpan w:val="2"/>
            <w:vMerge w:val="continue"/>
            <w:tcBorders>
              <w:top w:val="nil"/>
              <w:left w:val="single" w:color="auto" w:sz="6" w:space="0"/>
              <w:bottom w:val="nil"/>
              <w:right w:val="single" w:color="auto" w:sz="6" w:space="0"/>
              <w:tl2br w:val="nil"/>
              <w:tr2bl w:val="nil"/>
            </w:tcBorders>
            <w:noWrap/>
            <w:vAlign w:val="center"/>
          </w:tcPr>
          <w:p w14:paraId="6A14CDE0">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12959FB6">
            <w:pPr>
              <w:rPr>
                <w:rFonts w:ascii="Times New Roman" w:hAnsi="Times New Roman" w:cs="Times New Roman"/>
                <w:color w:val="auto"/>
                <w:sz w:val="20"/>
                <w:highlight w:val="none"/>
              </w:rPr>
            </w:pPr>
            <w:r>
              <w:rPr>
                <w:rFonts w:ascii="Times New Roman" w:hAnsi="Times New Roman" w:cs="Times New Roman"/>
                <w:color w:val="auto"/>
                <w:sz w:val="20"/>
                <w:highlight w:val="none"/>
              </w:rPr>
              <w:t>4.交易界面提交后有成功与失败提示，失败应有明确的失败报错信息。</w:t>
            </w:r>
          </w:p>
        </w:tc>
      </w:tr>
      <w:tr w14:paraId="0402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2C52A44D">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32</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1D07313">
            <w:pPr>
              <w:rPr>
                <w:color w:val="auto"/>
                <w:highlight w:val="none"/>
              </w:rPr>
            </w:pPr>
          </w:p>
        </w:tc>
        <w:tc>
          <w:tcPr>
            <w:tcW w:w="1947" w:type="dxa"/>
            <w:gridSpan w:val="2"/>
            <w:vMerge w:val="continue"/>
            <w:tcBorders>
              <w:top w:val="nil"/>
              <w:left w:val="single" w:color="auto" w:sz="6" w:space="0"/>
              <w:bottom w:val="nil"/>
              <w:right w:val="single" w:color="auto" w:sz="6" w:space="0"/>
              <w:tl2br w:val="nil"/>
              <w:tr2bl w:val="nil"/>
            </w:tcBorders>
            <w:noWrap/>
            <w:vAlign w:val="center"/>
          </w:tcPr>
          <w:p w14:paraId="106421FE">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48FE358C">
            <w:pPr>
              <w:rPr>
                <w:rFonts w:ascii="Times New Roman" w:hAnsi="Times New Roman" w:cs="Times New Roman"/>
                <w:color w:val="auto"/>
                <w:sz w:val="20"/>
                <w:highlight w:val="none"/>
              </w:rPr>
            </w:pPr>
            <w:r>
              <w:rPr>
                <w:rFonts w:ascii="Times New Roman" w:hAnsi="Times New Roman" w:cs="Times New Roman"/>
                <w:color w:val="auto"/>
                <w:sz w:val="20"/>
                <w:highlight w:val="none"/>
              </w:rPr>
              <w:t>5.交易提交失败报错后，返回原交易界面只需修改错误项，无需对其他正确项重新录入。</w:t>
            </w:r>
          </w:p>
        </w:tc>
      </w:tr>
      <w:tr w14:paraId="67A0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21FED7D1">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33</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8065AEE">
            <w:pPr>
              <w:rPr>
                <w:color w:val="auto"/>
                <w:highlight w:val="none"/>
              </w:rPr>
            </w:pPr>
          </w:p>
        </w:tc>
        <w:tc>
          <w:tcPr>
            <w:tcW w:w="1947" w:type="dxa"/>
            <w:gridSpan w:val="2"/>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FFC855E">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系统部署实施便捷性</w:t>
            </w: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1F19A6F0">
            <w:pPr>
              <w:rPr>
                <w:rFonts w:ascii="Times New Roman" w:hAnsi="Times New Roman" w:cs="Times New Roman"/>
                <w:color w:val="auto"/>
                <w:sz w:val="20"/>
                <w:highlight w:val="none"/>
              </w:rPr>
            </w:pPr>
            <w:r>
              <w:rPr>
                <w:rFonts w:ascii="Times New Roman" w:hAnsi="Times New Roman" w:cs="Times New Roman"/>
                <w:color w:val="auto"/>
                <w:sz w:val="20"/>
                <w:highlight w:val="none"/>
              </w:rPr>
              <w:t>1.系统启停：应用停止加启动时间不超过5分钟，有统一的启停脚本，方便系统启停。</w:t>
            </w:r>
          </w:p>
        </w:tc>
      </w:tr>
      <w:tr w14:paraId="7947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46C9FB36">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34</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50866A">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38B0EC">
            <w:pPr>
              <w:rPr>
                <w:color w:val="auto"/>
                <w:highlight w:val="none"/>
              </w:rPr>
            </w:pPr>
          </w:p>
        </w:tc>
        <w:tc>
          <w:tcPr>
            <w:tcW w:w="5311" w:type="dxa"/>
            <w:tcBorders>
              <w:top w:val="single" w:color="auto" w:sz="6" w:space="0"/>
              <w:left w:val="single" w:color="auto" w:sz="6" w:space="0"/>
              <w:bottom w:val="single" w:color="auto" w:sz="4" w:space="0"/>
              <w:right w:val="single" w:color="auto" w:sz="6" w:space="0"/>
              <w:tl2br w:val="nil"/>
              <w:tr2bl w:val="nil"/>
            </w:tcBorders>
            <w:noWrap/>
            <w:vAlign w:val="center"/>
          </w:tcPr>
          <w:p w14:paraId="60C4CAA0">
            <w:pPr>
              <w:rPr>
                <w:rFonts w:ascii="Times New Roman" w:hAnsi="Times New Roman" w:cs="Times New Roman"/>
                <w:color w:val="auto"/>
                <w:sz w:val="20"/>
                <w:highlight w:val="none"/>
              </w:rPr>
            </w:pPr>
            <w:r>
              <w:rPr>
                <w:rFonts w:ascii="Times New Roman" w:hAnsi="Times New Roman" w:cs="Times New Roman"/>
                <w:color w:val="auto"/>
                <w:sz w:val="20"/>
                <w:highlight w:val="none"/>
              </w:rPr>
              <w:t>2.系统发布：系统升级能够实现自动化发布、灰度发布和一键回退等功能，演示系统发布过程，查看系统部署的便捷性。</w:t>
            </w:r>
          </w:p>
        </w:tc>
      </w:tr>
      <w:tr w14:paraId="75CF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7053D951">
            <w:pPr>
              <w:ind w:firstLine="0" w:firstLineChars="0"/>
              <w:jc w:val="both"/>
              <w:rPr>
                <w:rFonts w:ascii="Times New Roman" w:hAnsi="Times New Roman" w:cs="Times New Roman"/>
                <w:color w:val="auto"/>
                <w:sz w:val="20"/>
                <w:highlight w:val="none"/>
              </w:rPr>
            </w:pPr>
            <w:r>
              <w:rPr>
                <w:rFonts w:hint="default" w:ascii="宋体" w:cs="Times New Roman"/>
                <w:color w:val="auto"/>
                <w:sz w:val="20"/>
                <w:highlight w:val="none"/>
              </w:rPr>
              <w:t>35</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5CA4D57">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4" w:space="0"/>
              <w:tl2br w:val="nil"/>
              <w:tr2bl w:val="nil"/>
            </w:tcBorders>
            <w:noWrap/>
            <w:vAlign w:val="center"/>
          </w:tcPr>
          <w:p w14:paraId="1363AA96">
            <w:pPr>
              <w:rPr>
                <w:color w:val="auto"/>
                <w:highlight w:val="none"/>
              </w:rPr>
            </w:pP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D82F709">
            <w:pPr>
              <w:rPr>
                <w:rFonts w:ascii="Times New Roman" w:hAnsi="Times New Roman" w:cs="Times New Roman"/>
                <w:color w:val="auto"/>
                <w:sz w:val="20"/>
                <w:highlight w:val="none"/>
              </w:rPr>
            </w:pPr>
            <w:r>
              <w:rPr>
                <w:rFonts w:ascii="Times New Roman" w:hAnsi="Times New Roman" w:cs="Times New Roman"/>
                <w:color w:val="auto"/>
                <w:sz w:val="20"/>
                <w:highlight w:val="none"/>
              </w:rPr>
              <w:t>3.系统部署：支持集群部署方式，应用系统逻辑独立，启停服务不相互影响。</w:t>
            </w:r>
          </w:p>
        </w:tc>
      </w:tr>
      <w:tr w14:paraId="0D74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165290FC">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36</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E700BFB">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4" w:space="0"/>
              <w:tl2br w:val="nil"/>
              <w:tr2bl w:val="nil"/>
            </w:tcBorders>
            <w:noWrap/>
            <w:vAlign w:val="center"/>
          </w:tcPr>
          <w:p w14:paraId="7005885B">
            <w:pPr>
              <w:rPr>
                <w:color w:val="auto"/>
                <w:highlight w:val="none"/>
              </w:rPr>
            </w:pPr>
          </w:p>
        </w:tc>
        <w:tc>
          <w:tcPr>
            <w:tcW w:w="5311" w:type="dxa"/>
            <w:tcBorders>
              <w:top w:val="single" w:color="auto" w:sz="4" w:space="0"/>
              <w:left w:val="single" w:color="auto" w:sz="4" w:space="0"/>
              <w:bottom w:val="single" w:color="auto" w:sz="4" w:space="0"/>
              <w:right w:val="single" w:color="auto" w:sz="4" w:space="0"/>
              <w:tl2br w:val="nil"/>
              <w:tr2bl w:val="nil"/>
            </w:tcBorders>
            <w:noWrap/>
            <w:vAlign w:val="center"/>
          </w:tcPr>
          <w:p w14:paraId="0E064DA9">
            <w:pPr>
              <w:rPr>
                <w:rFonts w:ascii="Times New Roman" w:hAnsi="Times New Roman" w:cs="Times New Roman"/>
                <w:color w:val="auto"/>
                <w:sz w:val="20"/>
                <w:highlight w:val="none"/>
              </w:rPr>
            </w:pPr>
            <w:r>
              <w:rPr>
                <w:rFonts w:ascii="Times New Roman" w:hAnsi="Times New Roman" w:cs="Times New Roman"/>
                <w:color w:val="auto"/>
                <w:sz w:val="20"/>
                <w:highlight w:val="none"/>
              </w:rPr>
              <w:t>4.系统可与比选人研发运维一体化平台完整对接，满足比选人的对接实施要求。（介绍在同业对接Devops研发效能平台和AiOps智能运维平台的实施案例）</w:t>
            </w:r>
          </w:p>
        </w:tc>
      </w:tr>
      <w:tr w14:paraId="73F3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26F9C907">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37</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FC1C81">
            <w:pPr>
              <w:rPr>
                <w:color w:val="auto"/>
                <w:highlight w:val="none"/>
              </w:rPr>
            </w:pPr>
          </w:p>
        </w:tc>
        <w:tc>
          <w:tcPr>
            <w:tcW w:w="1947" w:type="dxa"/>
            <w:gridSpan w:val="2"/>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7176B73">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系统安全要求</w:t>
            </w:r>
          </w:p>
        </w:tc>
        <w:tc>
          <w:tcPr>
            <w:tcW w:w="5311" w:type="dxa"/>
            <w:tcBorders>
              <w:top w:val="single" w:color="auto" w:sz="4" w:space="0"/>
              <w:left w:val="single" w:color="auto" w:sz="6" w:space="0"/>
              <w:bottom w:val="single" w:color="auto" w:sz="6" w:space="0"/>
              <w:right w:val="single" w:color="auto" w:sz="6" w:space="0"/>
              <w:tl2br w:val="nil"/>
              <w:tr2bl w:val="nil"/>
            </w:tcBorders>
            <w:noWrap/>
            <w:vAlign w:val="center"/>
          </w:tcPr>
          <w:p w14:paraId="78B23474">
            <w:pPr>
              <w:rPr>
                <w:rFonts w:ascii="Times New Roman" w:hAnsi="Times New Roman" w:cs="Times New Roman"/>
                <w:color w:val="auto"/>
                <w:sz w:val="20"/>
                <w:highlight w:val="none"/>
              </w:rPr>
            </w:pPr>
            <w:r>
              <w:rPr>
                <w:rFonts w:ascii="Times New Roman" w:hAnsi="Times New Roman" w:cs="Times New Roman"/>
                <w:color w:val="auto"/>
                <w:sz w:val="20"/>
                <w:highlight w:val="none"/>
              </w:rPr>
              <w:t>1.密码安全管理：长度8位及以上，至少包含大写，小写字母，数字，特殊字符中的三种或三种以上；</w:t>
            </w:r>
          </w:p>
        </w:tc>
      </w:tr>
      <w:tr w14:paraId="3D90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340610F5">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38</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FE170B4">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F41BFAB">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5F3AC404">
            <w:pPr>
              <w:rPr>
                <w:rFonts w:ascii="Times New Roman" w:hAnsi="Times New Roman" w:cs="Times New Roman"/>
                <w:color w:val="auto"/>
                <w:sz w:val="20"/>
                <w:highlight w:val="none"/>
              </w:rPr>
            </w:pPr>
            <w:r>
              <w:rPr>
                <w:rFonts w:ascii="Times New Roman" w:hAnsi="Times New Roman" w:cs="Times New Roman"/>
                <w:color w:val="auto"/>
                <w:sz w:val="20"/>
                <w:highlight w:val="none"/>
              </w:rPr>
              <w:t>2.密码安全管理：用户初次登录强制修改密码，不能使用和用户名相同的密码；</w:t>
            </w:r>
          </w:p>
        </w:tc>
      </w:tr>
      <w:tr w14:paraId="05F2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60D7BDF5">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39</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22E532">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F77013B">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2EEBBAF0">
            <w:pPr>
              <w:rPr>
                <w:rFonts w:ascii="Times New Roman" w:hAnsi="Times New Roman" w:cs="Times New Roman"/>
                <w:color w:val="auto"/>
                <w:sz w:val="20"/>
                <w:highlight w:val="none"/>
              </w:rPr>
            </w:pPr>
            <w:r>
              <w:rPr>
                <w:rFonts w:ascii="Times New Roman" w:hAnsi="Times New Roman" w:cs="Times New Roman"/>
                <w:color w:val="auto"/>
                <w:sz w:val="20"/>
                <w:highlight w:val="none"/>
              </w:rPr>
              <w:t>3.密码安全管理：可设置密码错误锁定次数，超过次数限制即锁定账户；可设置密码更新周期频率（最长不超过90天）。</w:t>
            </w:r>
          </w:p>
        </w:tc>
      </w:tr>
      <w:tr w14:paraId="22A1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1D407606">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40</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B36B48">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D4C680">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7B462D51">
            <w:pPr>
              <w:rPr>
                <w:rFonts w:ascii="Times New Roman" w:hAnsi="Times New Roman" w:cs="Times New Roman"/>
                <w:color w:val="auto"/>
                <w:sz w:val="20"/>
                <w:highlight w:val="none"/>
              </w:rPr>
            </w:pPr>
            <w:r>
              <w:rPr>
                <w:rFonts w:ascii="Times New Roman" w:hAnsi="Times New Roman" w:cs="Times New Roman"/>
                <w:color w:val="auto"/>
                <w:sz w:val="20"/>
                <w:highlight w:val="none"/>
              </w:rPr>
              <w:t>4.密码安全管理：用户口令在传输过程中需进行加密，使用md5加盐(随机数)、sha2、pbkdf2等方式进行加密传输，禁止直接使用明文传输，禁止直接使用MD5、sha1等弱加密方式。</w:t>
            </w:r>
          </w:p>
        </w:tc>
      </w:tr>
      <w:tr w14:paraId="6FC4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1B948930">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41</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78E861">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77FCEE">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417B2FCF">
            <w:pPr>
              <w:rPr>
                <w:rFonts w:ascii="Times New Roman" w:hAnsi="Times New Roman" w:cs="Times New Roman"/>
                <w:color w:val="auto"/>
                <w:sz w:val="20"/>
                <w:highlight w:val="none"/>
              </w:rPr>
            </w:pPr>
            <w:r>
              <w:rPr>
                <w:rFonts w:ascii="Times New Roman" w:hAnsi="Times New Roman" w:cs="Times New Roman"/>
                <w:color w:val="auto"/>
                <w:sz w:val="20"/>
                <w:highlight w:val="none"/>
              </w:rPr>
              <w:t>5.数据安全管理：未将账号口令等敏感信息明文或简单编码存放在Cookie中。</w:t>
            </w:r>
          </w:p>
        </w:tc>
      </w:tr>
      <w:tr w14:paraId="357B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10FD1B17">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42</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A59451D">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6BC27B">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49B4D71C">
            <w:pPr>
              <w:rPr>
                <w:rFonts w:ascii="Times New Roman" w:hAnsi="Times New Roman" w:cs="Times New Roman"/>
                <w:color w:val="auto"/>
                <w:sz w:val="20"/>
                <w:highlight w:val="none"/>
              </w:rPr>
            </w:pPr>
            <w:r>
              <w:rPr>
                <w:rFonts w:ascii="Times New Roman" w:hAnsi="Times New Roman" w:cs="Times New Roman"/>
                <w:color w:val="auto"/>
                <w:sz w:val="20"/>
                <w:highlight w:val="none"/>
              </w:rPr>
              <w:t>6.数据安全管理：数据库敏感字段和配置文件（中间件或数据库的连接信息）加密存储（支持国密算法加密存储）。</w:t>
            </w:r>
          </w:p>
        </w:tc>
      </w:tr>
      <w:tr w14:paraId="06D5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3F5EF496">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43</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EDAAB5F">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7E78D54">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416D051A">
            <w:pPr>
              <w:rPr>
                <w:rFonts w:ascii="Times New Roman" w:hAnsi="Times New Roman" w:cs="Times New Roman"/>
                <w:color w:val="auto"/>
                <w:sz w:val="20"/>
                <w:highlight w:val="none"/>
              </w:rPr>
            </w:pPr>
            <w:r>
              <w:rPr>
                <w:rFonts w:ascii="Times New Roman" w:hAnsi="Times New Roman" w:cs="Times New Roman"/>
                <w:color w:val="auto"/>
                <w:sz w:val="20"/>
                <w:highlight w:val="none"/>
              </w:rPr>
              <w:t>7.显示要求：避免在html页面、js文件、客户端等前端上直接显示绝对路径、内网IP地址、账号口令等敏感信息。如：</w:t>
            </w:r>
          </w:p>
          <w:p w14:paraId="45982689">
            <w:pPr>
              <w:rPr>
                <w:rFonts w:ascii="Times New Roman" w:hAnsi="Times New Roman" w:cs="Times New Roman"/>
                <w:color w:val="auto"/>
                <w:sz w:val="20"/>
                <w:highlight w:val="none"/>
              </w:rPr>
            </w:pPr>
            <w:r>
              <w:rPr>
                <w:rFonts w:ascii="Times New Roman" w:hAnsi="Times New Roman" w:cs="Times New Roman"/>
                <w:color w:val="auto"/>
                <w:sz w:val="20"/>
                <w:highlight w:val="none"/>
              </w:rPr>
              <w:t>http://</w:t>
            </w:r>
            <w:r>
              <w:rPr>
                <w:rFonts w:hint="eastAsia" w:ascii="Times New Roman" w:hAnsi="Times New Roman" w:cs="Times New Roman"/>
                <w:color w:val="auto"/>
                <w:sz w:val="20"/>
                <w:highlight w:val="none"/>
                <w:lang w:val="en-US" w:eastAsia="zh-CN"/>
              </w:rPr>
              <w:t>XX</w:t>
            </w:r>
            <w:r>
              <w:rPr>
                <w:rFonts w:ascii="Times New Roman" w:hAnsi="Times New Roman" w:cs="Times New Roman"/>
                <w:color w:val="auto"/>
                <w:sz w:val="20"/>
                <w:highlight w:val="none"/>
              </w:rPr>
              <w:t>.</w:t>
            </w:r>
            <w:r>
              <w:rPr>
                <w:rFonts w:hint="eastAsia" w:ascii="Times New Roman" w:hAnsi="Times New Roman" w:cs="Times New Roman"/>
                <w:color w:val="auto"/>
                <w:sz w:val="20"/>
                <w:highlight w:val="none"/>
                <w:lang w:val="en-US" w:eastAsia="zh-CN"/>
              </w:rPr>
              <w:t>XX</w:t>
            </w:r>
            <w:r>
              <w:rPr>
                <w:rFonts w:ascii="Times New Roman" w:hAnsi="Times New Roman" w:cs="Times New Roman"/>
                <w:color w:val="auto"/>
                <w:sz w:val="20"/>
                <w:highlight w:val="none"/>
              </w:rPr>
              <w:t>.</w:t>
            </w:r>
            <w:r>
              <w:rPr>
                <w:rFonts w:hint="eastAsia" w:ascii="Times New Roman" w:hAnsi="Times New Roman" w:cs="Times New Roman"/>
                <w:color w:val="auto"/>
                <w:sz w:val="20"/>
                <w:highlight w:val="none"/>
                <w:lang w:val="en-US" w:eastAsia="zh-CN"/>
              </w:rPr>
              <w:t>XX</w:t>
            </w:r>
            <w:r>
              <w:rPr>
                <w:rFonts w:ascii="Times New Roman" w:hAnsi="Times New Roman" w:cs="Times New Roman"/>
                <w:color w:val="auto"/>
                <w:sz w:val="20"/>
                <w:highlight w:val="none"/>
              </w:rPr>
              <w:t>.</w:t>
            </w:r>
            <w:r>
              <w:rPr>
                <w:rFonts w:hint="eastAsia" w:ascii="Times New Roman" w:hAnsi="Times New Roman" w:cs="Times New Roman"/>
                <w:color w:val="auto"/>
                <w:sz w:val="20"/>
                <w:highlight w:val="none"/>
                <w:lang w:val="en-US" w:eastAsia="zh-CN"/>
              </w:rPr>
              <w:t>XX</w:t>
            </w:r>
            <w:r>
              <w:rPr>
                <w:rFonts w:ascii="Times New Roman" w:hAnsi="Times New Roman" w:cs="Times New Roman"/>
                <w:color w:val="auto"/>
                <w:sz w:val="20"/>
                <w:highlight w:val="none"/>
              </w:rPr>
              <w:t>/index.js;</w:t>
            </w:r>
          </w:p>
          <w:p w14:paraId="22946B8A">
            <w:pPr>
              <w:rPr>
                <w:rFonts w:ascii="Times New Roman" w:hAnsi="Times New Roman" w:cs="Times New Roman"/>
                <w:color w:val="auto"/>
                <w:sz w:val="20"/>
                <w:highlight w:val="none"/>
              </w:rPr>
            </w:pPr>
            <w:r>
              <w:rPr>
                <w:rFonts w:ascii="Times New Roman" w:hAnsi="Times New Roman" w:cs="Times New Roman"/>
                <w:color w:val="auto"/>
                <w:sz w:val="20"/>
                <w:highlight w:val="none"/>
              </w:rPr>
              <w:t>/var/www/html;</w:t>
            </w:r>
          </w:p>
          <w:p w14:paraId="0343D405">
            <w:pPr>
              <w:rPr>
                <w:rFonts w:ascii="Times New Roman" w:hAnsi="Times New Roman" w:cs="Times New Roman"/>
                <w:color w:val="auto"/>
                <w:sz w:val="20"/>
                <w:highlight w:val="none"/>
              </w:rPr>
            </w:pPr>
            <w:r>
              <w:rPr>
                <w:rFonts w:ascii="Times New Roman" w:hAnsi="Times New Roman" w:cs="Times New Roman"/>
                <w:color w:val="auto"/>
                <w:sz w:val="20"/>
                <w:highlight w:val="none"/>
              </w:rPr>
              <w:t>user=admin,pass=admin;</w:t>
            </w:r>
          </w:p>
        </w:tc>
      </w:tr>
      <w:tr w14:paraId="5FBE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493DF2D4">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44</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D924517">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9C81900">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4783AB0A">
            <w:pPr>
              <w:rPr>
                <w:rFonts w:ascii="Times New Roman" w:hAnsi="Times New Roman" w:cs="Times New Roman"/>
                <w:color w:val="auto"/>
                <w:sz w:val="20"/>
                <w:highlight w:val="none"/>
              </w:rPr>
            </w:pPr>
            <w:r>
              <w:rPr>
                <w:rFonts w:ascii="Times New Roman" w:hAnsi="Times New Roman" w:cs="Times New Roman"/>
                <w:color w:val="auto"/>
                <w:sz w:val="20"/>
                <w:highlight w:val="none"/>
              </w:rPr>
              <w:t>8.脱敏要求：敏感数据在前端显示时，应进行脱敏处理，如：</w:t>
            </w:r>
          </w:p>
          <w:p w14:paraId="75684363">
            <w:pPr>
              <w:rPr>
                <w:rFonts w:ascii="Times New Roman" w:hAnsi="Times New Roman" w:cs="Times New Roman"/>
                <w:color w:val="auto"/>
                <w:sz w:val="20"/>
                <w:highlight w:val="none"/>
              </w:rPr>
            </w:pPr>
            <w:r>
              <w:rPr>
                <w:rFonts w:ascii="Times New Roman" w:hAnsi="Times New Roman" w:cs="Times New Roman"/>
                <w:color w:val="auto"/>
                <w:sz w:val="20"/>
                <w:highlight w:val="none"/>
              </w:rPr>
              <w:t>姓名：张三脱敏为*三、李某某脱敏为李*某</w:t>
            </w:r>
          </w:p>
          <w:p w14:paraId="69B694EF">
            <w:pPr>
              <w:rPr>
                <w:rFonts w:ascii="Times New Roman" w:hAnsi="Times New Roman" w:cs="Times New Roman"/>
                <w:color w:val="auto"/>
                <w:sz w:val="20"/>
                <w:highlight w:val="none"/>
              </w:rPr>
            </w:pPr>
            <w:r>
              <w:rPr>
                <w:rFonts w:ascii="Times New Roman" w:hAnsi="Times New Roman" w:cs="Times New Roman"/>
                <w:color w:val="auto"/>
                <w:sz w:val="20"/>
                <w:highlight w:val="none"/>
              </w:rPr>
              <w:t>身份证号：1002**********1237</w:t>
            </w:r>
          </w:p>
          <w:p w14:paraId="69FD8117">
            <w:pPr>
              <w:rPr>
                <w:rFonts w:ascii="Times New Roman" w:hAnsi="Times New Roman" w:cs="Times New Roman"/>
                <w:color w:val="auto"/>
                <w:sz w:val="20"/>
                <w:highlight w:val="none"/>
              </w:rPr>
            </w:pPr>
            <w:r>
              <w:rPr>
                <w:rFonts w:ascii="Times New Roman" w:hAnsi="Times New Roman" w:cs="Times New Roman"/>
                <w:color w:val="auto"/>
                <w:sz w:val="20"/>
                <w:highlight w:val="none"/>
              </w:rPr>
              <w:t>手机号：186****0781</w:t>
            </w:r>
          </w:p>
          <w:p w14:paraId="6492E538">
            <w:pPr>
              <w:rPr>
                <w:rFonts w:ascii="Times New Roman" w:hAnsi="Times New Roman" w:cs="Times New Roman"/>
                <w:color w:val="auto"/>
                <w:sz w:val="20"/>
                <w:highlight w:val="none"/>
              </w:rPr>
            </w:pPr>
            <w:r>
              <w:rPr>
                <w:rFonts w:ascii="Times New Roman" w:hAnsi="Times New Roman" w:cs="Times New Roman"/>
                <w:color w:val="auto"/>
                <w:sz w:val="20"/>
                <w:highlight w:val="none"/>
              </w:rPr>
              <w:t>银行卡号：623078*********4846</w:t>
            </w:r>
          </w:p>
          <w:p w14:paraId="763CB342">
            <w:pPr>
              <w:rPr>
                <w:rFonts w:ascii="Times New Roman" w:hAnsi="Times New Roman" w:cs="Times New Roman"/>
                <w:color w:val="auto"/>
                <w:sz w:val="20"/>
                <w:highlight w:val="none"/>
              </w:rPr>
            </w:pPr>
            <w:r>
              <w:rPr>
                <w:rFonts w:ascii="Times New Roman" w:hAnsi="Times New Roman" w:cs="Times New Roman"/>
                <w:color w:val="auto"/>
                <w:sz w:val="20"/>
                <w:highlight w:val="none"/>
              </w:rPr>
              <w:t>住址：****3单元302</w:t>
            </w:r>
          </w:p>
        </w:tc>
      </w:tr>
      <w:tr w14:paraId="2417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39B583F7">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45</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C1A446">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EF3F7B">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3261C854">
            <w:pPr>
              <w:rPr>
                <w:rFonts w:ascii="Times New Roman" w:hAnsi="Times New Roman" w:cs="Times New Roman"/>
                <w:color w:val="auto"/>
                <w:sz w:val="20"/>
                <w:highlight w:val="none"/>
              </w:rPr>
            </w:pPr>
            <w:r>
              <w:rPr>
                <w:rFonts w:ascii="Times New Roman" w:hAnsi="Times New Roman" w:cs="Times New Roman"/>
                <w:color w:val="auto"/>
                <w:sz w:val="20"/>
                <w:highlight w:val="none"/>
              </w:rPr>
              <w:t>9.防暴力拆解：在登录认证失败时给出通用的错误提示（如“账号或密码错误”），不能透露用户ID是否存在等信息；使用图片验证码防止暴力破解。</w:t>
            </w:r>
          </w:p>
        </w:tc>
      </w:tr>
      <w:tr w14:paraId="5616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0241C844">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46</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CF2AC89">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42ACF0">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1D59D8AA">
            <w:pPr>
              <w:rPr>
                <w:rFonts w:ascii="Times New Roman" w:hAnsi="Times New Roman" w:cs="Times New Roman"/>
                <w:color w:val="auto"/>
                <w:sz w:val="20"/>
                <w:highlight w:val="none"/>
              </w:rPr>
            </w:pPr>
            <w:r>
              <w:rPr>
                <w:rFonts w:ascii="Times New Roman" w:hAnsi="Times New Roman" w:cs="Times New Roman"/>
                <w:color w:val="auto"/>
                <w:sz w:val="20"/>
                <w:highlight w:val="none"/>
              </w:rPr>
              <w:t>10.未授权访问：禁止未登录用户访问用户登录后的资源、页面或URL。</w:t>
            </w:r>
          </w:p>
        </w:tc>
      </w:tr>
      <w:tr w14:paraId="2786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17094BC8">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47</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D59E152">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C1AD5A6">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72D1FD8E">
            <w:pPr>
              <w:rPr>
                <w:rFonts w:ascii="Times New Roman" w:hAnsi="Times New Roman" w:cs="Times New Roman"/>
                <w:color w:val="auto"/>
                <w:sz w:val="20"/>
                <w:highlight w:val="none"/>
              </w:rPr>
            </w:pPr>
            <w:r>
              <w:rPr>
                <w:rFonts w:ascii="Times New Roman" w:hAnsi="Times New Roman" w:cs="Times New Roman"/>
                <w:color w:val="auto"/>
                <w:sz w:val="20"/>
                <w:highlight w:val="none"/>
              </w:rPr>
              <w:t>11.防越权：授应严格限制默认账户或预设账户的权限，禁止将所有权限集中在某一预设账户上；互斥的权限不能共存于一人，如操作和审核权限；</w:t>
            </w:r>
          </w:p>
        </w:tc>
      </w:tr>
      <w:tr w14:paraId="060E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086FAAB1">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48</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5CB0BC">
            <w:pPr>
              <w:rPr>
                <w:color w:val="auto"/>
                <w:highlight w:val="none"/>
              </w:rPr>
            </w:pPr>
          </w:p>
        </w:tc>
        <w:tc>
          <w:tcPr>
            <w:tcW w:w="1947" w:type="dxa"/>
            <w:gridSpan w:val="2"/>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809D3B8">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系统运维实用性，数据字典、数据表权限等管理</w:t>
            </w: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4D8E9041">
            <w:pPr>
              <w:rPr>
                <w:rFonts w:ascii="Times New Roman" w:hAnsi="Times New Roman" w:cs="Times New Roman"/>
                <w:color w:val="auto"/>
                <w:sz w:val="20"/>
                <w:highlight w:val="none"/>
              </w:rPr>
            </w:pPr>
            <w:r>
              <w:rPr>
                <w:rFonts w:ascii="Times New Roman" w:hAnsi="Times New Roman" w:cs="Times New Roman"/>
                <w:color w:val="auto"/>
                <w:sz w:val="20"/>
                <w:highlight w:val="none"/>
              </w:rPr>
              <w:t>1.数据字典管理：有统一的数据字典管理规范，所有表需对字段和枚举值等有备注说明。</w:t>
            </w:r>
          </w:p>
        </w:tc>
      </w:tr>
      <w:tr w14:paraId="4144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2B0388AE">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49</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4159C6D">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FD3090E">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11BF94CC">
            <w:pPr>
              <w:rPr>
                <w:rFonts w:ascii="Times New Roman" w:hAnsi="Times New Roman" w:cs="Times New Roman"/>
                <w:color w:val="auto"/>
                <w:sz w:val="20"/>
                <w:highlight w:val="none"/>
              </w:rPr>
            </w:pPr>
            <w:r>
              <w:rPr>
                <w:rFonts w:ascii="Times New Roman" w:hAnsi="Times New Roman" w:cs="Times New Roman"/>
                <w:color w:val="auto"/>
                <w:sz w:val="20"/>
                <w:highlight w:val="none"/>
              </w:rPr>
              <w:t>2.数据表管理：数据量较大的表是否有建分区表或定期转历史等设计机制。</w:t>
            </w:r>
          </w:p>
        </w:tc>
      </w:tr>
      <w:tr w14:paraId="30DC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48CB5A60">
            <w:pPr>
              <w:ind w:firstLine="0" w:firstLineChars="0"/>
              <w:jc w:val="both"/>
              <w:rPr>
                <w:rFonts w:ascii="Times New Roman" w:hAnsi="Times New Roman"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50</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8F8885">
            <w:pPr>
              <w:rPr>
                <w:color w:val="auto"/>
                <w:highlight w:val="none"/>
              </w:rPr>
            </w:pPr>
          </w:p>
        </w:tc>
        <w:tc>
          <w:tcPr>
            <w:tcW w:w="1947" w:type="dxa"/>
            <w:gridSpan w:val="2"/>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77579D9">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7C016ED">
            <w:pPr>
              <w:rPr>
                <w:rFonts w:ascii="Times New Roman" w:hAnsi="Times New Roman" w:cs="Times New Roman"/>
                <w:color w:val="auto"/>
                <w:sz w:val="20"/>
                <w:highlight w:val="none"/>
              </w:rPr>
            </w:pPr>
            <w:r>
              <w:rPr>
                <w:rFonts w:ascii="Times New Roman" w:hAnsi="Times New Roman" w:cs="Times New Roman"/>
                <w:color w:val="auto"/>
                <w:sz w:val="20"/>
                <w:highlight w:val="none"/>
              </w:rPr>
              <w:t>3.系统部署权限：系统部署非必要不使用超级用户。系统运维权限：系统运维不使用超级用户。</w:t>
            </w:r>
          </w:p>
        </w:tc>
      </w:tr>
      <w:tr w14:paraId="77C8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20C2F208">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51</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F5D1A6">
            <w:pPr>
              <w:rPr>
                <w:color w:val="auto"/>
                <w:highlight w:val="none"/>
              </w:rPr>
            </w:pPr>
          </w:p>
        </w:tc>
        <w:tc>
          <w:tcPr>
            <w:tcW w:w="194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4631EA0">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性能测试</w:t>
            </w: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38EACB81">
            <w:pPr>
              <w:rPr>
                <w:rFonts w:ascii="Times New Roman" w:hAnsi="Times New Roman" w:cs="Times New Roman"/>
                <w:color w:val="auto"/>
                <w:sz w:val="20"/>
                <w:highlight w:val="none"/>
              </w:rPr>
            </w:pPr>
            <w:r>
              <w:rPr>
                <w:rFonts w:ascii="Times New Roman" w:hAnsi="Times New Roman" w:cs="Times New Roman"/>
                <w:color w:val="auto"/>
                <w:sz w:val="20"/>
                <w:highlight w:val="none"/>
              </w:rPr>
              <w:t>1.应具有高效的运行效率，能通过负载均衡、流量控制、消息缓存等机制，提供大规模、高并发量的交易处理能力，满足登陆、查询、日终批量等性能需求。（要求：不小于100tps）</w:t>
            </w:r>
          </w:p>
        </w:tc>
      </w:tr>
      <w:tr w14:paraId="0290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39681ABE">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52</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D1A11AC">
            <w:pPr>
              <w:rPr>
                <w:color w:val="auto"/>
                <w:highlight w:val="none"/>
              </w:rPr>
            </w:pPr>
          </w:p>
        </w:tc>
        <w:tc>
          <w:tcPr>
            <w:tcW w:w="1947" w:type="dxa"/>
            <w:gridSpan w:val="2"/>
            <w:vMerge w:val="restart"/>
            <w:tcBorders>
              <w:top w:val="single" w:color="auto" w:sz="6" w:space="0"/>
              <w:left w:val="single" w:color="auto" w:sz="6" w:space="0"/>
              <w:bottom w:val="nil"/>
              <w:right w:val="single" w:color="auto" w:sz="6" w:space="0"/>
              <w:tl2br w:val="nil"/>
              <w:tr2bl w:val="nil"/>
            </w:tcBorders>
            <w:noWrap/>
            <w:vAlign w:val="center"/>
          </w:tcPr>
          <w:p w14:paraId="6842DE66">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系统开发</w:t>
            </w: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5874A85A">
            <w:pPr>
              <w:rPr>
                <w:rFonts w:ascii="Times New Roman" w:hAnsi="Times New Roman" w:cs="Times New Roman"/>
                <w:color w:val="auto"/>
                <w:sz w:val="20"/>
                <w:highlight w:val="none"/>
              </w:rPr>
            </w:pPr>
            <w:r>
              <w:rPr>
                <w:rFonts w:ascii="Times New Roman" w:hAnsi="Times New Roman" w:cs="Times New Roman"/>
                <w:color w:val="auto"/>
                <w:sz w:val="20"/>
                <w:highlight w:val="none"/>
              </w:rPr>
              <w:t>1.数据表设计原则上应满足每张表都应该有主键，一旦生成之后不允许复用和更改主键，以便于下游系统复用抽取、加工数据。</w:t>
            </w:r>
          </w:p>
        </w:tc>
      </w:tr>
      <w:tr w14:paraId="747E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13F93277">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53</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CA0C7F6">
            <w:pPr>
              <w:rPr>
                <w:color w:val="auto"/>
                <w:highlight w:val="none"/>
              </w:rPr>
            </w:pPr>
          </w:p>
        </w:tc>
        <w:tc>
          <w:tcPr>
            <w:tcW w:w="1947" w:type="dxa"/>
            <w:gridSpan w:val="2"/>
            <w:vMerge w:val="continue"/>
            <w:tcBorders>
              <w:top w:val="nil"/>
              <w:left w:val="single" w:color="auto" w:sz="6" w:space="0"/>
              <w:bottom w:val="nil"/>
              <w:right w:val="single" w:color="auto" w:sz="6" w:space="0"/>
              <w:tl2br w:val="nil"/>
              <w:tr2bl w:val="nil"/>
            </w:tcBorders>
            <w:noWrap/>
            <w:vAlign w:val="center"/>
          </w:tcPr>
          <w:p w14:paraId="456D443D">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246698DE">
            <w:pPr>
              <w:rPr>
                <w:rFonts w:ascii="Times New Roman" w:hAnsi="Times New Roman" w:cs="Times New Roman"/>
                <w:color w:val="auto"/>
                <w:sz w:val="20"/>
                <w:highlight w:val="none"/>
              </w:rPr>
            </w:pPr>
            <w:r>
              <w:rPr>
                <w:rFonts w:ascii="Times New Roman" w:hAnsi="Times New Roman" w:cs="Times New Roman"/>
                <w:color w:val="auto"/>
                <w:sz w:val="20"/>
                <w:highlight w:val="none"/>
              </w:rPr>
              <w:t>2.在数据模型设计时状态类的表应设计增量标识（或建立具备增量标识的数据视图提供下游数据平台使用），以便采用增量方式抽取数据，减少时间和磁盘空间开销，节约实现成本。</w:t>
            </w:r>
          </w:p>
        </w:tc>
      </w:tr>
      <w:tr w14:paraId="62C3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748C4057">
            <w:pPr>
              <w:ind w:firstLine="0" w:firstLineChars="0"/>
              <w:jc w:val="both"/>
              <w:rPr>
                <w:rFonts w:ascii="Times New Roman" w:hAnsi="Times New Roman"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54</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FCC6F5">
            <w:pPr>
              <w:rPr>
                <w:color w:val="auto"/>
                <w:highlight w:val="none"/>
              </w:rPr>
            </w:pPr>
          </w:p>
        </w:tc>
        <w:tc>
          <w:tcPr>
            <w:tcW w:w="1947" w:type="dxa"/>
            <w:gridSpan w:val="2"/>
            <w:vMerge w:val="continue"/>
            <w:tcBorders>
              <w:top w:val="nil"/>
              <w:left w:val="single" w:color="auto" w:sz="6" w:space="0"/>
              <w:bottom w:val="single" w:color="auto" w:sz="6" w:space="0"/>
              <w:right w:val="single" w:color="auto" w:sz="6" w:space="0"/>
              <w:tl2br w:val="nil"/>
              <w:tr2bl w:val="nil"/>
            </w:tcBorders>
            <w:noWrap/>
            <w:vAlign w:val="center"/>
          </w:tcPr>
          <w:p w14:paraId="3B21FCB0">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7EE694">
            <w:pPr>
              <w:rPr>
                <w:rFonts w:ascii="Times New Roman" w:hAnsi="Times New Roman" w:cs="Times New Roman"/>
                <w:color w:val="auto"/>
                <w:sz w:val="20"/>
                <w:highlight w:val="none"/>
              </w:rPr>
            </w:pPr>
            <w:r>
              <w:rPr>
                <w:rFonts w:ascii="Times New Roman" w:hAnsi="Times New Roman" w:cs="Times New Roman"/>
                <w:color w:val="auto"/>
                <w:sz w:val="20"/>
                <w:highlight w:val="none"/>
              </w:rPr>
              <w:t>3.在开发平台上使用Demo交易演示编码、编译、打包和部署，能够实现低代码开发、高效打包和快速完成部署。</w:t>
            </w:r>
          </w:p>
        </w:tc>
      </w:tr>
      <w:tr w14:paraId="7B5B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151E596A">
            <w:pPr>
              <w:ind w:firstLine="0" w:firstLineChars="0"/>
              <w:jc w:val="both"/>
              <w:rPr>
                <w:rFonts w:ascii="Times New Roman" w:hAnsi="Times New Roman"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55</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1A04B3A">
            <w:pPr>
              <w:rPr>
                <w:color w:val="auto"/>
                <w:highlight w:val="none"/>
              </w:rPr>
            </w:pPr>
          </w:p>
        </w:tc>
        <w:tc>
          <w:tcPr>
            <w:tcW w:w="1947" w:type="dxa"/>
            <w:gridSpan w:val="2"/>
            <w:vMerge w:val="restart"/>
            <w:tcBorders>
              <w:top w:val="single" w:color="auto" w:sz="6" w:space="0"/>
              <w:left w:val="single" w:color="auto" w:sz="6" w:space="0"/>
              <w:bottom w:val="nil"/>
              <w:right w:val="single" w:color="auto" w:sz="6" w:space="0"/>
              <w:tl2br w:val="nil"/>
              <w:tr2bl w:val="nil"/>
            </w:tcBorders>
            <w:noWrap/>
            <w:vAlign w:val="center"/>
          </w:tcPr>
          <w:p w14:paraId="7FC5416D">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日志服务机制</w:t>
            </w:r>
          </w:p>
        </w:tc>
        <w:tc>
          <w:tcPr>
            <w:tcW w:w="5311"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E28DCB5">
            <w:pPr>
              <w:rPr>
                <w:rFonts w:ascii="Times New Roman" w:hAnsi="Times New Roman" w:cs="Times New Roman"/>
                <w:color w:val="auto"/>
                <w:sz w:val="20"/>
                <w:highlight w:val="none"/>
              </w:rPr>
            </w:pPr>
            <w:r>
              <w:rPr>
                <w:rFonts w:ascii="Times New Roman" w:hAnsi="Times New Roman" w:cs="Times New Roman"/>
                <w:color w:val="auto"/>
                <w:sz w:val="20"/>
                <w:highlight w:val="none"/>
              </w:rPr>
              <w:t>1.日志需按大小日期分片存储，有定期清理压缩转移机制，同一请求能够通过同一关键字或流水查询整个交易流程。</w:t>
            </w:r>
          </w:p>
        </w:tc>
      </w:tr>
      <w:tr w14:paraId="2BFF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2D46D90C">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56</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47C0605">
            <w:pPr>
              <w:rPr>
                <w:color w:val="auto"/>
                <w:highlight w:val="none"/>
              </w:rPr>
            </w:pPr>
          </w:p>
        </w:tc>
        <w:tc>
          <w:tcPr>
            <w:tcW w:w="1947" w:type="dxa"/>
            <w:gridSpan w:val="2"/>
            <w:vMerge w:val="continue"/>
            <w:tcBorders>
              <w:top w:val="nil"/>
              <w:left w:val="single" w:color="auto" w:sz="6" w:space="0"/>
              <w:bottom w:val="nil"/>
              <w:right w:val="single" w:color="auto" w:sz="6" w:space="0"/>
              <w:tl2br w:val="nil"/>
              <w:tr2bl w:val="nil"/>
            </w:tcBorders>
            <w:noWrap/>
            <w:vAlign w:val="center"/>
          </w:tcPr>
          <w:p w14:paraId="4B697DCE">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223CC61B">
            <w:pPr>
              <w:rPr>
                <w:rFonts w:ascii="Times New Roman" w:hAnsi="Times New Roman" w:cs="Times New Roman"/>
                <w:color w:val="auto"/>
                <w:sz w:val="20"/>
                <w:highlight w:val="none"/>
              </w:rPr>
            </w:pPr>
            <w:r>
              <w:rPr>
                <w:rFonts w:ascii="Times New Roman" w:hAnsi="Times New Roman" w:cs="Times New Roman"/>
                <w:color w:val="auto"/>
                <w:sz w:val="20"/>
                <w:highlight w:val="none"/>
              </w:rPr>
              <w:t>2.平台服务端须有完整的日志记录机制，包括业务运行日志（记录关键业务功能的处理痕迹）、应用运行日志（记录应用系统启、停、故障等详细信息）、错误日志（记录应用系统所有异常情况的出错信息）、数据库日志表记录（数据库增、删、改的操作）等。</w:t>
            </w:r>
          </w:p>
        </w:tc>
      </w:tr>
      <w:tr w14:paraId="6CC4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016AD76B">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57</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5D826C8">
            <w:pPr>
              <w:rPr>
                <w:color w:val="auto"/>
                <w:highlight w:val="none"/>
              </w:rPr>
            </w:pPr>
          </w:p>
        </w:tc>
        <w:tc>
          <w:tcPr>
            <w:tcW w:w="1947" w:type="dxa"/>
            <w:gridSpan w:val="2"/>
            <w:vMerge w:val="continue"/>
            <w:tcBorders>
              <w:top w:val="nil"/>
              <w:left w:val="single" w:color="auto" w:sz="6" w:space="0"/>
              <w:bottom w:val="nil"/>
              <w:right w:val="single" w:color="auto" w:sz="6" w:space="0"/>
              <w:tl2br w:val="nil"/>
              <w:tr2bl w:val="nil"/>
            </w:tcBorders>
            <w:noWrap/>
            <w:vAlign w:val="center"/>
          </w:tcPr>
          <w:p w14:paraId="5373B1C6">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1F144B0B">
            <w:pPr>
              <w:rPr>
                <w:rFonts w:ascii="Times New Roman" w:hAnsi="Times New Roman" w:cs="Times New Roman"/>
                <w:color w:val="auto"/>
                <w:sz w:val="20"/>
                <w:highlight w:val="none"/>
              </w:rPr>
            </w:pPr>
            <w:r>
              <w:rPr>
                <w:rFonts w:ascii="Times New Roman" w:hAnsi="Times New Roman" w:cs="Times New Roman"/>
                <w:color w:val="auto"/>
                <w:sz w:val="20"/>
                <w:highlight w:val="none"/>
              </w:rPr>
              <w:t>3.系统日志支持配置参数调整日志级别以控制日志详细程度；</w:t>
            </w:r>
          </w:p>
        </w:tc>
      </w:tr>
      <w:tr w14:paraId="6001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51B21159">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58</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57E4CF0">
            <w:pPr>
              <w:rPr>
                <w:color w:val="auto"/>
                <w:highlight w:val="none"/>
              </w:rPr>
            </w:pPr>
          </w:p>
        </w:tc>
        <w:tc>
          <w:tcPr>
            <w:tcW w:w="1947" w:type="dxa"/>
            <w:gridSpan w:val="2"/>
            <w:vMerge w:val="continue"/>
            <w:tcBorders>
              <w:top w:val="nil"/>
              <w:left w:val="single" w:color="auto" w:sz="6" w:space="0"/>
              <w:bottom w:val="nil"/>
              <w:right w:val="single" w:color="auto" w:sz="6" w:space="0"/>
              <w:tl2br w:val="nil"/>
              <w:tr2bl w:val="nil"/>
            </w:tcBorders>
            <w:noWrap/>
            <w:vAlign w:val="center"/>
          </w:tcPr>
          <w:p w14:paraId="4FC8F3C4">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1CFA8725">
            <w:pPr>
              <w:rPr>
                <w:rFonts w:ascii="Times New Roman" w:hAnsi="Times New Roman" w:cs="Times New Roman"/>
                <w:color w:val="auto"/>
                <w:sz w:val="20"/>
                <w:highlight w:val="none"/>
              </w:rPr>
            </w:pPr>
            <w:r>
              <w:rPr>
                <w:rFonts w:ascii="Times New Roman" w:hAnsi="Times New Roman" w:cs="Times New Roman"/>
                <w:color w:val="auto"/>
                <w:sz w:val="20"/>
                <w:highlight w:val="none"/>
              </w:rPr>
              <w:t>4.日志能够按照比选人要求采用配置方式，完成敏感字段的数据脱敏要求；</w:t>
            </w:r>
          </w:p>
        </w:tc>
      </w:tr>
      <w:tr w14:paraId="5A06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69FEDB39">
            <w:pPr>
              <w:ind w:firstLine="0" w:firstLineChars="0"/>
              <w:jc w:val="both"/>
              <w:rPr>
                <w:rFonts w:ascii="Times New Roman" w:hAnsi="Times New Roman" w:cs="Times New Roman"/>
                <w:color w:val="auto"/>
                <w:sz w:val="20"/>
                <w:highlight w:val="none"/>
              </w:rPr>
            </w:pPr>
            <w:r>
              <w:rPr>
                <w:rFonts w:hint="default" w:ascii="Times New Roman" w:hAnsi="Times New Roman" w:cs="Times New Roman"/>
                <w:color w:val="auto"/>
                <w:sz w:val="20"/>
                <w:highlight w:val="none"/>
              </w:rPr>
              <w:t>59</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2EEF2F4">
            <w:pPr>
              <w:rPr>
                <w:color w:val="auto"/>
                <w:highlight w:val="none"/>
              </w:rPr>
            </w:pPr>
          </w:p>
        </w:tc>
        <w:tc>
          <w:tcPr>
            <w:tcW w:w="1947" w:type="dxa"/>
            <w:gridSpan w:val="2"/>
            <w:vMerge w:val="continue"/>
            <w:tcBorders>
              <w:top w:val="nil"/>
              <w:left w:val="single" w:color="auto" w:sz="6" w:space="0"/>
              <w:bottom w:val="single" w:color="auto" w:sz="6" w:space="0"/>
              <w:right w:val="single" w:color="auto" w:sz="6" w:space="0"/>
              <w:tl2br w:val="nil"/>
              <w:tr2bl w:val="nil"/>
            </w:tcBorders>
            <w:noWrap/>
            <w:vAlign w:val="center"/>
          </w:tcPr>
          <w:p w14:paraId="534DD1F4">
            <w:pPr>
              <w:rPr>
                <w:color w:val="auto"/>
                <w:highlight w:val="none"/>
              </w:rPr>
            </w:pPr>
          </w:p>
        </w:tc>
        <w:tc>
          <w:tcPr>
            <w:tcW w:w="5311" w:type="dxa"/>
            <w:tcBorders>
              <w:top w:val="single" w:color="auto" w:sz="6" w:space="0"/>
              <w:left w:val="single" w:color="auto" w:sz="6" w:space="0"/>
              <w:bottom w:val="single" w:color="auto" w:sz="6" w:space="0"/>
              <w:right w:val="single" w:color="auto" w:sz="6" w:space="0"/>
              <w:tl2br w:val="nil"/>
              <w:tr2bl w:val="nil"/>
            </w:tcBorders>
            <w:noWrap/>
            <w:vAlign w:val="center"/>
          </w:tcPr>
          <w:p w14:paraId="0145A09D">
            <w:pPr>
              <w:rPr>
                <w:rFonts w:ascii="Times New Roman" w:hAnsi="Times New Roman" w:cs="Times New Roman"/>
                <w:color w:val="auto"/>
                <w:sz w:val="20"/>
                <w:highlight w:val="none"/>
              </w:rPr>
            </w:pPr>
            <w:r>
              <w:rPr>
                <w:rFonts w:ascii="Times New Roman" w:hAnsi="Times New Roman" w:cs="Times New Roman"/>
                <w:color w:val="auto"/>
                <w:sz w:val="20"/>
                <w:highlight w:val="none"/>
              </w:rPr>
              <w:t>5.平台应具有完备的安全管控功能和审计功能，能够记录自身运行的日志信息，能够对系统操作员的操作记录进行审计，并能设置条件进行查询，根据需求提供相关的定制报表。审计日志的内容包括了日期、事件、发起者、类型、描述和结果等信息；</w:t>
            </w:r>
          </w:p>
        </w:tc>
      </w:tr>
      <w:tr w14:paraId="4CC2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16521F64">
            <w:pPr>
              <w:ind w:firstLine="0" w:firstLineChars="0"/>
              <w:jc w:val="both"/>
              <w:rPr>
                <w:rFonts w:ascii="Times New Roman" w:hAnsi="Times New Roman"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60</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0EFE36">
            <w:pPr>
              <w:rPr>
                <w:color w:val="auto"/>
                <w:highlight w:val="none"/>
              </w:rPr>
            </w:pPr>
          </w:p>
        </w:tc>
        <w:tc>
          <w:tcPr>
            <w:tcW w:w="1947" w:type="dxa"/>
            <w:gridSpan w:val="2"/>
            <w:tcBorders>
              <w:top w:val="nil"/>
              <w:left w:val="single" w:color="auto" w:sz="6" w:space="0"/>
              <w:bottom w:val="single" w:color="auto" w:sz="6" w:space="0"/>
              <w:right w:val="single" w:color="auto" w:sz="6" w:space="0"/>
              <w:tl2br w:val="nil"/>
              <w:tr2bl w:val="nil"/>
            </w:tcBorders>
            <w:noWrap/>
            <w:vAlign w:val="center"/>
          </w:tcPr>
          <w:p w14:paraId="115D65B0">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其他要求</w:t>
            </w:r>
          </w:p>
        </w:tc>
        <w:tc>
          <w:tcPr>
            <w:tcW w:w="5311"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F0A9EA">
            <w:pPr>
              <w:rPr>
                <w:rFonts w:ascii="Times New Roman" w:hAnsi="Times New Roman" w:cs="Times New Roman"/>
                <w:color w:val="auto"/>
                <w:sz w:val="20"/>
                <w:highlight w:val="none"/>
              </w:rPr>
            </w:pPr>
            <w:r>
              <w:rPr>
                <w:rFonts w:ascii="Times New Roman" w:hAnsi="Times New Roman" w:cs="Times New Roman"/>
                <w:color w:val="auto"/>
                <w:sz w:val="20"/>
                <w:highlight w:val="none"/>
              </w:rPr>
              <w:t>1.系统应参照国标《信息技术 中文编码字符集》和行标《金融服务生僻字处理指南》等规定要求，支持对生僻字的录入，存储与展示。</w:t>
            </w:r>
          </w:p>
        </w:tc>
      </w:tr>
      <w:tr w14:paraId="1334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596" w:type="dxa"/>
            <w:tcBorders>
              <w:top w:val="single" w:color="auto" w:sz="6" w:space="0"/>
              <w:left w:val="single" w:color="auto" w:sz="6" w:space="0"/>
              <w:bottom w:val="single" w:color="auto" w:sz="6" w:space="0"/>
              <w:right w:val="single" w:color="auto" w:sz="6" w:space="0"/>
              <w:tl2br w:val="nil"/>
              <w:tr2bl w:val="nil"/>
            </w:tcBorders>
            <w:noWrap/>
            <w:vAlign w:val="center"/>
          </w:tcPr>
          <w:p w14:paraId="578154EC">
            <w:pPr>
              <w:ind w:firstLine="0" w:firstLineChars="0"/>
              <w:jc w:val="both"/>
              <w:rPr>
                <w:rFonts w:ascii="Times New Roman" w:hAnsi="Times New Roman" w:cs="Times New Roman"/>
                <w:color w:val="auto"/>
                <w:sz w:val="20"/>
                <w:highlight w:val="none"/>
              </w:rPr>
            </w:pPr>
            <w:r>
              <w:rPr>
                <w:rFonts w:hint="eastAsia" w:ascii="宋体" w:cs="Times New Roman"/>
                <w:color w:val="auto"/>
                <w:sz w:val="20"/>
                <w:highlight w:val="none"/>
              </w:rPr>
              <w:t>★</w:t>
            </w:r>
            <w:r>
              <w:rPr>
                <w:rFonts w:hint="default" w:ascii="宋体" w:cs="Times New Roman"/>
                <w:color w:val="auto"/>
                <w:sz w:val="20"/>
                <w:highlight w:val="none"/>
              </w:rPr>
              <w:t>61</w:t>
            </w:r>
          </w:p>
        </w:tc>
        <w:tc>
          <w:tcPr>
            <w:tcW w:w="909"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D876421">
            <w:pPr>
              <w:rPr>
                <w:color w:val="auto"/>
                <w:highlight w:val="none"/>
              </w:rPr>
            </w:pPr>
          </w:p>
        </w:tc>
        <w:tc>
          <w:tcPr>
            <w:tcW w:w="194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812CEDA">
            <w:pPr>
              <w:ind w:firstLine="0" w:firstLineChars="0"/>
              <w:jc w:val="both"/>
              <w:rPr>
                <w:rFonts w:ascii="Times New Roman" w:hAnsi="Times New Roman" w:cs="Times New Roman"/>
                <w:b/>
                <w:color w:val="auto"/>
                <w:sz w:val="20"/>
                <w:highlight w:val="none"/>
              </w:rPr>
            </w:pPr>
            <w:r>
              <w:rPr>
                <w:rFonts w:ascii="Times New Roman" w:hAnsi="Times New Roman" w:cs="Times New Roman"/>
                <w:b/>
                <w:color w:val="auto"/>
                <w:sz w:val="20"/>
                <w:highlight w:val="none"/>
              </w:rPr>
              <w:t>信创基线满足度（必要条件，不满足一票否决）</w:t>
            </w:r>
          </w:p>
        </w:tc>
        <w:tc>
          <w:tcPr>
            <w:tcW w:w="5311"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65332DB">
            <w:pPr>
              <w:rPr>
                <w:rFonts w:ascii="Times New Roman" w:hAnsi="Times New Roman" w:cs="Times New Roman"/>
                <w:color w:val="auto"/>
                <w:sz w:val="20"/>
                <w:highlight w:val="none"/>
              </w:rPr>
            </w:pPr>
            <w:r>
              <w:rPr>
                <w:rFonts w:ascii="Times New Roman" w:hAnsi="Times New Roman" w:cs="Times New Roman"/>
                <w:color w:val="auto"/>
                <w:sz w:val="20"/>
                <w:highlight w:val="none"/>
              </w:rPr>
              <w:t>1.使用的信创数据库满足比选人基线要求，部署可用。</w:t>
            </w:r>
          </w:p>
          <w:p w14:paraId="4D42E66D">
            <w:pPr>
              <w:rPr>
                <w:rFonts w:ascii="Times New Roman" w:hAnsi="Times New Roman" w:cs="Times New Roman"/>
                <w:color w:val="auto"/>
                <w:sz w:val="20"/>
                <w:highlight w:val="none"/>
              </w:rPr>
            </w:pPr>
            <w:r>
              <w:rPr>
                <w:rFonts w:ascii="Times New Roman" w:hAnsi="Times New Roman" w:cs="Times New Roman"/>
                <w:color w:val="auto"/>
                <w:sz w:val="20"/>
                <w:highlight w:val="none"/>
              </w:rPr>
              <w:t>2.使用的信创中间件满足比选人基线要求，部署可用。</w:t>
            </w:r>
          </w:p>
          <w:p w14:paraId="4805EE9E">
            <w:pPr>
              <w:rPr>
                <w:rFonts w:ascii="Times New Roman" w:hAnsi="Times New Roman" w:cs="Times New Roman"/>
                <w:color w:val="auto"/>
                <w:sz w:val="20"/>
                <w:highlight w:val="none"/>
              </w:rPr>
            </w:pPr>
            <w:r>
              <w:rPr>
                <w:rFonts w:ascii="Times New Roman" w:hAnsi="Times New Roman" w:cs="Times New Roman"/>
                <w:color w:val="auto"/>
                <w:sz w:val="20"/>
                <w:highlight w:val="none"/>
              </w:rPr>
              <w:t>3.能够适配比选人基线产品的信创服务器。</w:t>
            </w:r>
          </w:p>
          <w:p w14:paraId="28C1A007">
            <w:pPr>
              <w:rPr>
                <w:rFonts w:ascii="Times New Roman" w:hAnsi="Times New Roman" w:cs="Times New Roman"/>
                <w:color w:val="auto"/>
                <w:sz w:val="20"/>
                <w:highlight w:val="none"/>
              </w:rPr>
            </w:pPr>
            <w:r>
              <w:rPr>
                <w:rFonts w:ascii="Times New Roman" w:hAnsi="Times New Roman" w:cs="Times New Roman"/>
                <w:color w:val="auto"/>
                <w:sz w:val="20"/>
                <w:highlight w:val="none"/>
              </w:rPr>
              <w:t>4.能够适配比选人基线产品的信创终端及浏览器。</w:t>
            </w:r>
          </w:p>
        </w:tc>
      </w:tr>
    </w:tbl>
    <w:p w14:paraId="211C6EB8">
      <w:pPr>
        <w:pStyle w:val="13"/>
        <w:rPr>
          <w:rFonts w:ascii="Times New Roman" w:hAnsi="Times New Roman" w:cs="Times New Roman"/>
          <w:color w:val="auto"/>
          <w:kern w:val="0"/>
          <w:szCs w:val="24"/>
          <w:highlight w:val="none"/>
        </w:rPr>
      </w:pPr>
      <w:r>
        <w:rPr>
          <w:rFonts w:ascii="Times New Roman" w:hAnsi="Times New Roman" w:cs="Times New Roman"/>
          <w:color w:val="auto"/>
          <w:szCs w:val="24"/>
          <w:highlight w:val="none"/>
        </w:rPr>
        <w:t>注：以上表格中序号前标注★的考查项将作为本次POC测试考查重点</w:t>
      </w:r>
      <w:r>
        <w:rPr>
          <w:rFonts w:ascii="Times New Roman" w:hAnsi="Times New Roman" w:cs="Times New Roman"/>
          <w:color w:val="auto"/>
          <w:kern w:val="0"/>
          <w:szCs w:val="24"/>
          <w:highlight w:val="none"/>
        </w:rPr>
        <w:t>。</w:t>
      </w:r>
    </w:p>
    <w:p w14:paraId="2C79728E">
      <w:pPr>
        <w:snapToGrid w:val="0"/>
        <w:spacing w:line="360" w:lineRule="auto"/>
        <w:rPr>
          <w:rFonts w:ascii="Times New Roman" w:hAnsi="Times New Roman" w:cs="Times New Roman"/>
          <w:color w:val="auto"/>
          <w:szCs w:val="24"/>
          <w:highlight w:val="none"/>
        </w:rPr>
      </w:pPr>
    </w:p>
    <w:p w14:paraId="2A5BA5DD">
      <w:pPr>
        <w:pStyle w:val="39"/>
        <w:outlineLvl w:val="3"/>
        <w:rPr>
          <w:rFonts w:ascii="Times New Roman" w:hAnsi="Times New Roman" w:cs="Times New Roman"/>
          <w:b/>
          <w:bCs/>
          <w:color w:val="auto"/>
          <w:sz w:val="32"/>
          <w:szCs w:val="32"/>
          <w:highlight w:val="none"/>
        </w:rPr>
      </w:pPr>
      <w:r>
        <w:rPr>
          <w:rFonts w:ascii="Times New Roman" w:hAnsi="Times New Roman" w:cs="Times New Roman"/>
          <w:b/>
          <w:bCs/>
          <w:color w:val="auto"/>
          <w:sz w:val="32"/>
          <w:szCs w:val="32"/>
          <w:highlight w:val="none"/>
        </w:rPr>
        <w:t>三、评分规则</w:t>
      </w:r>
    </w:p>
    <w:p w14:paraId="0A698A09">
      <w:pPr>
        <w:rPr>
          <w:rFonts w:ascii="Times New Roman" w:hAnsi="Times New Roman" w:cs="Times New Roman"/>
          <w:color w:val="auto"/>
          <w:szCs w:val="24"/>
          <w:highlight w:val="none"/>
        </w:rPr>
      </w:pPr>
      <w:r>
        <w:rPr>
          <w:rFonts w:ascii="Times New Roman" w:hAnsi="Times New Roman" w:cs="Times New Roman"/>
          <w:color w:val="auto"/>
          <w:szCs w:val="24"/>
          <w:highlight w:val="none"/>
        </w:rPr>
        <w:t>本次POC测试的功能点共计</w:t>
      </w:r>
      <w:r>
        <w:rPr>
          <w:rFonts w:hint="eastAsia" w:ascii="Times New Roman" w:hAnsi="Times New Roman" w:cs="Times New Roman"/>
          <w:color w:val="auto"/>
          <w:szCs w:val="24"/>
          <w:highlight w:val="none"/>
          <w:lang w:val="en-US" w:eastAsia="zh-CN"/>
        </w:rPr>
        <w:t>61</w:t>
      </w:r>
      <w:r>
        <w:rPr>
          <w:rFonts w:ascii="Times New Roman" w:hAnsi="Times New Roman" w:cs="Times New Roman"/>
          <w:color w:val="auto"/>
          <w:szCs w:val="24"/>
          <w:highlight w:val="none"/>
        </w:rPr>
        <w:t>个，总分为100分。其中，信创</w:t>
      </w:r>
      <w:r>
        <w:rPr>
          <w:rFonts w:ascii="Times New Roman" w:hAnsi="Times New Roman" w:cs="Times New Roman"/>
          <w:color w:val="auto"/>
          <w:kern w:val="0"/>
          <w:szCs w:val="24"/>
          <w:highlight w:val="none"/>
        </w:rPr>
        <w:t>基线满足度的评分项具有一票否决权，若不能适配比选人信创基线产品，则不予通过POC测试。</w:t>
      </w:r>
    </w:p>
    <w:p w14:paraId="1C384AAE">
      <w:pPr>
        <w:keepNext w:val="0"/>
        <w:snapToGrid w:val="0"/>
        <w:spacing w:line="360" w:lineRule="auto"/>
        <w:rPr>
          <w:rFonts w:ascii="Times New Roman" w:hAnsi="Times New Roman" w:cs="宋体"/>
          <w:snapToGrid w:val="0"/>
          <w:color w:val="auto"/>
          <w:kern w:val="0"/>
          <w:szCs w:val="24"/>
          <w:highlight w:val="none"/>
        </w:rPr>
      </w:pPr>
      <w:r>
        <w:rPr>
          <w:rFonts w:ascii="Times New Roman" w:hAnsi="Times New Roman" w:cs="宋体"/>
          <w:snapToGrid w:val="0"/>
          <w:color w:val="auto"/>
          <w:kern w:val="0"/>
          <w:szCs w:val="24"/>
          <w:highlight w:val="none"/>
        </w:rPr>
        <w:br w:type="page"/>
      </w:r>
    </w:p>
    <w:p w14:paraId="010E7223">
      <w:pPr>
        <w:snapToGrid w:val="0"/>
        <w:spacing w:line="360" w:lineRule="auto"/>
        <w:rPr>
          <w:rFonts w:ascii="Times New Roman" w:hAnsi="Times New Roman" w:cs="宋体"/>
          <w:snapToGrid w:val="0"/>
          <w:color w:val="auto"/>
          <w:kern w:val="0"/>
          <w:szCs w:val="24"/>
          <w:highlight w:val="none"/>
        </w:rPr>
      </w:pPr>
    </w:p>
    <w:p w14:paraId="2B1731CF">
      <w:pPr>
        <w:pStyle w:val="2"/>
        <w:rPr>
          <w:rFonts w:ascii="Times New Roman" w:hAnsi="Times New Roman"/>
          <w:color w:val="auto"/>
          <w:highlight w:val="none"/>
        </w:rPr>
      </w:pPr>
      <w:bookmarkStart w:id="336" w:name="_Toc24542"/>
      <w:bookmarkStart w:id="337" w:name="_Toc11367"/>
      <w:bookmarkStart w:id="338" w:name="_Toc10615"/>
      <w:bookmarkStart w:id="339" w:name="_Toc13008"/>
      <w:bookmarkStart w:id="340" w:name="_Toc26898"/>
      <w:bookmarkStart w:id="341" w:name="_Toc32758"/>
      <w:r>
        <w:rPr>
          <w:rFonts w:hint="eastAsia" w:ascii="Times New Roman" w:hAnsi="Times New Roman"/>
          <w:color w:val="auto"/>
          <w:highlight w:val="none"/>
        </w:rPr>
        <w:t>第四章 评审办法（综合评估法）</w:t>
      </w:r>
      <w:bookmarkEnd w:id="336"/>
      <w:bookmarkEnd w:id="337"/>
      <w:bookmarkEnd w:id="338"/>
      <w:bookmarkEnd w:id="339"/>
      <w:bookmarkEnd w:id="340"/>
      <w:bookmarkEnd w:id="341"/>
    </w:p>
    <w:p w14:paraId="3CB5CB32">
      <w:pPr>
        <w:rPr>
          <w:rFonts w:ascii="Times New Roman" w:hAnsi="Times New Roman"/>
          <w:b/>
          <w:bCs/>
          <w:color w:val="auto"/>
          <w:highlight w:val="none"/>
        </w:rPr>
      </w:pPr>
      <w:bookmarkStart w:id="342" w:name="_Toc2028"/>
      <w:bookmarkStart w:id="343" w:name="_Toc27076"/>
      <w:bookmarkStart w:id="344" w:name="_Toc11471"/>
      <w:bookmarkStart w:id="345" w:name="_Toc14810"/>
      <w:r>
        <w:rPr>
          <w:rFonts w:hint="eastAsia" w:ascii="Times New Roman" w:hAnsi="Times New Roman"/>
          <w:b/>
          <w:bCs/>
          <w:color w:val="auto"/>
          <w:highlight w:val="none"/>
        </w:rPr>
        <w:t>评审办法前附表</w:t>
      </w:r>
      <w:bookmarkEnd w:id="342"/>
      <w:bookmarkEnd w:id="343"/>
      <w:bookmarkEnd w:id="344"/>
      <w:bookmarkEnd w:id="345"/>
    </w:p>
    <w:p w14:paraId="615A36DF">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2F2D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8E03C24">
            <w:pPr>
              <w:spacing w:line="360" w:lineRule="auto"/>
              <w:ind w:firstLine="0" w:firstLineChars="0"/>
              <w:jc w:val="center"/>
              <w:rPr>
                <w:rFonts w:ascii="Times New Roman" w:hAnsi="Times New Roman" w:cs="宋体"/>
                <w:b/>
                <w:color w:val="auto"/>
                <w:kern w:val="0"/>
                <w:sz w:val="21"/>
                <w:szCs w:val="21"/>
                <w:highlight w:val="none"/>
              </w:rPr>
            </w:pPr>
            <w:bookmarkStart w:id="346" w:name="CQZH1_07"/>
            <w:r>
              <w:rPr>
                <w:rFonts w:hint="eastAsia" w:ascii="Times New Roman" w:hAnsi="Times New Roman" w:cs="宋体"/>
                <w:b/>
                <w:color w:val="auto"/>
                <w:kern w:val="0"/>
                <w:sz w:val="21"/>
                <w:szCs w:val="21"/>
                <w:highlight w:val="none"/>
              </w:rPr>
              <w:t>条款号</w:t>
            </w:r>
          </w:p>
        </w:tc>
        <w:tc>
          <w:tcPr>
            <w:tcW w:w="1482" w:type="dxa"/>
            <w:vAlign w:val="center"/>
          </w:tcPr>
          <w:p w14:paraId="7ADDC0FF">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162" w:type="dxa"/>
            <w:gridSpan w:val="3"/>
            <w:vAlign w:val="center"/>
          </w:tcPr>
          <w:p w14:paraId="1FCF92BC">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26C4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FF30713">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482" w:type="dxa"/>
            <w:tcBorders>
              <w:top w:val="single" w:color="auto" w:sz="4" w:space="0"/>
              <w:left w:val="single" w:color="auto" w:sz="4" w:space="0"/>
              <w:right w:val="single" w:color="auto" w:sz="4" w:space="0"/>
            </w:tcBorders>
            <w:vAlign w:val="center"/>
          </w:tcPr>
          <w:p w14:paraId="0E359BBB">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vAlign w:val="center"/>
          </w:tcPr>
          <w:p w14:paraId="574B49F2">
            <w:pPr>
              <w:spacing w:line="360" w:lineRule="auto"/>
              <w:ind w:firstLine="0" w:firstLineChars="0"/>
              <w:jc w:val="left"/>
              <w:rPr>
                <w:rFonts w:ascii="Times New Roman" w:hAnsi="Times New Roman" w:cs="宋体"/>
                <w:b/>
                <w:color w:val="auto"/>
                <w:kern w:val="0"/>
                <w:sz w:val="21"/>
                <w:szCs w:val="21"/>
                <w:highlight w:val="none"/>
              </w:rPr>
            </w:pPr>
            <w:r>
              <w:rPr>
                <w:rFonts w:hint="eastAsia" w:ascii="Times New Roman" w:hAnsi="Times New Roman" w:cs="Times New Roman"/>
                <w:color w:val="auto"/>
                <w:kern w:val="0"/>
                <w:sz w:val="21"/>
                <w:szCs w:val="24"/>
                <w:highlight w:val="none"/>
              </w:rPr>
              <w:t>本次评审采用综合评估法。</w:t>
            </w:r>
            <w:r>
              <w:rPr>
                <w:rFonts w:hint="eastAsia" w:ascii="宋体" w:hAnsi="宋体" w:cs="Times New Roman"/>
                <w:color w:val="auto"/>
                <w:kern w:val="0"/>
                <w:sz w:val="21"/>
                <w:szCs w:val="24"/>
                <w:highlight w:val="none"/>
                <w:lang w:val="en-US" w:eastAsia="zh-CN"/>
              </w:rPr>
              <w:t>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ascii="Times New Roman" w:hAnsi="Times New Roman" w:cs="Times New Roman"/>
                <w:color w:val="auto"/>
                <w:kern w:val="0"/>
                <w:sz w:val="21"/>
                <w:szCs w:val="24"/>
                <w:highlight w:val="none"/>
              </w:rPr>
              <w:t>由评审委员会按照</w:t>
            </w:r>
            <w:r>
              <w:rPr>
                <w:rFonts w:ascii="Times New Roman" w:hAnsi="Times New Roman" w:cs="Times New Roman"/>
                <w:color w:val="auto"/>
                <w:kern w:val="0"/>
                <w:sz w:val="21"/>
                <w:szCs w:val="24"/>
                <w:highlight w:val="none"/>
              </w:rPr>
              <w:t>POC测试总得分分值高者</w:t>
            </w:r>
            <w:r>
              <w:rPr>
                <w:rFonts w:hint="eastAsia" w:ascii="Times New Roman" w:hAnsi="Times New Roman" w:cs="Times New Roman"/>
                <w:color w:val="auto"/>
                <w:kern w:val="0"/>
                <w:sz w:val="21"/>
                <w:szCs w:val="24"/>
                <w:highlight w:val="none"/>
              </w:rPr>
              <w:t>原则排序。</w:t>
            </w:r>
          </w:p>
        </w:tc>
      </w:tr>
      <w:tr w14:paraId="32F6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F6DB678">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482" w:type="dxa"/>
            <w:tcBorders>
              <w:top w:val="single" w:color="auto" w:sz="4" w:space="0"/>
              <w:left w:val="single" w:color="auto" w:sz="4" w:space="0"/>
              <w:right w:val="single" w:color="auto" w:sz="4" w:space="0"/>
            </w:tcBorders>
            <w:vAlign w:val="center"/>
          </w:tcPr>
          <w:p w14:paraId="187DE19E">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162" w:type="dxa"/>
            <w:gridSpan w:val="3"/>
            <w:vAlign w:val="center"/>
          </w:tcPr>
          <w:p w14:paraId="0117D2CD">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所有参选单位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1A3B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ECA3CA0">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482" w:type="dxa"/>
            <w:tcBorders>
              <w:top w:val="single" w:color="auto" w:sz="4" w:space="0"/>
              <w:left w:val="single" w:color="auto" w:sz="4" w:space="0"/>
              <w:right w:val="single" w:color="auto" w:sz="4" w:space="0"/>
            </w:tcBorders>
            <w:vAlign w:val="center"/>
          </w:tcPr>
          <w:p w14:paraId="60FDB88D">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5ED289C1">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476" w:type="dxa"/>
            <w:vAlign w:val="center"/>
          </w:tcPr>
          <w:p w14:paraId="37991961">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符合第一章“2. 参选人资格要求”规定</w:t>
            </w:r>
          </w:p>
        </w:tc>
      </w:tr>
      <w:tr w14:paraId="0B6A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7047D71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482" w:type="dxa"/>
            <w:vMerge w:val="restart"/>
            <w:tcBorders>
              <w:top w:val="single" w:color="auto" w:sz="4" w:space="0"/>
              <w:left w:val="single" w:color="auto" w:sz="4" w:space="0"/>
              <w:right w:val="single" w:color="auto" w:sz="4" w:space="0"/>
            </w:tcBorders>
            <w:vAlign w:val="center"/>
          </w:tcPr>
          <w:p w14:paraId="73CC094F">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14:paraId="27BF70E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vAlign w:val="center"/>
          </w:tcPr>
          <w:p w14:paraId="0FAF5925">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2289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B32E696">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7B8C3676">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0F4013F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vAlign w:val="center"/>
          </w:tcPr>
          <w:p w14:paraId="7534239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72CB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333961A">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024E4F79">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A167AA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vAlign w:val="center"/>
          </w:tcPr>
          <w:p w14:paraId="4B3EE6A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45C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94D043F">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7AC1EA4F">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815F22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vAlign w:val="center"/>
          </w:tcPr>
          <w:p w14:paraId="5AE5579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552A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B79C384">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12F06AFD">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F4A0F9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vAlign w:val="center"/>
          </w:tcPr>
          <w:p w14:paraId="098ADB9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1202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968C135">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6B4DCC44">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0DDBBB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vAlign w:val="center"/>
          </w:tcPr>
          <w:p w14:paraId="309452B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529A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3CA9AD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482" w:type="dxa"/>
            <w:vMerge w:val="restart"/>
            <w:tcBorders>
              <w:top w:val="single" w:color="auto" w:sz="4" w:space="0"/>
              <w:left w:val="single" w:color="auto" w:sz="4" w:space="0"/>
              <w:right w:val="single" w:color="auto" w:sz="4" w:space="0"/>
            </w:tcBorders>
            <w:vAlign w:val="center"/>
          </w:tcPr>
          <w:p w14:paraId="019C46B8">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58E1EAF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vAlign w:val="center"/>
          </w:tcPr>
          <w:p w14:paraId="6178C65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2027F5F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w:t>
            </w:r>
            <w:r>
              <w:rPr>
                <w:rFonts w:hint="default" w:ascii="宋体" w:hAnsi="宋体" w:cs="宋体"/>
                <w:color w:val="auto"/>
                <w:kern w:val="0"/>
                <w:sz w:val="21"/>
                <w:szCs w:val="21"/>
                <w:highlight w:val="none"/>
                <w:lang w:val="en-US" w:eastAsia="zh-CN"/>
              </w:rPr>
              <w:t>提供对应</w:t>
            </w:r>
            <w:r>
              <w:rPr>
                <w:rFonts w:hint="eastAsia" w:ascii="宋体" w:hAnsi="宋体" w:cs="宋体"/>
                <w:color w:val="auto"/>
                <w:kern w:val="0"/>
                <w:sz w:val="21"/>
                <w:szCs w:val="21"/>
                <w:highlight w:val="none"/>
                <w:lang w:val="en-US" w:eastAsia="zh-CN"/>
              </w:rPr>
              <w:t>资料</w:t>
            </w:r>
            <w:r>
              <w:rPr>
                <w:rFonts w:hint="default" w:ascii="宋体" w:hAnsi="宋体" w:cs="宋体"/>
                <w:color w:val="auto"/>
                <w:kern w:val="0"/>
                <w:sz w:val="21"/>
                <w:szCs w:val="21"/>
                <w:highlight w:val="none"/>
                <w:lang w:val="en-US" w:eastAsia="zh-CN"/>
              </w:rPr>
              <w:t>，内容齐全、无遗漏。</w:t>
            </w:r>
          </w:p>
        </w:tc>
      </w:tr>
      <w:tr w14:paraId="7F2A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9867F32">
            <w:pPr>
              <w:rPr>
                <w:color w:val="auto"/>
                <w:highlight w:val="none"/>
              </w:rPr>
            </w:pPr>
          </w:p>
        </w:tc>
        <w:tc>
          <w:tcPr>
            <w:tcW w:w="1482" w:type="dxa"/>
            <w:vMerge w:val="continue"/>
            <w:tcBorders>
              <w:top w:val="single" w:color="auto" w:sz="4" w:space="0"/>
              <w:left w:val="single" w:color="auto" w:sz="4" w:space="0"/>
              <w:right w:val="single" w:color="auto" w:sz="4" w:space="0"/>
            </w:tcBorders>
          </w:tcPr>
          <w:p w14:paraId="3043E2E9">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421F6FC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vAlign w:val="center"/>
          </w:tcPr>
          <w:p w14:paraId="22CC1651">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0F43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6C41C8C">
            <w:pPr>
              <w:rPr>
                <w:color w:val="auto"/>
                <w:highlight w:val="none"/>
              </w:rPr>
            </w:pPr>
          </w:p>
        </w:tc>
        <w:tc>
          <w:tcPr>
            <w:tcW w:w="1482" w:type="dxa"/>
            <w:vMerge w:val="continue"/>
            <w:tcBorders>
              <w:top w:val="single" w:color="auto" w:sz="4" w:space="0"/>
              <w:left w:val="single" w:color="auto" w:sz="4" w:space="0"/>
              <w:right w:val="single" w:color="auto" w:sz="4" w:space="0"/>
            </w:tcBorders>
          </w:tcPr>
          <w:p w14:paraId="45CCCFD1">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1FE6EF9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vAlign w:val="center"/>
          </w:tcPr>
          <w:p w14:paraId="4F597A05">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361B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78E6C2E">
            <w:pPr>
              <w:rPr>
                <w:color w:val="auto"/>
                <w:highlight w:val="none"/>
              </w:rPr>
            </w:pPr>
          </w:p>
        </w:tc>
        <w:tc>
          <w:tcPr>
            <w:tcW w:w="1482" w:type="dxa"/>
            <w:vMerge w:val="continue"/>
            <w:tcBorders>
              <w:top w:val="single" w:color="auto" w:sz="4" w:space="0"/>
              <w:left w:val="single" w:color="auto" w:sz="4" w:space="0"/>
              <w:right w:val="single" w:color="auto" w:sz="4" w:space="0"/>
            </w:tcBorders>
          </w:tcPr>
          <w:p w14:paraId="32B389F7">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2666689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vAlign w:val="center"/>
          </w:tcPr>
          <w:p w14:paraId="5CF9248E">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46F5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F52079B">
            <w:pPr>
              <w:rPr>
                <w:color w:val="auto"/>
                <w:highlight w:val="none"/>
              </w:rPr>
            </w:pPr>
          </w:p>
        </w:tc>
        <w:tc>
          <w:tcPr>
            <w:tcW w:w="1482" w:type="dxa"/>
            <w:vMerge w:val="continue"/>
            <w:tcBorders>
              <w:top w:val="single" w:color="auto" w:sz="4" w:space="0"/>
              <w:left w:val="single" w:color="auto" w:sz="4" w:space="0"/>
              <w:right w:val="single" w:color="auto" w:sz="4" w:space="0"/>
            </w:tcBorders>
          </w:tcPr>
          <w:p w14:paraId="1F5F6323">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564A5B3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Pr>
          <w:p w14:paraId="6B71BBF9">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2CA0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F618064">
            <w:pPr>
              <w:rPr>
                <w:color w:val="auto"/>
                <w:highlight w:val="none"/>
              </w:rPr>
            </w:pPr>
          </w:p>
        </w:tc>
        <w:tc>
          <w:tcPr>
            <w:tcW w:w="1482" w:type="dxa"/>
            <w:vMerge w:val="continue"/>
            <w:tcBorders>
              <w:top w:val="single" w:color="auto" w:sz="4" w:space="0"/>
              <w:left w:val="single" w:color="auto" w:sz="4" w:space="0"/>
              <w:right w:val="single" w:color="auto" w:sz="4" w:space="0"/>
            </w:tcBorders>
          </w:tcPr>
          <w:p w14:paraId="6C73F663">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4680422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Pr>
          <w:p w14:paraId="3F4C2FAE">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4966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68B7301E">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1482" w:type="dxa"/>
            <w:vMerge w:val="restart"/>
            <w:tcBorders>
              <w:top w:val="single" w:color="auto" w:sz="4" w:space="0"/>
              <w:left w:val="single" w:color="auto" w:sz="4" w:space="0"/>
              <w:right w:val="single" w:color="auto" w:sz="4" w:space="0"/>
            </w:tcBorders>
            <w:vAlign w:val="center"/>
          </w:tcPr>
          <w:p w14:paraId="0EF8A88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011A0EBF">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0031F6D9">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(总分1OO分)</w:t>
            </w:r>
          </w:p>
        </w:tc>
        <w:tc>
          <w:tcPr>
            <w:tcW w:w="5476" w:type="dxa"/>
            <w:vAlign w:val="center"/>
          </w:tcPr>
          <w:p w14:paraId="54E0CF85">
            <w:pPr>
              <w:spacing w:line="360" w:lineRule="auto"/>
              <w:ind w:firstLine="0" w:firstLineChars="0"/>
              <w:jc w:val="both"/>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一、参选报价</w:t>
            </w:r>
            <w:r>
              <w:rPr>
                <w:rFonts w:hint="eastAsia" w:ascii="Times New Roman" w:hAnsi="Times New Roman" w:cs="Times New Roman"/>
                <w:color w:val="auto"/>
                <w:kern w:val="0"/>
                <w:sz w:val="21"/>
                <w:szCs w:val="21"/>
                <w:highlight w:val="none"/>
              </w:rPr>
              <w:t>（不含税报价）</w:t>
            </w:r>
            <w:r>
              <w:rPr>
                <w:rFonts w:ascii="Times New Roman" w:hAnsi="Times New Roman" w:cs="Times New Roman"/>
                <w:color w:val="auto"/>
                <w:kern w:val="0"/>
                <w:sz w:val="21"/>
                <w:szCs w:val="21"/>
                <w:highlight w:val="none"/>
              </w:rPr>
              <w:t>评分规则（分值：</w:t>
            </w:r>
            <w:r>
              <w:rPr>
                <w:rFonts w:hint="default" w:ascii="Times New Roman" w:hAnsi="Times New Roman" w:cs="Times New Roman"/>
                <w:color w:val="auto"/>
                <w:kern w:val="0"/>
                <w:sz w:val="21"/>
                <w:szCs w:val="21"/>
                <w:highlight w:val="none"/>
              </w:rPr>
              <w:t>40</w:t>
            </w:r>
            <w:r>
              <w:rPr>
                <w:rFonts w:ascii="Times New Roman" w:hAnsi="Times New Roman" w:cs="Times New Roman"/>
                <w:color w:val="auto"/>
                <w:kern w:val="0"/>
                <w:sz w:val="21"/>
                <w:szCs w:val="21"/>
                <w:highlight w:val="none"/>
              </w:rPr>
              <w:t>分）</w:t>
            </w:r>
          </w:p>
          <w:p w14:paraId="51F4C57C">
            <w:pPr>
              <w:spacing w:line="360" w:lineRule="auto"/>
              <w:ind w:firstLine="0" w:firstLineChars="0"/>
              <w:jc w:val="both"/>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1.以各有效报价（不含税报价）之和的平均价格作为评标基准价，基准分为</w:t>
            </w:r>
            <w:r>
              <w:rPr>
                <w:rFonts w:hint="default" w:ascii="Times New Roman" w:hAnsi="Times New Roman" w:eastAsia="宋体" w:cs="Times New Roman"/>
                <w:color w:val="auto"/>
                <w:kern w:val="0"/>
                <w:sz w:val="21"/>
                <w:szCs w:val="21"/>
                <w:highlight w:val="none"/>
                <w:lang w:val="en-US" w:eastAsia="zh-CN"/>
              </w:rPr>
              <w:t>4</w:t>
            </w:r>
            <w:r>
              <w:rPr>
                <w:rFonts w:ascii="Times New Roman" w:hAnsi="Times New Roman" w:eastAsia="宋体" w:cs="Times New Roman"/>
                <w:color w:val="auto"/>
                <w:kern w:val="0"/>
                <w:sz w:val="21"/>
                <w:szCs w:val="21"/>
                <w:highlight w:val="none"/>
              </w:rPr>
              <w:t>0分；</w:t>
            </w:r>
          </w:p>
          <w:p w14:paraId="6D2C857B">
            <w:pPr>
              <w:spacing w:line="360" w:lineRule="auto"/>
              <w:ind w:firstLine="0" w:firstLineChars="0"/>
              <w:jc w:val="both"/>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2.计算各有效报价与评标基准价的偏离度。</w:t>
            </w:r>
          </w:p>
          <w:p w14:paraId="14DC9E3B">
            <w:pPr>
              <w:spacing w:line="360" w:lineRule="auto"/>
              <w:ind w:firstLine="0" w:firstLineChars="0"/>
              <w:jc w:val="both"/>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偏离度=（有效报价/评标基准价-1）*100%；</w:t>
            </w:r>
          </w:p>
          <w:p w14:paraId="037E6B73">
            <w:pPr>
              <w:spacing w:line="360" w:lineRule="auto"/>
              <w:ind w:firstLine="0" w:firstLineChars="0"/>
              <w:jc w:val="both"/>
              <w:rPr>
                <w:rFonts w:hint="eastAsia" w:ascii="Times New Roman" w:hAnsi="Times New Roman" w:eastAsia="宋体" w:cs="宋体"/>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rPr>
              <w:t>3.报价向上每偏离基准价的1%扣1分；向下偏离基准价10%以内的，不扣分；向下偏离基准价超过10%的，在向下偏离基准价10%的基础上，向下偏离每多超过1%扣0.5分，扣完为止，不足1%的不予扣减。</w:t>
            </w:r>
          </w:p>
        </w:tc>
      </w:tr>
      <w:tr w14:paraId="7D4A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52C7915D">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14:paraId="598E5A81">
            <w:pPr>
              <w:rPr>
                <w:color w:val="auto"/>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08F8B9EA">
            <w:pPr>
              <w:rPr>
                <w:color w:val="auto"/>
                <w:highlight w:val="none"/>
              </w:rPr>
            </w:pPr>
          </w:p>
        </w:tc>
        <w:tc>
          <w:tcPr>
            <w:tcW w:w="5476" w:type="dxa"/>
            <w:vAlign w:val="center"/>
          </w:tcPr>
          <w:p w14:paraId="1B65493E">
            <w:pPr>
              <w:spacing w:line="360" w:lineRule="auto"/>
              <w:ind w:firstLine="0" w:firstLineChars="0"/>
              <w:rPr>
                <w:rFonts w:hint="eastAsia" w:ascii="Times New Roman" w:hAnsi="Times New Roman" w:cs="Times New Roman"/>
                <w:color w:val="auto"/>
                <w:kern w:val="0"/>
                <w:sz w:val="21"/>
                <w:szCs w:val="21"/>
                <w:highlight w:val="none"/>
                <w:lang w:eastAsia="zh-Hans"/>
              </w:rPr>
            </w:pPr>
            <w:r>
              <w:rPr>
                <w:rFonts w:hint="eastAsia" w:ascii="Times New Roman" w:hAnsi="Times New Roman" w:cs="Times New Roman"/>
                <w:color w:val="auto"/>
                <w:kern w:val="0"/>
                <w:sz w:val="21"/>
                <w:szCs w:val="21"/>
                <w:highlight w:val="none"/>
                <w:lang w:val="en-US" w:eastAsia="zh-Hans"/>
              </w:rPr>
              <w:t>二、</w:t>
            </w:r>
            <w:r>
              <w:rPr>
                <w:rFonts w:hint="eastAsia" w:ascii="Times New Roman" w:hAnsi="Times New Roman" w:cs="Times New Roman"/>
                <w:color w:val="auto"/>
                <w:kern w:val="0"/>
                <w:sz w:val="21"/>
                <w:szCs w:val="21"/>
                <w:highlight w:val="none"/>
              </w:rPr>
              <w:t>商务部分评分规则</w:t>
            </w:r>
            <w:r>
              <w:rPr>
                <w:rFonts w:hint="eastAsia" w:ascii="Times New Roman" w:hAnsi="Times New Roman" w:cs="Times New Roman"/>
                <w:color w:val="auto"/>
                <w:kern w:val="0"/>
                <w:sz w:val="21"/>
                <w:szCs w:val="21"/>
                <w:highlight w:val="none"/>
                <w:lang w:eastAsia="zh-Hans"/>
              </w:rPr>
              <w:t>（</w:t>
            </w:r>
            <w:r>
              <w:rPr>
                <w:rFonts w:hint="eastAsia" w:ascii="Times New Roman" w:hAnsi="Times New Roman" w:cs="Times New Roman"/>
                <w:color w:val="auto"/>
                <w:kern w:val="0"/>
                <w:sz w:val="21"/>
                <w:szCs w:val="21"/>
                <w:highlight w:val="none"/>
                <w:lang w:val="en-US" w:eastAsia="zh-Hans"/>
              </w:rPr>
              <w:t>分值：</w:t>
            </w:r>
            <w:r>
              <w:rPr>
                <w:rFonts w:hint="default" w:ascii="Times New Roman" w:hAnsi="Times New Roman" w:cs="Times New Roman"/>
                <w:color w:val="auto"/>
                <w:kern w:val="0"/>
                <w:sz w:val="21"/>
                <w:szCs w:val="21"/>
                <w:highlight w:val="none"/>
                <w:lang w:eastAsia="zh-Hans"/>
              </w:rPr>
              <w:t>28</w:t>
            </w:r>
            <w:r>
              <w:rPr>
                <w:rFonts w:hint="eastAsia" w:ascii="Times New Roman" w:hAnsi="Times New Roman" w:cs="Times New Roman"/>
                <w:color w:val="auto"/>
                <w:kern w:val="0"/>
                <w:sz w:val="21"/>
                <w:szCs w:val="21"/>
                <w:highlight w:val="none"/>
                <w:lang w:val="en-US" w:eastAsia="zh-Hans"/>
              </w:rPr>
              <w:t>分</w:t>
            </w:r>
            <w:r>
              <w:rPr>
                <w:rFonts w:hint="eastAsia" w:ascii="Times New Roman" w:hAnsi="Times New Roman" w:cs="Times New Roman"/>
                <w:color w:val="auto"/>
                <w:kern w:val="0"/>
                <w:sz w:val="21"/>
                <w:szCs w:val="21"/>
                <w:highlight w:val="none"/>
                <w:lang w:eastAsia="zh-Hans"/>
              </w:rPr>
              <w:t>）</w:t>
            </w:r>
          </w:p>
          <w:p w14:paraId="682D5998">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1.参选人管理资质（分值：4分）</w:t>
            </w:r>
          </w:p>
          <w:p w14:paraId="59726285">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（1）有ISO体系相关认证，如：ISO9001（质量管理）/ISO20000（服务管理）/ISO27001（信息安全）/ISO22301（业务连续性），每项有一项认证得0.5分；</w:t>
            </w:r>
            <w:r>
              <w:rPr>
                <w:rFonts w:hint="eastAsia" w:ascii="Times New Roman" w:hAnsi="Times New Roman" w:cs="Times New Roman"/>
                <w:color w:val="auto"/>
                <w:kern w:val="0"/>
                <w:sz w:val="21"/>
                <w:szCs w:val="21"/>
                <w:highlight w:val="none"/>
                <w:lang w:val="en-US" w:eastAsia="zh-Hans"/>
              </w:rPr>
              <w:t>本项</w:t>
            </w:r>
            <w:r>
              <w:rPr>
                <w:rFonts w:ascii="Times New Roman" w:hAnsi="Times New Roman" w:cs="Times New Roman"/>
                <w:color w:val="auto"/>
                <w:kern w:val="0"/>
                <w:sz w:val="21"/>
                <w:szCs w:val="21"/>
                <w:highlight w:val="none"/>
              </w:rPr>
              <w:t>满分2分。</w:t>
            </w:r>
          </w:p>
          <w:p w14:paraId="210A3BB9">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（2）有软件成熟度相关认证，拥有CMMI3级得1分，拥有CMMI4级得1.5分，拥有CMMI5级得2分，CMMI3级以下</w:t>
            </w:r>
            <w:r>
              <w:rPr>
                <w:rFonts w:hint="eastAsia" w:ascii="Times New Roman" w:hAnsi="Times New Roman" w:cs="Times New Roman"/>
                <w:color w:val="auto"/>
                <w:kern w:val="0"/>
                <w:sz w:val="21"/>
                <w:szCs w:val="21"/>
                <w:highlight w:val="none"/>
                <w:lang w:val="en-US" w:eastAsia="zh-CN"/>
              </w:rPr>
              <w:t>或不提供的不得分</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不重复计分，本项满分2分</w:t>
            </w:r>
            <w:r>
              <w:rPr>
                <w:rFonts w:ascii="Times New Roman" w:hAnsi="Times New Roman" w:cs="Times New Roman"/>
                <w:color w:val="auto"/>
                <w:kern w:val="0"/>
                <w:sz w:val="21"/>
                <w:szCs w:val="21"/>
                <w:highlight w:val="none"/>
              </w:rPr>
              <w:t>。</w:t>
            </w:r>
          </w:p>
          <w:p w14:paraId="49469D88">
            <w:pPr>
              <w:spacing w:line="360" w:lineRule="auto"/>
              <w:ind w:firstLine="0" w:firstLineChars="0"/>
              <w:rPr>
                <w:rFonts w:hint="eastAsia"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注：需提供证书复印件。</w:t>
            </w:r>
          </w:p>
          <w:p w14:paraId="28982F45">
            <w:pPr>
              <w:spacing w:line="360" w:lineRule="auto"/>
              <w:ind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r>
              <w:rPr>
                <w:rFonts w:hint="eastAsia" w:ascii="Times New Roman" w:hAnsi="Times New Roman" w:cs="Times New Roman"/>
                <w:color w:val="auto"/>
                <w:kern w:val="0"/>
                <w:sz w:val="21"/>
                <w:szCs w:val="21"/>
                <w:highlight w:val="none"/>
                <w:lang w:val="en-US" w:eastAsia="zh-Hans"/>
              </w:rPr>
              <w:t>参选人</w:t>
            </w:r>
            <w:r>
              <w:rPr>
                <w:rFonts w:hint="eastAsia" w:ascii="宋体"/>
                <w:color w:val="auto"/>
                <w:sz w:val="20"/>
                <w:highlight w:val="none"/>
              </w:rPr>
              <w:t>注册规模</w:t>
            </w:r>
            <w:r>
              <w:rPr>
                <w:rFonts w:hint="eastAsia" w:ascii="Times New Roman" w:hAnsi="Times New Roman" w:cs="Times New Roman"/>
                <w:color w:val="auto"/>
                <w:kern w:val="0"/>
                <w:sz w:val="21"/>
                <w:szCs w:val="21"/>
                <w:highlight w:val="none"/>
                <w:lang w:val="en-US" w:eastAsia="zh-Hans"/>
              </w:rPr>
              <w:t>（分值：</w:t>
            </w:r>
            <w:r>
              <w:rPr>
                <w:rFonts w:hint="default" w:ascii="Times New Roman" w:hAnsi="Times New Roman" w:cs="Times New Roman"/>
                <w:color w:val="auto"/>
                <w:kern w:val="0"/>
                <w:sz w:val="21"/>
                <w:szCs w:val="21"/>
                <w:highlight w:val="none"/>
                <w:lang w:eastAsia="zh-Hans"/>
              </w:rPr>
              <w:t>3</w:t>
            </w:r>
            <w:r>
              <w:rPr>
                <w:rFonts w:hint="eastAsia" w:ascii="Times New Roman" w:hAnsi="Times New Roman" w:cs="Times New Roman"/>
                <w:color w:val="auto"/>
                <w:kern w:val="0"/>
                <w:sz w:val="21"/>
                <w:szCs w:val="21"/>
                <w:highlight w:val="none"/>
                <w:lang w:val="en-US" w:eastAsia="zh-Hans"/>
              </w:rPr>
              <w:t>分）</w:t>
            </w:r>
          </w:p>
          <w:p w14:paraId="728435E0">
            <w:pPr>
              <w:spacing w:line="360" w:lineRule="auto"/>
              <w:ind w:firstLine="0" w:firstLineChars="0"/>
              <w:rPr>
                <w:rFonts w:hint="eastAsia"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注册资金</w:t>
            </w:r>
            <w:r>
              <w:rPr>
                <w:rFonts w:hint="default" w:ascii="Times New Roman" w:hAnsi="Times New Roman" w:cs="Times New Roman"/>
                <w:color w:val="auto"/>
                <w:kern w:val="0"/>
                <w:sz w:val="21"/>
                <w:szCs w:val="21"/>
                <w:highlight w:val="none"/>
              </w:rPr>
              <w:t>5</w:t>
            </w:r>
            <w:r>
              <w:rPr>
                <w:rFonts w:hint="eastAsia" w:ascii="Times New Roman" w:hAnsi="Times New Roman" w:cs="Times New Roman"/>
                <w:color w:val="auto"/>
                <w:kern w:val="0"/>
                <w:sz w:val="21"/>
                <w:szCs w:val="21"/>
                <w:highlight w:val="none"/>
              </w:rPr>
              <w:t>000万（含）</w:t>
            </w:r>
            <w:r>
              <w:rPr>
                <w:rFonts w:hint="eastAsia" w:ascii="Times New Roman" w:hAnsi="Times New Roman" w:cs="Times New Roman"/>
                <w:color w:val="auto"/>
                <w:kern w:val="0"/>
                <w:sz w:val="21"/>
                <w:szCs w:val="21"/>
                <w:highlight w:val="none"/>
                <w:lang w:val="en-US" w:eastAsia="zh-Hans"/>
              </w:rPr>
              <w:t>以上的得</w:t>
            </w:r>
            <w:r>
              <w:rPr>
                <w:rFonts w:hint="default" w:ascii="Times New Roman" w:hAnsi="Times New Roman" w:cs="Times New Roman"/>
                <w:color w:val="auto"/>
                <w:kern w:val="0"/>
                <w:sz w:val="21"/>
                <w:szCs w:val="21"/>
                <w:highlight w:val="none"/>
              </w:rPr>
              <w:t>3</w:t>
            </w:r>
            <w:r>
              <w:rPr>
                <w:rFonts w:hint="eastAsia" w:ascii="Times New Roman" w:hAnsi="Times New Roman" w:cs="Times New Roman"/>
                <w:color w:val="auto"/>
                <w:kern w:val="0"/>
                <w:sz w:val="21"/>
                <w:szCs w:val="21"/>
                <w:highlight w:val="none"/>
              </w:rPr>
              <w:t>分</w:t>
            </w:r>
            <w:r>
              <w:rPr>
                <w:rFonts w:hint="eastAsia" w:ascii="Times New Roman" w:hAnsi="Times New Roman" w:cs="Times New Roman"/>
                <w:color w:val="auto"/>
                <w:kern w:val="0"/>
                <w:sz w:val="21"/>
                <w:szCs w:val="21"/>
                <w:highlight w:val="none"/>
                <w:lang w:eastAsia="zh-Hans"/>
              </w:rPr>
              <w:t>，</w:t>
            </w:r>
            <w:r>
              <w:rPr>
                <w:rFonts w:hint="eastAsia" w:ascii="Times New Roman" w:hAnsi="Times New Roman" w:cs="Times New Roman"/>
                <w:color w:val="auto"/>
                <w:kern w:val="0"/>
                <w:sz w:val="21"/>
                <w:szCs w:val="21"/>
                <w:highlight w:val="none"/>
              </w:rPr>
              <w:t>注册资金</w:t>
            </w:r>
            <w:r>
              <w:rPr>
                <w:rFonts w:hint="default" w:ascii="Times New Roman" w:hAnsi="Times New Roman" w:cs="Times New Roman"/>
                <w:color w:val="auto"/>
                <w:kern w:val="0"/>
                <w:sz w:val="21"/>
                <w:szCs w:val="21"/>
                <w:highlight w:val="none"/>
              </w:rPr>
              <w:t>3</w:t>
            </w:r>
            <w:r>
              <w:rPr>
                <w:rFonts w:hint="eastAsia" w:ascii="Times New Roman" w:hAnsi="Times New Roman" w:cs="Times New Roman"/>
                <w:color w:val="auto"/>
                <w:kern w:val="0"/>
                <w:sz w:val="21"/>
                <w:szCs w:val="21"/>
                <w:highlight w:val="none"/>
              </w:rPr>
              <w:t>000万（含）</w:t>
            </w:r>
            <w:r>
              <w:rPr>
                <w:rFonts w:hint="eastAsia" w:ascii="Times New Roman" w:hAnsi="Times New Roman" w:cs="Times New Roman"/>
                <w:color w:val="auto"/>
                <w:kern w:val="0"/>
                <w:sz w:val="21"/>
                <w:szCs w:val="21"/>
                <w:highlight w:val="none"/>
                <w:lang w:val="en-US" w:eastAsia="zh-Hans"/>
              </w:rPr>
              <w:t>以上、不满</w:t>
            </w:r>
            <w:r>
              <w:rPr>
                <w:rFonts w:hint="default" w:ascii="Times New Roman" w:hAnsi="Times New Roman" w:cs="Times New Roman"/>
                <w:color w:val="auto"/>
                <w:kern w:val="0"/>
                <w:sz w:val="21"/>
                <w:szCs w:val="21"/>
                <w:highlight w:val="none"/>
              </w:rPr>
              <w:t>5</w:t>
            </w:r>
            <w:r>
              <w:rPr>
                <w:rFonts w:hint="eastAsia" w:ascii="Times New Roman" w:hAnsi="Times New Roman" w:cs="Times New Roman"/>
                <w:color w:val="auto"/>
                <w:kern w:val="0"/>
                <w:sz w:val="21"/>
                <w:szCs w:val="21"/>
                <w:highlight w:val="none"/>
              </w:rPr>
              <w:t>000万</w:t>
            </w:r>
            <w:r>
              <w:rPr>
                <w:rFonts w:hint="eastAsia" w:ascii="Times New Roman" w:hAnsi="Times New Roman" w:cs="Times New Roman"/>
                <w:color w:val="auto"/>
                <w:kern w:val="0"/>
                <w:sz w:val="21"/>
                <w:szCs w:val="21"/>
                <w:highlight w:val="none"/>
                <w:lang w:val="en-US" w:eastAsia="zh-Hans"/>
              </w:rPr>
              <w:t>的得</w:t>
            </w:r>
            <w:r>
              <w:rPr>
                <w:rFonts w:hint="default" w:ascii="Times New Roman" w:hAnsi="Times New Roman" w:cs="Times New Roman"/>
                <w:color w:val="auto"/>
                <w:kern w:val="0"/>
                <w:sz w:val="21"/>
                <w:szCs w:val="21"/>
                <w:highlight w:val="none"/>
              </w:rPr>
              <w:t>2</w:t>
            </w:r>
            <w:r>
              <w:rPr>
                <w:rFonts w:hint="eastAsia" w:ascii="Times New Roman" w:hAnsi="Times New Roman" w:cs="Times New Roman"/>
                <w:color w:val="auto"/>
                <w:kern w:val="0"/>
                <w:sz w:val="21"/>
                <w:szCs w:val="21"/>
                <w:highlight w:val="none"/>
              </w:rPr>
              <w:t>分</w:t>
            </w:r>
            <w:r>
              <w:rPr>
                <w:rFonts w:hint="eastAsia" w:ascii="Times New Roman" w:hAnsi="Times New Roman" w:cs="Times New Roman"/>
                <w:color w:val="auto"/>
                <w:kern w:val="0"/>
                <w:sz w:val="21"/>
                <w:szCs w:val="21"/>
                <w:highlight w:val="none"/>
                <w:lang w:eastAsia="zh-Hans"/>
              </w:rPr>
              <w:t>，</w:t>
            </w:r>
            <w:r>
              <w:rPr>
                <w:rFonts w:hint="eastAsia" w:ascii="Times New Roman" w:hAnsi="Times New Roman" w:cs="Times New Roman"/>
                <w:color w:val="auto"/>
                <w:kern w:val="0"/>
                <w:sz w:val="21"/>
                <w:szCs w:val="21"/>
                <w:highlight w:val="none"/>
              </w:rPr>
              <w:t>注册资金</w:t>
            </w:r>
            <w:r>
              <w:rPr>
                <w:rFonts w:hint="default" w:ascii="Times New Roman" w:hAnsi="Times New Roman" w:cs="Times New Roman"/>
                <w:color w:val="auto"/>
                <w:kern w:val="0"/>
                <w:sz w:val="21"/>
                <w:szCs w:val="21"/>
                <w:highlight w:val="none"/>
              </w:rPr>
              <w:t>1000</w:t>
            </w:r>
            <w:r>
              <w:rPr>
                <w:rFonts w:hint="eastAsia" w:ascii="Times New Roman" w:hAnsi="Times New Roman" w:cs="Times New Roman"/>
                <w:color w:val="auto"/>
                <w:kern w:val="0"/>
                <w:sz w:val="21"/>
                <w:szCs w:val="21"/>
                <w:highlight w:val="none"/>
              </w:rPr>
              <w:t>万（含）</w:t>
            </w:r>
            <w:r>
              <w:rPr>
                <w:rFonts w:hint="eastAsia" w:ascii="Times New Roman" w:hAnsi="Times New Roman" w:cs="Times New Roman"/>
                <w:color w:val="auto"/>
                <w:kern w:val="0"/>
                <w:sz w:val="21"/>
                <w:szCs w:val="21"/>
                <w:highlight w:val="none"/>
                <w:lang w:val="en-US" w:eastAsia="zh-Hans"/>
              </w:rPr>
              <w:t>以上、不满</w:t>
            </w:r>
            <w:r>
              <w:rPr>
                <w:rFonts w:hint="default" w:ascii="Times New Roman" w:hAnsi="Times New Roman" w:cs="Times New Roman"/>
                <w:color w:val="auto"/>
                <w:kern w:val="0"/>
                <w:sz w:val="21"/>
                <w:szCs w:val="21"/>
                <w:highlight w:val="none"/>
              </w:rPr>
              <w:t>3</w:t>
            </w:r>
            <w:r>
              <w:rPr>
                <w:rFonts w:hint="eastAsia" w:ascii="Times New Roman" w:hAnsi="Times New Roman" w:cs="Times New Roman"/>
                <w:color w:val="auto"/>
                <w:kern w:val="0"/>
                <w:sz w:val="21"/>
                <w:szCs w:val="21"/>
                <w:highlight w:val="none"/>
              </w:rPr>
              <w:t>000万</w:t>
            </w:r>
            <w:r>
              <w:rPr>
                <w:rFonts w:hint="eastAsia" w:ascii="Times New Roman" w:hAnsi="Times New Roman" w:cs="Times New Roman"/>
                <w:color w:val="auto"/>
                <w:kern w:val="0"/>
                <w:sz w:val="21"/>
                <w:szCs w:val="21"/>
                <w:highlight w:val="none"/>
                <w:lang w:val="en-US" w:eastAsia="zh-Hans"/>
              </w:rPr>
              <w:t>的得</w:t>
            </w:r>
            <w:r>
              <w:rPr>
                <w:rFonts w:hint="default" w:ascii="Times New Roman" w:hAnsi="Times New Roman" w:cs="Times New Roman"/>
                <w:color w:val="auto"/>
                <w:kern w:val="0"/>
                <w:sz w:val="21"/>
                <w:szCs w:val="21"/>
                <w:highlight w:val="none"/>
              </w:rPr>
              <w:t>1</w:t>
            </w:r>
            <w:r>
              <w:rPr>
                <w:rFonts w:hint="eastAsia" w:ascii="Times New Roman" w:hAnsi="Times New Roman" w:cs="Times New Roman"/>
                <w:color w:val="auto"/>
                <w:kern w:val="0"/>
                <w:sz w:val="21"/>
                <w:szCs w:val="21"/>
                <w:highlight w:val="none"/>
              </w:rPr>
              <w:t>分</w:t>
            </w:r>
            <w:r>
              <w:rPr>
                <w:rFonts w:hint="eastAsia" w:ascii="Times New Roman" w:hAnsi="Times New Roman" w:cs="Times New Roman"/>
                <w:color w:val="auto"/>
                <w:kern w:val="0"/>
                <w:sz w:val="21"/>
                <w:szCs w:val="21"/>
                <w:highlight w:val="none"/>
                <w:lang w:eastAsia="zh-Hans"/>
              </w:rPr>
              <w:t>，</w:t>
            </w:r>
            <w:r>
              <w:rPr>
                <w:rFonts w:hint="eastAsia" w:ascii="Times New Roman" w:hAnsi="Times New Roman" w:cs="Times New Roman"/>
                <w:color w:val="auto"/>
                <w:kern w:val="0"/>
                <w:sz w:val="21"/>
                <w:szCs w:val="21"/>
                <w:highlight w:val="none"/>
              </w:rPr>
              <w:t>注册资金</w:t>
            </w:r>
            <w:r>
              <w:rPr>
                <w:rFonts w:hint="eastAsia" w:ascii="Times New Roman" w:hAnsi="Times New Roman" w:cs="Times New Roman"/>
                <w:color w:val="auto"/>
                <w:kern w:val="0"/>
                <w:sz w:val="21"/>
                <w:szCs w:val="21"/>
                <w:highlight w:val="none"/>
                <w:lang w:val="en-US" w:eastAsia="zh-Hans"/>
              </w:rPr>
              <w:t>不满</w:t>
            </w:r>
            <w:r>
              <w:rPr>
                <w:rFonts w:hint="default" w:ascii="Times New Roman" w:hAnsi="Times New Roman" w:cs="Times New Roman"/>
                <w:color w:val="auto"/>
                <w:kern w:val="0"/>
                <w:sz w:val="21"/>
                <w:szCs w:val="21"/>
                <w:highlight w:val="none"/>
              </w:rPr>
              <w:t>1000</w:t>
            </w:r>
            <w:r>
              <w:rPr>
                <w:rFonts w:hint="eastAsia" w:ascii="Times New Roman" w:hAnsi="Times New Roman" w:cs="Times New Roman"/>
                <w:color w:val="auto"/>
                <w:kern w:val="0"/>
                <w:sz w:val="21"/>
                <w:szCs w:val="21"/>
                <w:highlight w:val="none"/>
              </w:rPr>
              <w:t>万</w:t>
            </w:r>
            <w:r>
              <w:rPr>
                <w:rFonts w:hint="eastAsia" w:ascii="Times New Roman" w:hAnsi="Times New Roman" w:cs="Times New Roman"/>
                <w:color w:val="auto"/>
                <w:kern w:val="0"/>
                <w:sz w:val="21"/>
                <w:szCs w:val="21"/>
                <w:highlight w:val="none"/>
                <w:lang w:val="en-US" w:eastAsia="zh-Hans"/>
              </w:rPr>
              <w:t>的</w:t>
            </w:r>
            <w:r>
              <w:rPr>
                <w:rFonts w:hint="eastAsia" w:ascii="Times New Roman" w:hAnsi="Times New Roman" w:cs="Times New Roman"/>
                <w:color w:val="auto"/>
                <w:kern w:val="0"/>
                <w:sz w:val="21"/>
                <w:szCs w:val="21"/>
                <w:highlight w:val="none"/>
                <w:lang w:val="en-US" w:eastAsia="zh-CN"/>
              </w:rPr>
              <w:t>不得</w:t>
            </w:r>
            <w:r>
              <w:rPr>
                <w:rFonts w:hint="eastAsia" w:ascii="Times New Roman" w:hAnsi="Times New Roman" w:cs="Times New Roman"/>
                <w:color w:val="auto"/>
                <w:kern w:val="0"/>
                <w:sz w:val="21"/>
                <w:szCs w:val="21"/>
                <w:highlight w:val="none"/>
              </w:rPr>
              <w:t>分。</w:t>
            </w:r>
          </w:p>
          <w:p w14:paraId="01D2D826">
            <w:pPr>
              <w:spacing w:line="360" w:lineRule="auto"/>
              <w:ind w:firstLine="0" w:firstLineChars="0"/>
              <w:rPr>
                <w:rFonts w:hint="eastAsia" w:ascii="Times New Roman" w:hAnsi="Times New Roman" w:cs="Times New Roman"/>
                <w:color w:val="auto"/>
                <w:kern w:val="0"/>
                <w:sz w:val="21"/>
                <w:szCs w:val="21"/>
                <w:highlight w:val="none"/>
                <w:lang w:val="en-US" w:eastAsia="zh-Hans"/>
              </w:rPr>
            </w:pPr>
            <w:r>
              <w:rPr>
                <w:rFonts w:hint="default" w:ascii="Times New Roman" w:hAnsi="Times New Roman" w:cs="Times New Roman"/>
                <w:color w:val="auto"/>
                <w:kern w:val="0"/>
                <w:sz w:val="21"/>
                <w:szCs w:val="21"/>
                <w:highlight w:val="none"/>
                <w:lang w:val="en-US"/>
              </w:rPr>
              <w:t>3</w:t>
            </w:r>
            <w:r>
              <w:rPr>
                <w:rFonts w:hint="default"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val="en-US" w:eastAsia="zh-Hans"/>
              </w:rPr>
              <w:t>参选人实施案例（分值：</w:t>
            </w:r>
            <w:r>
              <w:rPr>
                <w:rFonts w:hint="default" w:cs="Times New Roman"/>
                <w:color w:val="auto"/>
                <w:kern w:val="0"/>
                <w:sz w:val="21"/>
                <w:szCs w:val="21"/>
                <w:highlight w:val="none"/>
                <w:lang w:eastAsia="zh-Hans"/>
              </w:rPr>
              <w:t>9</w:t>
            </w:r>
            <w:r>
              <w:rPr>
                <w:rFonts w:hint="eastAsia" w:ascii="Times New Roman" w:hAnsi="Times New Roman" w:cs="Times New Roman"/>
                <w:color w:val="auto"/>
                <w:kern w:val="0"/>
                <w:sz w:val="21"/>
                <w:szCs w:val="21"/>
                <w:highlight w:val="none"/>
                <w:lang w:val="en-US" w:eastAsia="zh-Hans"/>
              </w:rPr>
              <w:t>分）</w:t>
            </w:r>
          </w:p>
          <w:p w14:paraId="1F63004B">
            <w:pPr>
              <w:spacing w:line="360" w:lineRule="auto"/>
              <w:ind w:firstLine="0" w:firstLineChars="0"/>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评标委员会</w:t>
            </w:r>
            <w:r>
              <w:rPr>
                <w:rFonts w:ascii="Times New Roman" w:hAnsi="Times New Roman" w:cs="Times New Roman"/>
                <w:color w:val="auto"/>
                <w:kern w:val="0"/>
                <w:sz w:val="21"/>
                <w:szCs w:val="21"/>
                <w:highlight w:val="none"/>
              </w:rPr>
              <w:t>在案例满足特定资格要求条件基础上进行评分，资格审查的</w:t>
            </w:r>
            <w:r>
              <w:rPr>
                <w:rFonts w:hint="eastAsia" w:ascii="Times New Roman" w:hAnsi="Times New Roman" w:cs="Times New Roman"/>
                <w:color w:val="auto"/>
                <w:kern w:val="0"/>
                <w:sz w:val="21"/>
                <w:szCs w:val="21"/>
                <w:highlight w:val="none"/>
                <w:lang w:val="en-US" w:eastAsia="zh-CN"/>
              </w:rPr>
              <w:t>业绩</w:t>
            </w:r>
            <w:r>
              <w:rPr>
                <w:rFonts w:ascii="Times New Roman" w:hAnsi="Times New Roman" w:cs="Times New Roman"/>
                <w:color w:val="auto"/>
                <w:kern w:val="0"/>
                <w:sz w:val="21"/>
                <w:szCs w:val="21"/>
                <w:highlight w:val="none"/>
              </w:rPr>
              <w:t>案例不纳入评分。有效案例需同时满足以下条件：</w:t>
            </w:r>
          </w:p>
          <w:p w14:paraId="29FFE84D">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（1）2021年1月1日至参选截止之日（以合同签订日期为准）的实施案例。</w:t>
            </w:r>
          </w:p>
          <w:p w14:paraId="1C025BDB">
            <w:pPr>
              <w:spacing w:line="360" w:lineRule="auto"/>
              <w:ind w:firstLine="0" w:firstLineChars="0"/>
              <w:rPr>
                <w:rFonts w:hint="eastAsia" w:ascii="Times New Roman" w:hAnsi="Times New Roman" w:eastAsia="宋体" w:cs="Times New Roman"/>
                <w:color w:val="auto"/>
                <w:kern w:val="0"/>
                <w:sz w:val="21"/>
                <w:szCs w:val="21"/>
                <w:highlight w:val="none"/>
                <w:lang w:eastAsia="zh-Hans"/>
              </w:rPr>
            </w:pPr>
            <w:r>
              <w:rPr>
                <w:rFonts w:ascii="Times New Roman" w:hAnsi="Times New Roman" w:cs="Times New Roman"/>
                <w:color w:val="auto"/>
                <w:kern w:val="0"/>
                <w:sz w:val="21"/>
                <w:szCs w:val="21"/>
                <w:highlight w:val="none"/>
              </w:rPr>
              <w:t>（2）</w:t>
            </w:r>
            <w:r>
              <w:rPr>
                <w:rFonts w:hint="eastAsia" w:ascii="Times New Roman" w:hAnsi="Times New Roman" w:cs="Times New Roman"/>
                <w:color w:val="auto"/>
                <w:kern w:val="0"/>
                <w:sz w:val="21"/>
                <w:szCs w:val="21"/>
                <w:highlight w:val="none"/>
                <w:lang w:val="en-US" w:eastAsia="zh-Hans"/>
              </w:rPr>
              <w:t>案件管理</w:t>
            </w:r>
            <w:r>
              <w:rPr>
                <w:rFonts w:ascii="Times New Roman" w:hAnsi="Times New Roman" w:cs="Times New Roman"/>
                <w:color w:val="auto"/>
                <w:kern w:val="0"/>
                <w:sz w:val="21"/>
                <w:szCs w:val="21"/>
                <w:highlight w:val="none"/>
              </w:rPr>
              <w:t>系统相关实施案例，建设</w:t>
            </w:r>
            <w:r>
              <w:rPr>
                <w:rFonts w:hint="eastAsia" w:ascii="Times New Roman" w:hAnsi="Times New Roman" w:cs="Times New Roman"/>
                <w:color w:val="auto"/>
                <w:kern w:val="0"/>
                <w:sz w:val="21"/>
                <w:szCs w:val="21"/>
                <w:highlight w:val="none"/>
                <w:lang w:val="en-US" w:eastAsia="zh-Hans"/>
              </w:rPr>
              <w:t>内容</w:t>
            </w:r>
            <w:r>
              <w:rPr>
                <w:rFonts w:ascii="Times New Roman" w:hAnsi="Times New Roman" w:cs="Times New Roman"/>
                <w:color w:val="auto"/>
                <w:kern w:val="0"/>
                <w:sz w:val="21"/>
                <w:szCs w:val="21"/>
                <w:highlight w:val="none"/>
              </w:rPr>
              <w:t>需</w:t>
            </w:r>
            <w:r>
              <w:rPr>
                <w:rFonts w:hint="eastAsia" w:ascii="Times New Roman" w:hAnsi="Times New Roman" w:cs="Times New Roman"/>
                <w:color w:val="auto"/>
                <w:kern w:val="0"/>
                <w:sz w:val="21"/>
                <w:szCs w:val="21"/>
                <w:highlight w:val="none"/>
                <w:lang w:val="en-US" w:eastAsia="zh-Hans"/>
              </w:rPr>
              <w:t>涵盖本次业务需求的主要功能：案件审批、案件进展跟踪、案件代理管理、案件费用管理、案件统计分析</w:t>
            </w:r>
            <w:r>
              <w:rPr>
                <w:rFonts w:ascii="Times New Roman" w:hAnsi="Times New Roman" w:cs="Times New Roman"/>
                <w:color w:val="auto"/>
                <w:kern w:val="0"/>
                <w:sz w:val="21"/>
                <w:szCs w:val="21"/>
                <w:highlight w:val="none"/>
              </w:rPr>
              <w:t>等</w:t>
            </w:r>
            <w:r>
              <w:rPr>
                <w:rFonts w:hint="eastAsia" w:ascii="Times New Roman" w:hAnsi="Times New Roman" w:cs="Times New Roman"/>
                <w:color w:val="auto"/>
                <w:kern w:val="0"/>
                <w:sz w:val="21"/>
                <w:szCs w:val="21"/>
                <w:highlight w:val="none"/>
                <w:lang w:eastAsia="zh-Hans"/>
              </w:rPr>
              <w:t>。</w:t>
            </w:r>
          </w:p>
          <w:p w14:paraId="6A523F30">
            <w:pPr>
              <w:spacing w:line="360" w:lineRule="auto"/>
              <w:ind w:firstLine="0" w:firstLineChars="0"/>
              <w:rPr>
                <w:rFonts w:hint="eastAsia" w:ascii="Times New Roman" w:hAnsi="Times New Roman" w:eastAsia="宋体" w:cs="Times New Roman"/>
                <w:color w:val="auto"/>
                <w:kern w:val="0"/>
                <w:sz w:val="21"/>
                <w:szCs w:val="21"/>
                <w:highlight w:val="none"/>
                <w:lang w:eastAsia="zh-Hans"/>
              </w:rPr>
            </w:pPr>
            <w:r>
              <w:rPr>
                <w:rFonts w:hint="eastAsia" w:ascii="Times New Roman" w:hAnsi="Times New Roman" w:eastAsia="宋体" w:cs="Times New Roman"/>
                <w:color w:val="auto"/>
                <w:kern w:val="0"/>
                <w:sz w:val="21"/>
                <w:szCs w:val="21"/>
                <w:highlight w:val="none"/>
                <w:lang w:eastAsia="zh-Hans"/>
              </w:rPr>
              <w:t>（3）同一</w:t>
            </w:r>
            <w:r>
              <w:rPr>
                <w:rFonts w:hint="eastAsia" w:ascii="Times New Roman" w:hAnsi="Times New Roman" w:eastAsia="宋体" w:cs="Times New Roman"/>
                <w:color w:val="auto"/>
                <w:kern w:val="0"/>
                <w:sz w:val="21"/>
                <w:szCs w:val="21"/>
                <w:highlight w:val="none"/>
                <w:lang w:val="en-US" w:eastAsia="zh-Hans"/>
              </w:rPr>
              <w:t>家建设单位</w:t>
            </w:r>
            <w:r>
              <w:rPr>
                <w:rFonts w:hint="eastAsia" w:ascii="Times New Roman" w:hAnsi="Times New Roman" w:eastAsia="宋体" w:cs="Times New Roman"/>
                <w:color w:val="auto"/>
                <w:kern w:val="0"/>
                <w:sz w:val="21"/>
                <w:szCs w:val="21"/>
                <w:highlight w:val="none"/>
                <w:lang w:eastAsia="zh-Hans"/>
              </w:rPr>
              <w:t>的多个</w:t>
            </w:r>
            <w:r>
              <w:rPr>
                <w:rFonts w:hint="eastAsia" w:ascii="Times New Roman" w:hAnsi="Times New Roman" w:eastAsia="宋体" w:cs="Times New Roman"/>
                <w:color w:val="auto"/>
                <w:kern w:val="0"/>
                <w:sz w:val="21"/>
                <w:szCs w:val="21"/>
                <w:highlight w:val="none"/>
                <w:lang w:val="en-US" w:eastAsia="zh-Hans"/>
              </w:rPr>
              <w:t>项目</w:t>
            </w:r>
            <w:r>
              <w:rPr>
                <w:rFonts w:hint="eastAsia" w:ascii="Times New Roman" w:hAnsi="Times New Roman" w:eastAsia="宋体" w:cs="Times New Roman"/>
                <w:color w:val="auto"/>
                <w:kern w:val="0"/>
                <w:sz w:val="21"/>
                <w:szCs w:val="21"/>
                <w:highlight w:val="none"/>
                <w:lang w:eastAsia="zh-Hans"/>
              </w:rPr>
              <w:t>只计算一个</w:t>
            </w:r>
            <w:r>
              <w:rPr>
                <w:rFonts w:hint="eastAsia" w:ascii="Times New Roman" w:hAnsi="Times New Roman" w:eastAsia="宋体" w:cs="Times New Roman"/>
                <w:color w:val="auto"/>
                <w:kern w:val="0"/>
                <w:sz w:val="21"/>
                <w:szCs w:val="21"/>
                <w:highlight w:val="none"/>
                <w:lang w:val="en-US" w:eastAsia="zh-Hans"/>
              </w:rPr>
              <w:t>案例。</w:t>
            </w:r>
          </w:p>
          <w:p w14:paraId="4BEB2658">
            <w:pPr>
              <w:spacing w:line="360" w:lineRule="auto"/>
              <w:ind w:firstLine="0" w:firstLineChars="0"/>
              <w:rPr>
                <w:rFonts w:ascii="Times New Roman" w:hAnsi="Times New Roman" w:cs="Times New Roman"/>
                <w:bCs/>
                <w:color w:val="auto"/>
                <w:kern w:val="0"/>
                <w:sz w:val="21"/>
                <w:szCs w:val="21"/>
                <w:highlight w:val="none"/>
              </w:rPr>
            </w:pPr>
            <w:r>
              <w:rPr>
                <w:rFonts w:ascii="Times New Roman" w:hAnsi="Times New Roman" w:cs="Times New Roman"/>
                <w:color w:val="auto"/>
                <w:kern w:val="0"/>
                <w:sz w:val="21"/>
                <w:szCs w:val="21"/>
                <w:highlight w:val="none"/>
              </w:rPr>
              <w:t>（4）案例须同时提供合同对应的发票之一及合同关键页复印件。</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1.</w:t>
            </w:r>
            <w:r>
              <w:rPr>
                <w:rFonts w:ascii="Times New Roman" w:hAnsi="Times New Roman" w:cs="Times New Roman"/>
                <w:bCs/>
                <w:color w:val="auto"/>
                <w:kern w:val="0"/>
                <w:sz w:val="21"/>
                <w:szCs w:val="21"/>
                <w:highlight w:val="none"/>
              </w:rPr>
              <w:t>合同对应的发票需同时提供网上税务系统查询发票截图（网上税务系统：https://inv-veri.chinatax.gov.cn，查询发票截图应与合同发票数量及编码一致。发票应同时满足：开票日期晚于合同签订日期；发票购买方与合同买方一致；发票销售方与合同卖方（</w:t>
            </w:r>
            <w:r>
              <w:rPr>
                <w:rFonts w:hint="eastAsia" w:ascii="Times New Roman" w:hAnsi="Times New Roman" w:cs="Times New Roman"/>
                <w:bCs/>
                <w:color w:val="auto"/>
                <w:kern w:val="0"/>
                <w:sz w:val="21"/>
                <w:szCs w:val="21"/>
                <w:highlight w:val="none"/>
                <w:lang w:val="en-US" w:eastAsia="zh-CN"/>
              </w:rPr>
              <w:t>参选</w:t>
            </w:r>
            <w:r>
              <w:rPr>
                <w:rFonts w:ascii="Times New Roman" w:hAnsi="Times New Roman" w:cs="Times New Roman"/>
                <w:bCs/>
                <w:color w:val="auto"/>
                <w:kern w:val="0"/>
                <w:sz w:val="21"/>
                <w:szCs w:val="21"/>
                <w:highlight w:val="none"/>
              </w:rPr>
              <w:t>人）一致）</w:t>
            </w:r>
            <w:r>
              <w:rPr>
                <w:rFonts w:hint="eastAsia" w:ascii="Times New Roman" w:hAnsi="Times New Roman" w:cs="Times New Roman"/>
                <w:bCs/>
                <w:color w:val="auto"/>
                <w:kern w:val="0"/>
                <w:sz w:val="21"/>
                <w:szCs w:val="21"/>
                <w:highlight w:val="none"/>
                <w:lang w:val="en-US" w:eastAsia="zh-CN"/>
              </w:rPr>
              <w:t>2.</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default" w:ascii="Times New Roman" w:hAnsi="Times New Roman" w:cs="Times New Roman"/>
                <w:bCs/>
                <w:color w:val="auto"/>
                <w:kern w:val="0"/>
                <w:sz w:val="21"/>
                <w:szCs w:val="21"/>
                <w:highlight w:val="none"/>
              </w:rPr>
              <w:t>（合同关键字包括但不限于“</w:t>
            </w:r>
            <w:r>
              <w:rPr>
                <w:rFonts w:hint="default" w:cs="Times New Roman"/>
                <w:bCs/>
                <w:color w:val="auto"/>
                <w:kern w:val="0"/>
                <w:sz w:val="21"/>
                <w:szCs w:val="21"/>
                <w:highlight w:val="none"/>
                <w:lang w:val="en-US" w:eastAsia="zh-CN"/>
              </w:rPr>
              <w:t>国产化</w:t>
            </w:r>
            <w:r>
              <w:rPr>
                <w:rFonts w:hint="default" w:ascii="Times New Roman" w:hAnsi="Times New Roman" w:cs="Times New Roman"/>
                <w:bCs/>
                <w:color w:val="auto"/>
                <w:kern w:val="0"/>
                <w:sz w:val="21"/>
                <w:szCs w:val="21"/>
                <w:highlight w:val="none"/>
              </w:rPr>
              <w:t>”、“</w:t>
            </w:r>
            <w:r>
              <w:rPr>
                <w:rFonts w:hint="default" w:cs="Times New Roman"/>
                <w:bCs/>
                <w:color w:val="auto"/>
                <w:kern w:val="0"/>
                <w:sz w:val="21"/>
                <w:szCs w:val="21"/>
                <w:highlight w:val="none"/>
                <w:lang w:val="en-US" w:eastAsia="zh-CN"/>
              </w:rPr>
              <w:t>信创</w:t>
            </w:r>
            <w:r>
              <w:rPr>
                <w:rFonts w:hint="default" w:ascii="Times New Roman" w:hAnsi="Times New Roman" w:cs="Times New Roman"/>
                <w:bCs/>
                <w:color w:val="auto"/>
                <w:kern w:val="0"/>
                <w:sz w:val="21"/>
                <w:szCs w:val="21"/>
                <w:highlight w:val="none"/>
              </w:rPr>
              <w:t>”</w:t>
            </w:r>
            <w:r>
              <w:rPr>
                <w:rFonts w:hint="eastAsia" w:cs="Times New Roman"/>
                <w:bCs/>
                <w:color w:val="auto"/>
                <w:kern w:val="0"/>
                <w:sz w:val="21"/>
                <w:szCs w:val="21"/>
                <w:highlight w:val="none"/>
                <w:lang w:eastAsia="zh-CN"/>
              </w:rPr>
              <w:t>、“</w:t>
            </w:r>
            <w:r>
              <w:rPr>
                <w:rFonts w:hint="eastAsia" w:cs="Times New Roman"/>
                <w:bCs/>
                <w:color w:val="auto"/>
                <w:kern w:val="0"/>
                <w:sz w:val="21"/>
                <w:szCs w:val="21"/>
                <w:highlight w:val="none"/>
                <w:lang w:val="en-US" w:eastAsia="zh-CN"/>
              </w:rPr>
              <w:t>案件</w:t>
            </w:r>
            <w:r>
              <w:rPr>
                <w:rFonts w:hint="eastAsia" w:cs="Times New Roman"/>
                <w:bCs/>
                <w:color w:val="auto"/>
                <w:kern w:val="0"/>
                <w:sz w:val="21"/>
                <w:szCs w:val="21"/>
                <w:highlight w:val="none"/>
                <w:lang w:eastAsia="zh-CN"/>
              </w:rPr>
              <w:t>”、“</w:t>
            </w:r>
            <w:r>
              <w:rPr>
                <w:rFonts w:hint="eastAsia" w:cs="Times New Roman"/>
                <w:bCs/>
                <w:color w:val="auto"/>
                <w:kern w:val="0"/>
                <w:sz w:val="21"/>
                <w:szCs w:val="21"/>
                <w:highlight w:val="none"/>
                <w:lang w:val="en-US" w:eastAsia="zh-CN"/>
              </w:rPr>
              <w:t>诉讼</w:t>
            </w:r>
            <w:r>
              <w:rPr>
                <w:rFonts w:hint="eastAsia" w:cs="Times New Roman"/>
                <w:bCs/>
                <w:color w:val="auto"/>
                <w:kern w:val="0"/>
                <w:sz w:val="21"/>
                <w:szCs w:val="21"/>
                <w:highlight w:val="none"/>
                <w:lang w:eastAsia="zh-CN"/>
              </w:rPr>
              <w:t>”</w:t>
            </w:r>
            <w:r>
              <w:rPr>
                <w:rFonts w:hint="default" w:ascii="Times New Roman" w:hAnsi="Times New Roman" w:cs="Times New Roman"/>
                <w:bCs/>
                <w:color w:val="auto"/>
                <w:kern w:val="0"/>
                <w:sz w:val="21"/>
                <w:szCs w:val="21"/>
                <w:highlight w:val="none"/>
                <w:lang w:eastAsia="zh-CN"/>
              </w:rPr>
              <w:t>）</w:t>
            </w:r>
            <w:r>
              <w:rPr>
                <w:rFonts w:ascii="Times New Roman" w:hAnsi="Times New Roman" w:cs="Times New Roman"/>
                <w:bCs/>
                <w:color w:val="auto"/>
                <w:kern w:val="0"/>
                <w:sz w:val="21"/>
                <w:szCs w:val="21"/>
                <w:highlight w:val="none"/>
              </w:rPr>
              <w:t>等。</w:t>
            </w:r>
          </w:p>
          <w:p w14:paraId="65C5B991">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计分标准：下述计分标准（1）为基础分项，计分标准（2）至（</w:t>
            </w:r>
            <w:r>
              <w:rPr>
                <w:rFonts w:hint="default" w:ascii="Times New Roman" w:hAnsi="Times New Roman" w:cs="Times New Roman"/>
                <w:color w:val="auto"/>
                <w:kern w:val="0"/>
                <w:sz w:val="21"/>
                <w:szCs w:val="21"/>
                <w:highlight w:val="none"/>
              </w:rPr>
              <w:t>3</w:t>
            </w:r>
            <w:r>
              <w:rPr>
                <w:rFonts w:ascii="Times New Roman" w:hAnsi="Times New Roman" w:cs="Times New Roman"/>
                <w:color w:val="auto"/>
                <w:kern w:val="0"/>
                <w:sz w:val="21"/>
                <w:szCs w:val="21"/>
                <w:highlight w:val="none"/>
              </w:rPr>
              <w:t>）为加分项，基础分项与加分项合计满分</w:t>
            </w:r>
            <w:r>
              <w:rPr>
                <w:rFonts w:hint="default" w:cs="Times New Roman"/>
                <w:color w:val="auto"/>
                <w:kern w:val="0"/>
                <w:sz w:val="21"/>
                <w:szCs w:val="21"/>
                <w:highlight w:val="none"/>
              </w:rPr>
              <w:t>9</w:t>
            </w:r>
            <w:r>
              <w:rPr>
                <w:rFonts w:ascii="Times New Roman" w:hAnsi="Times New Roman" w:cs="Times New Roman"/>
                <w:color w:val="auto"/>
                <w:kern w:val="0"/>
                <w:sz w:val="21"/>
                <w:szCs w:val="21"/>
                <w:highlight w:val="none"/>
              </w:rPr>
              <w:t>分。</w:t>
            </w:r>
          </w:p>
          <w:p w14:paraId="44BBFC67">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（1）资格审查的案例不纳入评分，每</w:t>
            </w:r>
            <w:r>
              <w:rPr>
                <w:rFonts w:hint="eastAsia" w:ascii="Times New Roman" w:hAnsi="Times New Roman" w:cs="Times New Roman"/>
                <w:color w:val="auto"/>
                <w:kern w:val="0"/>
                <w:sz w:val="21"/>
                <w:szCs w:val="21"/>
                <w:highlight w:val="none"/>
                <w:lang w:val="en-US" w:eastAsia="zh-Hans"/>
              </w:rPr>
              <w:t>提供</w:t>
            </w:r>
            <w:r>
              <w:rPr>
                <w:rFonts w:ascii="Times New Roman" w:hAnsi="Times New Roman" w:cs="Times New Roman"/>
                <w:color w:val="auto"/>
                <w:kern w:val="0"/>
                <w:sz w:val="21"/>
                <w:szCs w:val="21"/>
                <w:highlight w:val="none"/>
              </w:rPr>
              <w:t>1个有效案例得</w:t>
            </w:r>
            <w:r>
              <w:rPr>
                <w:rFonts w:hint="default" w:ascii="Times New Roman" w:hAnsi="Times New Roman" w:cs="Times New Roman"/>
                <w:color w:val="auto"/>
                <w:kern w:val="0"/>
                <w:sz w:val="21"/>
                <w:szCs w:val="21"/>
                <w:highlight w:val="none"/>
              </w:rPr>
              <w:t>1</w:t>
            </w:r>
            <w:r>
              <w:rPr>
                <w:rFonts w:ascii="Times New Roman" w:hAnsi="Times New Roman" w:cs="Times New Roman"/>
                <w:color w:val="auto"/>
                <w:kern w:val="0"/>
                <w:sz w:val="21"/>
                <w:szCs w:val="21"/>
                <w:highlight w:val="none"/>
              </w:rPr>
              <w:t>分，本项满分</w:t>
            </w:r>
            <w:r>
              <w:rPr>
                <w:rFonts w:hint="default" w:cs="Times New Roman"/>
                <w:color w:val="auto"/>
                <w:kern w:val="0"/>
                <w:sz w:val="21"/>
                <w:szCs w:val="21"/>
                <w:highlight w:val="none"/>
              </w:rPr>
              <w:t>3</w:t>
            </w:r>
            <w:r>
              <w:rPr>
                <w:rFonts w:ascii="Times New Roman" w:hAnsi="Times New Roman" w:cs="Times New Roman"/>
                <w:color w:val="auto"/>
                <w:kern w:val="0"/>
                <w:sz w:val="21"/>
                <w:szCs w:val="21"/>
                <w:highlight w:val="none"/>
              </w:rPr>
              <w:t>分；</w:t>
            </w:r>
          </w:p>
          <w:p w14:paraId="08740FD3">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（2）有效案例中每</w:t>
            </w:r>
            <w:r>
              <w:rPr>
                <w:rFonts w:hint="eastAsia" w:ascii="Times New Roman" w:hAnsi="Times New Roman" w:cs="Times New Roman"/>
                <w:color w:val="auto"/>
                <w:kern w:val="0"/>
                <w:sz w:val="21"/>
                <w:szCs w:val="21"/>
                <w:highlight w:val="none"/>
                <w:lang w:val="en-US" w:eastAsia="zh-Hans"/>
              </w:rPr>
              <w:t>存在</w:t>
            </w:r>
            <w:r>
              <w:rPr>
                <w:rFonts w:ascii="Times New Roman" w:hAnsi="Times New Roman" w:cs="Times New Roman"/>
                <w:color w:val="auto"/>
                <w:kern w:val="0"/>
                <w:sz w:val="21"/>
                <w:szCs w:val="21"/>
                <w:highlight w:val="none"/>
              </w:rPr>
              <w:t>1个信创部署案例再加</w:t>
            </w:r>
            <w:r>
              <w:rPr>
                <w:rFonts w:hint="default" w:ascii="Times New Roman" w:hAnsi="Times New Roman" w:cs="Times New Roman"/>
                <w:color w:val="auto"/>
                <w:kern w:val="0"/>
                <w:sz w:val="21"/>
                <w:szCs w:val="21"/>
                <w:highlight w:val="none"/>
              </w:rPr>
              <w:t>0.5</w:t>
            </w:r>
            <w:r>
              <w:rPr>
                <w:rFonts w:ascii="Times New Roman" w:hAnsi="Times New Roman" w:cs="Times New Roman"/>
                <w:color w:val="auto"/>
                <w:kern w:val="0"/>
                <w:sz w:val="21"/>
                <w:szCs w:val="21"/>
                <w:highlight w:val="none"/>
              </w:rPr>
              <w:t>分，本项最高加</w:t>
            </w:r>
            <w:r>
              <w:rPr>
                <w:rFonts w:hint="default" w:ascii="Times New Roman" w:hAnsi="Times New Roman" w:cs="Times New Roman"/>
                <w:color w:val="auto"/>
                <w:kern w:val="0"/>
                <w:sz w:val="21"/>
                <w:szCs w:val="21"/>
                <w:highlight w:val="none"/>
              </w:rPr>
              <w:t>2</w:t>
            </w:r>
            <w:r>
              <w:rPr>
                <w:rFonts w:ascii="Times New Roman" w:hAnsi="Times New Roman" w:cs="Times New Roman"/>
                <w:color w:val="auto"/>
                <w:kern w:val="0"/>
                <w:sz w:val="21"/>
                <w:szCs w:val="21"/>
                <w:highlight w:val="none"/>
              </w:rPr>
              <w:t>分；</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信创</w:t>
            </w:r>
            <w:r>
              <w:rPr>
                <w:rFonts w:ascii="Times New Roman" w:hAnsi="Times New Roman" w:cs="Times New Roman"/>
                <w:bCs/>
                <w:color w:val="auto"/>
                <w:kern w:val="0"/>
                <w:sz w:val="21"/>
                <w:szCs w:val="21"/>
                <w:highlight w:val="none"/>
              </w:rPr>
              <w:t>案例需在合同中体现适配国产数据库、中间件和国产操作系统等</w:t>
            </w:r>
            <w:r>
              <w:rPr>
                <w:rFonts w:hint="eastAsia" w:ascii="Times New Roman" w:hAnsi="Times New Roman" w:cs="Times New Roman"/>
                <w:bCs/>
                <w:color w:val="auto"/>
                <w:kern w:val="0"/>
                <w:sz w:val="21"/>
                <w:szCs w:val="21"/>
                <w:highlight w:val="none"/>
                <w:lang w:eastAsia="zh-CN"/>
              </w:rPr>
              <w:t>，</w:t>
            </w:r>
            <w:r>
              <w:rPr>
                <w:rFonts w:hint="eastAsia" w:ascii="Times New Roman" w:hAnsi="Times New Roman" w:cs="Times New Roman"/>
                <w:bCs/>
                <w:color w:val="auto"/>
                <w:kern w:val="0"/>
                <w:sz w:val="21"/>
                <w:szCs w:val="21"/>
                <w:highlight w:val="none"/>
                <w:lang w:val="en-US" w:eastAsia="zh-CN"/>
              </w:rPr>
              <w:t>或提供合同买方加盖公章的证明函件，证明函件需提供联系方式备查</w:t>
            </w:r>
            <w:r>
              <w:rPr>
                <w:rFonts w:ascii="Times New Roman" w:hAnsi="Times New Roman" w:cs="Times New Roman"/>
                <w:bCs/>
                <w:color w:val="auto"/>
                <w:kern w:val="0"/>
                <w:sz w:val="21"/>
                <w:szCs w:val="21"/>
                <w:highlight w:val="none"/>
              </w:rPr>
              <w:t>。</w:t>
            </w:r>
            <w:r>
              <w:rPr>
                <w:rFonts w:hint="eastAsia" w:ascii="Times New Roman" w:hAnsi="Times New Roman" w:cs="Times New Roman"/>
                <w:color w:val="auto"/>
                <w:kern w:val="0"/>
                <w:sz w:val="21"/>
                <w:szCs w:val="21"/>
                <w:highlight w:val="none"/>
                <w:lang w:eastAsia="zh-CN"/>
              </w:rPr>
              <w:t>）</w:t>
            </w:r>
          </w:p>
          <w:p w14:paraId="3BDB3971">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w:t>
            </w:r>
            <w:r>
              <w:rPr>
                <w:rFonts w:hint="default" w:ascii="Times New Roman" w:hAnsi="Times New Roman" w:cs="Times New Roman"/>
                <w:color w:val="auto"/>
                <w:kern w:val="0"/>
                <w:sz w:val="21"/>
                <w:szCs w:val="21"/>
                <w:highlight w:val="none"/>
              </w:rPr>
              <w:t>3</w:t>
            </w:r>
            <w:r>
              <w:rPr>
                <w:rFonts w:ascii="Times New Roman" w:hAnsi="Times New Roman" w:cs="Times New Roman"/>
                <w:color w:val="auto"/>
                <w:kern w:val="0"/>
                <w:sz w:val="21"/>
                <w:szCs w:val="21"/>
                <w:highlight w:val="none"/>
              </w:rPr>
              <w:t>）</w:t>
            </w:r>
            <w:r>
              <w:rPr>
                <w:rFonts w:hint="eastAsia" w:ascii="Times New Roman" w:hAnsi="Times New Roman" w:cs="Times New Roman"/>
                <w:color w:val="auto"/>
                <w:kern w:val="0"/>
                <w:sz w:val="21"/>
                <w:szCs w:val="21"/>
                <w:highlight w:val="none"/>
                <w:lang w:val="en-US" w:eastAsia="zh-Hans"/>
              </w:rPr>
              <w:t>若</w:t>
            </w:r>
            <w:r>
              <w:rPr>
                <w:rFonts w:ascii="Times New Roman" w:hAnsi="Times New Roman" w:cs="Times New Roman"/>
                <w:color w:val="auto"/>
                <w:kern w:val="0"/>
                <w:sz w:val="21"/>
                <w:szCs w:val="21"/>
                <w:highlight w:val="none"/>
              </w:rPr>
              <w:t>有效案例中每</w:t>
            </w:r>
            <w:r>
              <w:rPr>
                <w:rFonts w:hint="eastAsia" w:ascii="Times New Roman" w:hAnsi="Times New Roman" w:cs="Times New Roman"/>
                <w:color w:val="auto"/>
                <w:kern w:val="0"/>
                <w:sz w:val="21"/>
                <w:szCs w:val="21"/>
                <w:highlight w:val="none"/>
                <w:lang w:val="en-US" w:eastAsia="zh-Hans"/>
              </w:rPr>
              <w:t>存在</w:t>
            </w:r>
            <w:r>
              <w:rPr>
                <w:rFonts w:ascii="Times New Roman" w:hAnsi="Times New Roman" w:cs="Times New Roman"/>
                <w:color w:val="auto"/>
                <w:kern w:val="0"/>
                <w:sz w:val="21"/>
                <w:szCs w:val="21"/>
                <w:highlight w:val="none"/>
              </w:rPr>
              <w:t>1个</w:t>
            </w:r>
            <w:r>
              <w:rPr>
                <w:rFonts w:hint="eastAsia" w:ascii="Times New Roman" w:hAnsi="Times New Roman" w:cs="Times New Roman"/>
                <w:color w:val="auto"/>
                <w:kern w:val="0"/>
                <w:sz w:val="21"/>
                <w:szCs w:val="21"/>
                <w:highlight w:val="none"/>
              </w:rPr>
              <w:t>大型国有商业银行</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或</w:t>
            </w:r>
            <w:r>
              <w:rPr>
                <w:rFonts w:hint="eastAsia" w:ascii="Times New Roman" w:hAnsi="Times New Roman" w:cs="Times New Roman"/>
                <w:color w:val="auto"/>
                <w:kern w:val="0"/>
                <w:sz w:val="21"/>
                <w:szCs w:val="21"/>
                <w:highlight w:val="none"/>
              </w:rPr>
              <w:t>全国性股份制商业银行</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或A股上市国有银行</w:t>
            </w:r>
            <w:r>
              <w:rPr>
                <w:rFonts w:hint="eastAsia" w:ascii="Times New Roman" w:hAnsi="Times New Roman" w:cs="Times New Roman"/>
                <w:color w:val="auto"/>
                <w:kern w:val="0"/>
                <w:sz w:val="21"/>
                <w:szCs w:val="21"/>
                <w:highlight w:val="none"/>
                <w:lang w:val="en-US" w:eastAsia="zh-Hans"/>
              </w:rPr>
              <w:t>案例再加</w:t>
            </w:r>
            <w:r>
              <w:rPr>
                <w:rFonts w:hint="default" w:ascii="Times New Roman" w:hAnsi="Times New Roman" w:cs="Times New Roman"/>
                <w:color w:val="auto"/>
                <w:kern w:val="0"/>
                <w:sz w:val="21"/>
                <w:szCs w:val="21"/>
                <w:highlight w:val="none"/>
                <w:lang w:eastAsia="zh-Hans"/>
              </w:rPr>
              <w:t>1</w:t>
            </w:r>
            <w:r>
              <w:rPr>
                <w:rFonts w:hint="eastAsia" w:ascii="Times New Roman" w:hAnsi="Times New Roman" w:cs="Times New Roman"/>
                <w:color w:val="auto"/>
                <w:kern w:val="0"/>
                <w:sz w:val="21"/>
                <w:szCs w:val="21"/>
                <w:highlight w:val="none"/>
                <w:lang w:val="en-US" w:eastAsia="zh-Hans"/>
              </w:rPr>
              <w:t>分；若</w:t>
            </w:r>
            <w:r>
              <w:rPr>
                <w:rFonts w:hint="eastAsia" w:ascii="Times New Roman" w:hAnsi="Times New Roman" w:cs="Times New Roman"/>
                <w:color w:val="auto"/>
                <w:kern w:val="0"/>
                <w:sz w:val="21"/>
                <w:szCs w:val="21"/>
                <w:highlight w:val="none"/>
                <w:lang w:val="en-US" w:eastAsia="zh-CN"/>
              </w:rPr>
              <w:t>有效案例中每存在1个前述银行外的</w:t>
            </w:r>
            <w:r>
              <w:rPr>
                <w:rFonts w:hint="eastAsia" w:ascii="Times New Roman" w:hAnsi="Times New Roman" w:cs="Times New Roman"/>
                <w:color w:val="auto"/>
                <w:kern w:val="0"/>
                <w:sz w:val="21"/>
                <w:szCs w:val="21"/>
                <w:highlight w:val="none"/>
                <w:lang w:val="en-US" w:eastAsia="zh-Hans"/>
              </w:rPr>
              <w:t>其他</w:t>
            </w:r>
            <w:r>
              <w:rPr>
                <w:rFonts w:ascii="Times New Roman" w:hAnsi="Times New Roman" w:cs="Times New Roman"/>
                <w:color w:val="auto"/>
                <w:kern w:val="0"/>
                <w:sz w:val="21"/>
                <w:szCs w:val="21"/>
                <w:highlight w:val="none"/>
              </w:rPr>
              <w:t>国内银行案例再加</w:t>
            </w:r>
            <w:r>
              <w:rPr>
                <w:rFonts w:hint="default" w:ascii="Times New Roman" w:hAnsi="Times New Roman" w:cs="Times New Roman"/>
                <w:color w:val="auto"/>
                <w:kern w:val="0"/>
                <w:sz w:val="21"/>
                <w:szCs w:val="21"/>
                <w:highlight w:val="none"/>
              </w:rPr>
              <w:t>0.5</w:t>
            </w:r>
            <w:r>
              <w:rPr>
                <w:rFonts w:ascii="Times New Roman" w:hAnsi="Times New Roman" w:cs="Times New Roman"/>
                <w:color w:val="auto"/>
                <w:kern w:val="0"/>
                <w:sz w:val="21"/>
                <w:szCs w:val="21"/>
                <w:highlight w:val="none"/>
              </w:rPr>
              <w:t>分</w:t>
            </w:r>
            <w:r>
              <w:rPr>
                <w:rFonts w:hint="eastAsia" w:ascii="Times New Roman" w:hAnsi="Times New Roman" w:cs="Times New Roman"/>
                <w:color w:val="auto"/>
                <w:kern w:val="0"/>
                <w:sz w:val="21"/>
                <w:szCs w:val="21"/>
                <w:highlight w:val="none"/>
                <w:lang w:eastAsia="zh-Hans"/>
              </w:rPr>
              <w:t>；</w:t>
            </w:r>
            <w:r>
              <w:rPr>
                <w:rFonts w:ascii="Times New Roman" w:hAnsi="Times New Roman" w:cs="Times New Roman"/>
                <w:color w:val="auto"/>
                <w:kern w:val="0"/>
                <w:sz w:val="21"/>
                <w:szCs w:val="21"/>
                <w:highlight w:val="none"/>
              </w:rPr>
              <w:t>本项最高加</w:t>
            </w:r>
            <w:r>
              <w:rPr>
                <w:rFonts w:hint="default" w:ascii="Times New Roman" w:hAnsi="Times New Roman" w:cs="Times New Roman"/>
                <w:color w:val="auto"/>
                <w:kern w:val="0"/>
                <w:sz w:val="21"/>
                <w:szCs w:val="21"/>
                <w:highlight w:val="none"/>
              </w:rPr>
              <w:t>4</w:t>
            </w:r>
            <w:r>
              <w:rPr>
                <w:rFonts w:ascii="Times New Roman" w:hAnsi="Times New Roman" w:cs="Times New Roman"/>
                <w:color w:val="auto"/>
                <w:kern w:val="0"/>
                <w:sz w:val="21"/>
                <w:szCs w:val="21"/>
                <w:highlight w:val="none"/>
              </w:rPr>
              <w:t>分；</w:t>
            </w:r>
          </w:p>
          <w:p w14:paraId="5244ADE0">
            <w:pPr>
              <w:spacing w:line="360" w:lineRule="auto"/>
              <w:ind w:firstLine="0" w:firstLineChars="0"/>
              <w:rPr>
                <w:rFonts w:ascii="Times New Roman" w:hAnsi="Times New Roman" w:cs="Times New Roman"/>
                <w:bCs/>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注：</w:t>
            </w:r>
            <w:r>
              <w:rPr>
                <w:rFonts w:ascii="Times New Roman" w:hAnsi="Times New Roman" w:cs="Times New Roman"/>
                <w:bCs/>
                <w:color w:val="auto"/>
                <w:kern w:val="0"/>
                <w:sz w:val="21"/>
                <w:szCs w:val="21"/>
                <w:highlight w:val="none"/>
              </w:rPr>
              <w:t>以上证明文件若</w:t>
            </w:r>
            <w:r>
              <w:rPr>
                <w:rFonts w:hint="eastAsia" w:ascii="Times New Roman" w:hAnsi="Times New Roman" w:cs="Times New Roman"/>
                <w:bCs/>
                <w:color w:val="auto"/>
                <w:kern w:val="0"/>
                <w:sz w:val="21"/>
                <w:szCs w:val="21"/>
                <w:highlight w:val="none"/>
                <w:lang w:val="en-US" w:eastAsia="zh-CN"/>
              </w:rPr>
              <w:t>比选人</w:t>
            </w:r>
            <w:r>
              <w:rPr>
                <w:rFonts w:ascii="Times New Roman" w:hAnsi="Times New Roman" w:cs="Times New Roman"/>
                <w:bCs/>
                <w:color w:val="auto"/>
                <w:kern w:val="0"/>
                <w:sz w:val="21"/>
                <w:szCs w:val="21"/>
                <w:highlight w:val="none"/>
              </w:rPr>
              <w:t>存疑，参选人需提供原件备查，参选文件中须附相关证明文件复印件并逐页加盖公章，案例证明需提供甲方联系方式备查。</w:t>
            </w:r>
          </w:p>
          <w:p w14:paraId="4310C3E4">
            <w:pPr>
              <w:spacing w:line="360" w:lineRule="auto"/>
              <w:ind w:firstLine="0" w:firstLineChars="0"/>
              <w:rPr>
                <w:rFonts w:hint="eastAsia" w:cs="Times New Roman"/>
                <w:color w:val="auto"/>
                <w:kern w:val="0"/>
                <w:sz w:val="21"/>
                <w:szCs w:val="21"/>
                <w:highlight w:val="none"/>
                <w:lang w:val="en-US" w:eastAsia="zh-Hans"/>
              </w:rPr>
            </w:pPr>
            <w:r>
              <w:rPr>
                <w:rFonts w:hint="default" w:ascii="Times New Roman" w:hAnsi="Times New Roman" w:cs="Times New Roman"/>
                <w:color w:val="auto"/>
                <w:kern w:val="0"/>
                <w:sz w:val="21"/>
                <w:szCs w:val="21"/>
                <w:highlight w:val="none"/>
                <w:lang w:val="en-US"/>
              </w:rPr>
              <w:t>4</w:t>
            </w:r>
            <w:r>
              <w:rPr>
                <w:rFonts w:ascii="Times New Roman" w:hAnsi="Times New Roman" w:cs="Times New Roman"/>
                <w:color w:val="auto"/>
                <w:kern w:val="0"/>
                <w:sz w:val="21"/>
                <w:szCs w:val="21"/>
                <w:highlight w:val="none"/>
              </w:rPr>
              <w:t>.</w:t>
            </w:r>
            <w:r>
              <w:rPr>
                <w:rFonts w:hint="eastAsia" w:cs="Times New Roman"/>
                <w:color w:val="auto"/>
                <w:kern w:val="0"/>
                <w:sz w:val="21"/>
                <w:szCs w:val="21"/>
                <w:highlight w:val="none"/>
                <w:lang w:val="en-US" w:eastAsia="zh-Hans"/>
              </w:rPr>
              <w:t>历史合作情况（分值：</w:t>
            </w:r>
            <w:r>
              <w:rPr>
                <w:rFonts w:hint="default" w:cs="Times New Roman"/>
                <w:color w:val="auto"/>
                <w:kern w:val="0"/>
                <w:sz w:val="21"/>
                <w:szCs w:val="21"/>
                <w:highlight w:val="none"/>
                <w:lang w:eastAsia="zh-Hans"/>
              </w:rPr>
              <w:t>1</w:t>
            </w:r>
            <w:r>
              <w:rPr>
                <w:rFonts w:hint="eastAsia" w:cs="Times New Roman"/>
                <w:color w:val="auto"/>
                <w:kern w:val="0"/>
                <w:sz w:val="21"/>
                <w:szCs w:val="21"/>
                <w:highlight w:val="none"/>
                <w:lang w:val="en-US" w:eastAsia="zh-Hans"/>
              </w:rPr>
              <w:t>分）</w:t>
            </w:r>
          </w:p>
          <w:p w14:paraId="486441C3">
            <w:pPr>
              <w:spacing w:line="360" w:lineRule="auto"/>
              <w:ind w:firstLine="0" w:firstLineChars="0"/>
              <w:rPr>
                <w:rFonts w:hint="eastAsia" w:cs="Times New Roman"/>
                <w:color w:val="auto"/>
                <w:kern w:val="0"/>
                <w:sz w:val="21"/>
                <w:szCs w:val="21"/>
                <w:highlight w:val="none"/>
                <w:lang w:val="en-US" w:eastAsia="zh-Hans"/>
              </w:rPr>
            </w:pPr>
            <w:r>
              <w:rPr>
                <w:rFonts w:ascii="Times New Roman" w:hAnsi="Times New Roman" w:cs="Times New Roman"/>
                <w:color w:val="auto"/>
                <w:kern w:val="0"/>
                <w:sz w:val="21"/>
                <w:szCs w:val="21"/>
                <w:highlight w:val="none"/>
              </w:rPr>
              <w:t>2021年1月1日至参选截止之日（以合同签订日期为准）</w:t>
            </w:r>
            <w:r>
              <w:rPr>
                <w:rFonts w:hint="eastAsia" w:cs="Times New Roman"/>
                <w:color w:val="auto"/>
                <w:kern w:val="0"/>
                <w:sz w:val="21"/>
                <w:szCs w:val="21"/>
                <w:highlight w:val="none"/>
                <w:lang w:val="en-US" w:eastAsia="zh-Hans"/>
              </w:rPr>
              <w:t>，为比选人提供过法律事务（含案件管理、合同管理）相关系统开发、建设、改造服务的，得</w:t>
            </w:r>
            <w:r>
              <w:rPr>
                <w:rFonts w:hint="default" w:cs="Times New Roman"/>
                <w:color w:val="auto"/>
                <w:kern w:val="0"/>
                <w:sz w:val="21"/>
                <w:szCs w:val="21"/>
                <w:highlight w:val="none"/>
                <w:lang w:eastAsia="zh-Hans"/>
              </w:rPr>
              <w:t>1</w:t>
            </w:r>
            <w:r>
              <w:rPr>
                <w:rFonts w:hint="eastAsia" w:cs="Times New Roman"/>
                <w:color w:val="auto"/>
                <w:kern w:val="0"/>
                <w:sz w:val="21"/>
                <w:szCs w:val="21"/>
                <w:highlight w:val="none"/>
                <w:lang w:val="en-US" w:eastAsia="zh-Hans"/>
              </w:rPr>
              <w:t>分。</w:t>
            </w:r>
          </w:p>
          <w:p w14:paraId="77B5BA7A">
            <w:pPr>
              <w:spacing w:line="360" w:lineRule="auto"/>
              <w:ind w:firstLine="0" w:firstLineChars="0"/>
              <w:rPr>
                <w:rFonts w:hint="eastAsia" w:eastAsia="宋体" w:cs="Times New Roman"/>
                <w:color w:val="auto"/>
                <w:kern w:val="0"/>
                <w:sz w:val="21"/>
                <w:szCs w:val="21"/>
                <w:highlight w:val="none"/>
                <w:lang w:val="en-US" w:eastAsia="zh-CN"/>
              </w:rPr>
            </w:pPr>
            <w:r>
              <w:rPr>
                <w:rFonts w:hint="eastAsia"/>
                <w:color w:val="auto"/>
                <w:highlight w:val="none"/>
                <w:lang w:val="en-US" w:eastAsia="zh-CN"/>
              </w:rPr>
              <w:t>注：</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r>
              <w:rPr>
                <w:rFonts w:hint="eastAsia"/>
                <w:color w:val="auto"/>
                <w:highlight w:val="none"/>
                <w:lang w:eastAsia="zh-CN"/>
              </w:rPr>
              <w:t>。</w:t>
            </w:r>
          </w:p>
          <w:p w14:paraId="69ADC020">
            <w:pPr>
              <w:spacing w:line="360" w:lineRule="auto"/>
              <w:ind w:firstLine="0" w:firstLineChars="0"/>
              <w:rPr>
                <w:rFonts w:ascii="Times New Roman" w:hAnsi="Times New Roman" w:cs="Times New Roman"/>
                <w:color w:val="auto"/>
                <w:kern w:val="0"/>
                <w:sz w:val="21"/>
                <w:szCs w:val="21"/>
                <w:highlight w:val="none"/>
              </w:rPr>
            </w:pPr>
            <w:r>
              <w:rPr>
                <w:rFonts w:hint="default" w:cs="Times New Roman"/>
                <w:color w:val="auto"/>
                <w:kern w:val="0"/>
                <w:sz w:val="21"/>
                <w:szCs w:val="21"/>
                <w:highlight w:val="none"/>
              </w:rPr>
              <w:t>5.</w:t>
            </w:r>
            <w:r>
              <w:rPr>
                <w:rFonts w:ascii="Times New Roman" w:hAnsi="Times New Roman" w:cs="Times New Roman"/>
                <w:color w:val="auto"/>
                <w:kern w:val="0"/>
                <w:sz w:val="21"/>
                <w:szCs w:val="21"/>
                <w:highlight w:val="none"/>
              </w:rPr>
              <w:t>参选人服务承诺（分值：</w:t>
            </w:r>
            <w:r>
              <w:rPr>
                <w:rFonts w:hint="default" w:ascii="Times New Roman" w:hAnsi="Times New Roman" w:cs="Times New Roman"/>
                <w:color w:val="auto"/>
                <w:kern w:val="0"/>
                <w:sz w:val="21"/>
                <w:szCs w:val="21"/>
                <w:highlight w:val="none"/>
              </w:rPr>
              <w:t>5</w:t>
            </w:r>
            <w:r>
              <w:rPr>
                <w:rFonts w:ascii="Times New Roman" w:hAnsi="Times New Roman" w:cs="Times New Roman"/>
                <w:color w:val="auto"/>
                <w:kern w:val="0"/>
                <w:sz w:val="21"/>
                <w:szCs w:val="21"/>
                <w:highlight w:val="none"/>
              </w:rPr>
              <w:t>分）</w:t>
            </w:r>
          </w:p>
          <w:p w14:paraId="503C7193">
            <w:pPr>
              <w:spacing w:line="360" w:lineRule="auto"/>
              <w:ind w:firstLine="0" w:firstLineChars="0"/>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根据参选人的参选函</w:t>
            </w:r>
          </w:p>
          <w:p w14:paraId="12A2F15D">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w:t>
            </w:r>
            <w:r>
              <w:rPr>
                <w:rFonts w:hint="eastAsia" w:ascii="Times New Roman" w:hAnsi="Times New Roman" w:cs="Times New Roman"/>
                <w:color w:val="auto"/>
                <w:kern w:val="0"/>
                <w:sz w:val="21"/>
                <w:szCs w:val="21"/>
                <w:highlight w:val="none"/>
                <w:lang w:val="en-US" w:eastAsia="zh-CN"/>
              </w:rPr>
              <w:t>免费</w:t>
            </w:r>
            <w:r>
              <w:rPr>
                <w:rFonts w:ascii="Times New Roman" w:hAnsi="Times New Roman" w:cs="Times New Roman"/>
                <w:color w:val="auto"/>
                <w:kern w:val="0"/>
                <w:sz w:val="21"/>
                <w:szCs w:val="21"/>
                <w:highlight w:val="none"/>
              </w:rPr>
              <w:t>维护期</w:t>
            </w:r>
            <w:r>
              <w:rPr>
                <w:rFonts w:hint="eastAsia" w:ascii="Times New Roman" w:hAnsi="Times New Roman" w:cs="Times New Roman"/>
                <w:color w:val="auto"/>
                <w:kern w:val="0"/>
                <w:sz w:val="21"/>
                <w:szCs w:val="21"/>
                <w:highlight w:val="none"/>
                <w:lang w:val="en-US" w:eastAsia="zh-CN"/>
              </w:rPr>
              <w:t>在2年的基础上，</w:t>
            </w:r>
            <w:r>
              <w:rPr>
                <w:rFonts w:ascii="Times New Roman" w:hAnsi="Times New Roman" w:cs="Times New Roman"/>
                <w:color w:val="auto"/>
                <w:kern w:val="0"/>
                <w:sz w:val="21"/>
                <w:szCs w:val="21"/>
                <w:highlight w:val="none"/>
              </w:rPr>
              <w:t>每增加1年得1分</w:t>
            </w:r>
            <w:r>
              <w:rPr>
                <w:rFonts w:hint="eastAsia" w:ascii="Times New Roman" w:hAnsi="Times New Roman" w:cs="Times New Roman"/>
                <w:color w:val="auto"/>
                <w:kern w:val="0"/>
                <w:sz w:val="21"/>
                <w:szCs w:val="21"/>
                <w:highlight w:val="none"/>
                <w:lang w:eastAsia="zh-Hans"/>
              </w:rPr>
              <w:t>；</w:t>
            </w:r>
            <w:r>
              <w:rPr>
                <w:rFonts w:ascii="Times New Roman" w:hAnsi="Times New Roman" w:cs="Times New Roman"/>
                <w:color w:val="auto"/>
                <w:kern w:val="0"/>
                <w:sz w:val="21"/>
                <w:szCs w:val="21"/>
                <w:highlight w:val="none"/>
              </w:rPr>
              <w:t>本项满分</w:t>
            </w:r>
            <w:r>
              <w:rPr>
                <w:rFonts w:hint="eastAsia" w:ascii="Times New Roman" w:hAnsi="Times New Roman" w:cs="Times New Roman"/>
                <w:color w:val="auto"/>
                <w:kern w:val="0"/>
                <w:sz w:val="21"/>
                <w:szCs w:val="21"/>
                <w:highlight w:val="none"/>
                <w:lang w:val="en-US" w:eastAsia="zh-CN"/>
              </w:rPr>
              <w:t>2</w:t>
            </w:r>
            <w:r>
              <w:rPr>
                <w:rFonts w:ascii="Times New Roman" w:hAnsi="Times New Roman" w:cs="Times New Roman"/>
                <w:color w:val="auto"/>
                <w:kern w:val="0"/>
                <w:sz w:val="21"/>
                <w:szCs w:val="21"/>
                <w:highlight w:val="none"/>
              </w:rPr>
              <w:t>分；</w:t>
            </w:r>
          </w:p>
          <w:p w14:paraId="4E726040">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w:t>
            </w:r>
            <w:r>
              <w:rPr>
                <w:rFonts w:hint="eastAsia" w:ascii="Times New Roman" w:hAnsi="Times New Roman" w:cs="Times New Roman"/>
                <w:color w:val="auto"/>
                <w:kern w:val="0"/>
                <w:sz w:val="21"/>
                <w:szCs w:val="21"/>
                <w:highlight w:val="none"/>
                <w:lang w:val="en-US" w:eastAsia="zh-CN"/>
              </w:rPr>
              <w:t>免费</w:t>
            </w:r>
            <w:r>
              <w:rPr>
                <w:rFonts w:ascii="Times New Roman" w:hAnsi="Times New Roman" w:cs="Times New Roman"/>
                <w:color w:val="auto"/>
                <w:kern w:val="0"/>
                <w:sz w:val="21"/>
                <w:szCs w:val="21"/>
                <w:highlight w:val="none"/>
              </w:rPr>
              <w:t>维护期满后，每年维护费</w:t>
            </w:r>
            <w:r>
              <w:rPr>
                <w:rFonts w:hint="eastAsia" w:ascii="Times New Roman" w:hAnsi="Times New Roman" w:cs="Times New Roman"/>
                <w:color w:val="auto"/>
                <w:kern w:val="0"/>
                <w:sz w:val="21"/>
                <w:szCs w:val="21"/>
                <w:highlight w:val="none"/>
                <w:lang w:val="en-US" w:eastAsia="zh-CN"/>
              </w:rPr>
              <w:t>在合同价8%的基础上</w:t>
            </w:r>
            <w:r>
              <w:rPr>
                <w:rFonts w:ascii="Times New Roman" w:hAnsi="Times New Roman" w:cs="Times New Roman"/>
                <w:color w:val="auto"/>
                <w:kern w:val="0"/>
                <w:sz w:val="21"/>
                <w:szCs w:val="21"/>
                <w:highlight w:val="none"/>
              </w:rPr>
              <w:t>每降低1%得1分</w:t>
            </w:r>
            <w:r>
              <w:rPr>
                <w:rFonts w:hint="eastAsia" w:ascii="Times New Roman" w:hAnsi="Times New Roman" w:cs="Times New Roman"/>
                <w:color w:val="auto"/>
                <w:kern w:val="0"/>
                <w:sz w:val="21"/>
                <w:szCs w:val="21"/>
                <w:highlight w:val="none"/>
                <w:lang w:eastAsia="zh-Hans"/>
              </w:rPr>
              <w:t>；</w:t>
            </w:r>
            <w:r>
              <w:rPr>
                <w:rFonts w:hint="eastAsia" w:ascii="Times New Roman" w:hAnsi="Times New Roman" w:cs="Times New Roman"/>
                <w:color w:val="auto"/>
                <w:kern w:val="0"/>
                <w:sz w:val="21"/>
                <w:szCs w:val="21"/>
                <w:highlight w:val="none"/>
                <w:lang w:val="en-US" w:eastAsia="zh-Hans"/>
              </w:rPr>
              <w:t>本项满分</w:t>
            </w:r>
            <w:r>
              <w:rPr>
                <w:rFonts w:hint="eastAsia" w:ascii="Times New Roman" w:hAnsi="Times New Roman" w:cs="Times New Roman"/>
                <w:color w:val="auto"/>
                <w:kern w:val="0"/>
                <w:sz w:val="21"/>
                <w:szCs w:val="21"/>
                <w:highlight w:val="none"/>
                <w:lang w:val="en-US" w:eastAsia="zh-CN"/>
              </w:rPr>
              <w:t>3</w:t>
            </w:r>
            <w:r>
              <w:rPr>
                <w:rFonts w:hint="eastAsia" w:ascii="Times New Roman" w:hAnsi="Times New Roman" w:cs="Times New Roman"/>
                <w:color w:val="auto"/>
                <w:kern w:val="0"/>
                <w:sz w:val="21"/>
                <w:szCs w:val="21"/>
                <w:highlight w:val="none"/>
                <w:lang w:val="en-US" w:eastAsia="zh-Hans"/>
              </w:rPr>
              <w:t>分</w:t>
            </w:r>
            <w:r>
              <w:rPr>
                <w:rFonts w:ascii="Times New Roman" w:hAnsi="Times New Roman" w:cs="Times New Roman"/>
                <w:color w:val="auto"/>
                <w:kern w:val="0"/>
                <w:sz w:val="21"/>
                <w:szCs w:val="21"/>
                <w:highlight w:val="none"/>
              </w:rPr>
              <w:t>。</w:t>
            </w:r>
          </w:p>
          <w:p w14:paraId="6C24CCEE">
            <w:pPr>
              <w:spacing w:line="360" w:lineRule="auto"/>
              <w:ind w:firstLine="0" w:firstLineChars="0"/>
              <w:rPr>
                <w:rFonts w:ascii="Times New Roman" w:hAnsi="Times New Roman" w:cs="Times New Roman"/>
                <w:color w:val="auto"/>
                <w:kern w:val="0"/>
                <w:sz w:val="21"/>
                <w:szCs w:val="21"/>
                <w:highlight w:val="none"/>
              </w:rPr>
            </w:pPr>
            <w:r>
              <w:rPr>
                <w:rFonts w:hint="default" w:cs="Times New Roman"/>
                <w:color w:val="auto"/>
                <w:kern w:val="0"/>
                <w:sz w:val="21"/>
                <w:szCs w:val="21"/>
                <w:highlight w:val="none"/>
              </w:rPr>
              <w:t>6</w:t>
            </w:r>
            <w:r>
              <w:rPr>
                <w:rFonts w:ascii="Times New Roman" w:hAnsi="Times New Roman" w:cs="Times New Roman"/>
                <w:color w:val="auto"/>
                <w:kern w:val="0"/>
                <w:sz w:val="21"/>
                <w:szCs w:val="21"/>
                <w:highlight w:val="none"/>
              </w:rPr>
              <w:t>.实施团队要求（分值：</w:t>
            </w:r>
            <w:r>
              <w:rPr>
                <w:rFonts w:hint="default" w:ascii="Times New Roman" w:hAnsi="Times New Roman" w:cs="Times New Roman"/>
                <w:color w:val="auto"/>
                <w:kern w:val="0"/>
                <w:sz w:val="21"/>
                <w:szCs w:val="21"/>
                <w:highlight w:val="none"/>
              </w:rPr>
              <w:t>6</w:t>
            </w:r>
            <w:r>
              <w:rPr>
                <w:rFonts w:ascii="Times New Roman" w:hAnsi="Times New Roman" w:cs="Times New Roman"/>
                <w:color w:val="auto"/>
                <w:kern w:val="0"/>
                <w:sz w:val="21"/>
                <w:szCs w:val="21"/>
                <w:highlight w:val="none"/>
              </w:rPr>
              <w:t>分）</w:t>
            </w:r>
          </w:p>
          <w:p w14:paraId="0ACC28AC">
            <w:pPr>
              <w:spacing w:line="360" w:lineRule="auto"/>
              <w:ind w:firstLine="0" w:firstLineChars="0"/>
              <w:rPr>
                <w:rFonts w:hint="eastAsia"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1</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Hans"/>
              </w:rPr>
              <w:t>参选人在西南片区</w:t>
            </w:r>
            <w:r>
              <w:rPr>
                <w:rFonts w:hint="eastAsia" w:ascii="Times New Roman" w:hAnsi="Times New Roman" w:cs="Times New Roman"/>
                <w:color w:val="auto"/>
                <w:kern w:val="0"/>
                <w:sz w:val="21"/>
                <w:szCs w:val="21"/>
                <w:highlight w:val="none"/>
              </w:rPr>
              <w:t>有分公司或办事处且</w:t>
            </w:r>
            <w:r>
              <w:rPr>
                <w:rFonts w:hint="eastAsia" w:ascii="Times New Roman" w:hAnsi="Times New Roman" w:cs="Times New Roman"/>
                <w:color w:val="auto"/>
                <w:kern w:val="0"/>
                <w:sz w:val="21"/>
                <w:szCs w:val="21"/>
                <w:highlight w:val="none"/>
                <w:lang w:val="en-US" w:eastAsia="zh-Hans"/>
              </w:rPr>
              <w:t>西南片区</w:t>
            </w:r>
            <w:r>
              <w:rPr>
                <w:rFonts w:hint="eastAsia" w:ascii="Times New Roman" w:hAnsi="Times New Roman" w:cs="Times New Roman"/>
                <w:color w:val="auto"/>
                <w:kern w:val="0"/>
                <w:sz w:val="21"/>
                <w:szCs w:val="21"/>
                <w:highlight w:val="none"/>
              </w:rPr>
              <w:t>社保员工超过5</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含</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人，得1分。</w:t>
            </w:r>
            <w:r>
              <w:rPr>
                <w:rFonts w:hint="eastAsia" w:ascii="宋体" w:hAnsi="宋体" w:eastAsia="宋体" w:cs="宋体"/>
                <w:color w:val="auto"/>
                <w:kern w:val="0"/>
                <w:sz w:val="21"/>
                <w:szCs w:val="21"/>
                <w:highlight w:val="none"/>
              </w:rPr>
              <w:t>要求：1）提供分公司营业执照或在</w:t>
            </w:r>
            <w:r>
              <w:rPr>
                <w:rFonts w:hint="eastAsia" w:ascii="宋体" w:hAnsi="宋体" w:cs="宋体"/>
                <w:color w:val="auto"/>
                <w:kern w:val="0"/>
                <w:sz w:val="21"/>
                <w:szCs w:val="21"/>
                <w:highlight w:val="none"/>
                <w:lang w:val="en-US" w:eastAsia="zh-CN"/>
              </w:rPr>
              <w:t>西南片区</w:t>
            </w:r>
            <w:r>
              <w:rPr>
                <w:rFonts w:hint="eastAsia" w:ascii="宋体" w:hAnsi="宋体" w:eastAsia="宋体" w:cs="宋体"/>
                <w:color w:val="auto"/>
                <w:kern w:val="0"/>
                <w:sz w:val="21"/>
                <w:szCs w:val="21"/>
                <w:highlight w:val="none"/>
              </w:rPr>
              <w:t>有办事处的承诺函；2）提供</w:t>
            </w:r>
            <w:r>
              <w:rPr>
                <w:rFonts w:hint="eastAsia" w:ascii="宋体" w:hAnsi="宋体" w:cs="宋体"/>
                <w:color w:val="auto"/>
                <w:kern w:val="0"/>
                <w:sz w:val="21"/>
                <w:szCs w:val="21"/>
                <w:highlight w:val="none"/>
                <w:lang w:val="en-US" w:eastAsia="zh-CN"/>
              </w:rPr>
              <w:t>西南片区</w:t>
            </w:r>
            <w:r>
              <w:rPr>
                <w:rFonts w:hint="eastAsia" w:ascii="宋体" w:hAnsi="宋体" w:eastAsia="宋体" w:cs="宋体"/>
                <w:color w:val="auto"/>
                <w:kern w:val="0"/>
                <w:sz w:val="21"/>
                <w:szCs w:val="21"/>
                <w:highlight w:val="none"/>
              </w:rPr>
              <w:t>缴纳社保证明。</w:t>
            </w:r>
            <w:r>
              <w:rPr>
                <w:rFonts w:hint="eastAsia" w:ascii="Times New Roman" w:hAnsi="Times New Roman" w:cs="Times New Roman"/>
                <w:color w:val="auto"/>
                <w:kern w:val="0"/>
                <w:sz w:val="21"/>
                <w:szCs w:val="21"/>
                <w:highlight w:val="none"/>
              </w:rPr>
              <w:br w:type="textWrapping"/>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2</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在同类型系统国产化方面具有实施经验</w:t>
            </w:r>
            <w:r>
              <w:rPr>
                <w:rFonts w:hint="eastAsia" w:ascii="Times New Roman" w:hAnsi="Times New Roman" w:cs="Times New Roman"/>
                <w:color w:val="auto"/>
                <w:kern w:val="0"/>
                <w:sz w:val="21"/>
                <w:szCs w:val="21"/>
                <w:highlight w:val="none"/>
                <w:lang w:val="en-US" w:eastAsia="zh-CN"/>
              </w:rPr>
              <w:t>的</w:t>
            </w:r>
            <w:r>
              <w:rPr>
                <w:rFonts w:hint="eastAsia" w:ascii="Times New Roman" w:hAnsi="Times New Roman" w:cs="Times New Roman"/>
                <w:color w:val="auto"/>
                <w:kern w:val="0"/>
                <w:sz w:val="21"/>
                <w:szCs w:val="21"/>
                <w:highlight w:val="none"/>
              </w:rPr>
              <w:t>项目组成员：</w:t>
            </w:r>
            <w:r>
              <w:rPr>
                <w:rFonts w:hint="eastAsia" w:ascii="Times New Roman" w:hAnsi="Times New Roman" w:cs="Times New Roman"/>
                <w:color w:val="auto"/>
                <w:kern w:val="0"/>
                <w:sz w:val="21"/>
                <w:szCs w:val="21"/>
                <w:highlight w:val="none"/>
              </w:rPr>
              <w:br w:type="textWrapping"/>
            </w:r>
            <w:r>
              <w:rPr>
                <w:rFonts w:hint="eastAsia" w:ascii="Times New Roman" w:hAnsi="Times New Roman" w:cs="Times New Roman"/>
                <w:color w:val="auto"/>
                <w:kern w:val="0"/>
                <w:sz w:val="21"/>
                <w:szCs w:val="21"/>
                <w:highlight w:val="none"/>
              </w:rPr>
              <w:t>5名（含）以上得2分</w:t>
            </w:r>
            <w:r>
              <w:rPr>
                <w:rFonts w:hint="eastAsia" w:ascii="Times New Roman" w:hAnsi="Times New Roman" w:cs="Times New Roman"/>
                <w:color w:val="auto"/>
                <w:kern w:val="0"/>
                <w:sz w:val="21"/>
                <w:szCs w:val="21"/>
                <w:highlight w:val="none"/>
                <w:lang w:eastAsia="zh-Hans"/>
              </w:rPr>
              <w:t>，</w:t>
            </w:r>
            <w:r>
              <w:rPr>
                <w:rFonts w:hint="eastAsia" w:ascii="Times New Roman" w:hAnsi="Times New Roman" w:cs="Times New Roman"/>
                <w:color w:val="auto"/>
                <w:kern w:val="0"/>
                <w:sz w:val="21"/>
                <w:szCs w:val="21"/>
                <w:highlight w:val="none"/>
              </w:rPr>
              <w:t>3名（含）到5名</w:t>
            </w:r>
            <w:r>
              <w:rPr>
                <w:rFonts w:hint="eastAsia" w:ascii="Times New Roman" w:hAnsi="Times New Roman" w:cs="Times New Roman"/>
                <w:color w:val="auto"/>
                <w:kern w:val="0"/>
                <w:sz w:val="21"/>
                <w:szCs w:val="21"/>
                <w:highlight w:val="none"/>
                <w:lang w:eastAsia="zh-Hans"/>
              </w:rPr>
              <w:t>（</w:t>
            </w:r>
            <w:r>
              <w:rPr>
                <w:rFonts w:hint="eastAsia" w:ascii="Times New Roman" w:hAnsi="Times New Roman" w:cs="Times New Roman"/>
                <w:color w:val="auto"/>
                <w:kern w:val="0"/>
                <w:sz w:val="21"/>
                <w:szCs w:val="21"/>
                <w:highlight w:val="none"/>
                <w:lang w:val="en-US" w:eastAsia="zh-Hans"/>
              </w:rPr>
              <w:t>不含</w:t>
            </w:r>
            <w:r>
              <w:rPr>
                <w:rFonts w:hint="eastAsia" w:ascii="Times New Roman" w:hAnsi="Times New Roman" w:cs="Times New Roman"/>
                <w:color w:val="auto"/>
                <w:kern w:val="0"/>
                <w:sz w:val="21"/>
                <w:szCs w:val="21"/>
                <w:highlight w:val="none"/>
                <w:lang w:eastAsia="zh-Hans"/>
              </w:rPr>
              <w:t>）</w:t>
            </w:r>
            <w:r>
              <w:rPr>
                <w:rFonts w:hint="eastAsia" w:ascii="Times New Roman" w:hAnsi="Times New Roman" w:cs="Times New Roman"/>
                <w:color w:val="auto"/>
                <w:kern w:val="0"/>
                <w:sz w:val="21"/>
                <w:szCs w:val="21"/>
                <w:highlight w:val="none"/>
              </w:rPr>
              <w:t>得1分</w:t>
            </w:r>
            <w:r>
              <w:rPr>
                <w:rFonts w:hint="eastAsia" w:ascii="Times New Roman" w:hAnsi="Times New Roman" w:cs="Times New Roman"/>
                <w:color w:val="auto"/>
                <w:kern w:val="0"/>
                <w:sz w:val="21"/>
                <w:szCs w:val="21"/>
                <w:highlight w:val="none"/>
                <w:lang w:eastAsia="zh-Hans"/>
              </w:rPr>
              <w:t>，</w:t>
            </w:r>
            <w:r>
              <w:rPr>
                <w:rFonts w:hint="eastAsia" w:ascii="Times New Roman" w:hAnsi="Times New Roman" w:cs="Times New Roman"/>
                <w:color w:val="auto"/>
                <w:kern w:val="0"/>
                <w:sz w:val="21"/>
                <w:szCs w:val="21"/>
                <w:highlight w:val="none"/>
              </w:rPr>
              <w:t>低于3名</w:t>
            </w:r>
            <w:r>
              <w:rPr>
                <w:rFonts w:hint="eastAsia" w:ascii="Times New Roman" w:hAnsi="Times New Roman" w:cs="Times New Roman"/>
                <w:color w:val="auto"/>
                <w:kern w:val="0"/>
                <w:sz w:val="21"/>
                <w:szCs w:val="21"/>
                <w:highlight w:val="none"/>
                <w:lang w:val="en-US" w:eastAsia="zh-CN"/>
              </w:rPr>
              <w:t>不得</w:t>
            </w:r>
            <w:r>
              <w:rPr>
                <w:rFonts w:hint="eastAsia" w:ascii="Times New Roman" w:hAnsi="Times New Roman" w:cs="Times New Roman"/>
                <w:color w:val="auto"/>
                <w:kern w:val="0"/>
                <w:sz w:val="21"/>
                <w:szCs w:val="21"/>
                <w:highlight w:val="none"/>
              </w:rPr>
              <w:t>分。</w:t>
            </w:r>
          </w:p>
          <w:p w14:paraId="5EED5005">
            <w:pPr>
              <w:spacing w:line="360" w:lineRule="auto"/>
              <w:ind w:firstLine="0" w:firstLineChars="0"/>
              <w:rPr>
                <w:rFonts w:hint="eastAsia" w:ascii="Times New Roman" w:hAnsi="Times New Roman" w:cs="Times New Roman"/>
                <w:color w:val="auto"/>
                <w:kern w:val="0"/>
                <w:sz w:val="21"/>
                <w:szCs w:val="21"/>
                <w:highlight w:val="none"/>
                <w:lang w:val="en-US" w:eastAsia="zh-Hans"/>
              </w:rPr>
            </w:pP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3</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现场业务专家/需求分析师：具备5个及以上同类项目业务咨询、需求分析项目经验得1分</w:t>
            </w:r>
            <w:r>
              <w:rPr>
                <w:rFonts w:hint="eastAsia" w:ascii="Times New Roman" w:hAnsi="Times New Roman" w:cs="Times New Roman"/>
                <w:color w:val="auto"/>
                <w:kern w:val="0"/>
                <w:sz w:val="21"/>
                <w:szCs w:val="21"/>
                <w:highlight w:val="none"/>
                <w:lang w:val="en-US" w:eastAsia="zh-Hans"/>
              </w:rPr>
              <w:t>，</w:t>
            </w:r>
            <w:r>
              <w:rPr>
                <w:rFonts w:hint="eastAsia" w:ascii="Times New Roman" w:hAnsi="Times New Roman" w:cs="Times New Roman"/>
                <w:color w:val="auto"/>
                <w:kern w:val="0"/>
                <w:sz w:val="21"/>
                <w:szCs w:val="21"/>
                <w:highlight w:val="none"/>
                <w:lang w:val="en-US" w:eastAsia="zh-CN"/>
              </w:rPr>
              <w:t>具备7年及以上工作经验得1分；</w:t>
            </w:r>
            <w:r>
              <w:rPr>
                <w:rFonts w:hint="eastAsia" w:ascii="Times New Roman" w:hAnsi="Times New Roman" w:cs="Times New Roman"/>
                <w:color w:val="auto"/>
                <w:kern w:val="0"/>
                <w:sz w:val="21"/>
                <w:szCs w:val="21"/>
                <w:highlight w:val="none"/>
                <w:lang w:val="en-US" w:eastAsia="zh-Hans"/>
              </w:rPr>
              <w:t>本项满分</w:t>
            </w:r>
            <w:r>
              <w:rPr>
                <w:rFonts w:hint="default" w:ascii="Times New Roman" w:hAnsi="Times New Roman" w:cs="Times New Roman"/>
                <w:color w:val="auto"/>
                <w:kern w:val="0"/>
                <w:sz w:val="21"/>
                <w:szCs w:val="21"/>
                <w:highlight w:val="none"/>
                <w:lang w:eastAsia="zh-Hans"/>
              </w:rPr>
              <w:t>2</w:t>
            </w:r>
            <w:r>
              <w:rPr>
                <w:rFonts w:hint="eastAsia" w:ascii="Times New Roman" w:hAnsi="Times New Roman" w:cs="Times New Roman"/>
                <w:color w:val="auto"/>
                <w:kern w:val="0"/>
                <w:sz w:val="21"/>
                <w:szCs w:val="21"/>
                <w:highlight w:val="none"/>
                <w:lang w:val="en-US" w:eastAsia="zh-Hans"/>
              </w:rPr>
              <w:t>分。</w:t>
            </w:r>
            <w:r>
              <w:rPr>
                <w:rFonts w:hint="eastAsia" w:ascii="Times New Roman" w:hAnsi="Times New Roman" w:cs="Times New Roman"/>
                <w:color w:val="auto"/>
                <w:kern w:val="0"/>
                <w:sz w:val="21"/>
                <w:szCs w:val="21"/>
                <w:highlight w:val="none"/>
              </w:rPr>
              <w:br w:type="textWrapping"/>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4</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现场开发实施人员：提供至少3名具备5年及以上工作经验的开发实施人员得1分</w:t>
            </w:r>
            <w:r>
              <w:rPr>
                <w:rFonts w:hint="eastAsia" w:ascii="Times New Roman" w:hAnsi="Times New Roman" w:cs="Times New Roman"/>
                <w:color w:val="auto"/>
                <w:kern w:val="0"/>
                <w:sz w:val="21"/>
                <w:szCs w:val="21"/>
                <w:highlight w:val="none"/>
                <w:lang w:val="en-US" w:eastAsia="zh-Hans"/>
              </w:rPr>
              <w:t>。</w:t>
            </w:r>
          </w:p>
          <w:p w14:paraId="5C55C851">
            <w:pPr>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 人员项目经验需提供人员简历，简历中的工作经历提供相应的证明材料，包括但不限于满足要求的案例合同中的项目组成员名单，盖有合作方公章的证明材料等；工作经验年限需提供个人社保缴费记录。</w:t>
            </w:r>
          </w:p>
          <w:p w14:paraId="37966BF8">
            <w:pPr>
              <w:spacing w:line="360" w:lineRule="auto"/>
              <w:ind w:firstLine="0" w:firstLineChars="0"/>
              <w:rPr>
                <w:rFonts w:ascii="Times New Roman" w:hAnsi="Times New Roman" w:cs="Times New Roman"/>
                <w:color w:val="auto"/>
                <w:kern w:val="0"/>
                <w:sz w:val="21"/>
                <w:szCs w:val="21"/>
                <w:highlight w:val="none"/>
              </w:rPr>
            </w:pPr>
            <w:r>
              <w:rPr>
                <w:rFonts w:hint="eastAsia" w:ascii="宋体" w:hAnsi="宋体" w:eastAsia="宋体" w:cs="宋体"/>
                <w:color w:val="auto"/>
                <w:sz w:val="21"/>
                <w:szCs w:val="21"/>
                <w:highlight w:val="none"/>
              </w:rPr>
              <w:t>2. 此处提供证明材料的人员必须作为本比选项目的项目组成员驻场参与项目建设，且每项提供的人员不得重复计分。</w:t>
            </w:r>
          </w:p>
        </w:tc>
      </w:tr>
      <w:tr w14:paraId="5B95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3050BEF3">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14:paraId="485DD97B">
            <w:pPr>
              <w:rPr>
                <w:color w:val="auto"/>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1D8773CA">
            <w:pPr>
              <w:rPr>
                <w:color w:val="auto"/>
                <w:highlight w:val="none"/>
              </w:rPr>
            </w:pPr>
          </w:p>
        </w:tc>
        <w:tc>
          <w:tcPr>
            <w:tcW w:w="5476" w:type="dxa"/>
            <w:vAlign w:val="center"/>
          </w:tcPr>
          <w:p w14:paraId="4E9D6A97">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三、技术部分评分规则（分值：</w:t>
            </w:r>
            <w:r>
              <w:rPr>
                <w:rFonts w:hint="default" w:ascii="Times New Roman" w:hAnsi="Times New Roman" w:cs="Times New Roman"/>
                <w:color w:val="auto"/>
                <w:kern w:val="0"/>
                <w:sz w:val="21"/>
                <w:szCs w:val="21"/>
                <w:highlight w:val="none"/>
              </w:rPr>
              <w:t>32</w:t>
            </w:r>
            <w:r>
              <w:rPr>
                <w:rFonts w:ascii="Times New Roman" w:hAnsi="Times New Roman" w:cs="Times New Roman"/>
                <w:color w:val="auto"/>
                <w:kern w:val="0"/>
                <w:sz w:val="21"/>
                <w:szCs w:val="21"/>
                <w:highlight w:val="none"/>
              </w:rPr>
              <w:t>分）</w:t>
            </w:r>
          </w:p>
          <w:p w14:paraId="0A49C691">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1.项目实施方案（分值：</w:t>
            </w:r>
            <w:r>
              <w:rPr>
                <w:rFonts w:hint="default" w:ascii="Times New Roman" w:hAnsi="Times New Roman" w:cs="Times New Roman"/>
                <w:color w:val="auto"/>
                <w:kern w:val="0"/>
                <w:sz w:val="21"/>
                <w:szCs w:val="21"/>
                <w:highlight w:val="none"/>
              </w:rPr>
              <w:t>2</w:t>
            </w:r>
            <w:r>
              <w:rPr>
                <w:rFonts w:ascii="Times New Roman" w:hAnsi="Times New Roman" w:cs="Times New Roman"/>
                <w:color w:val="auto"/>
                <w:kern w:val="0"/>
                <w:sz w:val="21"/>
                <w:szCs w:val="21"/>
                <w:highlight w:val="none"/>
              </w:rPr>
              <w:t>分）</w:t>
            </w:r>
          </w:p>
          <w:p w14:paraId="5AAC4F5D">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参选人所提供的实施方案完整、详细，实施步骤、计划明确，符合项目建设要求，可行性强</w:t>
            </w:r>
            <w:r>
              <w:rPr>
                <w:rFonts w:hint="eastAsia" w:ascii="Times New Roman" w:hAnsi="Times New Roman" w:cs="Times New Roman"/>
                <w:color w:val="auto"/>
                <w:kern w:val="0"/>
                <w:sz w:val="21"/>
                <w:szCs w:val="21"/>
                <w:highlight w:val="none"/>
                <w:lang w:val="en-US" w:eastAsia="zh-CN"/>
              </w:rPr>
              <w:t>得</w:t>
            </w:r>
            <w:r>
              <w:rPr>
                <w:rFonts w:hint="default" w:ascii="Times New Roman" w:hAnsi="Times New Roman" w:cs="Times New Roman"/>
                <w:color w:val="auto"/>
                <w:kern w:val="0"/>
                <w:sz w:val="21"/>
                <w:szCs w:val="21"/>
                <w:highlight w:val="none"/>
              </w:rPr>
              <w:t>1.5-2</w:t>
            </w:r>
            <w:r>
              <w:rPr>
                <w:rFonts w:ascii="Times New Roman" w:hAnsi="Times New Roman" w:cs="Times New Roman"/>
                <w:color w:val="auto"/>
                <w:kern w:val="0"/>
                <w:sz w:val="21"/>
                <w:szCs w:val="21"/>
                <w:highlight w:val="none"/>
              </w:rPr>
              <w:t>分。</w:t>
            </w:r>
          </w:p>
          <w:p w14:paraId="290C2BDE">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参选人所提供的实施方案较完整，实施步骤、计划较明确，基本符合项目建设要求，可行性一般</w:t>
            </w:r>
            <w:r>
              <w:rPr>
                <w:rFonts w:hint="eastAsia" w:ascii="Times New Roman" w:hAnsi="Times New Roman" w:cs="Times New Roman"/>
                <w:color w:val="auto"/>
                <w:kern w:val="0"/>
                <w:sz w:val="21"/>
                <w:szCs w:val="21"/>
                <w:highlight w:val="none"/>
                <w:lang w:val="en-US" w:eastAsia="zh-CN"/>
              </w:rPr>
              <w:t>得</w:t>
            </w:r>
            <w:r>
              <w:rPr>
                <w:rFonts w:hint="default" w:ascii="Times New Roman" w:hAnsi="Times New Roman" w:cs="Times New Roman"/>
                <w:color w:val="auto"/>
                <w:kern w:val="0"/>
                <w:sz w:val="21"/>
                <w:szCs w:val="21"/>
                <w:highlight w:val="none"/>
              </w:rPr>
              <w:t>0.5-1</w:t>
            </w:r>
            <w:r>
              <w:rPr>
                <w:rFonts w:ascii="Times New Roman" w:hAnsi="Times New Roman" w:cs="Times New Roman"/>
                <w:color w:val="auto"/>
                <w:kern w:val="0"/>
                <w:sz w:val="21"/>
                <w:szCs w:val="21"/>
                <w:highlight w:val="none"/>
              </w:rPr>
              <w:t>分。</w:t>
            </w:r>
          </w:p>
          <w:p w14:paraId="3D546072">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参选人所提供的实施方案不够完整，实施计划不够明确，可行性弱</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不得分</w:t>
            </w:r>
            <w:r>
              <w:rPr>
                <w:rFonts w:ascii="Times New Roman" w:hAnsi="Times New Roman" w:cs="Times New Roman"/>
                <w:color w:val="auto"/>
                <w:kern w:val="0"/>
                <w:sz w:val="21"/>
                <w:szCs w:val="21"/>
                <w:highlight w:val="none"/>
              </w:rPr>
              <w:t>。</w:t>
            </w:r>
          </w:p>
          <w:p w14:paraId="6C5F0F03">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注：参选人应结合第三章业务需求的内容，提供详细且可行的实施方案与进度计划安排，内容包含：实施方案、实施阶段、实施范围内容、人员安排、实施工期等。</w:t>
            </w:r>
          </w:p>
          <w:p w14:paraId="61A917DB">
            <w:pPr>
              <w:spacing w:line="360" w:lineRule="auto"/>
              <w:ind w:firstLine="0" w:firstLineChars="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2.功能满足度（分值：</w:t>
            </w:r>
            <w:r>
              <w:rPr>
                <w:rFonts w:hint="default" w:ascii="Times New Roman" w:hAnsi="Times New Roman" w:cs="Times New Roman"/>
                <w:color w:val="auto"/>
                <w:kern w:val="0"/>
                <w:sz w:val="21"/>
                <w:szCs w:val="21"/>
                <w:highlight w:val="none"/>
              </w:rPr>
              <w:t>30</w:t>
            </w:r>
            <w:r>
              <w:rPr>
                <w:rFonts w:ascii="Times New Roman" w:hAnsi="Times New Roman" w:cs="Times New Roman"/>
                <w:color w:val="auto"/>
                <w:kern w:val="0"/>
                <w:sz w:val="21"/>
                <w:szCs w:val="21"/>
                <w:highlight w:val="none"/>
              </w:rPr>
              <w:t>分）</w:t>
            </w:r>
          </w:p>
          <w:p w14:paraId="28F22FDC">
            <w:pPr>
              <w:spacing w:line="360" w:lineRule="auto"/>
              <w:ind w:firstLine="0" w:firstLineChars="0"/>
              <w:jc w:val="left"/>
              <w:rPr>
                <w:rFonts w:ascii="Times New Roman" w:hAnsi="Times New Roman" w:cs="宋体"/>
                <w:color w:val="auto"/>
                <w:kern w:val="0"/>
                <w:sz w:val="21"/>
                <w:szCs w:val="21"/>
                <w:highlight w:val="none"/>
              </w:rPr>
            </w:pPr>
            <w:r>
              <w:rPr>
                <w:rFonts w:ascii="Times New Roman" w:hAnsi="Times New Roman" w:cs="Times New Roman"/>
                <w:color w:val="auto"/>
                <w:kern w:val="0"/>
                <w:sz w:val="21"/>
                <w:szCs w:val="21"/>
                <w:highlight w:val="none"/>
              </w:rPr>
              <w:t>根据POC测试评分表中的总得分*0.</w:t>
            </w:r>
            <w:r>
              <w:rPr>
                <w:rFonts w:hint="eastAsia" w:ascii="Times New Roman" w:hAnsi="Times New Roman" w:cs="Times New Roman"/>
                <w:color w:val="auto"/>
                <w:kern w:val="0"/>
                <w:sz w:val="21"/>
                <w:szCs w:val="21"/>
                <w:highlight w:val="none"/>
                <w:lang w:val="en-US" w:eastAsia="zh-CN"/>
              </w:rPr>
              <w:t>3</w:t>
            </w:r>
            <w:r>
              <w:rPr>
                <w:rFonts w:ascii="Times New Roman" w:hAnsi="Times New Roman" w:cs="Times New Roman"/>
                <w:color w:val="auto"/>
                <w:kern w:val="0"/>
                <w:sz w:val="21"/>
                <w:szCs w:val="21"/>
                <w:highlight w:val="none"/>
              </w:rPr>
              <w:t>即为本项得分。注：比选人根据第三章附件二POC测试方案进行。</w:t>
            </w:r>
          </w:p>
        </w:tc>
      </w:tr>
      <w:tr w14:paraId="6F58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2811BD7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482" w:type="dxa"/>
            <w:tcBorders>
              <w:top w:val="single" w:color="auto" w:sz="4" w:space="0"/>
              <w:left w:val="single" w:color="auto" w:sz="4" w:space="0"/>
              <w:right w:val="single" w:color="auto" w:sz="4" w:space="0"/>
            </w:tcBorders>
            <w:vAlign w:val="center"/>
          </w:tcPr>
          <w:p w14:paraId="78D81C7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162" w:type="dxa"/>
            <w:gridSpan w:val="3"/>
          </w:tcPr>
          <w:p w14:paraId="4BE93D10">
            <w:pPr>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1.比选人组织POC测试打分环节。</w:t>
            </w:r>
          </w:p>
          <w:p w14:paraId="7DF011B7">
            <w:pPr>
              <w:tabs>
                <w:tab w:val="left" w:pos="-111"/>
              </w:tabs>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2.评审委员会在初步评审前，按本章第3.1.3项的规定对参选报价有算术性错误的进行算术性错误修正。</w:t>
            </w:r>
          </w:p>
          <w:p w14:paraId="12AE1EF6">
            <w:pPr>
              <w:tabs>
                <w:tab w:val="left" w:pos="-111"/>
              </w:tabs>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3.评审委员会对参选文件进行初步评审。</w:t>
            </w:r>
          </w:p>
          <w:p w14:paraId="78113510">
            <w:pPr>
              <w:tabs>
                <w:tab w:val="left" w:pos="-111"/>
              </w:tabs>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4.评审委员会对初步评审合格的参选文件进行详细评审，主观评审部分由各专家独立评审打分，最后取平均得分，保留2位小数。</w:t>
            </w:r>
          </w:p>
          <w:p w14:paraId="0F23E693">
            <w:pPr>
              <w:pStyle w:val="51"/>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注：详细评审的部分打分项需评审委员会根据比选人POC测试得分给出对应分值。</w:t>
            </w:r>
          </w:p>
          <w:p w14:paraId="733B08B6">
            <w:pPr>
              <w:spacing w:line="360" w:lineRule="auto"/>
              <w:ind w:firstLine="0" w:firstLineChars="0"/>
              <w:rPr>
                <w:rFonts w:ascii="Times New Roman" w:hAnsi="Times New Roman" w:cs="宋体"/>
                <w:color w:val="auto"/>
                <w:sz w:val="21"/>
                <w:szCs w:val="21"/>
                <w:highlight w:val="none"/>
              </w:rPr>
            </w:pPr>
            <w:r>
              <w:rPr>
                <w:rFonts w:hint="eastAsia" w:ascii="宋体" w:hAnsi="宋体" w:cs="宋体"/>
                <w:color w:val="auto"/>
                <w:sz w:val="21"/>
                <w:szCs w:val="21"/>
                <w:highlight w:val="none"/>
              </w:rPr>
              <w:t>5.评审委员会汇总详细评审得分，根据详细评审得分由高至低进行排序，推荐1-3家合格的中选候选人。并依次为第一、二、三中选候选人。</w:t>
            </w:r>
          </w:p>
        </w:tc>
      </w:tr>
      <w:tr w14:paraId="540C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05E1C7E9">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511" w:type="dxa"/>
            <w:tcBorders>
              <w:top w:val="single" w:color="auto" w:sz="4" w:space="0"/>
              <w:left w:val="single" w:color="auto" w:sz="4" w:space="0"/>
              <w:right w:val="single" w:color="auto" w:sz="4" w:space="0"/>
            </w:tcBorders>
            <w:vAlign w:val="center"/>
          </w:tcPr>
          <w:p w14:paraId="3809DE50">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w:t>
            </w:r>
          </w:p>
        </w:tc>
        <w:tc>
          <w:tcPr>
            <w:tcW w:w="5651" w:type="dxa"/>
            <w:gridSpan w:val="2"/>
            <w:vAlign w:val="center"/>
          </w:tcPr>
          <w:p w14:paraId="181FCD35">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参选人得分=参选报价得分+商务部分得分</w:t>
            </w:r>
            <w:r>
              <w:rPr>
                <w:rFonts w:ascii="Times New Roman" w:hAnsi="Times New Roman" w:cs="宋体"/>
                <w:color w:val="auto"/>
                <w:sz w:val="21"/>
                <w:szCs w:val="21"/>
                <w:highlight w:val="none"/>
              </w:rPr>
              <w:t>+技术部分得分</w:t>
            </w:r>
          </w:p>
        </w:tc>
      </w:tr>
      <w:bookmarkEnd w:id="346"/>
    </w:tbl>
    <w:p w14:paraId="3BA250F0">
      <w:pPr>
        <w:rPr>
          <w:rFonts w:ascii="Times New Roman" w:hAnsi="Times New Roman" w:cs="宋体"/>
          <w:snapToGrid w:val="0"/>
          <w:color w:val="auto"/>
          <w:sz w:val="21"/>
          <w:szCs w:val="21"/>
          <w:highlight w:val="none"/>
        </w:rPr>
      </w:pPr>
      <w:bookmarkStart w:id="347" w:name="_Toc21111"/>
      <w:bookmarkStart w:id="348" w:name="_Toc636"/>
      <w:r>
        <w:rPr>
          <w:rFonts w:hint="eastAsia" w:ascii="Times New Roman" w:hAnsi="Times New Roman" w:cs="宋体"/>
          <w:snapToGrid w:val="0"/>
          <w:color w:val="auto"/>
          <w:sz w:val="21"/>
          <w:szCs w:val="21"/>
          <w:highlight w:val="none"/>
        </w:rPr>
        <w:br w:type="page"/>
      </w:r>
    </w:p>
    <w:p w14:paraId="6D0913D1">
      <w:pPr>
        <w:pStyle w:val="3"/>
        <w:rPr>
          <w:rFonts w:ascii="Times New Roman" w:hAnsi="Times New Roman"/>
          <w:color w:val="auto"/>
          <w:highlight w:val="none"/>
        </w:rPr>
      </w:pPr>
      <w:bookmarkStart w:id="349" w:name="_Toc18283"/>
      <w:bookmarkStart w:id="350" w:name="_Toc1953"/>
      <w:bookmarkStart w:id="351" w:name="_Toc28684"/>
      <w:bookmarkStart w:id="352" w:name="_Toc14401"/>
      <w:bookmarkStart w:id="353" w:name="_Toc10871"/>
      <w:bookmarkStart w:id="354" w:name="_Toc27234"/>
      <w:r>
        <w:rPr>
          <w:rFonts w:hint="eastAsia" w:ascii="Times New Roman" w:hAnsi="Times New Roman"/>
          <w:color w:val="auto"/>
          <w:highlight w:val="none"/>
        </w:rPr>
        <w:t>1. 评审方法</w:t>
      </w:r>
      <w:bookmarkEnd w:id="347"/>
      <w:bookmarkEnd w:id="348"/>
      <w:bookmarkEnd w:id="349"/>
      <w:bookmarkEnd w:id="350"/>
      <w:bookmarkEnd w:id="351"/>
      <w:bookmarkEnd w:id="352"/>
      <w:bookmarkEnd w:id="353"/>
      <w:bookmarkEnd w:id="354"/>
    </w:p>
    <w:p w14:paraId="5FB03948">
      <w:pPr>
        <w:rPr>
          <w:rFonts w:ascii="Times New Roman" w:hAnsi="Times New Roman"/>
          <w:color w:val="auto"/>
          <w:highlight w:val="none"/>
        </w:rPr>
      </w:pPr>
      <w:bookmarkStart w:id="355" w:name="_Toc407195379"/>
      <w:bookmarkStart w:id="356" w:name="_Toc277082619"/>
      <w:bookmarkStart w:id="357" w:name="_Toc287607813"/>
      <w:bookmarkStart w:id="358" w:name="_Toc287620752"/>
      <w:bookmarkStart w:id="359" w:name="_Toc377115419"/>
      <w:bookmarkStart w:id="360" w:name="_Toc200513199"/>
      <w:bookmarkStart w:id="361" w:name="_Toc330569206"/>
      <w:bookmarkStart w:id="362" w:name="_Toc376114120"/>
      <w:bookmarkStart w:id="363" w:name="_Toc440022827"/>
      <w:bookmarkStart w:id="364" w:name="_Toc224103385"/>
      <w:bookmarkStart w:id="365" w:name="_Toc377067339"/>
      <w:r>
        <w:rPr>
          <w:rFonts w:hint="eastAsia" w:ascii="Times New Roman" w:hAnsi="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0491F9C9">
      <w:pPr>
        <w:pStyle w:val="3"/>
        <w:rPr>
          <w:rFonts w:ascii="Times New Roman" w:hAnsi="Times New Roman"/>
          <w:color w:val="auto"/>
          <w:highlight w:val="none"/>
        </w:rPr>
      </w:pPr>
      <w:bookmarkStart w:id="366" w:name="_Toc28423"/>
      <w:bookmarkStart w:id="367" w:name="_Toc5950"/>
      <w:bookmarkStart w:id="368" w:name="_Toc21913"/>
      <w:bookmarkStart w:id="369" w:name="_Toc16716"/>
      <w:bookmarkStart w:id="370" w:name="_Toc765"/>
      <w:bookmarkStart w:id="371" w:name="_Toc444155968"/>
      <w:bookmarkStart w:id="372" w:name="_Toc23969"/>
      <w:bookmarkStart w:id="373" w:name="_Toc27931"/>
      <w:bookmarkStart w:id="374" w:name="_Toc29660"/>
      <w:bookmarkStart w:id="375" w:name="_Toc31615"/>
      <w:bookmarkStart w:id="376" w:name="_Toc27406"/>
      <w:bookmarkStart w:id="377" w:name="_Toc2274"/>
      <w:r>
        <w:rPr>
          <w:rFonts w:hint="eastAsia" w:ascii="Times New Roman" w:hAnsi="Times New Roman"/>
          <w:color w:val="auto"/>
          <w:highlight w:val="none"/>
        </w:rPr>
        <w:t>2. 评审标准</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FA05A4D">
      <w:pPr>
        <w:pStyle w:val="4"/>
        <w:rPr>
          <w:rFonts w:ascii="Times New Roman" w:hAnsi="Times New Roman"/>
          <w:color w:val="auto"/>
          <w:highlight w:val="none"/>
        </w:rPr>
      </w:pPr>
      <w:bookmarkStart w:id="378" w:name="_Toc1358"/>
      <w:bookmarkStart w:id="379" w:name="_Toc200513200"/>
      <w:bookmarkStart w:id="380" w:name="_Toc407195380"/>
      <w:bookmarkStart w:id="381" w:name="_Toc21593"/>
      <w:bookmarkStart w:id="382" w:name="_Toc15628"/>
      <w:bookmarkStart w:id="383" w:name="_Toc4501"/>
      <w:bookmarkStart w:id="384" w:name="_Toc16537"/>
      <w:bookmarkStart w:id="385" w:name="_Toc377067340"/>
      <w:bookmarkStart w:id="386" w:name="_Toc377115420"/>
      <w:bookmarkStart w:id="387" w:name="_Toc23425"/>
      <w:bookmarkStart w:id="388" w:name="_Toc440022828"/>
      <w:bookmarkStart w:id="389" w:name="_Toc444155969"/>
      <w:bookmarkStart w:id="390" w:name="_Toc330569207"/>
      <w:bookmarkStart w:id="391" w:name="_Toc11839"/>
      <w:bookmarkStart w:id="392" w:name="_Toc287620753"/>
      <w:bookmarkStart w:id="393" w:name="_Toc277082620"/>
      <w:bookmarkStart w:id="394" w:name="_Toc224103386"/>
      <w:bookmarkStart w:id="395" w:name="_Toc7584"/>
      <w:bookmarkStart w:id="396" w:name="_Toc376114121"/>
      <w:bookmarkStart w:id="397" w:name="_Toc10533"/>
      <w:bookmarkStart w:id="398" w:name="_Toc30232"/>
      <w:bookmarkStart w:id="399" w:name="_Toc287607814"/>
      <w:r>
        <w:rPr>
          <w:rFonts w:hint="eastAsia" w:ascii="Times New Roman" w:hAnsi="Times New Roman"/>
          <w:color w:val="auto"/>
          <w:highlight w:val="none"/>
        </w:rPr>
        <w:t>2.1 初步评审标准</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4402DB88">
      <w:pPr>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1C7C9499">
      <w:pPr>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03FE9B4A">
      <w:pPr>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3B5A5E43">
      <w:pPr>
        <w:pStyle w:val="4"/>
        <w:rPr>
          <w:rFonts w:ascii="Times New Roman" w:hAnsi="Times New Roman"/>
          <w:color w:val="auto"/>
          <w:highlight w:val="none"/>
        </w:rPr>
      </w:pPr>
      <w:bookmarkStart w:id="400" w:name="_Toc277082621"/>
      <w:bookmarkStart w:id="401" w:name="_Toc25129"/>
      <w:bookmarkStart w:id="402" w:name="_Toc3598"/>
      <w:bookmarkStart w:id="403" w:name="_Toc440022829"/>
      <w:bookmarkStart w:id="404" w:name="_Toc23296"/>
      <w:bookmarkStart w:id="405" w:name="_Toc6503"/>
      <w:bookmarkStart w:id="406" w:name="_Toc407195381"/>
      <w:bookmarkStart w:id="407" w:name="_Toc377115421"/>
      <w:bookmarkStart w:id="408" w:name="_Toc377067341"/>
      <w:bookmarkStart w:id="409" w:name="_Toc20840"/>
      <w:bookmarkStart w:id="410" w:name="_Toc287607815"/>
      <w:bookmarkStart w:id="411" w:name="_Toc376114122"/>
      <w:bookmarkStart w:id="412" w:name="_Toc287620754"/>
      <w:bookmarkStart w:id="413" w:name="_Toc224103387"/>
      <w:bookmarkStart w:id="414" w:name="_Toc200513201"/>
      <w:bookmarkStart w:id="415" w:name="_Toc330569208"/>
      <w:bookmarkStart w:id="416" w:name="_Toc1387"/>
      <w:bookmarkStart w:id="417" w:name="_Toc444155970"/>
      <w:bookmarkStart w:id="418" w:name="_Toc17495"/>
      <w:bookmarkStart w:id="419" w:name="_Toc2428"/>
      <w:bookmarkStart w:id="420" w:name="_Toc2340"/>
      <w:bookmarkStart w:id="421" w:name="_Toc9090"/>
      <w:r>
        <w:rPr>
          <w:rFonts w:hint="eastAsia" w:ascii="Times New Roman" w:hAnsi="Times New Roman"/>
          <w:color w:val="auto"/>
          <w:highlight w:val="none"/>
        </w:rPr>
        <w:t>2.2 分值构成与评分标准</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AE33CAB">
      <w:pPr>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2C1F1385">
      <w:pPr>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25795E1F">
      <w:pPr>
        <w:rPr>
          <w:rFonts w:ascii="Times New Roman" w:hAnsi="Times New Roman"/>
          <w:color w:val="auto"/>
          <w:highlight w:val="none"/>
        </w:rPr>
      </w:pPr>
      <w:r>
        <w:rPr>
          <w:rFonts w:hint="eastAsia" w:ascii="Times New Roman" w:hAnsi="Times New Roman"/>
          <w:color w:val="auto"/>
          <w:highlight w:val="none"/>
        </w:rPr>
        <w:t>2.2.3 评分标准：</w:t>
      </w:r>
    </w:p>
    <w:p w14:paraId="10FA3F9E">
      <w:pPr>
        <w:rPr>
          <w:rFonts w:ascii="Times New Roman" w:hAnsi="Times New Roman"/>
          <w:color w:val="auto"/>
          <w:highlight w:val="none"/>
        </w:rPr>
      </w:pPr>
      <w:r>
        <w:rPr>
          <w:rFonts w:hint="eastAsia" w:ascii="Times New Roman" w:hAnsi="Times New Roman"/>
          <w:color w:val="auto"/>
          <w:highlight w:val="none"/>
        </w:rPr>
        <w:t>（1）参选报价评分标准：见评审办法前附表；</w:t>
      </w:r>
    </w:p>
    <w:p w14:paraId="097B0E4C">
      <w:pPr>
        <w:rPr>
          <w:rFonts w:ascii="Times New Roman" w:hAnsi="Times New Roman"/>
          <w:color w:val="auto"/>
          <w:highlight w:val="none"/>
        </w:rPr>
      </w:pPr>
      <w:r>
        <w:rPr>
          <w:rFonts w:hint="eastAsia" w:ascii="Times New Roman" w:hAnsi="Times New Roman"/>
          <w:color w:val="auto"/>
          <w:highlight w:val="none"/>
        </w:rPr>
        <w:t>（2）商务部分评分标准：见评审办法前附表；</w:t>
      </w:r>
    </w:p>
    <w:p w14:paraId="1232E27F">
      <w:pPr>
        <w:rPr>
          <w:rFonts w:ascii="Times New Roman" w:hAnsi="Times New Roman" w:cs="Times New Roman"/>
          <w:color w:val="auto"/>
          <w:highlight w:val="none"/>
        </w:rPr>
      </w:pPr>
      <w:r>
        <w:rPr>
          <w:rFonts w:ascii="Times New Roman" w:hAnsi="Times New Roman" w:cs="Times New Roman"/>
          <w:color w:val="auto"/>
          <w:highlight w:val="none"/>
        </w:rPr>
        <w:t>（3）技术部分评分标准：见评审办法前附表。</w:t>
      </w:r>
    </w:p>
    <w:p w14:paraId="16637485">
      <w:pPr>
        <w:pStyle w:val="3"/>
        <w:rPr>
          <w:rFonts w:ascii="Times New Roman" w:hAnsi="Times New Roman"/>
          <w:color w:val="auto"/>
          <w:highlight w:val="none"/>
        </w:rPr>
      </w:pPr>
      <w:bookmarkStart w:id="422" w:name="_Toc9488"/>
      <w:bookmarkStart w:id="423" w:name="_Toc5467"/>
      <w:bookmarkStart w:id="424" w:name="_Toc12538"/>
      <w:bookmarkStart w:id="425" w:name="_Toc330569209"/>
      <w:bookmarkStart w:id="426" w:name="_Toc11965"/>
      <w:bookmarkStart w:id="427" w:name="_Toc23633"/>
      <w:bookmarkStart w:id="428" w:name="_Toc377067342"/>
      <w:bookmarkStart w:id="429" w:name="_Toc377115422"/>
      <w:bookmarkStart w:id="430" w:name="_Toc407195382"/>
      <w:bookmarkStart w:id="431" w:name="_Toc224103388"/>
      <w:bookmarkStart w:id="432" w:name="_Toc5546"/>
      <w:bookmarkStart w:id="433" w:name="_Toc200513202"/>
      <w:bookmarkStart w:id="434" w:name="_Toc440022830"/>
      <w:bookmarkStart w:id="435" w:name="_Toc32581"/>
      <w:bookmarkStart w:id="436" w:name="_Toc15132"/>
      <w:bookmarkStart w:id="437" w:name="_Toc376114123"/>
      <w:bookmarkStart w:id="438" w:name="_Toc277082622"/>
      <w:bookmarkStart w:id="439" w:name="_Toc2982"/>
      <w:bookmarkStart w:id="440" w:name="_Toc287620755"/>
      <w:bookmarkStart w:id="441" w:name="_Toc14353"/>
      <w:bookmarkStart w:id="442" w:name="_Toc8004"/>
      <w:bookmarkStart w:id="443" w:name="_Toc444155971"/>
      <w:bookmarkStart w:id="444" w:name="_Toc287607816"/>
      <w:r>
        <w:rPr>
          <w:rFonts w:hint="eastAsia" w:ascii="Times New Roman" w:hAnsi="Times New Roman"/>
          <w:color w:val="auto"/>
          <w:highlight w:val="none"/>
        </w:rPr>
        <w:t>3. 评审程序</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8405BB5">
      <w:pPr>
        <w:pStyle w:val="4"/>
        <w:rPr>
          <w:rFonts w:ascii="Times New Roman" w:hAnsi="Times New Roman"/>
          <w:color w:val="auto"/>
          <w:highlight w:val="none"/>
        </w:rPr>
      </w:pPr>
      <w:bookmarkStart w:id="445" w:name="_Toc287607817"/>
      <w:bookmarkStart w:id="446" w:name="_Toc6448"/>
      <w:bookmarkStart w:id="447" w:name="_Toc9683"/>
      <w:bookmarkStart w:id="448" w:name="_Toc19840"/>
      <w:bookmarkStart w:id="449" w:name="_Toc277082623"/>
      <w:bookmarkStart w:id="450" w:name="_Toc330569210"/>
      <w:bookmarkStart w:id="451" w:name="_Toc200513203"/>
      <w:bookmarkStart w:id="452" w:name="_Toc224103389"/>
      <w:bookmarkStart w:id="453" w:name="_Toc440022831"/>
      <w:bookmarkStart w:id="454" w:name="_Toc13851"/>
      <w:bookmarkStart w:id="455" w:name="_Toc12725"/>
      <w:bookmarkStart w:id="456" w:name="_Toc287620756"/>
      <w:bookmarkStart w:id="457" w:name="_Toc377115423"/>
      <w:bookmarkStart w:id="458" w:name="_Toc444155972"/>
      <w:bookmarkStart w:id="459" w:name="_Toc22279"/>
      <w:bookmarkStart w:id="460" w:name="_Toc5462"/>
      <w:bookmarkStart w:id="461" w:name="_Toc407195383"/>
      <w:bookmarkStart w:id="462" w:name="_Toc288"/>
      <w:bookmarkStart w:id="463" w:name="_Toc376114124"/>
      <w:bookmarkStart w:id="464" w:name="_Toc29067"/>
      <w:bookmarkStart w:id="465" w:name="_Toc32002"/>
      <w:bookmarkStart w:id="466" w:name="_Toc377067343"/>
      <w:r>
        <w:rPr>
          <w:rFonts w:hint="eastAsia" w:ascii="Times New Roman" w:hAnsi="Times New Roman"/>
          <w:color w:val="auto"/>
          <w:highlight w:val="none"/>
        </w:rPr>
        <w:t>3.1 初步评审</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16E0E6A">
      <w:pPr>
        <w:rPr>
          <w:rFonts w:ascii="Times New Roman" w:hAnsi="Times New Roman"/>
          <w:color w:val="auto"/>
          <w:highlight w:val="none"/>
        </w:rPr>
      </w:pPr>
      <w:bookmarkStart w:id="467" w:name="_Toc356484119"/>
      <w:bookmarkStart w:id="468" w:name="_Toc332028970"/>
      <w:bookmarkStart w:id="469" w:name="_Toc330569211"/>
      <w:bookmarkStart w:id="470" w:name="_Toc331232649"/>
      <w:bookmarkStart w:id="471" w:name="_Toc331232467"/>
      <w:bookmarkStart w:id="472" w:name="_Toc332380970"/>
      <w:bookmarkStart w:id="473" w:name="_Toc373264792"/>
      <w:bookmarkStart w:id="474" w:name="_Toc440022832"/>
      <w:bookmarkStart w:id="475" w:name="_Toc377115424"/>
      <w:bookmarkStart w:id="476" w:name="_Toc354387014"/>
      <w:bookmarkStart w:id="477" w:name="_Toc373172234"/>
      <w:bookmarkStart w:id="478" w:name="_Toc376114125"/>
      <w:bookmarkStart w:id="479" w:name="_Toc332015984"/>
      <w:bookmarkStart w:id="480" w:name="_Toc334002333"/>
      <w:bookmarkStart w:id="481" w:name="_Toc27164"/>
      <w:bookmarkStart w:id="482" w:name="_Toc407195384"/>
      <w:bookmarkStart w:id="483" w:name="_Toc377067344"/>
      <w:bookmarkStart w:id="484" w:name="_Toc444155973"/>
      <w:bookmarkStart w:id="485" w:name="_Toc356243677"/>
      <w:r>
        <w:rPr>
          <w:rFonts w:hint="eastAsia" w:ascii="Times New Roman" w:hAnsi="Times New Roman"/>
          <w:color w:val="auto"/>
          <w:highlight w:val="none"/>
        </w:rPr>
        <w:t>3.1.1 评审委员会依据本章第2.1 条规定的标准对参选文件进行初步评审。有一项不符合评审标准的，作否决参选处理。</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B6879B0">
      <w:pPr>
        <w:outlineLvl w:val="3"/>
        <w:rPr>
          <w:rFonts w:ascii="Times New Roman" w:hAnsi="Times New Roman"/>
          <w:color w:val="auto"/>
          <w:highlight w:val="none"/>
        </w:rPr>
      </w:pPr>
      <w:r>
        <w:rPr>
          <w:rFonts w:hint="eastAsia" w:ascii="Times New Roman" w:hAnsi="Times New Roman"/>
          <w:color w:val="auto"/>
          <w:highlight w:val="none"/>
        </w:rPr>
        <w:t>3.1.2 参选人有以下情形之一的，其参选作否决参选处理：</w:t>
      </w:r>
    </w:p>
    <w:p w14:paraId="4834B1D7">
      <w:pPr>
        <w:rPr>
          <w:rFonts w:ascii="Times New Roman" w:hAnsi="Times New Roman"/>
          <w:color w:val="auto"/>
          <w:highlight w:val="none"/>
        </w:rPr>
      </w:pPr>
      <w:r>
        <w:rPr>
          <w:rFonts w:hint="eastAsia" w:ascii="Times New Roman" w:hAnsi="Times New Roman"/>
          <w:color w:val="auto"/>
          <w:highlight w:val="none"/>
        </w:rPr>
        <w:t>3.1.2.1 有第二章“参选人须知”第9.条以及第11. 条规定的任何一种情形的；</w:t>
      </w:r>
    </w:p>
    <w:p w14:paraId="0BA2499E">
      <w:pPr>
        <w:rPr>
          <w:rFonts w:ascii="Times New Roman" w:hAnsi="Times New Roman"/>
          <w:color w:val="auto"/>
          <w:highlight w:val="none"/>
        </w:rPr>
      </w:pPr>
      <w:r>
        <w:rPr>
          <w:rFonts w:hint="eastAsia" w:ascii="Times New Roman" w:hAnsi="Times New Roman"/>
          <w:color w:val="auto"/>
          <w:highlight w:val="none"/>
        </w:rPr>
        <w:t>3.1.2.2 有串通参选、弄虚作假等其他违反相关法律、法规行为的；</w:t>
      </w:r>
    </w:p>
    <w:p w14:paraId="6F881833">
      <w:pPr>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55BCFC6A">
      <w:pPr>
        <w:rPr>
          <w:rFonts w:ascii="Times New Roman" w:hAnsi="Times New Roman"/>
          <w:color w:val="auto"/>
          <w:highlight w:val="none"/>
        </w:rPr>
      </w:pPr>
      <w:r>
        <w:rPr>
          <w:rFonts w:hint="eastAsia" w:ascii="Times New Roman" w:hAnsi="Times New Roman"/>
          <w:color w:val="auto"/>
          <w:highlight w:val="none"/>
        </w:rPr>
        <w:t>3.1.2.4 本参选文件约定的其它情形。</w:t>
      </w:r>
    </w:p>
    <w:p w14:paraId="2E1A6C5E">
      <w:pPr>
        <w:rPr>
          <w:rFonts w:ascii="Times New Roman" w:hAnsi="Times New Roman"/>
          <w:color w:val="auto"/>
          <w:highlight w:val="none"/>
        </w:rPr>
      </w:pPr>
      <w:r>
        <w:rPr>
          <w:rFonts w:hint="eastAsia" w:ascii="Times New Roman" w:hAnsi="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60207B64">
      <w:pPr>
        <w:pStyle w:val="4"/>
        <w:rPr>
          <w:rFonts w:ascii="Times New Roman" w:hAnsi="Times New Roman"/>
          <w:color w:val="auto"/>
          <w:highlight w:val="none"/>
        </w:rPr>
      </w:pPr>
      <w:bookmarkStart w:id="486" w:name="_Toc29925"/>
      <w:bookmarkStart w:id="487" w:name="_Toc22246"/>
      <w:bookmarkStart w:id="488" w:name="_Toc277082624"/>
      <w:bookmarkStart w:id="489" w:name="_Toc287607818"/>
      <w:bookmarkStart w:id="490" w:name="_Toc17345"/>
      <w:bookmarkStart w:id="491" w:name="_Toc22848"/>
      <w:bookmarkStart w:id="492" w:name="_Toc10847"/>
      <w:bookmarkStart w:id="493" w:name="_Toc224103390"/>
      <w:bookmarkStart w:id="494" w:name="_Toc377115425"/>
      <w:bookmarkStart w:id="495" w:name="_Toc11246"/>
      <w:bookmarkStart w:id="496" w:name="_Toc287620757"/>
      <w:bookmarkStart w:id="497" w:name="_Toc407195385"/>
      <w:bookmarkStart w:id="498" w:name="_Toc444155974"/>
      <w:bookmarkStart w:id="499" w:name="_Toc377067345"/>
      <w:bookmarkStart w:id="500" w:name="_Toc440022833"/>
      <w:bookmarkStart w:id="501" w:name="_Toc376114126"/>
      <w:bookmarkStart w:id="502" w:name="_Toc7832"/>
      <w:bookmarkStart w:id="503" w:name="_Toc19604"/>
      <w:bookmarkStart w:id="504" w:name="_Toc13439"/>
      <w:bookmarkStart w:id="505" w:name="_Toc10181"/>
      <w:bookmarkStart w:id="506" w:name="_Toc200513204"/>
      <w:bookmarkStart w:id="507" w:name="_Toc330569212"/>
      <w:r>
        <w:rPr>
          <w:rFonts w:hint="eastAsia" w:ascii="Times New Roman" w:hAnsi="Times New Roman"/>
          <w:color w:val="auto"/>
          <w:highlight w:val="none"/>
        </w:rPr>
        <w:t>3.2 详细评审</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01E11B72">
      <w:pPr>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43BF1F9A">
      <w:pPr>
        <w:rPr>
          <w:rFonts w:ascii="Times New Roman" w:hAnsi="Times New Roman"/>
          <w:color w:val="auto"/>
          <w:highlight w:val="none"/>
        </w:rPr>
      </w:pPr>
      <w:r>
        <w:rPr>
          <w:rFonts w:hint="eastAsia" w:ascii="Times New Roman" w:hAnsi="Times New Roman"/>
          <w:color w:val="auto"/>
          <w:highlight w:val="none"/>
        </w:rPr>
        <w:t>3.2.1.1 按本章第2.2 条规定的评审因素和分值对参选报价计算出得分；</w:t>
      </w:r>
    </w:p>
    <w:p w14:paraId="176225AE">
      <w:pPr>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条规定的评审因素和分值对商务部分计算出得分（评审委员会统一打分）；</w:t>
      </w:r>
    </w:p>
    <w:p w14:paraId="1E9A5656">
      <w:pPr>
        <w:rPr>
          <w:rFonts w:ascii="Times New Roman" w:hAnsi="Times New Roman" w:cs="Times New Roman"/>
          <w:color w:val="auto"/>
          <w:highlight w:val="none"/>
        </w:rPr>
      </w:pPr>
      <w:r>
        <w:rPr>
          <w:rFonts w:ascii="Times New Roman" w:hAnsi="Times New Roman" w:cs="Times New Roman"/>
          <w:color w:val="auto"/>
          <w:highlight w:val="none"/>
        </w:rPr>
        <w:t>3.2.1.3 按本章第2.2 条规定的评审因素和分值对技术部分项目实施方案计算出得分（评审委员会统一打分）；</w:t>
      </w:r>
    </w:p>
    <w:p w14:paraId="65F67CCF">
      <w:pPr>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51679EB5">
      <w:pPr>
        <w:rPr>
          <w:rFonts w:ascii="Times New Roman" w:hAnsi="Times New Roman"/>
          <w:color w:val="auto"/>
          <w:highlight w:val="none"/>
        </w:rPr>
      </w:pPr>
      <w:r>
        <w:rPr>
          <w:rFonts w:hint="eastAsia" w:ascii="Times New Roman" w:hAnsi="Times New Roman"/>
          <w:color w:val="auto"/>
          <w:highlight w:val="none"/>
        </w:rPr>
        <w:t>3.2.3 参选人得分=参选报价得分+商务部分得分</w:t>
      </w:r>
      <w:r>
        <w:rPr>
          <w:rFonts w:ascii="Times New Roman" w:hAnsi="Times New Roman" w:cs="Times New Roman"/>
          <w:color w:val="auto"/>
          <w:highlight w:val="none"/>
        </w:rPr>
        <w:t>+技术部分得分</w:t>
      </w:r>
      <w:r>
        <w:rPr>
          <w:rFonts w:hint="eastAsia" w:ascii="Times New Roman" w:hAnsi="Times New Roman"/>
          <w:color w:val="auto"/>
          <w:highlight w:val="none"/>
        </w:rPr>
        <w:t>。</w:t>
      </w:r>
    </w:p>
    <w:p w14:paraId="49FF22B5">
      <w:pPr>
        <w:pStyle w:val="4"/>
        <w:rPr>
          <w:rFonts w:ascii="Times New Roman" w:hAnsi="Times New Roman"/>
          <w:color w:val="auto"/>
          <w:highlight w:val="none"/>
        </w:rPr>
      </w:pPr>
      <w:bookmarkStart w:id="508" w:name="_Toc9925"/>
      <w:bookmarkStart w:id="509" w:name="_Toc830"/>
      <w:bookmarkStart w:id="510" w:name="_Toc444155975"/>
      <w:bookmarkStart w:id="511" w:name="_Toc32039"/>
      <w:bookmarkStart w:id="512" w:name="_Toc18708"/>
      <w:bookmarkStart w:id="513" w:name="_Toc29261"/>
      <w:bookmarkStart w:id="514" w:name="_Toc287607819"/>
      <w:bookmarkStart w:id="515" w:name="_Toc376114127"/>
      <w:bookmarkStart w:id="516" w:name="_Toc1576"/>
      <w:bookmarkStart w:id="517" w:name="_Toc407195386"/>
      <w:bookmarkStart w:id="518" w:name="_Toc287620758"/>
      <w:bookmarkStart w:id="519" w:name="_Toc277082625"/>
      <w:bookmarkStart w:id="520" w:name="_Toc440022834"/>
      <w:bookmarkStart w:id="521" w:name="_Toc2542"/>
      <w:bookmarkStart w:id="522" w:name="_Toc7176"/>
      <w:bookmarkStart w:id="523" w:name="_Toc224103391"/>
      <w:bookmarkStart w:id="524" w:name="_Toc20948"/>
      <w:bookmarkStart w:id="525" w:name="_Toc377067346"/>
      <w:bookmarkStart w:id="526" w:name="_Toc330569213"/>
      <w:bookmarkStart w:id="527" w:name="_Toc200513205"/>
      <w:bookmarkStart w:id="528" w:name="_Toc377115426"/>
      <w:bookmarkStart w:id="529" w:name="_Toc1080"/>
      <w:r>
        <w:rPr>
          <w:rFonts w:hint="eastAsia" w:ascii="Times New Roman" w:hAnsi="Times New Roman"/>
          <w:color w:val="auto"/>
          <w:highlight w:val="none"/>
        </w:rPr>
        <w:t>3.3 参选文件的澄清和补正</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8DCE3B8">
      <w:pPr>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7A22AD8F">
      <w:pPr>
        <w:rPr>
          <w:rFonts w:ascii="Times New Roman" w:hAnsi="Times New Roman"/>
          <w:color w:val="auto"/>
          <w:highlight w:val="none"/>
        </w:rPr>
      </w:pPr>
      <w:r>
        <w:rPr>
          <w:rFonts w:hint="eastAsia" w:ascii="Times New Roman" w:hAnsi="Times New Roman"/>
          <w:color w:val="auto"/>
          <w:highlight w:val="none"/>
        </w:rPr>
        <w:t>3.3.2 澄清、说明和补正不得改变参选文件的实质性内容（算术性错误修正的除外）。参选人的书面澄清、说明和补正属于参选文件的组成部分。</w:t>
      </w:r>
    </w:p>
    <w:p w14:paraId="1D0FA299">
      <w:pPr>
        <w:rPr>
          <w:rFonts w:ascii="Times New Roman" w:hAnsi="Times New Roman"/>
          <w:color w:val="auto"/>
          <w:highlight w:val="none"/>
        </w:rPr>
      </w:pPr>
      <w:r>
        <w:rPr>
          <w:rFonts w:hint="eastAsia" w:ascii="Times New Roman" w:hAnsi="Times New Roman"/>
          <w:color w:val="auto"/>
          <w:highlight w:val="none"/>
        </w:rPr>
        <w:t>3.3.3 评审委员会对参选人提交的澄清、说明或补正有疑问的，可以要求参选人进一步澄清、说明或补正，直至满足评审委员会的要求。</w:t>
      </w:r>
    </w:p>
    <w:p w14:paraId="78AACCED">
      <w:pPr>
        <w:pStyle w:val="4"/>
        <w:rPr>
          <w:rFonts w:ascii="Times New Roman" w:hAnsi="Times New Roman"/>
          <w:color w:val="auto"/>
          <w:highlight w:val="none"/>
        </w:rPr>
      </w:pPr>
      <w:bookmarkStart w:id="530" w:name="_Toc407195387"/>
      <w:bookmarkStart w:id="531" w:name="_Toc21450"/>
      <w:bookmarkStart w:id="532" w:name="_Toc30672"/>
      <w:bookmarkStart w:id="533" w:name="_Toc887"/>
      <w:bookmarkStart w:id="534" w:name="_Toc4031"/>
      <w:bookmarkStart w:id="535" w:name="_Toc377067347"/>
      <w:bookmarkStart w:id="536" w:name="_Toc330569214"/>
      <w:bookmarkStart w:id="537" w:name="_Toc19054"/>
      <w:bookmarkStart w:id="538" w:name="_Toc6310"/>
      <w:bookmarkStart w:id="539" w:name="_Toc287620759"/>
      <w:bookmarkStart w:id="540" w:name="_Toc277082626"/>
      <w:bookmarkStart w:id="541" w:name="_Toc224103392"/>
      <w:bookmarkStart w:id="542" w:name="_Toc287607820"/>
      <w:bookmarkStart w:id="543" w:name="_Toc376114128"/>
      <w:bookmarkStart w:id="544" w:name="_Toc4814"/>
      <w:bookmarkStart w:id="545" w:name="_Toc377115427"/>
      <w:bookmarkStart w:id="546" w:name="_Toc440022835"/>
      <w:bookmarkStart w:id="547" w:name="_Toc14840"/>
      <w:bookmarkStart w:id="548" w:name="_Toc24924"/>
      <w:bookmarkStart w:id="549" w:name="_Toc200513206"/>
      <w:bookmarkStart w:id="550" w:name="_Toc31270"/>
      <w:bookmarkStart w:id="551" w:name="_Toc444155976"/>
      <w:r>
        <w:rPr>
          <w:rFonts w:hint="eastAsia" w:ascii="Times New Roman" w:hAnsi="Times New Roman"/>
          <w:color w:val="auto"/>
          <w:highlight w:val="none"/>
        </w:rPr>
        <w:t>3.4 评审结果</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1C537C12">
      <w:pPr>
        <w:outlineLvl w:val="3"/>
        <w:rPr>
          <w:rFonts w:ascii="Times New Roman" w:hAnsi="Times New Roman"/>
          <w:color w:val="auto"/>
          <w:highlight w:val="none"/>
        </w:rPr>
      </w:pPr>
      <w:r>
        <w:rPr>
          <w:rFonts w:hint="eastAsia" w:ascii="Times New Roman" w:hAnsi="Times New Roman"/>
          <w:color w:val="auto"/>
          <w:highlight w:val="none"/>
        </w:rPr>
        <w:t>3.4.1 评审委员会按照得分由高到低的顺序推荐中选候选人。</w:t>
      </w:r>
    </w:p>
    <w:p w14:paraId="0926477A">
      <w:pPr>
        <w:rPr>
          <w:rFonts w:ascii="Times New Roman" w:hAnsi="Times New Roman"/>
          <w:color w:val="auto"/>
          <w:highlight w:val="none"/>
        </w:rPr>
      </w:pPr>
      <w:r>
        <w:rPr>
          <w:rFonts w:hint="eastAsia" w:ascii="Times New Roman" w:hAnsi="Times New Roman"/>
          <w:color w:val="auto"/>
          <w:highlight w:val="none"/>
        </w:rPr>
        <w:t>3.4.2 评审委员会完成评审后，应当向比选人提交书面评审报告。</w:t>
      </w:r>
    </w:p>
    <w:p w14:paraId="7E72CEA3">
      <w:pPr>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509CA14B">
      <w:pPr>
        <w:pStyle w:val="4"/>
        <w:rPr>
          <w:rFonts w:ascii="Times New Roman" w:hAnsi="Times New Roman"/>
          <w:color w:val="auto"/>
          <w:highlight w:val="none"/>
        </w:rPr>
      </w:pPr>
      <w:bookmarkStart w:id="552" w:name="_Toc11648"/>
      <w:bookmarkStart w:id="553" w:name="_Toc12053"/>
      <w:bookmarkStart w:id="554" w:name="_Toc6434"/>
      <w:r>
        <w:rPr>
          <w:rFonts w:hint="eastAsia" w:ascii="Times New Roman" w:hAnsi="Times New Roman"/>
          <w:color w:val="auto"/>
          <w:highlight w:val="none"/>
        </w:rPr>
        <w:t>3.5 对评审委员会成员的纪律要求</w:t>
      </w:r>
      <w:bookmarkEnd w:id="552"/>
      <w:bookmarkEnd w:id="553"/>
      <w:bookmarkEnd w:id="554"/>
    </w:p>
    <w:p w14:paraId="324489DB">
      <w:pPr>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8D16138">
      <w:pPr>
        <w:pStyle w:val="4"/>
        <w:rPr>
          <w:rFonts w:ascii="Times New Roman" w:hAnsi="Times New Roman"/>
          <w:color w:val="auto"/>
          <w:highlight w:val="none"/>
        </w:rPr>
      </w:pPr>
      <w:bookmarkStart w:id="555" w:name="_Toc10206"/>
      <w:bookmarkStart w:id="556" w:name="_Toc3291"/>
      <w:bookmarkStart w:id="557" w:name="_Toc15046"/>
      <w:r>
        <w:rPr>
          <w:rFonts w:hint="eastAsia" w:ascii="Times New Roman" w:hAnsi="Times New Roman"/>
          <w:color w:val="auto"/>
          <w:highlight w:val="none"/>
        </w:rPr>
        <w:t>3.6 对与评审活动有关的工作人员的纪律要求</w:t>
      </w:r>
      <w:bookmarkEnd w:id="555"/>
      <w:bookmarkEnd w:id="556"/>
      <w:bookmarkEnd w:id="557"/>
    </w:p>
    <w:p w14:paraId="2A689001">
      <w:pPr>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98C6E02">
      <w:pPr>
        <w:rPr>
          <w:rFonts w:ascii="Times New Roman" w:hAnsi="Times New Roman"/>
          <w:color w:val="auto"/>
          <w:highlight w:val="none"/>
        </w:rPr>
      </w:pPr>
    </w:p>
    <w:p w14:paraId="14893358">
      <w:pPr>
        <w:rPr>
          <w:rFonts w:ascii="Times New Roman" w:hAnsi="Times New Roman"/>
          <w:color w:val="auto"/>
          <w:highlight w:val="none"/>
        </w:rPr>
      </w:pPr>
      <w:bookmarkStart w:id="558" w:name="_Toc150953074"/>
      <w:bookmarkStart w:id="559" w:name="_Toc89675170"/>
      <w:bookmarkStart w:id="560" w:name="_Toc303066034"/>
      <w:r>
        <w:rPr>
          <w:rFonts w:hint="eastAsia" w:ascii="Times New Roman" w:hAnsi="Times New Roman"/>
          <w:color w:val="auto"/>
          <w:highlight w:val="none"/>
        </w:rPr>
        <w:br w:type="page"/>
      </w:r>
    </w:p>
    <w:p w14:paraId="487F5295">
      <w:pPr>
        <w:pStyle w:val="2"/>
        <w:rPr>
          <w:rFonts w:ascii="Times New Roman" w:hAnsi="Times New Roman"/>
          <w:color w:val="auto"/>
          <w:highlight w:val="none"/>
        </w:rPr>
      </w:pPr>
      <w:bookmarkStart w:id="561" w:name="_Toc13917"/>
      <w:bookmarkStart w:id="562" w:name="_Toc16518"/>
      <w:bookmarkStart w:id="563" w:name="_Toc6341"/>
      <w:bookmarkStart w:id="564" w:name="_Toc15586"/>
      <w:bookmarkStart w:id="565" w:name="_Toc5167"/>
      <w:bookmarkStart w:id="566" w:name="_Toc29726"/>
      <w:r>
        <w:rPr>
          <w:rFonts w:hint="eastAsia" w:ascii="Times New Roman" w:hAnsi="Times New Roman"/>
          <w:color w:val="auto"/>
          <w:highlight w:val="none"/>
        </w:rPr>
        <w:t>第五章 合同</w:t>
      </w:r>
      <w:r>
        <w:rPr>
          <w:rFonts w:ascii="Times New Roman" w:hAnsi="Times New Roman"/>
          <w:color w:val="auto"/>
          <w:highlight w:val="none"/>
        </w:rPr>
        <w:t>模板</w:t>
      </w:r>
      <w:bookmarkEnd w:id="558"/>
      <w:bookmarkEnd w:id="561"/>
      <w:bookmarkEnd w:id="562"/>
      <w:bookmarkEnd w:id="563"/>
      <w:bookmarkEnd w:id="564"/>
      <w:bookmarkEnd w:id="565"/>
      <w:bookmarkEnd w:id="566"/>
    </w:p>
    <w:p w14:paraId="07DBA036">
      <w:pPr>
        <w:ind w:firstLine="0" w:firstLineChars="0"/>
        <w:jc w:val="center"/>
        <w:outlineLvl w:val="1"/>
        <w:rPr>
          <w:rFonts w:ascii="Times New Roman" w:hAnsi="Times New Roman"/>
          <w:color w:val="auto"/>
          <w:highlight w:val="none"/>
        </w:rPr>
      </w:pPr>
      <w:bookmarkStart w:id="567" w:name="_Toc5538"/>
      <w:bookmarkStart w:id="568" w:name="_Toc30595"/>
      <w:bookmarkStart w:id="569" w:name="_Toc6837"/>
      <w:r>
        <w:rPr>
          <w:rFonts w:hint="eastAsia" w:ascii="Times New Roman" w:hAnsi="Times New Roman"/>
          <w:color w:val="auto"/>
          <w:highlight w:val="none"/>
        </w:rPr>
        <w:t>（本章节的合同条款及格式仅供参考，具体以合同签订时为准）</w:t>
      </w:r>
      <w:bookmarkEnd w:id="567"/>
      <w:bookmarkEnd w:id="568"/>
      <w:bookmarkEnd w:id="569"/>
    </w:p>
    <w:p w14:paraId="2747331A">
      <w:pPr>
        <w:ind w:left="0" w:firstLine="0" w:firstLineChars="0"/>
        <w:rPr>
          <w:rFonts w:ascii="Times New Roman" w:hAnsi="Times New Roman"/>
          <w:color w:val="auto"/>
          <w:highlight w:val="none"/>
        </w:rPr>
      </w:pPr>
    </w:p>
    <w:p w14:paraId="0CA63E83">
      <w:pPr>
        <w:spacing w:line="360" w:lineRule="auto"/>
        <w:jc w:val="right"/>
        <w:rPr>
          <w:rStyle w:val="26"/>
          <w:rFonts w:ascii="Times New Roman" w:hAnsi="Times New Roman" w:cs="Times New Roman"/>
          <w:b w:val="0"/>
          <w:color w:val="auto"/>
          <w:sz w:val="28"/>
          <w:szCs w:val="28"/>
          <w:highlight w:val="none"/>
        </w:rPr>
      </w:pPr>
      <w:r>
        <w:rPr>
          <w:rFonts w:ascii="Times New Roman" w:hAnsi="Times New Roman"/>
          <w:color w:val="auto"/>
          <w:highlight w:val="none"/>
        </w:rPr>
        <w:br w:type="page"/>
      </w:r>
      <w:r>
        <w:rPr>
          <w:rStyle w:val="26"/>
          <w:rFonts w:ascii="Times New Roman" w:hAnsi="Times New Roman" w:cs="Times New Roman"/>
          <w:b w:val="0"/>
          <w:color w:val="auto"/>
          <w:sz w:val="28"/>
          <w:szCs w:val="28"/>
          <w:highlight w:val="none"/>
        </w:rPr>
        <w:t>编号：SXYH20220101018___</w:t>
      </w:r>
    </w:p>
    <w:p w14:paraId="34C264B8">
      <w:pPr>
        <w:spacing w:line="360" w:lineRule="auto"/>
        <w:jc w:val="center"/>
        <w:rPr>
          <w:rStyle w:val="26"/>
          <w:rFonts w:ascii="Times New Roman" w:hAnsi="Times New Roman" w:cs="Times New Roman"/>
          <w:color w:val="auto"/>
          <w:szCs w:val="21"/>
          <w:highlight w:val="none"/>
        </w:rPr>
      </w:pPr>
    </w:p>
    <w:p w14:paraId="0446533C">
      <w:pPr>
        <w:spacing w:line="360" w:lineRule="auto"/>
        <w:jc w:val="center"/>
        <w:rPr>
          <w:rStyle w:val="26"/>
          <w:rFonts w:ascii="Times New Roman" w:hAnsi="Times New Roman" w:cs="Times New Roman"/>
          <w:color w:val="auto"/>
          <w:szCs w:val="21"/>
          <w:highlight w:val="none"/>
        </w:rPr>
      </w:pPr>
    </w:p>
    <w:p w14:paraId="23AFAAB5">
      <w:pPr>
        <w:spacing w:line="360" w:lineRule="auto"/>
        <w:jc w:val="center"/>
        <w:rPr>
          <w:rStyle w:val="26"/>
          <w:rFonts w:ascii="Times New Roman" w:hAnsi="Times New Roman" w:cs="Times New Roman"/>
          <w:color w:val="auto"/>
          <w:szCs w:val="21"/>
          <w:highlight w:val="none"/>
        </w:rPr>
      </w:pPr>
    </w:p>
    <w:p w14:paraId="4F66FBE8">
      <w:pPr>
        <w:spacing w:line="360" w:lineRule="auto"/>
        <w:jc w:val="center"/>
        <w:rPr>
          <w:rStyle w:val="26"/>
          <w:rFonts w:ascii="Times New Roman" w:hAnsi="Times New Roman" w:cs="Times New Roman"/>
          <w:color w:val="auto"/>
          <w:szCs w:val="21"/>
          <w:highlight w:val="none"/>
        </w:rPr>
      </w:pPr>
    </w:p>
    <w:p w14:paraId="65868EBA">
      <w:pPr>
        <w:spacing w:line="360" w:lineRule="auto"/>
        <w:ind w:firstLine="0" w:firstLineChars="0"/>
        <w:jc w:val="center"/>
        <w:rPr>
          <w:rStyle w:val="26"/>
          <w:rFonts w:ascii="Times New Roman" w:hAnsi="Times New Roman" w:cs="Times New Roman"/>
          <w:color w:val="auto"/>
          <w:sz w:val="52"/>
          <w:szCs w:val="52"/>
          <w:highlight w:val="none"/>
        </w:rPr>
      </w:pPr>
      <w:r>
        <w:rPr>
          <w:rStyle w:val="26"/>
          <w:rFonts w:ascii="Times New Roman" w:hAnsi="Times New Roman" w:cs="Times New Roman"/>
          <w:color w:val="auto"/>
          <w:sz w:val="52"/>
          <w:szCs w:val="52"/>
          <w:highlight w:val="none"/>
        </w:rPr>
        <w:t>重庆三峡银行</w:t>
      </w:r>
    </w:p>
    <w:p w14:paraId="1FB40174">
      <w:pPr>
        <w:spacing w:line="360" w:lineRule="auto"/>
        <w:ind w:firstLine="0" w:firstLineChars="0"/>
        <w:jc w:val="center"/>
        <w:rPr>
          <w:rStyle w:val="26"/>
          <w:rFonts w:ascii="Times New Roman" w:hAnsi="Times New Roman" w:cs="Times New Roman"/>
          <w:color w:val="auto"/>
          <w:sz w:val="52"/>
          <w:szCs w:val="52"/>
          <w:highlight w:val="none"/>
        </w:rPr>
      </w:pPr>
      <w:r>
        <w:rPr>
          <w:rStyle w:val="26"/>
          <w:rFonts w:ascii="Times New Roman" w:hAnsi="Times New Roman" w:cs="Times New Roman"/>
          <w:color w:val="auto"/>
          <w:sz w:val="52"/>
          <w:szCs w:val="52"/>
          <w:highlight w:val="none"/>
        </w:rPr>
        <w:t>民事案件管理系统建设项目合同</w:t>
      </w:r>
    </w:p>
    <w:p w14:paraId="53551211">
      <w:pPr>
        <w:spacing w:line="360" w:lineRule="auto"/>
        <w:jc w:val="center"/>
        <w:rPr>
          <w:rStyle w:val="26"/>
          <w:rFonts w:ascii="Times New Roman" w:hAnsi="Times New Roman" w:cs="Times New Roman"/>
          <w:color w:val="auto"/>
          <w:szCs w:val="21"/>
          <w:highlight w:val="none"/>
        </w:rPr>
      </w:pPr>
    </w:p>
    <w:p w14:paraId="76E9B281">
      <w:pPr>
        <w:spacing w:line="360" w:lineRule="auto"/>
        <w:jc w:val="center"/>
        <w:rPr>
          <w:rStyle w:val="26"/>
          <w:rFonts w:ascii="Times New Roman" w:hAnsi="Times New Roman" w:cs="Times New Roman"/>
          <w:color w:val="auto"/>
          <w:szCs w:val="21"/>
          <w:highlight w:val="none"/>
        </w:rPr>
      </w:pPr>
    </w:p>
    <w:p w14:paraId="01E413B3">
      <w:pPr>
        <w:spacing w:line="360" w:lineRule="auto"/>
        <w:jc w:val="center"/>
        <w:rPr>
          <w:rFonts w:ascii="Times New Roman" w:hAnsi="Times New Roman" w:cs="Times New Roman"/>
          <w:b/>
          <w:bCs/>
          <w:color w:val="auto"/>
          <w:highlight w:val="none"/>
        </w:rPr>
      </w:pPr>
    </w:p>
    <w:p w14:paraId="4326D907">
      <w:pPr>
        <w:spacing w:line="360" w:lineRule="auto"/>
        <w:jc w:val="center"/>
        <w:rPr>
          <w:rFonts w:ascii="Times New Roman" w:hAnsi="Times New Roman" w:cs="Times New Roman"/>
          <w:b/>
          <w:bCs/>
          <w:color w:val="auto"/>
          <w:highlight w:val="none"/>
        </w:rPr>
      </w:pPr>
    </w:p>
    <w:p w14:paraId="1177FFF4">
      <w:pPr>
        <w:spacing w:line="360" w:lineRule="auto"/>
        <w:jc w:val="center"/>
        <w:rPr>
          <w:rFonts w:ascii="Times New Roman" w:hAnsi="Times New Roman" w:cs="Times New Roman"/>
          <w:b/>
          <w:bCs/>
          <w:color w:val="auto"/>
          <w:highlight w:val="none"/>
        </w:rPr>
      </w:pPr>
    </w:p>
    <w:p w14:paraId="7B5B3D46">
      <w:pPr>
        <w:spacing w:line="360" w:lineRule="auto"/>
        <w:rPr>
          <w:rFonts w:ascii="Times New Roman" w:hAnsi="Times New Roman" w:cs="Times New Roman"/>
          <w:b/>
          <w:bCs/>
          <w:color w:val="auto"/>
          <w:highlight w:val="none"/>
        </w:rPr>
      </w:pPr>
    </w:p>
    <w:p w14:paraId="555F1F9F">
      <w:pPr>
        <w:spacing w:line="360" w:lineRule="auto"/>
        <w:jc w:val="center"/>
        <w:rPr>
          <w:rFonts w:ascii="Times New Roman" w:hAnsi="Times New Roman" w:cs="Times New Roman"/>
          <w:b/>
          <w:bCs/>
          <w:color w:val="auto"/>
          <w:highlight w:val="none"/>
        </w:rPr>
      </w:pPr>
    </w:p>
    <w:p w14:paraId="5B7E91E2">
      <w:pPr>
        <w:spacing w:line="360" w:lineRule="auto"/>
        <w:jc w:val="center"/>
        <w:rPr>
          <w:rFonts w:ascii="Times New Roman" w:hAnsi="Times New Roman" w:cs="Times New Roman"/>
          <w:b/>
          <w:bCs/>
          <w:color w:val="auto"/>
          <w:highlight w:val="none"/>
        </w:rPr>
      </w:pPr>
    </w:p>
    <w:p w14:paraId="60B8CD33">
      <w:pPr>
        <w:spacing w:line="360" w:lineRule="auto"/>
        <w:jc w:val="center"/>
        <w:rPr>
          <w:rFonts w:ascii="Times New Roman" w:hAnsi="Times New Roman" w:cs="Times New Roman"/>
          <w:b/>
          <w:bCs/>
          <w:color w:val="auto"/>
          <w:highlight w:val="none"/>
        </w:rPr>
      </w:pPr>
    </w:p>
    <w:p w14:paraId="743AC34C">
      <w:pPr>
        <w:autoSpaceDE/>
        <w:autoSpaceDN/>
        <w:spacing w:line="360" w:lineRule="auto"/>
        <w:ind w:left="0" w:firstLine="0" w:firstLineChars="0"/>
        <w:jc w:val="left"/>
        <w:rPr>
          <w:rFonts w:ascii="Times New Roman" w:hAnsi="Times New Roman" w:cs="Times New Roman"/>
          <w:b/>
          <w:bCs/>
          <w:color w:val="auto"/>
          <w:sz w:val="28"/>
          <w:highlight w:val="none"/>
        </w:rPr>
      </w:pPr>
      <w:r>
        <w:rPr>
          <w:rFonts w:ascii="Times New Roman" w:hAnsi="Times New Roman" w:cs="Times New Roman"/>
          <w:b/>
          <w:bCs/>
          <w:color w:val="auto"/>
          <w:sz w:val="28"/>
          <w:highlight w:val="none"/>
        </w:rPr>
        <w:t>委托方（甲方）：重庆三峡银行股份有限公司</w:t>
      </w:r>
    </w:p>
    <w:p w14:paraId="22DAA1AC">
      <w:pPr>
        <w:tabs>
          <w:tab w:val="right" w:pos="8312"/>
        </w:tabs>
        <w:autoSpaceDE/>
        <w:autoSpaceDN/>
        <w:spacing w:line="360" w:lineRule="auto"/>
        <w:ind w:left="0" w:firstLine="0" w:firstLineChars="0"/>
        <w:jc w:val="left"/>
        <w:rPr>
          <w:rFonts w:ascii="Times New Roman" w:hAnsi="Times New Roman" w:cs="Times New Roman"/>
          <w:b/>
          <w:bCs/>
          <w:color w:val="auto"/>
          <w:sz w:val="28"/>
          <w:highlight w:val="none"/>
        </w:rPr>
      </w:pPr>
      <w:r>
        <w:rPr>
          <w:rFonts w:ascii="Times New Roman" w:hAnsi="Times New Roman" w:cs="Times New Roman"/>
          <w:b/>
          <w:bCs/>
          <w:color w:val="auto"/>
          <w:sz w:val="28"/>
          <w:highlight w:val="none"/>
        </w:rPr>
        <w:t>受托方（乙方）：</w:t>
      </w:r>
      <w:r>
        <w:rPr>
          <w:rFonts w:ascii="Times New Roman" w:hAnsi="Times New Roman" w:cs="Times New Roman"/>
          <w:b/>
          <w:bCs/>
          <w:color w:val="auto"/>
          <w:sz w:val="28"/>
          <w:highlight w:val="none"/>
        </w:rPr>
        <w:tab/>
      </w:r>
    </w:p>
    <w:p w14:paraId="41098936">
      <w:pPr>
        <w:autoSpaceDE/>
        <w:autoSpaceDN/>
        <w:spacing w:line="360" w:lineRule="auto"/>
        <w:ind w:left="0" w:firstLine="0" w:firstLineChars="0"/>
        <w:jc w:val="left"/>
        <w:rPr>
          <w:rFonts w:ascii="Times New Roman" w:hAnsi="Times New Roman" w:cs="Times New Roman"/>
          <w:b/>
          <w:color w:val="auto"/>
          <w:highlight w:val="none"/>
        </w:rPr>
      </w:pPr>
      <w:r>
        <w:rPr>
          <w:rFonts w:ascii="Times New Roman" w:hAnsi="Times New Roman" w:cs="Times New Roman"/>
          <w:b/>
          <w:bCs/>
          <w:color w:val="auto"/>
          <w:sz w:val="28"/>
          <w:highlight w:val="none"/>
        </w:rPr>
        <w:t>签订地点</w:t>
      </w:r>
      <w:r>
        <w:rPr>
          <w:rFonts w:ascii="Times New Roman" w:hAnsi="Times New Roman" w:cs="Times New Roman"/>
          <w:b/>
          <w:color w:val="auto"/>
          <w:sz w:val="28"/>
          <w:highlight w:val="none"/>
        </w:rPr>
        <w:t>：重庆</w:t>
      </w:r>
    </w:p>
    <w:p w14:paraId="4D62DBB1">
      <w:pPr>
        <w:spacing w:line="360" w:lineRule="auto"/>
        <w:rPr>
          <w:rFonts w:ascii="Times New Roman" w:hAnsi="Times New Roman" w:cs="Times New Roman"/>
          <w:b/>
          <w:color w:val="auto"/>
          <w:sz w:val="32"/>
          <w:highlight w:val="none"/>
        </w:rPr>
      </w:pPr>
    </w:p>
    <w:p w14:paraId="52B0B103">
      <w:pPr>
        <w:spacing w:line="360" w:lineRule="auto"/>
        <w:jc w:val="center"/>
        <w:rPr>
          <w:rFonts w:ascii="Times New Roman" w:hAnsi="Times New Roman" w:cs="Times New Roman"/>
          <w:b/>
          <w:color w:val="auto"/>
          <w:sz w:val="32"/>
          <w:szCs w:val="32"/>
          <w:highlight w:val="none"/>
        </w:rPr>
      </w:pPr>
      <w:r>
        <w:rPr>
          <w:rFonts w:ascii="Times New Roman" w:hAnsi="Times New Roman" w:cs="Times New Roman"/>
          <w:color w:val="auto"/>
          <w:highlight w:val="none"/>
        </w:rPr>
        <w:br w:type="page"/>
      </w:r>
      <w:r>
        <w:rPr>
          <w:rFonts w:ascii="Times New Roman" w:hAnsi="Times New Roman" w:cs="Times New Roman"/>
          <w:b/>
          <w:color w:val="auto"/>
          <w:sz w:val="32"/>
          <w:szCs w:val="32"/>
          <w:highlight w:val="none"/>
        </w:rPr>
        <w:t>目录</w:t>
      </w:r>
    </w:p>
    <w:p w14:paraId="5E97EA63">
      <w:pPr>
        <w:pStyle w:val="19"/>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TOC \o "1-3" \n \h \z \u </w:instrText>
      </w:r>
      <w:r>
        <w:rPr>
          <w:rFonts w:ascii="Times New Roman" w:hAnsi="Times New Roman" w:cs="Times New Roman"/>
          <w:color w:val="auto"/>
          <w:highlight w:val="none"/>
        </w:rPr>
        <w:fldChar w:fldCharType="separate"/>
      </w:r>
    </w:p>
    <w:p w14:paraId="5FB767BA">
      <w:pPr>
        <w:pStyle w:val="22"/>
        <w:tabs>
          <w:tab w:val="right" w:leader="dot" w:pos="8306"/>
        </w:tabs>
        <w:rPr>
          <w:rFonts w:hint="eastAsia"/>
          <w:color w:val="auto"/>
          <w:highlight w:val="none"/>
        </w:rPr>
      </w:pPr>
      <w:r>
        <w:rPr>
          <w:rFonts w:hint="eastAsia"/>
          <w:color w:val="auto"/>
          <w:highlight w:val="none"/>
        </w:rPr>
        <w:t>第一条 定义</w:t>
      </w:r>
    </w:p>
    <w:p w14:paraId="02004E30">
      <w:pPr>
        <w:pStyle w:val="22"/>
        <w:tabs>
          <w:tab w:val="right" w:leader="dot" w:pos="8306"/>
        </w:tabs>
        <w:rPr>
          <w:rFonts w:hint="eastAsia"/>
          <w:color w:val="auto"/>
          <w:highlight w:val="none"/>
        </w:rPr>
      </w:pPr>
      <w:r>
        <w:rPr>
          <w:rFonts w:hint="eastAsia"/>
          <w:color w:val="auto"/>
          <w:highlight w:val="none"/>
        </w:rPr>
        <w:t>第二条 项目名称、内容及要求</w:t>
      </w:r>
    </w:p>
    <w:p w14:paraId="03CF705D">
      <w:pPr>
        <w:pStyle w:val="22"/>
        <w:tabs>
          <w:tab w:val="right" w:leader="dot" w:pos="8306"/>
        </w:tabs>
        <w:rPr>
          <w:rFonts w:hint="eastAsia"/>
          <w:color w:val="auto"/>
          <w:highlight w:val="none"/>
        </w:rPr>
      </w:pPr>
      <w:r>
        <w:rPr>
          <w:rFonts w:hint="eastAsia"/>
          <w:color w:val="auto"/>
          <w:highlight w:val="none"/>
        </w:rPr>
        <w:t>第三条 项目履行的进度、期限、地点、地域、方式</w:t>
      </w:r>
    </w:p>
    <w:p w14:paraId="7F2551C2">
      <w:pPr>
        <w:pStyle w:val="22"/>
        <w:tabs>
          <w:tab w:val="right" w:leader="dot" w:pos="8306"/>
        </w:tabs>
        <w:rPr>
          <w:rFonts w:hint="eastAsia"/>
          <w:color w:val="auto"/>
          <w:highlight w:val="none"/>
        </w:rPr>
      </w:pPr>
      <w:r>
        <w:rPr>
          <w:rFonts w:hint="eastAsia"/>
          <w:color w:val="auto"/>
          <w:highlight w:val="none"/>
        </w:rPr>
        <w:t>第四条 方案调整</w:t>
      </w:r>
    </w:p>
    <w:p w14:paraId="6EFF37C6">
      <w:pPr>
        <w:pStyle w:val="22"/>
        <w:tabs>
          <w:tab w:val="right" w:leader="dot" w:pos="8306"/>
        </w:tabs>
        <w:rPr>
          <w:rFonts w:hint="eastAsia"/>
          <w:color w:val="auto"/>
          <w:highlight w:val="none"/>
        </w:rPr>
      </w:pPr>
      <w:r>
        <w:rPr>
          <w:rFonts w:hint="eastAsia"/>
          <w:color w:val="auto"/>
          <w:highlight w:val="none"/>
        </w:rPr>
        <w:t>第五条 验收</w:t>
      </w:r>
    </w:p>
    <w:p w14:paraId="6FE70100">
      <w:pPr>
        <w:pStyle w:val="22"/>
        <w:tabs>
          <w:tab w:val="right" w:leader="dot" w:pos="8306"/>
        </w:tabs>
        <w:rPr>
          <w:rFonts w:hint="eastAsia"/>
          <w:color w:val="auto"/>
          <w:highlight w:val="none"/>
        </w:rPr>
      </w:pPr>
      <w:r>
        <w:rPr>
          <w:rFonts w:hint="eastAsia"/>
          <w:color w:val="auto"/>
          <w:highlight w:val="none"/>
        </w:rPr>
        <w:t>第六条 交付使用后维护期、系统完善和保修维护服务</w:t>
      </w:r>
    </w:p>
    <w:p w14:paraId="2151C911">
      <w:pPr>
        <w:pStyle w:val="22"/>
        <w:tabs>
          <w:tab w:val="right" w:leader="dot" w:pos="8306"/>
        </w:tabs>
        <w:rPr>
          <w:rFonts w:hint="eastAsia"/>
          <w:color w:val="auto"/>
          <w:highlight w:val="none"/>
        </w:rPr>
      </w:pPr>
      <w:r>
        <w:rPr>
          <w:rFonts w:hint="eastAsia"/>
          <w:color w:val="auto"/>
          <w:highlight w:val="none"/>
        </w:rPr>
        <w:t>第七条 技术辅导与培训</w:t>
      </w:r>
    </w:p>
    <w:p w14:paraId="62A99A7F">
      <w:pPr>
        <w:pStyle w:val="22"/>
        <w:tabs>
          <w:tab w:val="right" w:leader="dot" w:pos="8306"/>
        </w:tabs>
        <w:rPr>
          <w:rFonts w:hint="eastAsia"/>
          <w:color w:val="auto"/>
          <w:highlight w:val="none"/>
        </w:rPr>
      </w:pPr>
      <w:r>
        <w:rPr>
          <w:rFonts w:hint="eastAsia"/>
          <w:color w:val="auto"/>
          <w:highlight w:val="none"/>
        </w:rPr>
        <w:t>第八条 双方的权利、义务</w:t>
      </w:r>
    </w:p>
    <w:p w14:paraId="7AD9D927">
      <w:pPr>
        <w:pStyle w:val="22"/>
        <w:tabs>
          <w:tab w:val="right" w:leader="dot" w:pos="8306"/>
        </w:tabs>
        <w:rPr>
          <w:rFonts w:hint="eastAsia"/>
          <w:color w:val="auto"/>
          <w:highlight w:val="none"/>
        </w:rPr>
      </w:pPr>
      <w:r>
        <w:rPr>
          <w:rFonts w:hint="eastAsia"/>
          <w:color w:val="auto"/>
          <w:highlight w:val="none"/>
        </w:rPr>
        <w:t>第九条 乙方的声明与保证</w:t>
      </w:r>
    </w:p>
    <w:p w14:paraId="5D322C8D">
      <w:pPr>
        <w:pStyle w:val="22"/>
        <w:tabs>
          <w:tab w:val="right" w:leader="dot" w:pos="8306"/>
        </w:tabs>
        <w:rPr>
          <w:rFonts w:hint="eastAsia"/>
          <w:color w:val="auto"/>
          <w:highlight w:val="none"/>
        </w:rPr>
      </w:pPr>
      <w:r>
        <w:rPr>
          <w:rFonts w:hint="eastAsia"/>
          <w:color w:val="auto"/>
          <w:highlight w:val="none"/>
        </w:rPr>
        <w:t>第十条 知识产权</w:t>
      </w:r>
    </w:p>
    <w:p w14:paraId="65201B2B">
      <w:pPr>
        <w:pStyle w:val="22"/>
        <w:tabs>
          <w:tab w:val="right" w:leader="dot" w:pos="8306"/>
        </w:tabs>
        <w:rPr>
          <w:rFonts w:hint="eastAsia"/>
          <w:color w:val="auto"/>
          <w:highlight w:val="none"/>
        </w:rPr>
      </w:pPr>
      <w:r>
        <w:rPr>
          <w:rFonts w:hint="eastAsia"/>
          <w:color w:val="auto"/>
          <w:highlight w:val="none"/>
        </w:rPr>
        <w:t>第十一条 第三方索赔</w:t>
      </w:r>
    </w:p>
    <w:p w14:paraId="24677ED1">
      <w:pPr>
        <w:pStyle w:val="22"/>
        <w:tabs>
          <w:tab w:val="right" w:leader="dot" w:pos="8306"/>
        </w:tabs>
        <w:rPr>
          <w:rFonts w:hint="eastAsia"/>
          <w:color w:val="auto"/>
          <w:highlight w:val="none"/>
        </w:rPr>
      </w:pPr>
      <w:r>
        <w:rPr>
          <w:rFonts w:hint="eastAsia"/>
          <w:color w:val="auto"/>
          <w:highlight w:val="none"/>
        </w:rPr>
        <w:t>第十二条 保密</w:t>
      </w:r>
    </w:p>
    <w:p w14:paraId="4DE3BDD3">
      <w:pPr>
        <w:pStyle w:val="22"/>
        <w:tabs>
          <w:tab w:val="right" w:leader="dot" w:pos="8306"/>
        </w:tabs>
        <w:rPr>
          <w:rFonts w:hint="eastAsia"/>
          <w:color w:val="auto"/>
          <w:highlight w:val="none"/>
        </w:rPr>
      </w:pPr>
      <w:r>
        <w:rPr>
          <w:rFonts w:hint="eastAsia"/>
          <w:color w:val="auto"/>
          <w:highlight w:val="none"/>
        </w:rPr>
        <w:t>第十三条 价格与支付</w:t>
      </w:r>
    </w:p>
    <w:p w14:paraId="125B1508">
      <w:pPr>
        <w:pStyle w:val="22"/>
        <w:tabs>
          <w:tab w:val="right" w:leader="dot" w:pos="8306"/>
        </w:tabs>
        <w:rPr>
          <w:rFonts w:hint="eastAsia"/>
          <w:color w:val="auto"/>
          <w:highlight w:val="none"/>
        </w:rPr>
      </w:pPr>
      <w:r>
        <w:rPr>
          <w:rFonts w:hint="eastAsia"/>
          <w:color w:val="auto"/>
          <w:highlight w:val="none"/>
        </w:rPr>
        <w:t>第十四条 风险责任的承担</w:t>
      </w:r>
    </w:p>
    <w:p w14:paraId="7E0B0D65">
      <w:pPr>
        <w:pStyle w:val="22"/>
        <w:tabs>
          <w:tab w:val="right" w:leader="dot" w:pos="8306"/>
        </w:tabs>
        <w:rPr>
          <w:rFonts w:hint="eastAsia"/>
          <w:color w:val="auto"/>
          <w:highlight w:val="none"/>
        </w:rPr>
      </w:pPr>
      <w:r>
        <w:rPr>
          <w:rFonts w:hint="eastAsia"/>
          <w:color w:val="auto"/>
          <w:highlight w:val="none"/>
        </w:rPr>
        <w:t>第十五条 违约与赔偿</w:t>
      </w:r>
    </w:p>
    <w:p w14:paraId="468B877A">
      <w:pPr>
        <w:pStyle w:val="22"/>
        <w:tabs>
          <w:tab w:val="right" w:leader="dot" w:pos="8306"/>
        </w:tabs>
        <w:rPr>
          <w:rFonts w:hint="eastAsia"/>
          <w:color w:val="auto"/>
          <w:highlight w:val="none"/>
        </w:rPr>
      </w:pPr>
      <w:r>
        <w:rPr>
          <w:rFonts w:hint="eastAsia"/>
          <w:color w:val="auto"/>
          <w:highlight w:val="none"/>
        </w:rPr>
        <w:t>第十六条 合同的解除</w:t>
      </w:r>
    </w:p>
    <w:p w14:paraId="2114AC48">
      <w:pPr>
        <w:pStyle w:val="22"/>
        <w:tabs>
          <w:tab w:val="right" w:leader="dot" w:pos="8306"/>
        </w:tabs>
        <w:rPr>
          <w:rFonts w:hint="eastAsia"/>
          <w:color w:val="auto"/>
          <w:highlight w:val="none"/>
        </w:rPr>
      </w:pPr>
      <w:r>
        <w:rPr>
          <w:rFonts w:hint="eastAsia"/>
          <w:color w:val="auto"/>
          <w:highlight w:val="none"/>
        </w:rPr>
        <w:t>第十七条 合同变更及转让</w:t>
      </w:r>
    </w:p>
    <w:p w14:paraId="51AC8064">
      <w:pPr>
        <w:pStyle w:val="22"/>
        <w:tabs>
          <w:tab w:val="right" w:leader="dot" w:pos="8306"/>
        </w:tabs>
        <w:rPr>
          <w:rFonts w:hint="eastAsia"/>
          <w:color w:val="auto"/>
          <w:highlight w:val="none"/>
        </w:rPr>
      </w:pPr>
      <w:r>
        <w:rPr>
          <w:rFonts w:hint="eastAsia"/>
          <w:color w:val="auto"/>
          <w:highlight w:val="none"/>
        </w:rPr>
        <w:t>第十八条 争议解决</w:t>
      </w:r>
    </w:p>
    <w:p w14:paraId="350E0F61">
      <w:pPr>
        <w:pStyle w:val="22"/>
        <w:tabs>
          <w:tab w:val="right" w:leader="dot" w:pos="8306"/>
        </w:tabs>
        <w:rPr>
          <w:rFonts w:hint="eastAsia"/>
          <w:color w:val="auto"/>
          <w:highlight w:val="none"/>
        </w:rPr>
      </w:pPr>
      <w:r>
        <w:rPr>
          <w:rFonts w:hint="eastAsia"/>
          <w:color w:val="auto"/>
          <w:highlight w:val="none"/>
        </w:rPr>
        <w:t>第十九条 通知与送达</w:t>
      </w:r>
    </w:p>
    <w:p w14:paraId="49B10C1E">
      <w:pPr>
        <w:pStyle w:val="22"/>
        <w:tabs>
          <w:tab w:val="right" w:leader="dot" w:pos="8306"/>
        </w:tabs>
        <w:rPr>
          <w:rFonts w:hint="eastAsia"/>
          <w:color w:val="auto"/>
          <w:highlight w:val="none"/>
        </w:rPr>
      </w:pPr>
      <w:r>
        <w:rPr>
          <w:rFonts w:hint="eastAsia"/>
          <w:color w:val="auto"/>
          <w:highlight w:val="none"/>
        </w:rPr>
        <w:t>第二十条 合同生效</w:t>
      </w:r>
    </w:p>
    <w:p w14:paraId="28519519">
      <w:pPr>
        <w:pStyle w:val="22"/>
        <w:tabs>
          <w:tab w:val="right" w:leader="dot" w:pos="8306"/>
        </w:tabs>
        <w:rPr>
          <w:rFonts w:hint="eastAsia"/>
          <w:color w:val="auto"/>
          <w:highlight w:val="none"/>
        </w:rPr>
      </w:pPr>
      <w:r>
        <w:rPr>
          <w:rFonts w:hint="eastAsia"/>
          <w:color w:val="auto"/>
          <w:highlight w:val="none"/>
        </w:rPr>
        <w:t>第二十一条 不可抗力</w:t>
      </w:r>
    </w:p>
    <w:p w14:paraId="5712D59B">
      <w:pPr>
        <w:pStyle w:val="22"/>
        <w:tabs>
          <w:tab w:val="right" w:leader="dot" w:pos="8306"/>
        </w:tabs>
        <w:rPr>
          <w:rFonts w:hint="eastAsia"/>
          <w:color w:val="auto"/>
          <w:highlight w:val="none"/>
        </w:rPr>
      </w:pPr>
      <w:r>
        <w:rPr>
          <w:rFonts w:hint="eastAsia"/>
          <w:color w:val="auto"/>
          <w:highlight w:val="none"/>
        </w:rPr>
        <w:t>第二十二条 反商业贿赂</w:t>
      </w:r>
    </w:p>
    <w:p w14:paraId="1EBFD3CE">
      <w:pPr>
        <w:pStyle w:val="22"/>
        <w:tabs>
          <w:tab w:val="right" w:leader="dot" w:pos="8306"/>
        </w:tabs>
        <w:rPr>
          <w:rFonts w:hint="eastAsia"/>
          <w:color w:val="auto"/>
          <w:highlight w:val="none"/>
        </w:rPr>
      </w:pPr>
      <w:r>
        <w:rPr>
          <w:rFonts w:hint="eastAsia"/>
          <w:color w:val="auto"/>
          <w:highlight w:val="none"/>
        </w:rPr>
        <w:t>第二十三条 附件</w:t>
      </w:r>
    </w:p>
    <w:p w14:paraId="746CD044">
      <w:pPr>
        <w:pStyle w:val="22"/>
        <w:tabs>
          <w:tab w:val="right" w:leader="dot" w:pos="8306"/>
        </w:tabs>
        <w:rPr>
          <w:rFonts w:hint="eastAsia"/>
          <w:color w:val="auto"/>
          <w:highlight w:val="none"/>
        </w:rPr>
      </w:pPr>
      <w:r>
        <w:rPr>
          <w:rFonts w:hint="eastAsia"/>
          <w:color w:val="auto"/>
          <w:highlight w:val="none"/>
        </w:rPr>
        <w:t>第二十四条 其他</w:t>
      </w:r>
    </w:p>
    <w:p w14:paraId="1C215D01">
      <w:pPr>
        <w:pStyle w:val="22"/>
        <w:tabs>
          <w:tab w:val="right" w:leader="dot" w:pos="8306"/>
        </w:tabs>
        <w:rPr>
          <w:rFonts w:hint="eastAsia"/>
          <w:color w:val="auto"/>
          <w:highlight w:val="none"/>
        </w:rPr>
      </w:pPr>
      <w:r>
        <w:rPr>
          <w:rFonts w:hint="eastAsia"/>
          <w:color w:val="auto"/>
          <w:highlight w:val="none"/>
        </w:rPr>
        <w:t>附件一：工作（需求）说明书</w:t>
      </w:r>
    </w:p>
    <w:p w14:paraId="749CF42B">
      <w:pPr>
        <w:pStyle w:val="22"/>
        <w:tabs>
          <w:tab w:val="right" w:leader="dot" w:pos="8306"/>
        </w:tabs>
        <w:rPr>
          <w:rFonts w:hint="eastAsia"/>
          <w:color w:val="auto"/>
          <w:highlight w:val="none"/>
        </w:rPr>
      </w:pPr>
      <w:r>
        <w:rPr>
          <w:rFonts w:hint="eastAsia"/>
          <w:color w:val="auto"/>
          <w:highlight w:val="none"/>
        </w:rPr>
        <w:t>附件二：项目人员名单及人员应急退出机制</w:t>
      </w:r>
    </w:p>
    <w:p w14:paraId="13F3044A">
      <w:pPr>
        <w:pStyle w:val="22"/>
        <w:tabs>
          <w:tab w:val="right" w:leader="dot" w:pos="8306"/>
        </w:tabs>
        <w:rPr>
          <w:rFonts w:hint="eastAsia"/>
          <w:color w:val="auto"/>
          <w:highlight w:val="none"/>
        </w:rPr>
      </w:pPr>
      <w:r>
        <w:rPr>
          <w:rFonts w:hint="eastAsia"/>
          <w:color w:val="auto"/>
          <w:highlight w:val="none"/>
        </w:rPr>
        <w:t>附件三：验收标准及流程</w:t>
      </w:r>
    </w:p>
    <w:p w14:paraId="162A9011">
      <w:pPr>
        <w:pStyle w:val="22"/>
        <w:tabs>
          <w:tab w:val="right" w:leader="dot" w:pos="8306"/>
        </w:tabs>
        <w:rPr>
          <w:rFonts w:hint="eastAsia"/>
          <w:color w:val="auto"/>
          <w:highlight w:val="none"/>
        </w:rPr>
      </w:pPr>
      <w:r>
        <w:rPr>
          <w:rFonts w:hint="eastAsia"/>
          <w:color w:val="auto"/>
          <w:highlight w:val="none"/>
        </w:rPr>
        <w:t>附件四：维护服务条款</w:t>
      </w:r>
    </w:p>
    <w:p w14:paraId="56AF8BF3">
      <w:pPr>
        <w:pStyle w:val="22"/>
        <w:tabs>
          <w:tab w:val="right" w:leader="dot" w:pos="8306"/>
        </w:tabs>
        <w:rPr>
          <w:rFonts w:hint="eastAsia"/>
          <w:color w:val="auto"/>
          <w:highlight w:val="none"/>
        </w:rPr>
      </w:pPr>
      <w:r>
        <w:rPr>
          <w:rFonts w:hint="eastAsia"/>
          <w:color w:val="auto"/>
          <w:highlight w:val="none"/>
        </w:rPr>
        <w:t>附件五：服务水平协议（SLA）</w:t>
      </w:r>
    </w:p>
    <w:p w14:paraId="4213FAEC">
      <w:pPr>
        <w:pStyle w:val="22"/>
        <w:tabs>
          <w:tab w:val="right" w:leader="dot" w:pos="8306"/>
        </w:tabs>
        <w:rPr>
          <w:color w:val="auto"/>
          <w:highlight w:val="none"/>
        </w:rPr>
      </w:pPr>
      <w:r>
        <w:rPr>
          <w:rFonts w:hint="eastAsia"/>
          <w:color w:val="auto"/>
          <w:highlight w:val="none"/>
        </w:rPr>
        <w:t>附件六：服务连续性预案</w:t>
      </w:r>
    </w:p>
    <w:p w14:paraId="708AF563">
      <w:pPr>
        <w:pStyle w:val="22"/>
        <w:tabs>
          <w:tab w:val="right" w:leader="dot" w:pos="8306"/>
        </w:tabs>
        <w:rPr>
          <w:color w:val="auto"/>
          <w:highlight w:val="none"/>
        </w:rPr>
      </w:pPr>
    </w:p>
    <w:p w14:paraId="562EB012">
      <w:pPr>
        <w:pStyle w:val="19"/>
        <w:tabs>
          <w:tab w:val="right" w:leader="dot" w:pos="8302"/>
        </w:tabs>
        <w:spacing w:line="350" w:lineRule="auto"/>
        <w:rPr>
          <w:rFonts w:ascii="Times New Roman" w:hAnsi="Times New Roman" w:cs="Times New Roman"/>
          <w:color w:val="auto"/>
          <w:highlight w:val="none"/>
        </w:rPr>
      </w:pPr>
      <w:r>
        <w:rPr>
          <w:rFonts w:ascii="Times New Roman" w:hAnsi="Times New Roman" w:cs="Times New Roman"/>
          <w:color w:val="auto"/>
          <w:highlight w:val="none"/>
        </w:rPr>
        <w:fldChar w:fldCharType="end"/>
      </w:r>
    </w:p>
    <w:p w14:paraId="38A163FD">
      <w:pPr>
        <w:spacing w:line="360" w:lineRule="auto"/>
        <w:rPr>
          <w:rFonts w:ascii="Times New Roman" w:hAnsi="Times New Roman" w:cs="Times New Roman"/>
          <w:color w:val="auto"/>
          <w:highlight w:val="none"/>
        </w:rPr>
      </w:pPr>
    </w:p>
    <w:p w14:paraId="138EE8FE">
      <w:pPr>
        <w:spacing w:line="360" w:lineRule="auto"/>
        <w:rPr>
          <w:rFonts w:hint="eastAsia" w:ascii="宋体" w:hAnsi="宋体" w:eastAsia="宋体" w:cs="宋体"/>
          <w:b/>
          <w:color w:val="auto"/>
          <w:highlight w:val="none"/>
          <w:u w:val="single"/>
        </w:rPr>
      </w:pPr>
      <w:r>
        <w:rPr>
          <w:rFonts w:ascii="Times New Roman" w:hAnsi="Times New Roman" w:cs="Times New Roman"/>
          <w:color w:val="auto"/>
          <w:highlight w:val="none"/>
        </w:rPr>
        <w:br w:type="page"/>
      </w:r>
      <w:r>
        <w:rPr>
          <w:rFonts w:hint="eastAsia" w:ascii="宋体" w:hAnsi="宋体" w:eastAsia="宋体" w:cs="宋体"/>
          <w:b/>
          <w:color w:val="auto"/>
          <w:highlight w:val="none"/>
        </w:rPr>
        <w:t>委托方: 重庆三峡银行股份有限公司（以下简称“甲方”）</w:t>
      </w:r>
    </w:p>
    <w:p w14:paraId="3A0F472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法定代表人：刘江桥</w:t>
      </w:r>
    </w:p>
    <w:p w14:paraId="012B600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地址：重庆市渝北区嘉州路88号中渝国际都会4号写字楼</w:t>
      </w:r>
    </w:p>
    <w:p w14:paraId="62F0DB3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p>
    <w:p w14:paraId="01F59A0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59EF821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电话：</w:t>
      </w:r>
    </w:p>
    <w:p w14:paraId="4A83839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电子邮箱：</w:t>
      </w:r>
    </w:p>
    <w:p w14:paraId="7FE83A60">
      <w:pPr>
        <w:spacing w:line="360" w:lineRule="auto"/>
        <w:rPr>
          <w:rFonts w:hint="eastAsia" w:ascii="宋体" w:hAnsi="宋体" w:eastAsia="宋体" w:cs="宋体"/>
          <w:color w:val="auto"/>
          <w:highlight w:val="none"/>
        </w:rPr>
      </w:pPr>
    </w:p>
    <w:p w14:paraId="01B7861E">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受托方：XXXXXXXXXXXXX（以下简称“乙方”）</w:t>
      </w:r>
    </w:p>
    <w:p w14:paraId="5AD953A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p>
    <w:p w14:paraId="03111F0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w:t>
      </w:r>
    </w:p>
    <w:p w14:paraId="574172E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p>
    <w:p w14:paraId="114017B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74908B5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账号：</w:t>
      </w:r>
    </w:p>
    <w:p w14:paraId="0026BBA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税号：</w:t>
      </w:r>
    </w:p>
    <w:p w14:paraId="56A7BEE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75ED0E6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电话：</w:t>
      </w:r>
    </w:p>
    <w:p w14:paraId="1780CA5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手机：</w:t>
      </w:r>
    </w:p>
    <w:p w14:paraId="3F19543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传真：</w:t>
      </w:r>
    </w:p>
    <w:p w14:paraId="2C1B0ED1">
      <w:pPr>
        <w:spacing w:line="360" w:lineRule="auto"/>
        <w:rPr>
          <w:rFonts w:hint="eastAsia" w:ascii="宋体" w:hAnsi="宋体" w:eastAsia="宋体" w:cs="宋体"/>
          <w:color w:val="auto"/>
          <w:highlight w:val="none"/>
          <w:lang w:val="en-GB"/>
        </w:rPr>
      </w:pPr>
      <w:r>
        <w:rPr>
          <w:rFonts w:hint="eastAsia" w:ascii="宋体" w:hAnsi="宋体" w:eastAsia="宋体" w:cs="宋体"/>
          <w:color w:val="auto"/>
          <w:highlight w:val="none"/>
        </w:rPr>
        <w:t>电子邮箱：</w:t>
      </w:r>
    </w:p>
    <w:p w14:paraId="6A3363E9">
      <w:pPr>
        <w:ind w:left="0"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14DE89A0">
      <w:pPr>
        <w:pStyle w:val="2"/>
        <w:outlineLvl w:val="9"/>
        <w:rPr>
          <w:rFonts w:hint="eastAsia" w:ascii="宋体" w:hAnsi="宋体" w:eastAsia="宋体" w:cs="宋体"/>
          <w:color w:val="auto"/>
          <w:sz w:val="21"/>
          <w:szCs w:val="21"/>
          <w:highlight w:val="none"/>
        </w:rPr>
      </w:pPr>
      <w:bookmarkStart w:id="570" w:name="_Toc7021"/>
    </w:p>
    <w:p w14:paraId="7A52389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鉴于：</w:t>
      </w:r>
    </w:p>
    <w:p w14:paraId="0554F4D4">
      <w:pPr>
        <w:spacing w:line="360" w:lineRule="auto"/>
        <w:rPr>
          <w:rFonts w:hint="eastAsia" w:ascii="宋体" w:hAnsi="宋体" w:eastAsia="宋体" w:cs="宋体"/>
          <w:color w:val="auto"/>
          <w:sz w:val="21"/>
          <w:szCs w:val="21"/>
          <w:highlight w:val="none"/>
        </w:rPr>
      </w:pPr>
      <w:r>
        <w:rPr>
          <w:rStyle w:val="40"/>
          <w:rFonts w:hint="eastAsia" w:ascii="宋体" w:hAnsi="宋体" w:eastAsia="宋体" w:cs="宋体"/>
          <w:color w:val="auto"/>
          <w:kern w:val="0"/>
          <w:sz w:val="21"/>
          <w:szCs w:val="21"/>
          <w:highlight w:val="none"/>
        </w:rPr>
        <w:t>乙方具有良好的开发实施能力，甲乙双方经友好协商并达成一致，依据相关法律、法规的规定，就甲方委托乙方进行项目实施与技术支持，向乙方订购</w:t>
      </w:r>
      <w:r>
        <w:rPr>
          <w:rFonts w:hint="eastAsia" w:ascii="宋体" w:hAnsi="宋体" w:cs="宋体"/>
          <w:color w:val="auto"/>
          <w:sz w:val="21"/>
          <w:szCs w:val="21"/>
          <w:highlight w:val="none"/>
          <w:u w:val="single"/>
          <w:lang w:val="en-US" w:eastAsia="zh-CN"/>
        </w:rPr>
        <w:t xml:space="preserve"> 民事案件管理系统产品 </w:t>
      </w:r>
      <w:r>
        <w:rPr>
          <w:rStyle w:val="40"/>
          <w:rFonts w:hint="eastAsia" w:ascii="宋体" w:hAnsi="宋体" w:eastAsia="宋体" w:cs="宋体"/>
          <w:color w:val="auto"/>
          <w:kern w:val="0"/>
          <w:sz w:val="21"/>
          <w:szCs w:val="21"/>
          <w:highlight w:val="none"/>
        </w:rPr>
        <w:t>（含定制化开发）的相关事宜订立本合同，</w:t>
      </w:r>
      <w:r>
        <w:rPr>
          <w:rFonts w:hint="eastAsia" w:ascii="宋体" w:hAnsi="宋体" w:eastAsia="宋体" w:cs="宋体"/>
          <w:color w:val="auto"/>
          <w:sz w:val="21"/>
          <w:szCs w:val="21"/>
          <w:highlight w:val="none"/>
        </w:rPr>
        <w:t>以资信守：</w:t>
      </w:r>
    </w:p>
    <w:p w14:paraId="72D130F5">
      <w:pPr>
        <w:pStyle w:val="3"/>
        <w:rPr>
          <w:rFonts w:hint="eastAsia" w:ascii="宋体" w:hAnsi="宋体" w:eastAsia="宋体" w:cs="宋体"/>
          <w:color w:val="auto"/>
          <w:sz w:val="21"/>
          <w:szCs w:val="21"/>
          <w:highlight w:val="none"/>
        </w:rPr>
      </w:pPr>
      <w:bookmarkStart w:id="571" w:name="_Toc29124"/>
      <w:bookmarkStart w:id="572" w:name="_Toc84948025"/>
      <w:bookmarkStart w:id="573" w:name="_Toc20037"/>
      <w:bookmarkStart w:id="574" w:name="_Toc17203"/>
      <w:bookmarkStart w:id="575" w:name="_Toc28407"/>
      <w:r>
        <w:rPr>
          <w:rFonts w:hint="eastAsia" w:ascii="宋体" w:hAnsi="宋体" w:eastAsia="宋体" w:cs="宋体"/>
          <w:color w:val="auto"/>
          <w:sz w:val="21"/>
          <w:szCs w:val="21"/>
          <w:highlight w:val="none"/>
        </w:rPr>
        <w:t>第一条定义</w:t>
      </w:r>
      <w:bookmarkEnd w:id="571"/>
      <w:bookmarkEnd w:id="572"/>
      <w:bookmarkEnd w:id="573"/>
      <w:bookmarkEnd w:id="574"/>
      <w:bookmarkEnd w:id="575"/>
    </w:p>
    <w:p w14:paraId="3E191C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在本合同中，除非有相反的表述，下列术语具有如下含义：</w:t>
      </w:r>
    </w:p>
    <w:p w14:paraId="1F1209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1.1“项目”系指乙方受甲方委托，单独为本合同目的依据合同附件一《工作（需求）说明书》的产品实施与数据迁移服务。</w:t>
      </w:r>
    </w:p>
    <w:p w14:paraId="6DE8C3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1.2“客户化工作”指项目交付乙方后乙方对甲方的需求进行开发实施。</w:t>
      </w:r>
    </w:p>
    <w:p w14:paraId="48296F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1.3“产品实施数据迁移”指乙方产品的安装配置和业务数据迁移服务。</w:t>
      </w:r>
    </w:p>
    <w:p w14:paraId="46D696F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cs="宋体"/>
          <w:color w:val="auto"/>
          <w:sz w:val="21"/>
          <w:szCs w:val="21"/>
          <w:highlight w:val="none"/>
          <w:lang w:val="en-US" w:eastAsia="zh-CN"/>
        </w:rPr>
        <w:t>民事案件管理</w:t>
      </w:r>
      <w:r>
        <w:rPr>
          <w:rFonts w:hint="eastAsia" w:ascii="宋体" w:hAnsi="宋体" w:eastAsia="宋体" w:cs="宋体"/>
          <w:color w:val="auto"/>
          <w:sz w:val="21"/>
          <w:szCs w:val="21"/>
          <w:highlight w:val="none"/>
          <w:lang w:val="en-GB"/>
        </w:rPr>
        <w:t>系统</w:t>
      </w:r>
      <w:r>
        <w:rPr>
          <w:rFonts w:hint="eastAsia" w:ascii="宋体" w:hAnsi="宋体" w:eastAsia="宋体" w:cs="宋体"/>
          <w:color w:val="auto"/>
          <w:sz w:val="21"/>
          <w:szCs w:val="21"/>
          <w:highlight w:val="none"/>
        </w:rPr>
        <w:t>业务”指乙方提供给甲方的附件一中所涵盖的业务功能。</w:t>
      </w:r>
    </w:p>
    <w:p w14:paraId="024B1979">
      <w:pPr>
        <w:spacing w:line="360" w:lineRule="auto"/>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1.5“缺陷逃逸率”：后一测试阶段测试期间发现的缺陷个数/（当前测试期间所发现的缺陷个数+后一测试期间发现的缺陷个数）。</w:t>
      </w:r>
    </w:p>
    <w:p w14:paraId="280FAE53">
      <w:pPr>
        <w:spacing w:line="360" w:lineRule="auto"/>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1.6“试运行”：项目上线后进入试运行阶段，项目试运行至少3个月。在试运行期间，甲方随时将发现的逃逸的缺陷通知乙方，乙方在最快的时间内予以响应。</w:t>
      </w:r>
    </w:p>
    <w:p w14:paraId="0147495B">
      <w:pPr>
        <w:spacing w:line="360" w:lineRule="auto"/>
        <w:ind w:left="-2" w:leftChars="-1"/>
        <w:outlineLvl w:val="2"/>
        <w:rPr>
          <w:rFonts w:hint="eastAsia" w:ascii="宋体" w:hAnsi="宋体" w:eastAsia="宋体" w:cs="宋体"/>
          <w:color w:val="auto"/>
          <w:sz w:val="21"/>
          <w:szCs w:val="21"/>
          <w:highlight w:val="none"/>
        </w:rPr>
      </w:pPr>
      <w:bookmarkStart w:id="576" w:name="_Toc32135"/>
      <w:bookmarkStart w:id="577" w:name="_Toc31958"/>
      <w:bookmarkStart w:id="578" w:name="_Toc17073"/>
      <w:r>
        <w:rPr>
          <w:rFonts w:hint="eastAsia" w:ascii="宋体" w:hAnsi="宋体" w:eastAsia="宋体" w:cs="宋体"/>
          <w:color w:val="auto"/>
          <w:sz w:val="21"/>
          <w:szCs w:val="21"/>
          <w:highlight w:val="none"/>
        </w:rPr>
        <w:t>1.7“响应时间”：指乙方就甲方提出的问题予以答复的时间。</w:t>
      </w:r>
      <w:bookmarkEnd w:id="576"/>
      <w:bookmarkEnd w:id="577"/>
      <w:bookmarkEnd w:id="578"/>
    </w:p>
    <w:p w14:paraId="5FEA0A3C">
      <w:pPr>
        <w:spacing w:line="360" w:lineRule="auto"/>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个小时(含)以上的事件；（3）业务服务时段以外，重要信息系统出现的故障或事件救治未果，可能产生上述1至2类的事件。</w:t>
      </w:r>
    </w:p>
    <w:p w14:paraId="10970E12">
      <w:pPr>
        <w:spacing w:line="360" w:lineRule="auto"/>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重大运营中断事件（II级）”：（1）由于重要信息系统服务中断或重要数据损毁、丢失、泄露，对银行或客户利益造成严重损害的事件；（2）由于重要信息系统服务异常，在业务服务时段导致甲方业务无法正常开展达</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个小时(含)以上的事件；（3）业务服务时段以外，重要信息系统出现的故障或事件救治未果，可能产生上述1至2类的事件。</w:t>
      </w:r>
    </w:p>
    <w:p w14:paraId="3FFEA4FA">
      <w:pPr>
        <w:spacing w:line="360" w:lineRule="auto"/>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“较大运营中断事件（III级）”：（1）由于重要信息系统服务中断或重要数据损毁、丢失、泄露，对银行或客户利益造成较大损害的事件；（2）由于重要信息系统服务异常，在业务服务时段导致</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业务无法正常开展达半个小时（含）以上的事件；（3）业务服务时段以外，重要信息系统出现的故障或事件救治未果，可能产生上述1至2类的事件。</w:t>
      </w:r>
    </w:p>
    <w:p w14:paraId="6666C7AD">
      <w:pPr>
        <w:spacing w:line="360" w:lineRule="auto"/>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561B9500">
      <w:pPr>
        <w:spacing w:line="360" w:lineRule="auto"/>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41912C8F">
      <w:pPr>
        <w:spacing w:line="360" w:lineRule="auto"/>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335ED345">
      <w:pPr>
        <w:spacing w:line="360" w:lineRule="auto"/>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017D562A">
      <w:pPr>
        <w:spacing w:line="360" w:lineRule="auto"/>
        <w:ind w:left="-2" w:leftChars="-1"/>
        <w:outlineLvl w:val="2"/>
        <w:rPr>
          <w:rFonts w:hint="eastAsia" w:ascii="宋体" w:hAnsi="宋体" w:eastAsia="宋体" w:cs="宋体"/>
          <w:color w:val="auto"/>
          <w:sz w:val="21"/>
          <w:szCs w:val="21"/>
          <w:highlight w:val="none"/>
        </w:rPr>
      </w:pPr>
      <w:bookmarkStart w:id="579" w:name="_Toc18674"/>
      <w:bookmarkStart w:id="580" w:name="_Toc8729"/>
      <w:bookmarkStart w:id="581" w:name="_Toc31081"/>
      <w:r>
        <w:rPr>
          <w:rFonts w:hint="eastAsia" w:ascii="宋体" w:hAnsi="宋体" w:eastAsia="宋体" w:cs="宋体"/>
          <w:color w:val="auto"/>
          <w:sz w:val="21"/>
          <w:szCs w:val="21"/>
          <w:highlight w:val="none"/>
        </w:rPr>
        <w:t>1.15“重大缺陷”：指严重缺陷和致命缺陷。</w:t>
      </w:r>
      <w:bookmarkEnd w:id="579"/>
      <w:bookmarkEnd w:id="580"/>
      <w:bookmarkEnd w:id="581"/>
    </w:p>
    <w:p w14:paraId="022EF377">
      <w:pPr>
        <w:spacing w:line="360" w:lineRule="auto"/>
        <w:ind w:left="-2" w:leftChars="-1"/>
        <w:rPr>
          <w:rFonts w:hint="eastAsia" w:ascii="宋体" w:hAnsi="宋体" w:eastAsia="宋体" w:cs="宋体"/>
          <w:color w:val="auto"/>
          <w:sz w:val="21"/>
          <w:szCs w:val="21"/>
          <w:highlight w:val="none"/>
        </w:rPr>
      </w:pPr>
    </w:p>
    <w:p w14:paraId="4585BBA1">
      <w:pPr>
        <w:spacing w:line="360" w:lineRule="auto"/>
        <w:ind w:firstLine="413" w:firstLineChars="196"/>
        <w:outlineLvl w:val="1"/>
        <w:rPr>
          <w:rFonts w:hint="eastAsia" w:ascii="宋体" w:hAnsi="宋体" w:eastAsia="宋体" w:cs="宋体"/>
          <w:b/>
          <w:color w:val="auto"/>
          <w:spacing w:val="0"/>
          <w:sz w:val="21"/>
          <w:szCs w:val="21"/>
          <w:highlight w:val="none"/>
        </w:rPr>
      </w:pPr>
      <w:bookmarkStart w:id="582" w:name="_Toc63757458"/>
      <w:bookmarkStart w:id="583" w:name="_Toc30340"/>
      <w:bookmarkStart w:id="584" w:name="_Toc6417"/>
      <w:bookmarkStart w:id="585" w:name="_Toc30158"/>
      <w:r>
        <w:rPr>
          <w:rFonts w:hint="eastAsia" w:ascii="宋体" w:hAnsi="宋体" w:eastAsia="宋体" w:cs="宋体"/>
          <w:b/>
          <w:color w:val="auto"/>
          <w:spacing w:val="0"/>
          <w:sz w:val="21"/>
          <w:szCs w:val="21"/>
          <w:highlight w:val="none"/>
        </w:rPr>
        <w:t xml:space="preserve">第二条  </w:t>
      </w:r>
      <w:bookmarkStart w:id="586" w:name="_Toc58337493"/>
      <w:r>
        <w:rPr>
          <w:rFonts w:hint="eastAsia" w:ascii="宋体" w:hAnsi="宋体" w:eastAsia="宋体" w:cs="宋体"/>
          <w:b/>
          <w:color w:val="auto"/>
          <w:spacing w:val="0"/>
          <w:sz w:val="21"/>
          <w:szCs w:val="21"/>
          <w:highlight w:val="none"/>
        </w:rPr>
        <w:t>外包开发内容</w:t>
      </w:r>
      <w:bookmarkEnd w:id="582"/>
      <w:bookmarkEnd w:id="583"/>
      <w:bookmarkEnd w:id="584"/>
      <w:bookmarkEnd w:id="585"/>
      <w:bookmarkEnd w:id="586"/>
    </w:p>
    <w:p w14:paraId="1E287291">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2.1本项目系由甲方委托乙方负责实施。</w:t>
      </w:r>
    </w:p>
    <w:p w14:paraId="05037526">
      <w:pPr>
        <w:spacing w:line="360" w:lineRule="auto"/>
        <w:ind w:firstLine="420" w:firstLineChars="200"/>
        <w:rPr>
          <w:rFonts w:hint="eastAsia" w:ascii="宋体" w:hAnsi="宋体" w:eastAsia="宋体" w:cs="宋体"/>
          <w:color w:val="auto"/>
          <w:spacing w:val="0"/>
          <w:sz w:val="21"/>
          <w:szCs w:val="21"/>
          <w:highlight w:val="none"/>
        </w:rPr>
      </w:pPr>
      <w:bookmarkStart w:id="587" w:name="_Toc58337494"/>
      <w:r>
        <w:rPr>
          <w:rFonts w:hint="eastAsia" w:ascii="宋体" w:hAnsi="宋体" w:eastAsia="宋体" w:cs="宋体"/>
          <w:color w:val="auto"/>
          <w:spacing w:val="0"/>
          <w:sz w:val="21"/>
          <w:szCs w:val="21"/>
          <w:highlight w:val="none"/>
        </w:rPr>
        <w:t>2.2开发内容</w:t>
      </w:r>
      <w:bookmarkEnd w:id="587"/>
    </w:p>
    <w:p w14:paraId="63966D48">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此处扼要地阐述外包开发内容，详细内容见附件一。如果已经存在独立的外包说明书，请指明出处。</w:t>
      </w:r>
    </w:p>
    <w:p w14:paraId="1E6DBDF8">
      <w:pPr>
        <w:spacing w:line="360" w:lineRule="auto"/>
        <w:ind w:firstLine="420" w:firstLineChars="200"/>
        <w:outlineLvl w:val="2"/>
        <w:rPr>
          <w:rFonts w:hint="eastAsia" w:ascii="宋体" w:hAnsi="宋体" w:eastAsia="宋体" w:cs="宋体"/>
          <w:color w:val="auto"/>
          <w:spacing w:val="0"/>
          <w:sz w:val="21"/>
          <w:szCs w:val="21"/>
          <w:highlight w:val="none"/>
        </w:rPr>
      </w:pPr>
      <w:bookmarkStart w:id="588" w:name="_Toc58337495"/>
      <w:bookmarkStart w:id="589" w:name="_Toc18804"/>
      <w:bookmarkStart w:id="590" w:name="_Toc2691"/>
      <w:bookmarkStart w:id="591" w:name="_Toc31077"/>
      <w:r>
        <w:rPr>
          <w:rFonts w:hint="eastAsia" w:ascii="宋体" w:hAnsi="宋体" w:eastAsia="宋体" w:cs="宋体"/>
          <w:color w:val="auto"/>
          <w:spacing w:val="0"/>
          <w:sz w:val="21"/>
          <w:szCs w:val="21"/>
          <w:highlight w:val="none"/>
        </w:rPr>
        <w:t>2.3技术指标和质量要求</w:t>
      </w:r>
      <w:bookmarkEnd w:id="588"/>
      <w:r>
        <w:rPr>
          <w:rFonts w:hint="eastAsia" w:ascii="宋体" w:hAnsi="宋体" w:eastAsia="宋体" w:cs="宋体"/>
          <w:color w:val="auto"/>
          <w:spacing w:val="0"/>
          <w:sz w:val="21"/>
          <w:szCs w:val="21"/>
          <w:highlight w:val="none"/>
        </w:rPr>
        <w:t>。</w:t>
      </w:r>
      <w:bookmarkEnd w:id="589"/>
      <w:bookmarkEnd w:id="590"/>
      <w:bookmarkEnd w:id="591"/>
    </w:p>
    <w:p w14:paraId="69A43688">
      <w:pPr>
        <w:snapToGrid w:val="0"/>
        <w:spacing w:line="600" w:lineRule="exact"/>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见附件一、附件四。</w:t>
      </w:r>
    </w:p>
    <w:p w14:paraId="52801611">
      <w:pPr>
        <w:spacing w:line="360" w:lineRule="auto"/>
        <w:ind w:firstLine="420" w:firstLineChars="200"/>
        <w:outlineLvl w:val="2"/>
        <w:rPr>
          <w:rFonts w:hint="eastAsia" w:ascii="宋体" w:hAnsi="宋体" w:eastAsia="宋体" w:cs="宋体"/>
          <w:color w:val="auto"/>
          <w:spacing w:val="0"/>
          <w:sz w:val="21"/>
          <w:szCs w:val="21"/>
          <w:highlight w:val="none"/>
        </w:rPr>
      </w:pPr>
      <w:bookmarkStart w:id="592" w:name="_Toc58337496"/>
      <w:bookmarkStart w:id="593" w:name="_Toc12652"/>
      <w:bookmarkStart w:id="594" w:name="_Toc22127"/>
      <w:bookmarkStart w:id="595" w:name="_Toc25759"/>
      <w:r>
        <w:rPr>
          <w:rFonts w:hint="eastAsia" w:ascii="宋体" w:hAnsi="宋体" w:eastAsia="宋体" w:cs="宋体"/>
          <w:color w:val="auto"/>
          <w:spacing w:val="0"/>
          <w:sz w:val="21"/>
          <w:szCs w:val="21"/>
          <w:highlight w:val="none"/>
        </w:rPr>
        <w:t>2.4应当遵循的标准和规范</w:t>
      </w:r>
      <w:bookmarkEnd w:id="592"/>
      <w:r>
        <w:rPr>
          <w:rFonts w:hint="eastAsia" w:ascii="宋体" w:hAnsi="宋体" w:eastAsia="宋体" w:cs="宋体"/>
          <w:color w:val="auto"/>
          <w:spacing w:val="0"/>
          <w:sz w:val="21"/>
          <w:szCs w:val="21"/>
          <w:highlight w:val="none"/>
        </w:rPr>
        <w:t>。</w:t>
      </w:r>
      <w:bookmarkEnd w:id="593"/>
      <w:bookmarkEnd w:id="594"/>
      <w:bookmarkEnd w:id="595"/>
    </w:p>
    <w:p w14:paraId="70735C64">
      <w:pPr>
        <w:spacing w:line="360" w:lineRule="auto"/>
        <w:ind w:firstLine="420" w:firstLineChars="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zh-CN" w:eastAsia="zh-CN"/>
        </w:rPr>
        <w:t>乙方交付的民事案件管理系统建设项目应当满足国家相关法律法规、监管政策和行业标准，需满足甲方各类内部管理要求，包括信息安全管理相关要求、客户信息保护相关要求、数据标准相关要求，涉及银联卡支付的需满足</w:t>
      </w:r>
      <w:r>
        <w:rPr>
          <w:rFonts w:hint="eastAsia" w:ascii="宋体" w:hAnsi="宋体" w:eastAsia="宋体" w:cs="宋体"/>
          <w:color w:val="auto"/>
          <w:spacing w:val="0"/>
          <w:sz w:val="21"/>
          <w:szCs w:val="21"/>
          <w:highlight w:val="none"/>
        </w:rPr>
        <w:t>《银联卡支付信息安全管理标准》。（有国家标准、具体技术标准的可列明标准名称）</w:t>
      </w:r>
    </w:p>
    <w:p w14:paraId="54258309">
      <w:pPr>
        <w:spacing w:line="360" w:lineRule="auto"/>
        <w:ind w:firstLine="413" w:firstLineChars="196"/>
        <w:outlineLvl w:val="1"/>
        <w:rPr>
          <w:rFonts w:hint="eastAsia" w:ascii="宋体" w:hAnsi="宋体" w:eastAsia="宋体" w:cs="宋体"/>
          <w:b/>
          <w:color w:val="auto"/>
          <w:spacing w:val="0"/>
          <w:sz w:val="21"/>
          <w:szCs w:val="21"/>
          <w:highlight w:val="none"/>
        </w:rPr>
      </w:pPr>
      <w:bookmarkStart w:id="596" w:name="_Toc63757459"/>
      <w:bookmarkStart w:id="597" w:name="_Toc10469"/>
      <w:bookmarkStart w:id="598" w:name="_Toc4559"/>
      <w:bookmarkStart w:id="599" w:name="_Toc12387"/>
      <w:r>
        <w:rPr>
          <w:rFonts w:hint="eastAsia" w:ascii="宋体" w:hAnsi="宋体" w:eastAsia="宋体" w:cs="宋体"/>
          <w:b/>
          <w:color w:val="auto"/>
          <w:spacing w:val="0"/>
          <w:sz w:val="21"/>
          <w:szCs w:val="21"/>
          <w:highlight w:val="none"/>
        </w:rPr>
        <w:t>第三条  项目履行的进度、期限、地点、地域、方式</w:t>
      </w:r>
      <w:bookmarkEnd w:id="596"/>
      <w:bookmarkEnd w:id="597"/>
      <w:bookmarkEnd w:id="598"/>
      <w:bookmarkEnd w:id="599"/>
    </w:p>
    <w:p w14:paraId="3C3C0701">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hAnsi="宋体" w:eastAsia="宋体" w:cs="宋体"/>
          <w:color w:val="auto"/>
          <w:spacing w:val="0"/>
          <w:kern w:val="0"/>
          <w:sz w:val="21"/>
          <w:szCs w:val="21"/>
          <w:highlight w:val="none"/>
        </w:rPr>
        <w:t>替换人员技术水平或级别需不低于</w:t>
      </w:r>
      <w:r>
        <w:rPr>
          <w:rFonts w:hint="eastAsia" w:ascii="宋体" w:hAnsi="宋体" w:eastAsia="宋体" w:cs="宋体"/>
          <w:color w:val="auto"/>
          <w:spacing w:val="0"/>
          <w:sz w:val="21"/>
          <w:szCs w:val="21"/>
          <w:highlight w:val="none"/>
        </w:rPr>
        <w:t>被替换的人员</w:t>
      </w:r>
      <w:r>
        <w:rPr>
          <w:rFonts w:hint="eastAsia" w:ascii="宋体" w:hAnsi="宋体" w:eastAsia="宋体" w:cs="宋体"/>
          <w:color w:val="auto"/>
          <w:spacing w:val="0"/>
          <w:kern w:val="0"/>
          <w:sz w:val="21"/>
          <w:szCs w:val="21"/>
          <w:highlight w:val="none"/>
        </w:rPr>
        <w:t>水平或级别</w:t>
      </w:r>
      <w:r>
        <w:rPr>
          <w:rFonts w:hint="eastAsia" w:ascii="宋体" w:hAnsi="宋体" w:eastAsia="宋体" w:cs="宋体"/>
          <w:color w:val="auto"/>
          <w:spacing w:val="0"/>
          <w:sz w:val="21"/>
          <w:szCs w:val="21"/>
          <w:highlight w:val="none"/>
        </w:rPr>
        <w:t>，并需通过甲方考察并取得甲方同意，否则甲方有权要求更换。</w:t>
      </w:r>
    </w:p>
    <w:p w14:paraId="038E42F3">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3.2进度：乙方应严格按照3.3所列示的期限完成项目实施任务。</w:t>
      </w:r>
    </w:p>
    <w:p w14:paraId="19C19EFD">
      <w:pPr>
        <w:spacing w:line="360" w:lineRule="auto"/>
        <w:ind w:firstLine="420" w:firstLineChars="200"/>
        <w:outlineLvl w:val="2"/>
        <w:rPr>
          <w:rFonts w:hint="eastAsia" w:ascii="宋体" w:hAnsi="宋体" w:eastAsia="宋体" w:cs="宋体"/>
          <w:color w:val="auto"/>
          <w:spacing w:val="0"/>
          <w:sz w:val="21"/>
          <w:szCs w:val="21"/>
          <w:highlight w:val="none"/>
        </w:rPr>
      </w:pPr>
      <w:bookmarkStart w:id="600" w:name="_Toc7059"/>
      <w:bookmarkStart w:id="601" w:name="_Toc5578"/>
      <w:bookmarkStart w:id="602" w:name="_Toc9231"/>
      <w:r>
        <w:rPr>
          <w:rFonts w:hint="eastAsia" w:ascii="宋体" w:hAnsi="宋体" w:eastAsia="宋体" w:cs="宋体"/>
          <w:color w:val="auto"/>
          <w:spacing w:val="0"/>
          <w:sz w:val="21"/>
          <w:szCs w:val="21"/>
          <w:highlight w:val="none"/>
        </w:rPr>
        <w:t>3.3期限：上线时间为    年    月     日前</w:t>
      </w:r>
      <w:bookmarkEnd w:id="600"/>
      <w:bookmarkEnd w:id="601"/>
      <w:bookmarkEnd w:id="602"/>
    </w:p>
    <w:p w14:paraId="5D8811FC">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3.4地点：乙方完成项目实施工作的地点为：</w:t>
      </w:r>
      <w:r>
        <w:rPr>
          <w:rFonts w:hint="eastAsia" w:ascii="宋体" w:hAnsi="宋体" w:eastAsia="宋体" w:cs="宋体"/>
          <w:color w:val="auto"/>
          <w:spacing w:val="0"/>
          <w:sz w:val="21"/>
          <w:szCs w:val="21"/>
          <w:highlight w:val="none"/>
          <w:u w:val="single"/>
        </w:rPr>
        <w:t>重庆</w:t>
      </w:r>
      <w:r>
        <w:rPr>
          <w:rFonts w:hint="eastAsia" w:ascii="宋体" w:hAnsi="宋体" w:eastAsia="宋体" w:cs="宋体"/>
          <w:color w:val="auto"/>
          <w:spacing w:val="0"/>
          <w:sz w:val="21"/>
          <w:szCs w:val="21"/>
          <w:highlight w:val="none"/>
        </w:rPr>
        <w:t>；【驻场】实施。</w:t>
      </w:r>
    </w:p>
    <w:p w14:paraId="07277949">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3.5地域：本项目适用机构所在地域包括： </w:t>
      </w:r>
      <w:r>
        <w:rPr>
          <w:rFonts w:hint="eastAsia" w:ascii="宋体" w:hAnsi="宋体" w:eastAsia="宋体" w:cs="宋体"/>
          <w:color w:val="auto"/>
          <w:spacing w:val="0"/>
          <w:sz w:val="21"/>
          <w:szCs w:val="21"/>
          <w:highlight w:val="none"/>
          <w:u w:val="single"/>
        </w:rPr>
        <w:t xml:space="preserve">重庆三峡银行总行各部门及辖内各经营机构 </w:t>
      </w:r>
      <w:r>
        <w:rPr>
          <w:rFonts w:hint="eastAsia" w:ascii="宋体" w:hAnsi="宋体" w:eastAsia="宋体" w:cs="宋体"/>
          <w:color w:val="auto"/>
          <w:spacing w:val="0"/>
          <w:sz w:val="21"/>
          <w:szCs w:val="21"/>
          <w:highlight w:val="none"/>
        </w:rPr>
        <w:t>。</w:t>
      </w:r>
    </w:p>
    <w:p w14:paraId="55FBB5DD">
      <w:pPr>
        <w:spacing w:line="360" w:lineRule="auto"/>
        <w:ind w:firstLine="420" w:firstLineChars="200"/>
        <w:outlineLvl w:val="2"/>
        <w:rPr>
          <w:rFonts w:hint="eastAsia" w:ascii="宋体" w:hAnsi="宋体" w:eastAsia="宋体" w:cs="宋体"/>
          <w:color w:val="auto"/>
          <w:spacing w:val="0"/>
          <w:sz w:val="21"/>
          <w:szCs w:val="21"/>
          <w:highlight w:val="none"/>
        </w:rPr>
      </w:pPr>
      <w:bookmarkStart w:id="603" w:name="_Toc27135"/>
      <w:bookmarkStart w:id="604" w:name="_Toc23362"/>
      <w:bookmarkStart w:id="605" w:name="_Toc28795"/>
      <w:r>
        <w:rPr>
          <w:rFonts w:hint="eastAsia" w:ascii="宋体" w:hAnsi="宋体" w:eastAsia="宋体" w:cs="宋体"/>
          <w:color w:val="auto"/>
          <w:spacing w:val="0"/>
          <w:sz w:val="21"/>
          <w:szCs w:val="21"/>
          <w:highlight w:val="none"/>
        </w:rPr>
        <w:t>3.6方式：</w:t>
      </w:r>
      <w:bookmarkEnd w:id="603"/>
      <w:bookmarkEnd w:id="604"/>
      <w:bookmarkEnd w:id="605"/>
    </w:p>
    <w:p w14:paraId="278C2350">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4EE0C4B9">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7A0B4E3C">
      <w:pPr>
        <w:spacing w:line="360" w:lineRule="auto"/>
        <w:ind w:firstLine="420" w:firstLineChars="200"/>
        <w:rPr>
          <w:rFonts w:hint="eastAsia" w:ascii="宋体" w:hAnsi="宋体" w:eastAsia="宋体" w:cs="宋体"/>
          <w:color w:val="auto"/>
          <w:spacing w:val="0"/>
          <w:sz w:val="21"/>
          <w:szCs w:val="21"/>
          <w:highlight w:val="none"/>
        </w:rPr>
      </w:pPr>
    </w:p>
    <w:p w14:paraId="2049ECC7">
      <w:pPr>
        <w:spacing w:line="360" w:lineRule="auto"/>
        <w:ind w:firstLine="413" w:firstLineChars="196"/>
        <w:outlineLvl w:val="1"/>
        <w:rPr>
          <w:rFonts w:hint="eastAsia" w:ascii="宋体" w:hAnsi="宋体" w:eastAsia="宋体" w:cs="宋体"/>
          <w:color w:val="auto"/>
          <w:sz w:val="21"/>
          <w:szCs w:val="21"/>
          <w:highlight w:val="none"/>
        </w:rPr>
      </w:pPr>
      <w:bookmarkStart w:id="606" w:name="_Toc63757460"/>
      <w:bookmarkStart w:id="607" w:name="_Toc4930"/>
      <w:bookmarkStart w:id="608" w:name="_Toc26775"/>
      <w:bookmarkStart w:id="609" w:name="_Toc1426"/>
      <w:r>
        <w:rPr>
          <w:rFonts w:hint="eastAsia" w:ascii="宋体" w:hAnsi="宋体" w:eastAsia="宋体" w:cs="宋体"/>
          <w:b/>
          <w:color w:val="auto"/>
          <w:spacing w:val="0"/>
          <w:sz w:val="21"/>
          <w:szCs w:val="21"/>
          <w:highlight w:val="none"/>
        </w:rPr>
        <w:t>第四条  方案调整</w:t>
      </w:r>
      <w:bookmarkEnd w:id="606"/>
      <w:bookmarkEnd w:id="607"/>
      <w:bookmarkEnd w:id="608"/>
      <w:bookmarkEnd w:id="609"/>
      <w:r>
        <w:rPr>
          <w:rFonts w:hint="eastAsia" w:ascii="宋体" w:hAnsi="宋体" w:eastAsia="宋体" w:cs="宋体"/>
          <w:color w:val="auto"/>
          <w:sz w:val="21"/>
          <w:szCs w:val="21"/>
          <w:highlight w:val="none"/>
        </w:rPr>
        <w:t xml:space="preserve"> </w:t>
      </w:r>
    </w:p>
    <w:p w14:paraId="50BB53A9">
      <w:pPr>
        <w:spacing w:line="360" w:lineRule="auto"/>
        <w:ind w:firstLine="420" w:firstLineChars="200"/>
        <w:rPr>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kern w:val="0"/>
          <w:sz w:val="21"/>
          <w:szCs w:val="21"/>
          <w:highlight w:val="none"/>
        </w:rPr>
        <w:t>4.1因甲方原因提出导致增加【2】∕人∕月以上工作量的需求变更，</w:t>
      </w:r>
      <w:r>
        <w:rPr>
          <w:rFonts w:hint="eastAsia" w:ascii="宋体" w:hAnsi="宋体" w:eastAsia="宋体" w:cs="宋体"/>
          <w:color w:val="auto"/>
          <w:spacing w:val="0"/>
          <w:sz w:val="21"/>
          <w:szCs w:val="21"/>
          <w:highlight w:val="none"/>
        </w:rPr>
        <w:t>须通知乙方并由乙方确认</w:t>
      </w:r>
      <w:r>
        <w:rPr>
          <w:rStyle w:val="40"/>
          <w:rFonts w:hint="eastAsia" w:ascii="宋体" w:hAnsi="宋体" w:eastAsia="宋体" w:cs="宋体"/>
          <w:color w:val="auto"/>
          <w:spacing w:val="0"/>
          <w:kern w:val="0"/>
          <w:sz w:val="21"/>
          <w:szCs w:val="21"/>
          <w:highlight w:val="none"/>
        </w:rPr>
        <w:t>，对此</w:t>
      </w:r>
      <w:r>
        <w:rPr>
          <w:rFonts w:hint="eastAsia" w:ascii="宋体" w:hAnsi="宋体" w:eastAsia="宋体" w:cs="宋体"/>
          <w:color w:val="auto"/>
          <w:spacing w:val="0"/>
          <w:sz w:val="21"/>
          <w:szCs w:val="21"/>
          <w:highlight w:val="none"/>
        </w:rPr>
        <w:t>变更给乙方带来的额外劳动部分甲乙双方协商解决，由此变更导致项目进度延期不构成违约。但4.2款确认的，由乙方原因引起的工作量，甲方无需承担任何费用。</w:t>
      </w:r>
    </w:p>
    <w:p w14:paraId="0F7DFEAA">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4.2 方案一经双方确认，任何一方有方案调整意见，均需与对方签字确认。</w:t>
      </w:r>
    </w:p>
    <w:p w14:paraId="6F62564C">
      <w:pPr>
        <w:spacing w:line="360" w:lineRule="auto"/>
        <w:ind w:left="420"/>
        <w:rPr>
          <w:rFonts w:hint="eastAsia" w:ascii="宋体" w:hAnsi="宋体" w:eastAsia="宋体" w:cs="宋体"/>
          <w:color w:val="auto"/>
          <w:spacing w:val="0"/>
          <w:sz w:val="21"/>
          <w:szCs w:val="21"/>
          <w:highlight w:val="none"/>
        </w:rPr>
      </w:pPr>
    </w:p>
    <w:p w14:paraId="36AF5A9D">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10" w:name="_Toc63757461"/>
      <w:bookmarkStart w:id="611" w:name="_Toc2918"/>
      <w:bookmarkStart w:id="612" w:name="_Toc29564"/>
      <w:bookmarkStart w:id="613" w:name="_Toc14838"/>
      <w:r>
        <w:rPr>
          <w:rFonts w:hint="eastAsia" w:ascii="宋体" w:hAnsi="宋体" w:eastAsia="宋体" w:cs="宋体"/>
          <w:b/>
          <w:color w:val="auto"/>
          <w:spacing w:val="0"/>
          <w:sz w:val="21"/>
          <w:szCs w:val="21"/>
          <w:highlight w:val="none"/>
        </w:rPr>
        <w:t>第五条  项目验收</w:t>
      </w:r>
      <w:bookmarkEnd w:id="610"/>
      <w:bookmarkEnd w:id="611"/>
      <w:bookmarkEnd w:id="612"/>
      <w:bookmarkEnd w:id="613"/>
    </w:p>
    <w:p w14:paraId="4D3C26F4">
      <w:pPr>
        <w:pStyle w:val="11"/>
        <w:spacing w:before="0" w:beforeLines="0" w:line="360" w:lineRule="auto"/>
        <w:ind w:left="0" w:leftChars="0"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hAnsi="宋体" w:eastAsia="宋体" w:cs="宋体"/>
          <w:bCs/>
          <w:color w:val="auto"/>
          <w:spacing w:val="0"/>
          <w:kern w:val="0"/>
          <w:sz w:val="21"/>
          <w:szCs w:val="21"/>
          <w:highlight w:val="none"/>
        </w:rPr>
        <w:t>本合同中的产品出现的任何问题，乙方应及时解决，保证试运行期间的稳定运行，试运行期间若出现较大运营中断事件（III级）及以上，乙方应予以立即解决，从出现中断事件至排除故障或解决问题期间的时间不计入试运行期，系统验收时间向后顺延。</w:t>
      </w:r>
      <w:r>
        <w:rPr>
          <w:rFonts w:hint="eastAsia" w:ascii="宋体" w:hAnsi="宋体" w:eastAsia="宋体" w:cs="宋体"/>
          <w:color w:val="auto"/>
          <w:spacing w:val="0"/>
          <w:kern w:val="0"/>
          <w:sz w:val="21"/>
          <w:szCs w:val="21"/>
          <w:highlight w:val="none"/>
        </w:rPr>
        <w:t>在符合甲方项目预期目标且试运行满</w:t>
      </w:r>
      <w:r>
        <w:rPr>
          <w:rFonts w:hint="eastAsia" w:ascii="宋体" w:hAnsi="宋体" w:eastAsia="宋体" w:cs="宋体"/>
          <w:color w:val="auto"/>
          <w:spacing w:val="0"/>
          <w:kern w:val="0"/>
          <w:sz w:val="21"/>
          <w:szCs w:val="21"/>
          <w:highlight w:val="none"/>
          <w:u w:val="single"/>
        </w:rPr>
        <w:t>三个月</w:t>
      </w:r>
      <w:r>
        <w:rPr>
          <w:rFonts w:hint="eastAsia" w:ascii="宋体" w:hAnsi="宋体" w:eastAsia="宋体" w:cs="宋体"/>
          <w:color w:val="auto"/>
          <w:spacing w:val="0"/>
          <w:kern w:val="0"/>
          <w:sz w:val="21"/>
          <w:szCs w:val="21"/>
          <w:highlight w:val="none"/>
        </w:rPr>
        <w:t>后，由甲方按照合同约定进行正式验收，验收通过后签署验收表或验收报告。</w:t>
      </w:r>
    </w:p>
    <w:p w14:paraId="7843B1E5">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138E331C">
      <w:pPr>
        <w:spacing w:line="360" w:lineRule="auto"/>
        <w:ind w:firstLine="420" w:firstLineChars="200"/>
        <w:rPr>
          <w:rFonts w:hint="eastAsia" w:ascii="宋体" w:hAnsi="宋体" w:eastAsia="宋体" w:cs="宋体"/>
          <w:color w:val="auto"/>
          <w:spacing w:val="0"/>
          <w:kern w:val="0"/>
          <w:sz w:val="21"/>
          <w:szCs w:val="21"/>
          <w:highlight w:val="none"/>
        </w:rPr>
      </w:pPr>
    </w:p>
    <w:p w14:paraId="08EE777C">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14" w:name="_Toc63757462"/>
      <w:bookmarkStart w:id="615" w:name="_Toc22620"/>
      <w:bookmarkStart w:id="616" w:name="_Toc22463"/>
      <w:bookmarkStart w:id="617" w:name="_Toc12816"/>
      <w:r>
        <w:rPr>
          <w:rFonts w:hint="eastAsia" w:ascii="宋体" w:hAnsi="宋体" w:eastAsia="宋体" w:cs="宋体"/>
          <w:b/>
          <w:color w:val="auto"/>
          <w:spacing w:val="0"/>
          <w:sz w:val="21"/>
          <w:szCs w:val="21"/>
          <w:highlight w:val="none"/>
        </w:rPr>
        <w:t>第六条  交付使用后维护期、系统完善和保修维护服务</w:t>
      </w:r>
      <w:bookmarkEnd w:id="614"/>
      <w:bookmarkEnd w:id="615"/>
      <w:bookmarkEnd w:id="616"/>
      <w:bookmarkEnd w:id="617"/>
    </w:p>
    <w:p w14:paraId="4D94E5C6">
      <w:pPr>
        <w:tabs>
          <w:tab w:val="left" w:pos="851"/>
        </w:tabs>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6.1本合同金额包含【】年维护，维护期为自本产品</w:t>
      </w:r>
      <w:r>
        <w:rPr>
          <w:rFonts w:hint="eastAsia" w:ascii="宋体" w:hAnsi="宋体" w:eastAsia="宋体" w:cs="宋体"/>
          <w:color w:val="auto"/>
          <w:spacing w:val="0"/>
          <w:kern w:val="0"/>
          <w:sz w:val="21"/>
          <w:szCs w:val="21"/>
          <w:highlight w:val="none"/>
        </w:rPr>
        <w:t>正式</w:t>
      </w:r>
      <w:r>
        <w:rPr>
          <w:rFonts w:hint="eastAsia" w:ascii="宋体" w:hAnsi="宋体" w:eastAsia="宋体" w:cs="宋体"/>
          <w:color w:val="auto"/>
          <w:spacing w:val="0"/>
          <w:sz w:val="21"/>
          <w:szCs w:val="21"/>
          <w:highlight w:val="none"/>
        </w:rPr>
        <w:t>验收合格后次日至次年并延期至6月30日或12月31日中较近日期（即维保延期最长不超过半年）。</w:t>
      </w:r>
    </w:p>
    <w:p w14:paraId="005D1715">
      <w:pPr>
        <w:tabs>
          <w:tab w:val="left" w:pos="851"/>
        </w:tabs>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6.2本合同产品的有偿技术服务期为本合同第6.1条约定的维护期到期之日起</w:t>
      </w:r>
      <w:r>
        <w:rPr>
          <w:rFonts w:hint="eastAsia" w:ascii="宋体" w:hAnsi="宋体" w:eastAsia="宋体" w:cs="宋体"/>
          <w:color w:val="auto"/>
          <w:spacing w:val="0"/>
          <w:sz w:val="21"/>
          <w:szCs w:val="21"/>
          <w:highlight w:val="none"/>
          <w:u w:val="single"/>
        </w:rPr>
        <w:t>10</w:t>
      </w:r>
      <w:r>
        <w:rPr>
          <w:rFonts w:hint="eastAsia" w:ascii="宋体" w:hAnsi="宋体" w:eastAsia="宋体" w:cs="宋体"/>
          <w:color w:val="auto"/>
          <w:spacing w:val="0"/>
          <w:sz w:val="21"/>
          <w:szCs w:val="21"/>
          <w:highlight w:val="none"/>
        </w:rPr>
        <w:t>年。本项目产品服务期内（包括本合同第6.1条约定的维护期与有偿技术服务期）如甲方对照附件一发现项目存在技术缺陷和隐蔽瑕疵，乙方应负责予以解决并应承担相应法律责任。</w:t>
      </w:r>
    </w:p>
    <w:p w14:paraId="5A05A563">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769FC32B">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6.4本合同第6.1条约定的维护期与有偿技术服务期内，服务内容和服务方式详见附件四《维护服务条款》。</w:t>
      </w:r>
    </w:p>
    <w:p w14:paraId="44FCEC61">
      <w:pPr>
        <w:spacing w:line="360" w:lineRule="auto"/>
        <w:ind w:firstLine="420" w:firstLineChars="200"/>
        <w:outlineLvl w:val="2"/>
        <w:rPr>
          <w:rFonts w:hint="eastAsia" w:ascii="宋体" w:hAnsi="宋体" w:eastAsia="宋体" w:cs="宋体"/>
          <w:color w:val="auto"/>
          <w:spacing w:val="0"/>
          <w:sz w:val="21"/>
          <w:szCs w:val="21"/>
          <w:highlight w:val="none"/>
        </w:rPr>
      </w:pPr>
      <w:bookmarkStart w:id="618" w:name="_Toc21718"/>
      <w:bookmarkStart w:id="619" w:name="_Toc28088"/>
      <w:bookmarkStart w:id="620" w:name="_Toc6053"/>
      <w:r>
        <w:rPr>
          <w:rFonts w:hint="eastAsia" w:ascii="宋体" w:hAnsi="宋体" w:eastAsia="宋体" w:cs="宋体"/>
          <w:color w:val="auto"/>
          <w:spacing w:val="0"/>
          <w:sz w:val="21"/>
          <w:szCs w:val="21"/>
          <w:highlight w:val="none"/>
        </w:rPr>
        <w:t>6.5上述服务，不包括由下列事件引起的故障：</w:t>
      </w:r>
      <w:bookmarkEnd w:id="618"/>
      <w:bookmarkEnd w:id="619"/>
      <w:bookmarkEnd w:id="620"/>
    </w:p>
    <w:p w14:paraId="0B2E6C2D">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6.5.1 未能为系统提供适当的外部环境-如必要的系统环境、必要的管理体系、未能按照乙方要求配备资源等。</w:t>
      </w:r>
    </w:p>
    <w:p w14:paraId="0B83BAB4">
      <w:pPr>
        <w:spacing w:line="360" w:lineRule="auto"/>
        <w:ind w:firstLine="420" w:firstLineChars="200"/>
        <w:outlineLvl w:val="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6.5.2 使用并非由乙方提供的产品或服务。</w:t>
      </w:r>
    </w:p>
    <w:p w14:paraId="3CCADD58">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hAnsi="宋体" w:eastAsia="宋体" w:cs="宋体"/>
          <w:color w:val="auto"/>
          <w:spacing w:val="0"/>
          <w:sz w:val="21"/>
          <w:szCs w:val="21"/>
          <w:highlight w:val="none"/>
          <w:u w:val="single"/>
        </w:rPr>
        <w:t xml:space="preserve"> 3 </w:t>
      </w:r>
      <w:r>
        <w:rPr>
          <w:rFonts w:hint="eastAsia" w:ascii="宋体" w:hAnsi="宋体" w:eastAsia="宋体" w:cs="宋体"/>
          <w:color w:val="auto"/>
          <w:spacing w:val="0"/>
          <w:sz w:val="21"/>
          <w:szCs w:val="21"/>
          <w:highlight w:val="none"/>
        </w:rPr>
        <w:t>日内不到甲方现场进行检修，或在收到甲方通知后</w:t>
      </w:r>
      <w:r>
        <w:rPr>
          <w:rFonts w:hint="eastAsia" w:ascii="宋体" w:hAnsi="宋体" w:eastAsia="宋体" w:cs="宋体"/>
          <w:color w:val="auto"/>
          <w:spacing w:val="0"/>
          <w:sz w:val="21"/>
          <w:szCs w:val="21"/>
          <w:highlight w:val="none"/>
          <w:u w:val="single"/>
        </w:rPr>
        <w:t xml:space="preserve"> 10 </w:t>
      </w:r>
      <w:r>
        <w:rPr>
          <w:rFonts w:hint="eastAsia" w:ascii="宋体" w:hAnsi="宋体" w:eastAsia="宋体" w:cs="宋体"/>
          <w:color w:val="auto"/>
          <w:spacing w:val="0"/>
          <w:sz w:val="21"/>
          <w:szCs w:val="21"/>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23C96421">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Style w:val="40"/>
          <w:rFonts w:hint="eastAsia" w:ascii="宋体" w:hAnsi="宋体" w:eastAsia="宋体" w:cs="宋体"/>
          <w:color w:val="auto"/>
          <w:spacing w:val="0"/>
          <w:kern w:val="0"/>
          <w:sz w:val="21"/>
          <w:szCs w:val="21"/>
          <w:highlight w:val="none"/>
        </w:rPr>
        <w:t>.7</w:t>
      </w:r>
      <w:r>
        <w:rPr>
          <w:rFonts w:hint="eastAsia" w:ascii="宋体" w:hAnsi="宋体" w:eastAsia="宋体" w:cs="宋体"/>
          <w:color w:val="auto"/>
          <w:spacing w:val="0"/>
          <w:sz w:val="21"/>
          <w:szCs w:val="21"/>
          <w:highlight w:val="none"/>
        </w:rPr>
        <w:t>维护期结束后的</w:t>
      </w:r>
      <w:r>
        <w:rPr>
          <w:rFonts w:hint="eastAsia" w:ascii="宋体" w:hAnsi="宋体" w:eastAsia="宋体" w:cs="宋体"/>
          <w:color w:val="auto"/>
          <w:spacing w:val="0"/>
          <w:sz w:val="21"/>
          <w:szCs w:val="21"/>
          <w:highlight w:val="none"/>
          <w:u w:val="single"/>
        </w:rPr>
        <w:t>10年</w:t>
      </w:r>
      <w:r>
        <w:rPr>
          <w:rFonts w:hint="eastAsia" w:ascii="宋体" w:hAnsi="宋体" w:eastAsia="宋体" w:cs="宋体"/>
          <w:color w:val="auto"/>
          <w:spacing w:val="0"/>
          <w:sz w:val="21"/>
          <w:szCs w:val="21"/>
          <w:highlight w:val="none"/>
        </w:rPr>
        <w:t>有偿技术服务期内，</w:t>
      </w:r>
      <w:r>
        <w:rPr>
          <w:rStyle w:val="40"/>
          <w:rFonts w:hint="eastAsia" w:ascii="宋体" w:hAnsi="宋体" w:eastAsia="宋体" w:cs="宋体"/>
          <w:color w:val="auto"/>
          <w:spacing w:val="0"/>
          <w:kern w:val="0"/>
          <w:sz w:val="21"/>
          <w:szCs w:val="21"/>
          <w:highlight w:val="none"/>
        </w:rPr>
        <w:t>如</w:t>
      </w:r>
      <w:r>
        <w:rPr>
          <w:rFonts w:hint="eastAsia" w:ascii="宋体" w:hAnsi="宋体" w:eastAsia="宋体" w:cs="宋体"/>
          <w:color w:val="auto"/>
          <w:spacing w:val="0"/>
          <w:sz w:val="21"/>
          <w:szCs w:val="21"/>
          <w:highlight w:val="none"/>
        </w:rPr>
        <w:t>甲方需要乙方提供维护服务,乙方应予提供。双方确认，甲方有权选择是否购买维护服务，乙方无权要求甲方对未使用维护服务的期间支付费用。</w:t>
      </w:r>
    </w:p>
    <w:p w14:paraId="44AEA2DB">
      <w:pPr>
        <w:spacing w:line="360" w:lineRule="auto"/>
        <w:ind w:firstLine="420" w:firstLineChars="200"/>
        <w:rPr>
          <w:rFonts w:hint="eastAsia" w:ascii="宋体" w:hAnsi="宋体" w:eastAsia="宋体" w:cs="宋体"/>
          <w:b/>
          <w:color w:val="auto"/>
          <w:spacing w:val="0"/>
          <w:sz w:val="21"/>
          <w:szCs w:val="21"/>
          <w:highlight w:val="none"/>
        </w:rPr>
      </w:pPr>
      <w:r>
        <w:rPr>
          <w:rFonts w:hint="eastAsia" w:ascii="宋体" w:hAnsi="宋体" w:eastAsia="宋体" w:cs="宋体"/>
          <w:color w:val="auto"/>
          <w:spacing w:val="0"/>
          <w:sz w:val="21"/>
          <w:szCs w:val="21"/>
          <w:highlight w:val="none"/>
        </w:rPr>
        <w:t>6.8 维护期结束后</w:t>
      </w:r>
      <w:r>
        <w:rPr>
          <w:rStyle w:val="40"/>
          <w:rFonts w:hint="eastAsia" w:ascii="宋体" w:hAnsi="宋体" w:eastAsia="宋体" w:cs="宋体"/>
          <w:color w:val="auto"/>
          <w:spacing w:val="0"/>
          <w:kern w:val="0"/>
          <w:sz w:val="21"/>
          <w:szCs w:val="21"/>
          <w:highlight w:val="none"/>
        </w:rPr>
        <w:t>有偿技术服务期</w:t>
      </w:r>
      <w:r>
        <w:rPr>
          <w:rFonts w:hint="eastAsia" w:ascii="宋体" w:hAnsi="宋体" w:eastAsia="宋体" w:cs="宋体"/>
          <w:color w:val="auto"/>
          <w:spacing w:val="0"/>
          <w:sz w:val="21"/>
          <w:szCs w:val="21"/>
          <w:highlight w:val="none"/>
        </w:rPr>
        <w:t>每年的维护价格【不超过/为】</w:t>
      </w:r>
      <w:r>
        <w:rPr>
          <w:rFonts w:hint="eastAsia" w:ascii="宋体" w:hAnsi="宋体" w:eastAsia="宋体" w:cs="宋体"/>
          <w:iCs/>
          <w:color w:val="auto"/>
          <w:spacing w:val="0"/>
          <w:sz w:val="21"/>
          <w:szCs w:val="21"/>
          <w:highlight w:val="none"/>
          <w:u w:val="single"/>
        </w:rPr>
        <w:t>合同总额的【8%】</w:t>
      </w:r>
      <w:r>
        <w:rPr>
          <w:rFonts w:hint="eastAsia" w:ascii="宋体" w:hAnsi="宋体" w:eastAsia="宋体" w:cs="宋体"/>
          <w:color w:val="auto"/>
          <w:spacing w:val="0"/>
          <w:sz w:val="21"/>
          <w:szCs w:val="21"/>
          <w:highlight w:val="none"/>
        </w:rPr>
        <w:t>，具体服务内容详见附件四《维护服务条款》。有偿技术服务期的服务水平不低于附件四承诺的维护期的服务水平。</w:t>
      </w:r>
      <w:r>
        <w:rPr>
          <w:rFonts w:hint="eastAsia" w:ascii="宋体" w:hAnsi="宋体" w:eastAsia="宋体" w:cs="宋体"/>
          <w:b/>
          <w:color w:val="auto"/>
          <w:spacing w:val="0"/>
          <w:sz w:val="21"/>
          <w:szCs w:val="21"/>
          <w:highlight w:val="none"/>
        </w:rPr>
        <w:t>后续改造类项目维护费用以系统首期建设合同（即本合同）约定为准，不得叠加、单独收取。</w:t>
      </w:r>
    </w:p>
    <w:p w14:paraId="653978C1">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6.9本合同并非维护期结束后的维护服务合同，有偿技术服务的合同由双方另行签订。</w:t>
      </w:r>
    </w:p>
    <w:p w14:paraId="5FDCC801">
      <w:pPr>
        <w:spacing w:line="360" w:lineRule="auto"/>
        <w:ind w:left="560" w:hanging="560" w:firstLineChars="0"/>
        <w:rPr>
          <w:rFonts w:hint="eastAsia" w:ascii="宋体" w:hAnsi="宋体" w:eastAsia="宋体" w:cs="宋体"/>
          <w:color w:val="auto"/>
          <w:spacing w:val="0"/>
          <w:sz w:val="21"/>
          <w:szCs w:val="21"/>
          <w:highlight w:val="none"/>
        </w:rPr>
      </w:pPr>
    </w:p>
    <w:p w14:paraId="12CCCFD5">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21" w:name="_Toc25290"/>
      <w:bookmarkStart w:id="622" w:name="_Toc21761"/>
      <w:bookmarkStart w:id="623" w:name="_Toc30177"/>
      <w:bookmarkStart w:id="624" w:name="_Toc63757463"/>
      <w:r>
        <w:rPr>
          <w:rFonts w:hint="eastAsia" w:ascii="宋体" w:hAnsi="宋体" w:eastAsia="宋体" w:cs="宋体"/>
          <w:b/>
          <w:color w:val="auto"/>
          <w:spacing w:val="0"/>
          <w:sz w:val="21"/>
          <w:szCs w:val="21"/>
          <w:highlight w:val="none"/>
        </w:rPr>
        <w:t>第七条  技术辅导与培训</w:t>
      </w:r>
      <w:bookmarkEnd w:id="621"/>
      <w:bookmarkEnd w:id="622"/>
      <w:bookmarkEnd w:id="623"/>
      <w:bookmarkEnd w:id="624"/>
    </w:p>
    <w:p w14:paraId="221A8AD0">
      <w:pPr>
        <w:pStyle w:val="15"/>
        <w:spacing w:before="0" w:beforeLines="0" w:line="360" w:lineRule="auto"/>
        <w:ind w:firstLine="560" w:firstLineChars="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乙方应负责向甲方提供技术辅导与培训，以使甲方人员熟练掌握该项目产品的应用和日常维护。培训内容包括：业务操作培训、安装配置培训、系统架构培训、运行维护培训等。</w:t>
      </w:r>
    </w:p>
    <w:p w14:paraId="52A2FC13">
      <w:pPr>
        <w:pStyle w:val="15"/>
        <w:spacing w:before="0" w:beforeLines="0"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具体培训内容由双方共同商定，并由甲方项目经理签字确认。</w:t>
      </w:r>
    </w:p>
    <w:p w14:paraId="08D90A40">
      <w:pPr>
        <w:pStyle w:val="15"/>
        <w:spacing w:before="0" w:beforeLines="0" w:line="360" w:lineRule="auto"/>
        <w:rPr>
          <w:rFonts w:hint="eastAsia" w:ascii="宋体" w:hAnsi="宋体" w:eastAsia="宋体" w:cs="宋体"/>
          <w:color w:val="auto"/>
          <w:spacing w:val="0"/>
          <w:sz w:val="21"/>
          <w:szCs w:val="21"/>
          <w:highlight w:val="none"/>
        </w:rPr>
      </w:pPr>
    </w:p>
    <w:p w14:paraId="2FD44E6A">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25" w:name="_Toc7442"/>
      <w:bookmarkStart w:id="626" w:name="_Toc63757464"/>
      <w:bookmarkStart w:id="627" w:name="_Toc3864"/>
      <w:bookmarkStart w:id="628" w:name="_Toc19902"/>
      <w:r>
        <w:rPr>
          <w:rFonts w:hint="eastAsia" w:ascii="宋体" w:hAnsi="宋体" w:eastAsia="宋体" w:cs="宋体"/>
          <w:b/>
          <w:color w:val="auto"/>
          <w:spacing w:val="0"/>
          <w:sz w:val="21"/>
          <w:szCs w:val="21"/>
          <w:highlight w:val="none"/>
        </w:rPr>
        <w:t>第八条  双方的权利、义务</w:t>
      </w:r>
      <w:bookmarkEnd w:id="625"/>
      <w:bookmarkEnd w:id="626"/>
      <w:bookmarkEnd w:id="627"/>
      <w:bookmarkEnd w:id="628"/>
    </w:p>
    <w:p w14:paraId="103408AD">
      <w:pPr>
        <w:spacing w:line="360" w:lineRule="auto"/>
        <w:ind w:firstLine="420" w:firstLineChars="200"/>
        <w:outlineLvl w:val="2"/>
        <w:rPr>
          <w:rFonts w:hint="eastAsia" w:ascii="宋体" w:hAnsi="宋体" w:eastAsia="宋体" w:cs="宋体"/>
          <w:color w:val="auto"/>
          <w:spacing w:val="0"/>
          <w:sz w:val="21"/>
          <w:szCs w:val="21"/>
          <w:highlight w:val="none"/>
        </w:rPr>
      </w:pPr>
      <w:bookmarkStart w:id="629" w:name="_Toc14086"/>
      <w:bookmarkStart w:id="630" w:name="_Toc18776"/>
      <w:bookmarkStart w:id="631" w:name="_Toc5362"/>
      <w:r>
        <w:rPr>
          <w:rFonts w:hint="eastAsia" w:ascii="宋体" w:hAnsi="宋体" w:eastAsia="宋体" w:cs="宋体"/>
          <w:color w:val="auto"/>
          <w:spacing w:val="0"/>
          <w:sz w:val="21"/>
          <w:szCs w:val="21"/>
          <w:highlight w:val="none"/>
        </w:rPr>
        <w:t>8.1除本合同其他条款外，甲方应承担如下义务：</w:t>
      </w:r>
      <w:bookmarkEnd w:id="629"/>
      <w:bookmarkEnd w:id="630"/>
      <w:bookmarkEnd w:id="631"/>
    </w:p>
    <w:p w14:paraId="54B57397">
      <w:pPr>
        <w:spacing w:line="360" w:lineRule="auto"/>
        <w:ind w:firstLine="420" w:firstLineChars="200"/>
        <w:outlineLvl w:val="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8.1.1 按照本合同第十三条的规定向乙方支付报酬。</w:t>
      </w:r>
    </w:p>
    <w:p w14:paraId="1CE02CC3">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8.1.2 向乙方提供本合同约定的业务协作：如参与各方的资源协调与进度管理、商务保障、项目环境保障等，确保参与各方按期、按质协同工作。</w:t>
      </w:r>
    </w:p>
    <w:p w14:paraId="2BF459F9">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8.1.3 指派一名项目</w:t>
      </w:r>
      <w:r>
        <w:rPr>
          <w:rFonts w:hint="eastAsia" w:ascii="宋体" w:hAnsi="宋体" w:eastAsia="宋体" w:cs="宋体"/>
          <w:color w:val="auto"/>
          <w:spacing w:val="0"/>
          <w:sz w:val="21"/>
          <w:szCs w:val="21"/>
          <w:highlight w:val="none"/>
          <w:lang w:eastAsia="zh-CN"/>
        </w:rPr>
        <w:t>主要</w:t>
      </w:r>
      <w:r>
        <w:rPr>
          <w:rFonts w:hint="eastAsia" w:ascii="宋体" w:hAnsi="宋体" w:eastAsia="宋体" w:cs="宋体"/>
          <w:color w:val="auto"/>
          <w:spacing w:val="0"/>
          <w:sz w:val="21"/>
          <w:szCs w:val="21"/>
          <w:highlight w:val="none"/>
        </w:rPr>
        <w:t>负责人参加甲、乙双方为本项目召开的会议并协调相关工作和签署有关文件。</w:t>
      </w:r>
    </w:p>
    <w:p w14:paraId="25B78464">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8.1.4 甲方为乙方解决现场人员正常开展工作的开发测试系统环境和场地。</w:t>
      </w:r>
    </w:p>
    <w:p w14:paraId="2FE00E21">
      <w:pPr>
        <w:spacing w:line="360" w:lineRule="auto"/>
        <w:ind w:firstLine="420" w:firstLineChars="200"/>
        <w:outlineLvl w:val="2"/>
        <w:rPr>
          <w:rFonts w:hint="eastAsia" w:ascii="宋体" w:hAnsi="宋体" w:eastAsia="宋体" w:cs="宋体"/>
          <w:color w:val="auto"/>
          <w:spacing w:val="0"/>
          <w:sz w:val="21"/>
          <w:szCs w:val="21"/>
          <w:highlight w:val="none"/>
        </w:rPr>
      </w:pPr>
      <w:bookmarkStart w:id="632" w:name="_Toc6965"/>
      <w:bookmarkStart w:id="633" w:name="_Toc28773"/>
      <w:bookmarkStart w:id="634" w:name="_Toc31474"/>
      <w:r>
        <w:rPr>
          <w:rFonts w:hint="eastAsia" w:ascii="宋体" w:hAnsi="宋体" w:eastAsia="宋体" w:cs="宋体"/>
          <w:color w:val="auto"/>
          <w:spacing w:val="0"/>
          <w:sz w:val="21"/>
          <w:szCs w:val="21"/>
          <w:highlight w:val="none"/>
        </w:rPr>
        <w:t>8.2除本合同其他条款外，乙方应承担如下义务：</w:t>
      </w:r>
      <w:bookmarkEnd w:id="632"/>
      <w:bookmarkEnd w:id="633"/>
      <w:bookmarkEnd w:id="634"/>
    </w:p>
    <w:p w14:paraId="6C4FAB5D">
      <w:pPr>
        <w:pStyle w:val="13"/>
        <w:tabs>
          <w:tab w:val="left" w:pos="0"/>
        </w:tabs>
        <w:spacing w:line="360" w:lineRule="auto"/>
        <w:ind w:left="-2" w:leftChars="-1"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遵守法律法规及银行业金融机构内部管理制度</w:t>
      </w:r>
      <w:r>
        <w:rPr>
          <w:rFonts w:hint="eastAsia" w:ascii="宋体" w:hAnsi="宋体" w:eastAsia="宋体" w:cs="宋体"/>
          <w:color w:val="auto"/>
          <w:sz w:val="21"/>
          <w:szCs w:val="21"/>
          <w:highlight w:val="none"/>
          <w:lang w:eastAsia="zh-CN"/>
        </w:rPr>
        <w:t>及规定</w:t>
      </w:r>
      <w:r>
        <w:rPr>
          <w:rFonts w:hint="eastAsia" w:ascii="宋体" w:hAnsi="宋体" w:eastAsia="宋体" w:cs="宋体"/>
          <w:color w:val="auto"/>
          <w:sz w:val="21"/>
          <w:szCs w:val="21"/>
          <w:highlight w:val="none"/>
        </w:rPr>
        <w:t>，贯彻执行相关监管政策。</w:t>
      </w:r>
    </w:p>
    <w:p w14:paraId="3E8A8198">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1D609624">
      <w:pPr>
        <w:spacing w:line="360" w:lineRule="auto"/>
        <w:ind w:firstLine="420" w:firstLineChars="200"/>
        <w:outlineLvl w:val="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8.2.3 负责在甲方的环境内安装并调试实施项目。</w:t>
      </w:r>
    </w:p>
    <w:p w14:paraId="7835802B">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8.2.4 指派一名项目主要负责人参加甲、乙双方为本项目召开的会议并协调相关工作和签署有关文件。</w:t>
      </w:r>
    </w:p>
    <w:p w14:paraId="63877B66">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8.2.5 指派独立于开发团队的测试人员负责项目系统测试，并承诺按照甲方质量管理要求完成项目系统测试、性能测试、安全测试等。</w:t>
      </w:r>
    </w:p>
    <w:p w14:paraId="42F39A77">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8.2.6 按照本合同的约定向甲方提供相关技术资料并提供技术指导。</w:t>
      </w:r>
    </w:p>
    <w:p w14:paraId="10B3FFEA">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8.2.7乙方需为甲方提供持续的项目风险识别和控制措施，并按甲方要求提供公司财务分析报告、项目进度报告以及重大事项报告等。</w:t>
      </w:r>
    </w:p>
    <w:p w14:paraId="017D4A3D">
      <w:pPr>
        <w:spacing w:line="360" w:lineRule="auto"/>
        <w:ind w:firstLine="420" w:firstLineChars="200"/>
        <w:rPr>
          <w:rFonts w:hint="eastAsia" w:ascii="宋体" w:hAnsi="宋体" w:eastAsia="宋体" w:cs="宋体"/>
          <w:color w:val="auto"/>
          <w:spacing w:val="0"/>
          <w:sz w:val="21"/>
          <w:szCs w:val="21"/>
          <w:highlight w:val="none"/>
          <w:lang w:val="zh-CN" w:eastAsia="zh-CN"/>
        </w:rPr>
      </w:pPr>
      <w:r>
        <w:rPr>
          <w:rFonts w:hint="eastAsia" w:ascii="宋体" w:hAnsi="宋体" w:eastAsia="宋体" w:cs="宋体"/>
          <w:color w:val="auto"/>
          <w:spacing w:val="0"/>
          <w:sz w:val="21"/>
          <w:szCs w:val="21"/>
          <w:highlight w:val="none"/>
          <w:lang w:val="zh-CN" w:eastAsia="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6FFD0B3E">
      <w:pPr>
        <w:spacing w:line="360" w:lineRule="auto"/>
        <w:ind w:firstLine="420" w:firstLineChars="200"/>
        <w:rPr>
          <w:rFonts w:hint="eastAsia" w:ascii="宋体" w:hAnsi="宋体" w:eastAsia="宋体" w:cs="宋体"/>
          <w:color w:val="auto"/>
          <w:spacing w:val="0"/>
          <w:sz w:val="21"/>
          <w:szCs w:val="21"/>
          <w:highlight w:val="none"/>
          <w:lang w:val="zh-CN" w:eastAsia="zh-CN"/>
        </w:rPr>
      </w:pPr>
      <w:r>
        <w:rPr>
          <w:rFonts w:hint="eastAsia" w:ascii="宋体" w:hAnsi="宋体" w:eastAsia="宋体" w:cs="宋体"/>
          <w:color w:val="auto"/>
          <w:spacing w:val="0"/>
          <w:sz w:val="21"/>
          <w:szCs w:val="21"/>
          <w:highlight w:val="none"/>
          <w:lang w:val="zh-CN" w:eastAsia="zh-CN"/>
        </w:rPr>
        <w:t>8.2.9 乙方应针对服务内容为甲方制定业务连续性计划和应急计划并维护好相关资源，在服务质量不能满足合同要求时，甲方具有优先获取服务资源的权利。</w:t>
      </w:r>
    </w:p>
    <w:p w14:paraId="6DA69719">
      <w:pPr>
        <w:spacing w:line="360" w:lineRule="auto"/>
        <w:ind w:firstLine="420" w:firstLineChars="200"/>
        <w:rPr>
          <w:rFonts w:hint="eastAsia" w:ascii="宋体" w:hAnsi="宋体" w:eastAsia="宋体" w:cs="宋体"/>
          <w:color w:val="auto"/>
          <w:spacing w:val="0"/>
          <w:sz w:val="21"/>
          <w:szCs w:val="21"/>
          <w:highlight w:val="none"/>
          <w:lang w:val="zh-CN" w:eastAsia="zh-CN"/>
        </w:rPr>
      </w:pPr>
      <w:r>
        <w:rPr>
          <w:rFonts w:hint="eastAsia" w:ascii="宋体" w:hAnsi="宋体" w:eastAsia="宋体" w:cs="宋体"/>
          <w:color w:val="auto"/>
          <w:spacing w:val="0"/>
          <w:sz w:val="21"/>
          <w:szCs w:val="21"/>
          <w:highlight w:val="none"/>
          <w:lang w:val="zh-CN" w:eastAsia="zh-CN"/>
        </w:rPr>
        <w:t>8.2.10 乙方应当自己完成本合同项下的</w:t>
      </w:r>
      <w:r>
        <w:rPr>
          <w:rFonts w:hint="eastAsia" w:ascii="宋体" w:hAnsi="宋体" w:eastAsia="宋体" w:cs="宋体"/>
          <w:color w:val="auto"/>
          <w:spacing w:val="0"/>
          <w:sz w:val="21"/>
          <w:szCs w:val="21"/>
          <w:highlight w:val="none"/>
        </w:rPr>
        <w:t>开发、测试或维护</w:t>
      </w:r>
      <w:r>
        <w:rPr>
          <w:rFonts w:hint="eastAsia" w:ascii="宋体" w:hAnsi="宋体" w:eastAsia="宋体" w:cs="宋体"/>
          <w:color w:val="auto"/>
          <w:spacing w:val="0"/>
          <w:sz w:val="21"/>
          <w:szCs w:val="21"/>
          <w:highlight w:val="none"/>
          <w:lang w:val="zh-CN" w:eastAsia="zh-CN"/>
        </w:rPr>
        <w:t>等工作，而不得分包给任何第三方，也不得进行转包或变相转包。</w:t>
      </w:r>
    </w:p>
    <w:p w14:paraId="5E485509">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8.2.11 </w:t>
      </w:r>
      <w:r>
        <w:rPr>
          <w:rFonts w:hint="eastAsia" w:ascii="宋体" w:hAnsi="宋体" w:eastAsia="宋体" w:cs="宋体"/>
          <w:bCs/>
          <w:color w:val="auto"/>
          <w:spacing w:val="0"/>
          <w:sz w:val="21"/>
          <w:szCs w:val="21"/>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1F3CF2FD">
      <w:pPr>
        <w:spacing w:line="360" w:lineRule="auto"/>
        <w:ind w:firstLine="420" w:firstLineChars="200"/>
        <w:rPr>
          <w:rFonts w:hint="eastAsia" w:ascii="宋体" w:hAnsi="宋体" w:eastAsia="宋体" w:cs="宋体"/>
          <w:color w:val="auto"/>
          <w:spacing w:val="0"/>
          <w:sz w:val="21"/>
          <w:szCs w:val="21"/>
          <w:highlight w:val="none"/>
          <w:lang w:eastAsia="zh-CN"/>
        </w:rPr>
      </w:pPr>
    </w:p>
    <w:p w14:paraId="532CF056">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35" w:name="_Toc30023"/>
      <w:bookmarkStart w:id="636" w:name="_Toc864"/>
      <w:bookmarkStart w:id="637" w:name="_Toc63757465"/>
      <w:bookmarkStart w:id="638" w:name="_Toc25701"/>
      <w:r>
        <w:rPr>
          <w:rFonts w:hint="eastAsia" w:ascii="宋体" w:hAnsi="宋体" w:eastAsia="宋体" w:cs="宋体"/>
          <w:b/>
          <w:color w:val="auto"/>
          <w:spacing w:val="0"/>
          <w:sz w:val="21"/>
          <w:szCs w:val="21"/>
          <w:highlight w:val="none"/>
        </w:rPr>
        <w:t>第九条  乙方的声明与保证</w:t>
      </w:r>
      <w:bookmarkEnd w:id="635"/>
      <w:bookmarkEnd w:id="636"/>
      <w:bookmarkEnd w:id="637"/>
      <w:bookmarkEnd w:id="638"/>
    </w:p>
    <w:p w14:paraId="7BD2DEAE">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乙方向甲方做出如下声明与保证：</w:t>
      </w:r>
    </w:p>
    <w:p w14:paraId="23855034">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9.1乙方完全具有本合同项下项目实施的技术资质与实力，包括开发技术人员、硬件设施等。</w:t>
      </w:r>
    </w:p>
    <w:p w14:paraId="2F46FE99">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9.2乙方已对照本合同附件一中甲方确认的需求，确认乙方的设计方案已经涵盖了设计需求的各方面，并且乙方实施的产品是先进的、适用的、兼容的，能够满足甲方核心业务扩展的需求。</w:t>
      </w:r>
    </w:p>
    <w:p w14:paraId="2B7FE44E">
      <w:pPr>
        <w:spacing w:line="360" w:lineRule="auto"/>
        <w:ind w:firstLine="420" w:firstLineChars="200"/>
        <w:rPr>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kern w:val="0"/>
          <w:sz w:val="21"/>
          <w:szCs w:val="21"/>
          <w:highlight w:val="none"/>
        </w:rPr>
        <w:t>9.3乙方在本项目中【使用/未使用】第三方产品，包括第三方SDK、小程序、软件、开源组件等，（若选择【使用】请列举）例：第三方SDK：XXXX、XXX；第三方小程序：XXX等。</w:t>
      </w:r>
      <w:r>
        <w:rPr>
          <w:rFonts w:hint="eastAsia" w:ascii="宋体" w:hAnsi="宋体" w:eastAsia="宋体" w:cs="宋体"/>
          <w:color w:val="auto"/>
          <w:spacing w:val="0"/>
          <w:sz w:val="21"/>
          <w:szCs w:val="21"/>
          <w:highlight w:val="none"/>
        </w:rPr>
        <w:t>若乙方在项目中使用了第三方产品，乙方须按如下要求执行：</w:t>
      </w:r>
    </w:p>
    <w:p w14:paraId="76728A39">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（1）针对第三方SDK：乙方应开展安全评估和个人信息保护评估，并提供无中高风险的评估报告；</w:t>
      </w:r>
    </w:p>
    <w:p w14:paraId="66BC25B4">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（2）针对第三方小程序：乙方应开展安全评估，并提供无中高风险漏洞的安全评估报告。</w:t>
      </w:r>
    </w:p>
    <w:p w14:paraId="33674970">
      <w:pPr>
        <w:spacing w:line="360" w:lineRule="auto"/>
        <w:ind w:firstLine="420" w:firstLineChars="200"/>
        <w:rPr>
          <w:rStyle w:val="40"/>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sz w:val="21"/>
          <w:szCs w:val="21"/>
          <w:highlight w:val="none"/>
        </w:rPr>
        <w:t>（3）若</w:t>
      </w:r>
      <w:r>
        <w:rPr>
          <w:rStyle w:val="40"/>
          <w:rFonts w:hint="eastAsia" w:ascii="宋体" w:hAnsi="宋体" w:eastAsia="宋体" w:cs="宋体"/>
          <w:color w:val="auto"/>
          <w:spacing w:val="0"/>
          <w:kern w:val="0"/>
          <w:sz w:val="21"/>
          <w:szCs w:val="21"/>
          <w:highlight w:val="none"/>
        </w:rPr>
        <w:t>第三方产品出现安全漏洞</w:t>
      </w:r>
      <w:r>
        <w:rPr>
          <w:rFonts w:hint="eastAsia" w:ascii="宋体" w:hAnsi="宋体" w:eastAsia="宋体" w:cs="宋体"/>
          <w:color w:val="auto"/>
          <w:spacing w:val="0"/>
          <w:sz w:val="21"/>
          <w:szCs w:val="21"/>
          <w:highlight w:val="none"/>
        </w:rPr>
        <w:t>或违反个人信息保护相关法规，</w:t>
      </w:r>
      <w:r>
        <w:rPr>
          <w:rStyle w:val="40"/>
          <w:rFonts w:hint="eastAsia" w:ascii="宋体" w:hAnsi="宋体" w:eastAsia="宋体" w:cs="宋体"/>
          <w:color w:val="auto"/>
          <w:spacing w:val="0"/>
          <w:kern w:val="0"/>
          <w:sz w:val="21"/>
          <w:szCs w:val="21"/>
          <w:highlight w:val="none"/>
        </w:rPr>
        <w:t>甲方有权要求乙方进行修复，若因此给甲方造成损失的，甲方有权随时向乙方追偿。</w:t>
      </w:r>
    </w:p>
    <w:p w14:paraId="66523DC5">
      <w:pPr>
        <w:spacing w:line="360" w:lineRule="auto"/>
        <w:ind w:firstLine="420" w:firstLineChars="200"/>
        <w:rPr>
          <w:rStyle w:val="40"/>
          <w:rFonts w:hint="eastAsia" w:ascii="宋体" w:hAnsi="宋体" w:eastAsia="宋体" w:cs="宋体"/>
          <w:color w:val="auto"/>
          <w:spacing w:val="0"/>
          <w:kern w:val="0"/>
          <w:sz w:val="21"/>
          <w:szCs w:val="21"/>
          <w:highlight w:val="none"/>
        </w:rPr>
      </w:pPr>
      <w:r>
        <w:rPr>
          <w:rStyle w:val="40"/>
          <w:rFonts w:hint="eastAsia" w:ascii="宋体" w:hAnsi="宋体" w:eastAsia="宋体" w:cs="宋体"/>
          <w:color w:val="auto"/>
          <w:spacing w:val="0"/>
          <w:kern w:val="0"/>
          <w:sz w:val="21"/>
          <w:szCs w:val="21"/>
          <w:highlight w:val="none"/>
        </w:rPr>
        <w:t>9.4乙方保证向甲方提供的项目产品（含第三方产品）的安全性、合规性，保证无恶意脚本、后门及恶意漏洞，不携带任何病毒，不越权收集、处理客户信息。</w:t>
      </w:r>
    </w:p>
    <w:p w14:paraId="63A389DB">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9.5乙方向甲方提供的产品和服务不会有任何第三方主张权利，也不会侵害任何第三方的合法权益，包括知识产权。</w:t>
      </w:r>
    </w:p>
    <w:p w14:paraId="468568D3">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9.6乙方保证遵守甲方《重庆三峡银行员工回避管理办法》中招录回避、任职回避、公务回避的相关要求。若发现乙方人员与甲方内部人员存在亲属关系，乙方应主动报告，并采取相应回避措施。</w:t>
      </w:r>
    </w:p>
    <w:p w14:paraId="7DE2B1BB">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9.7 乙方保证其人员无不良记录，服务商与其建立合法的雇佣关系，依法履行用工管理职责。</w:t>
      </w:r>
    </w:p>
    <w:p w14:paraId="2030391F">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9.8 乙方定期通报外包事项，及时通报外包突发性事件及解决情况。</w:t>
      </w:r>
    </w:p>
    <w:p w14:paraId="1CC16282">
      <w:pPr>
        <w:spacing w:line="360" w:lineRule="auto"/>
        <w:ind w:left="560" w:hanging="560" w:firstLineChars="0"/>
        <w:rPr>
          <w:rFonts w:hint="eastAsia" w:ascii="宋体" w:hAnsi="宋体" w:eastAsia="宋体" w:cs="宋体"/>
          <w:color w:val="auto"/>
          <w:spacing w:val="0"/>
          <w:sz w:val="21"/>
          <w:szCs w:val="21"/>
          <w:highlight w:val="none"/>
        </w:rPr>
      </w:pPr>
    </w:p>
    <w:p w14:paraId="199B2AF2">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39" w:name="_Toc19098"/>
      <w:bookmarkStart w:id="640" w:name="_Toc28918"/>
      <w:bookmarkStart w:id="641" w:name="_Toc432"/>
      <w:bookmarkStart w:id="642" w:name="_Toc63757466"/>
      <w:r>
        <w:rPr>
          <w:rFonts w:hint="eastAsia" w:ascii="宋体" w:hAnsi="宋体" w:eastAsia="宋体" w:cs="宋体"/>
          <w:b/>
          <w:color w:val="auto"/>
          <w:spacing w:val="0"/>
          <w:sz w:val="21"/>
          <w:szCs w:val="21"/>
          <w:highlight w:val="none"/>
        </w:rPr>
        <w:t>第十条  知识产权</w:t>
      </w:r>
      <w:bookmarkEnd w:id="639"/>
      <w:bookmarkEnd w:id="640"/>
      <w:bookmarkEnd w:id="641"/>
      <w:bookmarkEnd w:id="642"/>
    </w:p>
    <w:p w14:paraId="57B02B52">
      <w:pPr>
        <w:spacing w:line="360" w:lineRule="auto"/>
        <w:ind w:firstLine="420" w:firstLineChars="200"/>
        <w:rPr>
          <w:rStyle w:val="40"/>
          <w:rFonts w:hint="eastAsia" w:ascii="宋体" w:hAnsi="宋体" w:eastAsia="宋体" w:cs="宋体"/>
          <w:color w:val="auto"/>
          <w:spacing w:val="0"/>
          <w:kern w:val="0"/>
          <w:sz w:val="21"/>
          <w:szCs w:val="21"/>
          <w:highlight w:val="none"/>
        </w:rPr>
      </w:pPr>
      <w:r>
        <w:rPr>
          <w:rStyle w:val="40"/>
          <w:rFonts w:hint="eastAsia" w:ascii="宋体" w:hAnsi="宋体" w:eastAsia="宋体" w:cs="宋体"/>
          <w:color w:val="auto"/>
          <w:spacing w:val="0"/>
          <w:kern w:val="0"/>
          <w:sz w:val="21"/>
          <w:szCs w:val="21"/>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78321821">
      <w:pPr>
        <w:spacing w:line="360" w:lineRule="auto"/>
        <w:ind w:firstLine="420" w:firstLineChars="200"/>
        <w:rPr>
          <w:rStyle w:val="40"/>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10.2 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198CD039">
      <w:pPr>
        <w:spacing w:line="360" w:lineRule="auto"/>
        <w:ind w:firstLine="420" w:firstLineChars="200"/>
        <w:rPr>
          <w:rStyle w:val="40"/>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10.3乙方应将有关资料（数据库设计文件、技术文件和用户手册等全部资料）在甲方要求期限内，按国家有关项目开发标准以文字等载体的形式交给甲方，甲方拥有永久的使用权。</w:t>
      </w:r>
      <w:r>
        <w:rPr>
          <w:rStyle w:val="40"/>
          <w:rFonts w:hint="eastAsia" w:ascii="宋体" w:hAnsi="宋体" w:eastAsia="宋体" w:cs="宋体"/>
          <w:color w:val="auto"/>
          <w:spacing w:val="0"/>
          <w:sz w:val="21"/>
          <w:szCs w:val="21"/>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75FF755E">
      <w:pPr>
        <w:spacing w:line="360" w:lineRule="auto"/>
        <w:ind w:firstLine="420" w:firstLineChars="200"/>
        <w:rPr>
          <w:rStyle w:val="40"/>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sz w:val="21"/>
          <w:szCs w:val="21"/>
          <w:highlight w:val="none"/>
        </w:rPr>
        <w:t>10.4本项目客户化源代码的知识产权归甲方单独所有，其余部分归双方共有。</w:t>
      </w:r>
    </w:p>
    <w:p w14:paraId="30EA73A2">
      <w:pPr>
        <w:spacing w:line="360" w:lineRule="auto"/>
        <w:ind w:firstLine="420" w:firstLineChars="200"/>
        <w:rPr>
          <w:rStyle w:val="40"/>
          <w:rFonts w:hint="eastAsia" w:ascii="宋体" w:hAnsi="宋体" w:eastAsia="宋体" w:cs="宋体"/>
          <w:color w:val="auto"/>
          <w:spacing w:val="0"/>
          <w:kern w:val="0"/>
          <w:sz w:val="21"/>
          <w:szCs w:val="21"/>
          <w:highlight w:val="none"/>
        </w:rPr>
      </w:pPr>
      <w:r>
        <w:rPr>
          <w:rStyle w:val="40"/>
          <w:rFonts w:hint="eastAsia" w:ascii="宋体" w:hAnsi="宋体" w:eastAsia="宋体" w:cs="宋体"/>
          <w:color w:val="auto"/>
          <w:spacing w:val="0"/>
          <w:sz w:val="21"/>
          <w:szCs w:val="21"/>
          <w:highlight w:val="none"/>
        </w:rPr>
        <w:t>10.4.1</w:t>
      </w:r>
      <w:r>
        <w:rPr>
          <w:rStyle w:val="40"/>
          <w:rFonts w:hint="eastAsia" w:ascii="宋体" w:hAnsi="宋体" w:eastAsia="宋体" w:cs="宋体"/>
          <w:color w:val="auto"/>
          <w:spacing w:val="0"/>
          <w:kern w:val="0"/>
          <w:sz w:val="21"/>
          <w:szCs w:val="21"/>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25491F37">
      <w:pPr>
        <w:spacing w:line="360" w:lineRule="auto"/>
        <w:ind w:firstLine="420" w:firstLineChars="200"/>
        <w:rPr>
          <w:rStyle w:val="40"/>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sz w:val="21"/>
          <w:szCs w:val="21"/>
          <w:highlight w:val="none"/>
        </w:rPr>
        <w:t>10.4.2针对共有部分，甲方拥有在甲方及其分支机构使用及后续开发的权利，</w:t>
      </w:r>
      <w:r>
        <w:rPr>
          <w:rFonts w:hint="eastAsia" w:ascii="宋体" w:hAnsi="宋体" w:eastAsia="宋体" w:cs="宋体"/>
          <w:color w:val="auto"/>
          <w:spacing w:val="0"/>
          <w:sz w:val="21"/>
          <w:szCs w:val="21"/>
          <w:highlight w:val="none"/>
        </w:rPr>
        <w:t>甲方在乙方交付的系统版本上进行自主开发或交由第三方公司开发，开发成果的知识产权归甲方所有。</w:t>
      </w:r>
      <w:r>
        <w:rPr>
          <w:rStyle w:val="40"/>
          <w:rFonts w:hint="eastAsia" w:ascii="宋体" w:hAnsi="宋体" w:eastAsia="宋体" w:cs="宋体"/>
          <w:color w:val="auto"/>
          <w:spacing w:val="0"/>
          <w:sz w:val="21"/>
          <w:szCs w:val="21"/>
          <w:highlight w:val="none"/>
        </w:rPr>
        <w:t>乙方拥有在其公司和其他组织范围内使用的权利，但乙方使用时不得侵犯甲方利益。</w:t>
      </w:r>
    </w:p>
    <w:p w14:paraId="49741794">
      <w:pPr>
        <w:spacing w:line="360" w:lineRule="auto"/>
        <w:ind w:firstLine="420" w:firstLineChars="200"/>
        <w:rPr>
          <w:rStyle w:val="40"/>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sz w:val="21"/>
          <w:szCs w:val="21"/>
          <w:highlight w:val="none"/>
        </w:rPr>
        <w:t>10.4.3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24351D2E">
      <w:pPr>
        <w:spacing w:line="360" w:lineRule="auto"/>
        <w:ind w:firstLine="420" w:firstLineChars="200"/>
        <w:rPr>
          <w:rFonts w:hint="eastAsia" w:ascii="宋体" w:hAnsi="宋体" w:eastAsia="宋体" w:cs="宋体"/>
          <w:color w:val="auto"/>
          <w:spacing w:val="0"/>
          <w:kern w:val="0"/>
          <w:sz w:val="21"/>
          <w:szCs w:val="21"/>
          <w:highlight w:val="none"/>
        </w:rPr>
      </w:pPr>
    </w:p>
    <w:p w14:paraId="76C84BDC">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43" w:name="_Toc14287"/>
      <w:bookmarkStart w:id="644" w:name="_Toc63757467"/>
      <w:bookmarkStart w:id="645" w:name="_Toc4513"/>
      <w:bookmarkStart w:id="646" w:name="_Toc16683"/>
      <w:r>
        <w:rPr>
          <w:rFonts w:hint="eastAsia" w:ascii="宋体" w:hAnsi="宋体" w:eastAsia="宋体" w:cs="宋体"/>
          <w:b/>
          <w:color w:val="auto"/>
          <w:spacing w:val="0"/>
          <w:sz w:val="21"/>
          <w:szCs w:val="21"/>
          <w:highlight w:val="none"/>
        </w:rPr>
        <w:t>第十一条  第三方索赔</w:t>
      </w:r>
      <w:bookmarkEnd w:id="643"/>
      <w:bookmarkEnd w:id="644"/>
      <w:bookmarkEnd w:id="645"/>
      <w:bookmarkEnd w:id="646"/>
    </w:p>
    <w:p w14:paraId="17B878C1">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978D022">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11.2对于第11.1条涉及的侵权索赔，乙方将承担全部费用，包括</w:t>
      </w:r>
      <w:r>
        <w:rPr>
          <w:rStyle w:val="40"/>
          <w:rFonts w:hint="eastAsia" w:ascii="宋体" w:hAnsi="宋体" w:eastAsia="宋体" w:cs="宋体"/>
          <w:color w:val="auto"/>
          <w:spacing w:val="0"/>
          <w:kern w:val="0"/>
          <w:sz w:val="21"/>
          <w:szCs w:val="21"/>
          <w:highlight w:val="none"/>
        </w:rPr>
        <w:t>诉讼费、仲裁费、甲方支付的律师费、差旅住宿费、公证费、鉴定费、调解费及仲裁裁决、法院判决或调解协议中由甲方承担的赔偿金。</w:t>
      </w:r>
    </w:p>
    <w:p w14:paraId="3C45926B">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0"/>
          <w:rFonts w:hint="eastAsia" w:ascii="宋体" w:hAnsi="宋体" w:eastAsia="宋体" w:cs="宋体"/>
          <w:color w:val="auto"/>
          <w:spacing w:val="0"/>
          <w:kern w:val="0"/>
          <w:sz w:val="21"/>
          <w:szCs w:val="21"/>
          <w:highlight w:val="none"/>
        </w:rPr>
        <w:t>部损失</w:t>
      </w:r>
      <w:r>
        <w:rPr>
          <w:rFonts w:hint="eastAsia" w:ascii="宋体" w:hAnsi="宋体" w:eastAsia="宋体" w:cs="宋体"/>
          <w:color w:val="auto"/>
          <w:spacing w:val="0"/>
          <w:sz w:val="21"/>
          <w:szCs w:val="21"/>
          <w:highlight w:val="none"/>
        </w:rPr>
        <w:t>。</w:t>
      </w:r>
    </w:p>
    <w:p w14:paraId="422C5090">
      <w:pPr>
        <w:spacing w:line="360" w:lineRule="auto"/>
        <w:ind w:firstLine="420" w:firstLineChars="200"/>
        <w:outlineLvl w:val="2"/>
        <w:rPr>
          <w:rFonts w:hint="eastAsia" w:ascii="宋体" w:hAnsi="宋体" w:eastAsia="宋体" w:cs="宋体"/>
          <w:color w:val="auto"/>
          <w:spacing w:val="0"/>
          <w:sz w:val="21"/>
          <w:szCs w:val="21"/>
          <w:highlight w:val="none"/>
        </w:rPr>
      </w:pPr>
      <w:bookmarkStart w:id="647" w:name="_Toc4043"/>
      <w:bookmarkStart w:id="648" w:name="_Toc27364"/>
      <w:bookmarkStart w:id="649" w:name="_Toc21190"/>
      <w:r>
        <w:rPr>
          <w:rFonts w:hint="eastAsia" w:ascii="宋体" w:hAnsi="宋体" w:eastAsia="宋体" w:cs="宋体"/>
          <w:color w:val="auto"/>
          <w:spacing w:val="0"/>
          <w:sz w:val="21"/>
          <w:szCs w:val="21"/>
          <w:highlight w:val="none"/>
        </w:rPr>
        <w:t>11.4乙方对由以下非乙方的过错引起的侵权索赔不承担责任：</w:t>
      </w:r>
      <w:bookmarkEnd w:id="647"/>
      <w:bookmarkEnd w:id="648"/>
      <w:bookmarkEnd w:id="649"/>
    </w:p>
    <w:p w14:paraId="0C3F03CF">
      <w:pPr>
        <w:spacing w:line="360" w:lineRule="auto"/>
        <w:ind w:firstLine="420" w:firstLineChars="200"/>
        <w:outlineLvl w:val="3"/>
        <w:rPr>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kern w:val="0"/>
          <w:sz w:val="21"/>
          <w:szCs w:val="21"/>
          <w:highlight w:val="none"/>
        </w:rPr>
        <w:t>11.4.1 甲方使用不当所造成的侵权。</w:t>
      </w:r>
    </w:p>
    <w:p w14:paraId="5DC49205">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11.4.2 因甲方或第三方对开发软件或资料进行修改所直接造成的侵权。</w:t>
      </w:r>
    </w:p>
    <w:p w14:paraId="68B685E0">
      <w:pPr>
        <w:spacing w:line="360" w:lineRule="auto"/>
        <w:ind w:left="840" w:hanging="840" w:firstLineChars="0"/>
        <w:rPr>
          <w:rFonts w:hint="eastAsia" w:ascii="宋体" w:hAnsi="宋体" w:eastAsia="宋体" w:cs="宋体"/>
          <w:color w:val="auto"/>
          <w:spacing w:val="0"/>
          <w:sz w:val="21"/>
          <w:szCs w:val="21"/>
          <w:highlight w:val="none"/>
        </w:rPr>
      </w:pPr>
    </w:p>
    <w:p w14:paraId="664F1EE2">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50" w:name="_Toc2856"/>
      <w:bookmarkStart w:id="651" w:name="_Toc790"/>
      <w:bookmarkStart w:id="652" w:name="_Toc63757468"/>
      <w:bookmarkStart w:id="653" w:name="_Toc22390"/>
      <w:r>
        <w:rPr>
          <w:rFonts w:hint="eastAsia" w:ascii="宋体" w:hAnsi="宋体" w:eastAsia="宋体" w:cs="宋体"/>
          <w:b/>
          <w:color w:val="auto"/>
          <w:spacing w:val="0"/>
          <w:sz w:val="21"/>
          <w:szCs w:val="21"/>
          <w:highlight w:val="none"/>
        </w:rPr>
        <w:t>第十二条  保密</w:t>
      </w:r>
      <w:bookmarkEnd w:id="650"/>
      <w:bookmarkEnd w:id="651"/>
      <w:bookmarkEnd w:id="652"/>
      <w:bookmarkEnd w:id="653"/>
    </w:p>
    <w:p w14:paraId="14DFB062">
      <w:pPr>
        <w:spacing w:line="360" w:lineRule="auto"/>
        <w:ind w:firstLine="420" w:firstLineChars="200"/>
        <w:rPr>
          <w:rFonts w:hint="eastAsia" w:ascii="宋体" w:hAnsi="宋体" w:eastAsia="宋体" w:cs="宋体"/>
          <w:bCs/>
          <w:color w:val="auto"/>
          <w:spacing w:val="0"/>
          <w:kern w:val="0"/>
          <w:sz w:val="21"/>
          <w:szCs w:val="21"/>
          <w:highlight w:val="none"/>
        </w:rPr>
      </w:pPr>
      <w:r>
        <w:rPr>
          <w:rFonts w:hint="eastAsia" w:ascii="宋体" w:hAnsi="宋体" w:eastAsia="宋体" w:cs="宋体"/>
          <w:bCs/>
          <w:color w:val="auto"/>
          <w:spacing w:val="0"/>
          <w:kern w:val="0"/>
          <w:sz w:val="21"/>
          <w:szCs w:val="21"/>
          <w:highlight w:val="none"/>
        </w:rPr>
        <w:t>12.1乙方须对本合同项下的所有条款保密。乙方人员入场前须与甲方签订相应诚信安全承诺书。</w:t>
      </w:r>
    </w:p>
    <w:p w14:paraId="65450E2E">
      <w:pPr>
        <w:tabs>
          <w:tab w:val="left" w:pos="1134"/>
        </w:tabs>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12.2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18A65A9E">
      <w:pPr>
        <w:spacing w:line="360" w:lineRule="auto"/>
        <w:ind w:firstLine="420" w:firstLineChars="200"/>
        <w:rPr>
          <w:rFonts w:hint="eastAsia" w:ascii="宋体" w:hAnsi="宋体" w:eastAsia="宋体" w:cs="宋体"/>
          <w:bCs/>
          <w:color w:val="auto"/>
          <w:spacing w:val="0"/>
          <w:kern w:val="0"/>
          <w:sz w:val="21"/>
          <w:szCs w:val="21"/>
          <w:highlight w:val="none"/>
        </w:rPr>
      </w:pPr>
      <w:r>
        <w:rPr>
          <w:rFonts w:hint="eastAsia" w:ascii="宋体" w:hAnsi="宋体" w:eastAsia="宋体" w:cs="宋体"/>
          <w:bCs/>
          <w:color w:val="auto"/>
          <w:spacing w:val="0"/>
          <w:kern w:val="0"/>
          <w:sz w:val="21"/>
          <w:szCs w:val="21"/>
          <w:highlight w:val="none"/>
        </w:rPr>
        <w:t>12.3 乙方不得以甲方名义开展活动，不得将甲方数据、信息以任何形式转移、挪用或谋取合同约定以外的利益。</w:t>
      </w:r>
    </w:p>
    <w:p w14:paraId="4E1E5584">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12.4乙方知道违反本条规定将给甲方客户权利以及甲方造成难以弥补的损失，为此同意承担由此产生的经济上和法律上的责任和损失。</w:t>
      </w:r>
    </w:p>
    <w:p w14:paraId="37A84233">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12.5乙方承认本合同中的技术资料和技术秘密为甲方所专有，将其对乙方进行披露并不意味着任何所有权、专利权的转让。</w:t>
      </w:r>
    </w:p>
    <w:p w14:paraId="4C557E8F">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910F9C4">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7BFF3C3">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12.8除非甲方特别声明，乙方对于保密信息的保密义务为无限期保密，直至甲方宣布解密或者保密信息实际上已经公开。</w:t>
      </w:r>
    </w:p>
    <w:p w14:paraId="119AFD69">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12.9 本合同项下乙方人员行为视为乙方行为，乙方应承担全部责任及损失。当客户信息不安全或客户权利受到重大不利影响时，甲方有权随时终止合同。</w:t>
      </w:r>
    </w:p>
    <w:p w14:paraId="023375E1">
      <w:pPr>
        <w:spacing w:line="360" w:lineRule="auto"/>
        <w:ind w:left="1260" w:leftChars="200" w:hanging="840" w:hangingChars="400"/>
        <w:rPr>
          <w:rFonts w:hint="eastAsia" w:ascii="宋体" w:hAnsi="宋体" w:eastAsia="宋体" w:cs="宋体"/>
          <w:color w:val="auto"/>
          <w:spacing w:val="0"/>
          <w:sz w:val="21"/>
          <w:szCs w:val="21"/>
          <w:highlight w:val="none"/>
        </w:rPr>
      </w:pPr>
    </w:p>
    <w:p w14:paraId="75CF3703">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54" w:name="_Toc13208"/>
      <w:bookmarkStart w:id="655" w:name="_Toc27196"/>
      <w:bookmarkStart w:id="656" w:name="_Toc30727"/>
      <w:bookmarkStart w:id="657" w:name="_Toc63757469"/>
      <w:r>
        <w:rPr>
          <w:rFonts w:hint="eastAsia" w:ascii="宋体" w:hAnsi="宋体" w:eastAsia="宋体" w:cs="宋体"/>
          <w:b/>
          <w:color w:val="auto"/>
          <w:spacing w:val="0"/>
          <w:sz w:val="21"/>
          <w:szCs w:val="21"/>
          <w:highlight w:val="none"/>
        </w:rPr>
        <w:t>第十三条  价格与支付</w:t>
      </w:r>
      <w:bookmarkEnd w:id="654"/>
      <w:bookmarkEnd w:id="655"/>
      <w:bookmarkEnd w:id="656"/>
      <w:bookmarkEnd w:id="657"/>
    </w:p>
    <w:p w14:paraId="27D7CCDB">
      <w:pPr>
        <w:spacing w:line="360" w:lineRule="auto"/>
        <w:ind w:firstLine="420" w:firstLineChars="200"/>
        <w:jc w:val="left"/>
        <w:rPr>
          <w:rStyle w:val="40"/>
          <w:rFonts w:hint="eastAsia" w:ascii="宋体" w:hAnsi="宋体" w:eastAsia="宋体" w:cs="宋体"/>
          <w:color w:val="auto"/>
          <w:spacing w:val="0"/>
          <w:kern w:val="0"/>
          <w:sz w:val="21"/>
          <w:szCs w:val="21"/>
          <w:highlight w:val="none"/>
        </w:rPr>
      </w:pPr>
      <w:r>
        <w:rPr>
          <w:rStyle w:val="40"/>
          <w:rFonts w:hint="eastAsia" w:ascii="宋体" w:hAnsi="宋体" w:eastAsia="宋体" w:cs="宋体"/>
          <w:color w:val="auto"/>
          <w:spacing w:val="0"/>
          <w:kern w:val="0"/>
          <w:sz w:val="21"/>
          <w:szCs w:val="21"/>
          <w:highlight w:val="none"/>
        </w:rPr>
        <w:t>13.1本项目产品实施总金额（价税合计）为</w:t>
      </w:r>
      <w:r>
        <w:rPr>
          <w:rStyle w:val="40"/>
          <w:rFonts w:hint="eastAsia" w:ascii="宋体" w:hAnsi="宋体" w:eastAsia="宋体" w:cs="宋体"/>
          <w:color w:val="auto"/>
          <w:spacing w:val="0"/>
          <w:kern w:val="0"/>
          <w:sz w:val="21"/>
          <w:szCs w:val="21"/>
          <w:highlight w:val="none"/>
          <w:u w:val="single"/>
        </w:rPr>
        <w:t xml:space="preserve">       </w:t>
      </w:r>
      <w:r>
        <w:rPr>
          <w:rStyle w:val="40"/>
          <w:rFonts w:hint="eastAsia" w:ascii="宋体" w:hAnsi="宋体" w:eastAsia="宋体" w:cs="宋体"/>
          <w:color w:val="auto"/>
          <w:spacing w:val="0"/>
          <w:sz w:val="21"/>
          <w:szCs w:val="21"/>
          <w:highlight w:val="none"/>
          <w:u w:val="single"/>
        </w:rPr>
        <w:t>元</w:t>
      </w:r>
      <w:r>
        <w:rPr>
          <w:rStyle w:val="40"/>
          <w:rFonts w:hint="eastAsia" w:ascii="宋体" w:hAnsi="宋体" w:eastAsia="宋体" w:cs="宋体"/>
          <w:color w:val="auto"/>
          <w:spacing w:val="0"/>
          <w:kern w:val="0"/>
          <w:sz w:val="21"/>
          <w:szCs w:val="21"/>
          <w:highlight w:val="none"/>
          <w:u w:val="single"/>
        </w:rPr>
        <w:t>（大写：         元整）</w:t>
      </w:r>
      <w:r>
        <w:rPr>
          <w:rStyle w:val="40"/>
          <w:rFonts w:hint="eastAsia" w:ascii="宋体" w:hAnsi="宋体" w:eastAsia="宋体" w:cs="宋体"/>
          <w:color w:val="auto"/>
          <w:spacing w:val="0"/>
          <w:kern w:val="0"/>
          <w:sz w:val="21"/>
          <w:szCs w:val="21"/>
          <w:highlight w:val="none"/>
        </w:rPr>
        <w:t>。</w:t>
      </w:r>
      <w:r>
        <w:rPr>
          <w:rStyle w:val="40"/>
          <w:rFonts w:hint="eastAsia" w:ascii="宋体" w:hAnsi="宋体" w:eastAsia="宋体" w:cs="宋体"/>
          <w:color w:val="auto"/>
          <w:spacing w:val="0"/>
          <w:sz w:val="21"/>
          <w:szCs w:val="21"/>
          <w:highlight w:val="none"/>
        </w:rPr>
        <w:t>不含税价为：</w:t>
      </w:r>
      <w:r>
        <w:rPr>
          <w:rStyle w:val="40"/>
          <w:rFonts w:hint="eastAsia" w:ascii="宋体" w:hAnsi="宋体" w:eastAsia="宋体" w:cs="宋体"/>
          <w:color w:val="auto"/>
          <w:spacing w:val="0"/>
          <w:sz w:val="21"/>
          <w:szCs w:val="21"/>
          <w:highlight w:val="none"/>
          <w:u w:val="single"/>
        </w:rPr>
        <w:t xml:space="preserve">       元</w:t>
      </w:r>
      <w:r>
        <w:rPr>
          <w:rStyle w:val="40"/>
          <w:rFonts w:hint="eastAsia" w:ascii="宋体" w:hAnsi="宋体" w:eastAsia="宋体" w:cs="宋体"/>
          <w:color w:val="auto"/>
          <w:spacing w:val="0"/>
          <w:sz w:val="21"/>
          <w:szCs w:val="21"/>
          <w:highlight w:val="none"/>
        </w:rPr>
        <w:t>（</w:t>
      </w:r>
      <w:r>
        <w:rPr>
          <w:rStyle w:val="40"/>
          <w:rFonts w:hint="eastAsia" w:ascii="宋体" w:hAnsi="宋体" w:eastAsia="宋体" w:cs="宋体"/>
          <w:color w:val="auto"/>
          <w:spacing w:val="0"/>
          <w:sz w:val="21"/>
          <w:szCs w:val="21"/>
          <w:highlight w:val="none"/>
          <w:u w:val="single"/>
        </w:rPr>
        <w:t>大写：         整）</w:t>
      </w:r>
      <w:r>
        <w:rPr>
          <w:rStyle w:val="40"/>
          <w:rFonts w:hint="eastAsia" w:ascii="宋体" w:hAnsi="宋体" w:eastAsia="宋体" w:cs="宋体"/>
          <w:color w:val="auto"/>
          <w:spacing w:val="0"/>
          <w:sz w:val="21"/>
          <w:szCs w:val="21"/>
          <w:highlight w:val="none"/>
        </w:rPr>
        <w:t>,税额为：</w:t>
      </w:r>
      <w:r>
        <w:rPr>
          <w:rStyle w:val="40"/>
          <w:rFonts w:hint="eastAsia" w:ascii="宋体" w:hAnsi="宋体" w:eastAsia="宋体" w:cs="宋体"/>
          <w:color w:val="auto"/>
          <w:spacing w:val="0"/>
          <w:sz w:val="21"/>
          <w:szCs w:val="21"/>
          <w:highlight w:val="none"/>
          <w:u w:val="single"/>
        </w:rPr>
        <w:t xml:space="preserve">       元</w:t>
      </w:r>
      <w:r>
        <w:rPr>
          <w:rStyle w:val="40"/>
          <w:rFonts w:hint="eastAsia" w:ascii="宋体" w:hAnsi="宋体" w:eastAsia="宋体" w:cs="宋体"/>
          <w:color w:val="auto"/>
          <w:spacing w:val="0"/>
          <w:sz w:val="21"/>
          <w:szCs w:val="21"/>
          <w:highlight w:val="none"/>
        </w:rPr>
        <w:t>（</w:t>
      </w:r>
      <w:r>
        <w:rPr>
          <w:rStyle w:val="40"/>
          <w:rFonts w:hint="eastAsia" w:ascii="宋体" w:hAnsi="宋体" w:eastAsia="宋体" w:cs="宋体"/>
          <w:color w:val="auto"/>
          <w:spacing w:val="0"/>
          <w:sz w:val="21"/>
          <w:szCs w:val="21"/>
          <w:highlight w:val="none"/>
          <w:u w:val="single"/>
        </w:rPr>
        <w:t>大写：         整）</w:t>
      </w:r>
      <w:r>
        <w:rPr>
          <w:rStyle w:val="40"/>
          <w:rFonts w:hint="eastAsia" w:ascii="宋体" w:hAnsi="宋体" w:eastAsia="宋体" w:cs="宋体"/>
          <w:color w:val="auto"/>
          <w:spacing w:val="0"/>
          <w:sz w:val="21"/>
          <w:szCs w:val="21"/>
          <w:highlight w:val="none"/>
        </w:rPr>
        <w:t>；不含税价格不因国家税率变化而变化，若在合同履行期间，如遇国家的税率调整，则价税合计应相应调整，以开具发票的时间为准。</w:t>
      </w:r>
      <w:r>
        <w:rPr>
          <w:rStyle w:val="40"/>
          <w:rFonts w:hint="eastAsia" w:ascii="宋体" w:hAnsi="宋体" w:eastAsia="宋体" w:cs="宋体"/>
          <w:color w:val="auto"/>
          <w:spacing w:val="0"/>
          <w:kern w:val="0"/>
          <w:sz w:val="21"/>
          <w:szCs w:val="21"/>
          <w:highlight w:val="none"/>
        </w:rPr>
        <w:t>该金额为本合同约定项目的全部费用，除双方另有约定外，甲方无须向乙方支付其他任何费用。</w:t>
      </w:r>
    </w:p>
    <w:p w14:paraId="043DE92D">
      <w:pPr>
        <w:spacing w:line="360" w:lineRule="auto"/>
        <w:ind w:firstLine="420" w:firstLineChars="200"/>
        <w:outlineLvl w:val="2"/>
        <w:rPr>
          <w:rFonts w:hint="eastAsia" w:ascii="宋体" w:hAnsi="宋体" w:eastAsia="宋体" w:cs="宋体"/>
          <w:color w:val="auto"/>
          <w:spacing w:val="0"/>
          <w:sz w:val="21"/>
          <w:szCs w:val="21"/>
          <w:highlight w:val="none"/>
        </w:rPr>
      </w:pPr>
      <w:bookmarkStart w:id="658" w:name="_Toc10920"/>
      <w:bookmarkStart w:id="659" w:name="_Toc18349"/>
      <w:bookmarkStart w:id="660" w:name="_Toc5746"/>
      <w:r>
        <w:rPr>
          <w:rFonts w:hint="eastAsia" w:ascii="宋体" w:hAnsi="宋体" w:eastAsia="宋体" w:cs="宋体"/>
          <w:color w:val="auto"/>
          <w:spacing w:val="0"/>
          <w:sz w:val="21"/>
          <w:szCs w:val="21"/>
          <w:highlight w:val="none"/>
        </w:rPr>
        <w:t>13.2支付方式：</w:t>
      </w:r>
      <w:bookmarkEnd w:id="658"/>
      <w:bookmarkEnd w:id="659"/>
      <w:bookmarkEnd w:id="660"/>
    </w:p>
    <w:p w14:paraId="6367F6AF">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本合同实施款项采用分期付款：</w:t>
      </w:r>
    </w:p>
    <w:p w14:paraId="52425AAF">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13.2.1项目安装、调试并投入试运行后30个工作日内,乙方向甲方提供合法足额的增值税专用发票，甲方向乙方支付合同总额的60％，即</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元（大写：</w:t>
      </w:r>
      <w:r>
        <w:rPr>
          <w:rFonts w:hint="eastAsia" w:ascii="宋体" w:hAnsi="宋体" w:eastAsia="宋体" w:cs="宋体"/>
          <w:color w:val="auto"/>
          <w:spacing w:val="0"/>
          <w:sz w:val="21"/>
          <w:szCs w:val="21"/>
          <w:highlight w:val="none"/>
          <w:u w:val="single"/>
        </w:rPr>
        <w:t xml:space="preserve">      元整 </w:t>
      </w:r>
      <w:r>
        <w:rPr>
          <w:rFonts w:hint="eastAsia" w:ascii="宋体" w:hAnsi="宋体" w:eastAsia="宋体" w:cs="宋体"/>
          <w:color w:val="auto"/>
          <w:spacing w:val="0"/>
          <w:sz w:val="21"/>
          <w:szCs w:val="21"/>
          <w:highlight w:val="none"/>
        </w:rPr>
        <w:t>）。</w:t>
      </w:r>
    </w:p>
    <w:p w14:paraId="3D88781C">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sz w:val="21"/>
          <w:szCs w:val="21"/>
          <w:highlight w:val="none"/>
        </w:rPr>
        <w:t>即</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元（大写：</w:t>
      </w:r>
      <w:r>
        <w:rPr>
          <w:rFonts w:hint="eastAsia" w:ascii="宋体" w:hAnsi="宋体" w:eastAsia="宋体" w:cs="宋体"/>
          <w:color w:val="auto"/>
          <w:spacing w:val="0"/>
          <w:sz w:val="21"/>
          <w:szCs w:val="21"/>
          <w:highlight w:val="none"/>
          <w:u w:val="single"/>
        </w:rPr>
        <w:t xml:space="preserve">          元整 </w:t>
      </w:r>
      <w:r>
        <w:rPr>
          <w:rFonts w:hint="eastAsia" w:ascii="宋体" w:hAnsi="宋体" w:eastAsia="宋体" w:cs="宋体"/>
          <w:color w:val="auto"/>
          <w:spacing w:val="0"/>
          <w:sz w:val="21"/>
          <w:szCs w:val="21"/>
          <w:highlight w:val="none"/>
        </w:rPr>
        <w:t>），否则按《服务水平协议（SLA）》进行相应金额扣除。</w:t>
      </w:r>
    </w:p>
    <w:p w14:paraId="1A22492D">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元（大写：</w:t>
      </w:r>
      <w:r>
        <w:rPr>
          <w:rFonts w:hint="eastAsia" w:ascii="宋体" w:hAnsi="宋体" w:eastAsia="宋体" w:cs="宋体"/>
          <w:color w:val="auto"/>
          <w:spacing w:val="0"/>
          <w:sz w:val="21"/>
          <w:szCs w:val="21"/>
          <w:highlight w:val="none"/>
          <w:u w:val="single"/>
        </w:rPr>
        <w:t xml:space="preserve">      元整 </w:t>
      </w:r>
      <w:r>
        <w:rPr>
          <w:rFonts w:hint="eastAsia" w:ascii="宋体" w:hAnsi="宋体" w:eastAsia="宋体" w:cs="宋体"/>
          <w:color w:val="auto"/>
          <w:spacing w:val="0"/>
          <w:sz w:val="21"/>
          <w:szCs w:val="21"/>
          <w:highlight w:val="none"/>
        </w:rPr>
        <w:t>），否则按《服务水平协议（SLA）》进行相应金额扣除（13.2.2中已扣除部分，本条不重复扣减）。</w:t>
      </w:r>
    </w:p>
    <w:p w14:paraId="3F577A82">
      <w:pPr>
        <w:spacing w:line="360" w:lineRule="auto"/>
        <w:ind w:firstLine="420" w:firstLineChars="200"/>
        <w:outlineLvl w:val="2"/>
        <w:rPr>
          <w:rFonts w:hint="eastAsia" w:ascii="宋体" w:hAnsi="宋体" w:eastAsia="宋体" w:cs="宋体"/>
          <w:color w:val="auto"/>
          <w:spacing w:val="0"/>
          <w:sz w:val="21"/>
          <w:szCs w:val="21"/>
          <w:highlight w:val="none"/>
        </w:rPr>
      </w:pPr>
      <w:bookmarkStart w:id="661" w:name="_Toc7376"/>
      <w:bookmarkStart w:id="662" w:name="_Toc17991"/>
      <w:bookmarkStart w:id="663" w:name="_Toc14486"/>
      <w:r>
        <w:rPr>
          <w:rFonts w:hint="eastAsia" w:ascii="宋体" w:hAnsi="宋体" w:eastAsia="宋体" w:cs="宋体"/>
          <w:color w:val="auto"/>
          <w:spacing w:val="0"/>
          <w:sz w:val="21"/>
          <w:szCs w:val="21"/>
          <w:highlight w:val="none"/>
        </w:rPr>
        <w:t>13.3发票要求：</w:t>
      </w:r>
      <w:bookmarkEnd w:id="661"/>
      <w:bookmarkEnd w:id="662"/>
      <w:bookmarkEnd w:id="663"/>
    </w:p>
    <w:p w14:paraId="6DBC28DB">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乙方须严格按照合同内容开具税率为</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b/>
          <w:color w:val="auto"/>
          <w:spacing w:val="0"/>
          <w:sz w:val="21"/>
          <w:szCs w:val="21"/>
          <w:highlight w:val="none"/>
        </w:rPr>
        <w:t>%</w:t>
      </w:r>
      <w:r>
        <w:rPr>
          <w:rFonts w:hint="eastAsia" w:ascii="宋体" w:hAnsi="宋体" w:eastAsia="宋体" w:cs="宋体"/>
          <w:color w:val="auto"/>
          <w:spacing w:val="0"/>
          <w:sz w:val="21"/>
          <w:szCs w:val="21"/>
          <w:highlight w:val="none"/>
        </w:rPr>
        <w:t>的增值税专用发票（若遇国家税率调整另议），乙方在甲方每次付款前30个工作日需向甲方交付合法足额发票，否则甲方有权拒绝支付任何费用且不承担逾期付款违约责任。</w:t>
      </w:r>
    </w:p>
    <w:p w14:paraId="40F09BFB">
      <w:pPr>
        <w:spacing w:line="360" w:lineRule="auto"/>
        <w:rPr>
          <w:rFonts w:hint="eastAsia" w:ascii="宋体" w:hAnsi="宋体" w:eastAsia="宋体" w:cs="宋体"/>
          <w:color w:val="auto"/>
          <w:spacing w:val="0"/>
          <w:sz w:val="21"/>
          <w:szCs w:val="21"/>
          <w:highlight w:val="none"/>
        </w:rPr>
      </w:pPr>
    </w:p>
    <w:p w14:paraId="1B0DE579">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64" w:name="_Toc63757470"/>
      <w:bookmarkStart w:id="665" w:name="_Toc8888"/>
      <w:bookmarkStart w:id="666" w:name="_Toc13546"/>
      <w:bookmarkStart w:id="667" w:name="_Toc9978"/>
      <w:r>
        <w:rPr>
          <w:rFonts w:hint="eastAsia" w:ascii="宋体" w:hAnsi="宋体" w:eastAsia="宋体" w:cs="宋体"/>
          <w:b/>
          <w:color w:val="auto"/>
          <w:spacing w:val="0"/>
          <w:sz w:val="21"/>
          <w:szCs w:val="21"/>
          <w:highlight w:val="none"/>
        </w:rPr>
        <w:t>第十四条  风险责任的承担</w:t>
      </w:r>
      <w:bookmarkEnd w:id="664"/>
      <w:bookmarkEnd w:id="665"/>
      <w:bookmarkEnd w:id="666"/>
      <w:bookmarkEnd w:id="667"/>
    </w:p>
    <w:p w14:paraId="201E4F8D">
      <w:pPr>
        <w:tabs>
          <w:tab w:val="left" w:pos="6020"/>
        </w:tabs>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41E52DDB">
      <w:pPr>
        <w:tabs>
          <w:tab w:val="left" w:pos="6020"/>
        </w:tabs>
        <w:spacing w:line="360" w:lineRule="auto"/>
        <w:ind w:firstLine="420" w:firstLineChars="200"/>
        <w:rPr>
          <w:rStyle w:val="40"/>
          <w:rFonts w:hint="eastAsia" w:ascii="宋体" w:hAnsi="宋体" w:eastAsia="宋体" w:cs="宋体"/>
          <w:color w:val="auto"/>
          <w:spacing w:val="0"/>
          <w:kern w:val="0"/>
          <w:sz w:val="21"/>
          <w:szCs w:val="21"/>
          <w:highlight w:val="none"/>
        </w:rPr>
      </w:pPr>
      <w:r>
        <w:rPr>
          <w:rStyle w:val="40"/>
          <w:rFonts w:hint="eastAsia" w:ascii="宋体" w:hAnsi="宋体" w:eastAsia="宋体" w:cs="宋体"/>
          <w:color w:val="auto"/>
          <w:spacing w:val="0"/>
          <w:kern w:val="0"/>
          <w:sz w:val="21"/>
          <w:szCs w:val="21"/>
          <w:highlight w:val="none"/>
        </w:rPr>
        <w:t>14.2乙方发现可能导致实施项目失败或者部分失败的情况时，应当及时通知甲方并采取适当措施减少损失；乙方没有及时通知甲方并采取适当措施致使措施扩大的，应当就扩大的损失承担责任。</w:t>
      </w:r>
    </w:p>
    <w:p w14:paraId="22FC7B4F">
      <w:pPr>
        <w:tabs>
          <w:tab w:val="left" w:pos="6020"/>
        </w:tabs>
        <w:spacing w:line="360" w:lineRule="auto"/>
        <w:ind w:firstLine="420" w:firstLineChars="200"/>
        <w:rPr>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kern w:val="0"/>
          <w:sz w:val="21"/>
          <w:szCs w:val="21"/>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8CA0ECB">
      <w:pPr>
        <w:tabs>
          <w:tab w:val="left" w:pos="6020"/>
        </w:tabs>
        <w:spacing w:line="360" w:lineRule="auto"/>
        <w:ind w:firstLine="560" w:firstLineChars="0"/>
        <w:rPr>
          <w:rFonts w:hint="eastAsia" w:ascii="宋体" w:hAnsi="宋体" w:eastAsia="宋体" w:cs="宋体"/>
          <w:color w:val="auto"/>
          <w:spacing w:val="0"/>
          <w:sz w:val="21"/>
          <w:szCs w:val="21"/>
          <w:highlight w:val="none"/>
        </w:rPr>
      </w:pPr>
    </w:p>
    <w:p w14:paraId="021582E6">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68" w:name="_Toc63757471"/>
      <w:bookmarkStart w:id="669" w:name="_Toc21129"/>
      <w:bookmarkStart w:id="670" w:name="_Toc5307"/>
      <w:bookmarkStart w:id="671" w:name="_Toc16387"/>
      <w:r>
        <w:rPr>
          <w:rFonts w:hint="eastAsia" w:ascii="宋体" w:hAnsi="宋体" w:eastAsia="宋体" w:cs="宋体"/>
          <w:b/>
          <w:color w:val="auto"/>
          <w:spacing w:val="0"/>
          <w:sz w:val="21"/>
          <w:szCs w:val="21"/>
          <w:highlight w:val="none"/>
        </w:rPr>
        <w:t xml:space="preserve">第十五条  </w:t>
      </w:r>
      <w:bookmarkStart w:id="672" w:name="_Toc58337511"/>
      <w:r>
        <w:rPr>
          <w:rFonts w:hint="eastAsia" w:ascii="宋体" w:hAnsi="宋体" w:eastAsia="宋体" w:cs="宋体"/>
          <w:b/>
          <w:color w:val="auto"/>
          <w:spacing w:val="0"/>
          <w:sz w:val="21"/>
          <w:szCs w:val="21"/>
          <w:highlight w:val="none"/>
        </w:rPr>
        <w:t>违约与赔偿</w:t>
      </w:r>
      <w:bookmarkEnd w:id="668"/>
      <w:bookmarkEnd w:id="669"/>
      <w:bookmarkEnd w:id="670"/>
      <w:bookmarkEnd w:id="671"/>
      <w:bookmarkEnd w:id="672"/>
    </w:p>
    <w:p w14:paraId="04BD6ACA">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15.1因甲方原因未按本合同规定支付第一期研究开发报酬，且经乙方合理催告后，仍无正当理由并逾期支付达【30】个工作日以上的，乙方有权解除合同。</w:t>
      </w:r>
    </w:p>
    <w:p w14:paraId="0F0DC0E1">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15.2因甲方原因逾期支付第二期或第三期研究开发报酬的，自逾期一个月后的第二天起，每逾期一天支付应付逾期付款金额的万分之五的违约金，违约金总额不超过应付款额的5%。</w:t>
      </w:r>
    </w:p>
    <w:p w14:paraId="4F4A6BAB">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2C69D1BA">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15.4乙方应按本合同规定的研究开发进程完成开发项目。若因乙方自身原因未按时完成开发项目，则按照附件五《服务水平协议（SLA）》扣除延期违约金。</w:t>
      </w:r>
    </w:p>
    <w:p w14:paraId="3A99A96F">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15.5乙方未能完成甲方委托的开发项目或开发成果不符合本合同约定的要求，乙方承担本合同总额20%的违约金，并返还甲方已支付的研究开发费用。</w:t>
      </w:r>
    </w:p>
    <w:p w14:paraId="28EA023F">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15.6乙方将甲方支付的研发经费用于履行合同以外的目的，甲方有权制止并要求其纠正。如因此造成本合同研究开发项目停滞、延误或失败的，乙方应当承担给甲方造成的损失赔偿责任。</w:t>
      </w:r>
    </w:p>
    <w:p w14:paraId="256E85B3">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15.7除本条、附件五《服务水平协议（SLA）》及其他条款另有约定外，乙方违反本合同任一条款的，应向甲方支付合同总额5%的违约金并赔偿甲方产生的损失。</w:t>
      </w:r>
    </w:p>
    <w:p w14:paraId="1105C194">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15.8本合同项下乙方应支付的违约金、赔偿金等，甲方均有权从应支付给乙方的款项中优先扣除，若有不足，乙方应另行筹措资金补足。</w:t>
      </w:r>
    </w:p>
    <w:p w14:paraId="2B9B594C">
      <w:pPr>
        <w:spacing w:line="360" w:lineRule="auto"/>
        <w:ind w:left="1050" w:leftChars="200" w:hanging="630" w:hangingChars="300"/>
        <w:rPr>
          <w:rFonts w:hint="eastAsia" w:ascii="宋体" w:hAnsi="宋体" w:eastAsia="宋体" w:cs="宋体"/>
          <w:color w:val="auto"/>
          <w:spacing w:val="0"/>
          <w:sz w:val="21"/>
          <w:szCs w:val="21"/>
          <w:highlight w:val="none"/>
        </w:rPr>
      </w:pPr>
    </w:p>
    <w:p w14:paraId="40E9141B">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73" w:name="_Toc63757472"/>
      <w:bookmarkStart w:id="674" w:name="_Toc24688"/>
      <w:bookmarkStart w:id="675" w:name="_Toc14444"/>
      <w:bookmarkStart w:id="676" w:name="_Toc29453"/>
      <w:r>
        <w:rPr>
          <w:rFonts w:hint="eastAsia" w:ascii="宋体" w:hAnsi="宋体" w:eastAsia="宋体" w:cs="宋体"/>
          <w:b/>
          <w:color w:val="auto"/>
          <w:spacing w:val="0"/>
          <w:sz w:val="21"/>
          <w:szCs w:val="21"/>
          <w:highlight w:val="none"/>
        </w:rPr>
        <w:t>第十六条  合同的解除</w:t>
      </w:r>
      <w:bookmarkEnd w:id="673"/>
      <w:r>
        <w:rPr>
          <w:rFonts w:hint="eastAsia" w:ascii="宋体" w:hAnsi="宋体" w:eastAsia="宋体" w:cs="宋体"/>
          <w:b/>
          <w:color w:val="auto"/>
          <w:spacing w:val="0"/>
          <w:sz w:val="21"/>
          <w:szCs w:val="21"/>
          <w:highlight w:val="none"/>
        </w:rPr>
        <w:t>和终止</w:t>
      </w:r>
      <w:bookmarkEnd w:id="674"/>
      <w:bookmarkEnd w:id="675"/>
      <w:bookmarkEnd w:id="676"/>
    </w:p>
    <w:p w14:paraId="5C9647DB">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16.1如果满足以下条件，任一方在通知对方后，都可以解除本合同。</w:t>
      </w:r>
    </w:p>
    <w:p w14:paraId="53A89721">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65682BA">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（2）当一方按正常程序停止经营业务、破产、处于付款拖欠、延期偿付、公司重组或倒闭状况，或全部转让利润与债权人、书面承认无力偿还到期债务、委派清算人清算其业务或财产。</w:t>
      </w:r>
    </w:p>
    <w:p w14:paraId="4B851712">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16.2除本合同约定的情形外，甲方若认为乙方无法胜任本合同项下工作的，有权随时通知乙方后解除本合同。甲方除据实与乙方结算费用外，不承担其他违约责任。</w:t>
      </w:r>
    </w:p>
    <w:p w14:paraId="1AE4BEA0">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16.3当本合同以任何原因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6DFC3836">
      <w:pPr>
        <w:spacing w:line="360" w:lineRule="auto"/>
        <w:rPr>
          <w:rFonts w:hint="eastAsia" w:ascii="宋体" w:hAnsi="宋体" w:eastAsia="宋体" w:cs="宋体"/>
          <w:b/>
          <w:color w:val="auto"/>
          <w:spacing w:val="0"/>
          <w:sz w:val="21"/>
          <w:szCs w:val="21"/>
          <w:highlight w:val="none"/>
        </w:rPr>
      </w:pPr>
    </w:p>
    <w:p w14:paraId="0BD03E94">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77" w:name="_Toc63757473"/>
      <w:bookmarkStart w:id="678" w:name="_Toc20943"/>
      <w:bookmarkStart w:id="679" w:name="_Toc4442"/>
      <w:bookmarkStart w:id="680" w:name="_Toc9664"/>
      <w:r>
        <w:rPr>
          <w:rFonts w:hint="eastAsia" w:ascii="宋体" w:hAnsi="宋体" w:eastAsia="宋体" w:cs="宋体"/>
          <w:b/>
          <w:color w:val="auto"/>
          <w:spacing w:val="0"/>
          <w:sz w:val="21"/>
          <w:szCs w:val="21"/>
          <w:highlight w:val="none"/>
        </w:rPr>
        <w:t>第十七条  合同变更及转让</w:t>
      </w:r>
      <w:bookmarkEnd w:id="677"/>
      <w:bookmarkEnd w:id="678"/>
      <w:bookmarkEnd w:id="679"/>
      <w:bookmarkEnd w:id="680"/>
    </w:p>
    <w:p w14:paraId="4DDCE3A7">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17.1对本合同及其附件的内容进行变更，必须经双方协商一致并签订补充协议，方能生效，本合同另有约定的除外。</w:t>
      </w:r>
    </w:p>
    <w:p w14:paraId="1733BA8C">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17.2本合同双方在未取得对方事先书面同意的前提下，均不得将各自本合同项下的任何权利或义务转让给第三方。</w:t>
      </w:r>
    </w:p>
    <w:p w14:paraId="4CF0C1D2">
      <w:pPr>
        <w:spacing w:line="360" w:lineRule="auto"/>
        <w:ind w:firstLine="420" w:firstLineChars="200"/>
        <w:rPr>
          <w:rFonts w:hint="eastAsia" w:ascii="宋体" w:hAnsi="宋体" w:eastAsia="宋体" w:cs="宋体"/>
          <w:color w:val="auto"/>
          <w:spacing w:val="0"/>
          <w:sz w:val="21"/>
          <w:szCs w:val="21"/>
          <w:highlight w:val="none"/>
        </w:rPr>
      </w:pPr>
    </w:p>
    <w:p w14:paraId="3DCA80D8">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81" w:name="_Toc12106"/>
      <w:bookmarkStart w:id="682" w:name="_Toc63757474"/>
      <w:bookmarkStart w:id="683" w:name="_Toc26368"/>
      <w:bookmarkStart w:id="684" w:name="_Toc26235"/>
      <w:r>
        <w:rPr>
          <w:rFonts w:hint="eastAsia" w:ascii="宋体" w:hAnsi="宋体" w:eastAsia="宋体" w:cs="宋体"/>
          <w:b/>
          <w:color w:val="auto"/>
          <w:spacing w:val="0"/>
          <w:sz w:val="21"/>
          <w:szCs w:val="21"/>
          <w:highlight w:val="none"/>
        </w:rPr>
        <w:t>第十八条  争议解决</w:t>
      </w:r>
      <w:bookmarkEnd w:id="681"/>
      <w:bookmarkEnd w:id="682"/>
      <w:bookmarkEnd w:id="683"/>
      <w:bookmarkEnd w:id="684"/>
    </w:p>
    <w:p w14:paraId="21962EAD">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p>
    <w:p w14:paraId="5BDD31BA">
      <w:pPr>
        <w:spacing w:line="360" w:lineRule="auto"/>
        <w:ind w:firstLine="420" w:firstLineChars="200"/>
        <w:rPr>
          <w:rFonts w:hint="eastAsia" w:ascii="宋体" w:hAnsi="宋体" w:eastAsia="宋体" w:cs="宋体"/>
          <w:color w:val="auto"/>
          <w:spacing w:val="0"/>
          <w:sz w:val="21"/>
          <w:szCs w:val="21"/>
          <w:highlight w:val="none"/>
        </w:rPr>
      </w:pPr>
    </w:p>
    <w:p w14:paraId="0AC3CB88">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85" w:name="_Toc32625"/>
      <w:bookmarkStart w:id="686" w:name="_Toc9459"/>
      <w:bookmarkStart w:id="687" w:name="_Toc63757475"/>
      <w:bookmarkStart w:id="688" w:name="_Toc14720"/>
      <w:r>
        <w:rPr>
          <w:rFonts w:hint="eastAsia" w:ascii="宋体" w:hAnsi="宋体" w:eastAsia="宋体" w:cs="宋体"/>
          <w:b/>
          <w:color w:val="auto"/>
          <w:spacing w:val="0"/>
          <w:sz w:val="21"/>
          <w:szCs w:val="21"/>
          <w:highlight w:val="none"/>
        </w:rPr>
        <w:t>第十九条 通知与送达</w:t>
      </w:r>
      <w:bookmarkEnd w:id="685"/>
      <w:bookmarkEnd w:id="686"/>
      <w:bookmarkEnd w:id="687"/>
      <w:bookmarkEnd w:id="688"/>
    </w:p>
    <w:p w14:paraId="3A15D5C2">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01753167">
      <w:pPr>
        <w:autoSpaceDE w:val="0"/>
        <w:autoSpaceDN w:val="0"/>
        <w:adjustRightInd w:val="0"/>
        <w:spacing w:line="336" w:lineRule="auto"/>
        <w:ind w:firstLine="470" w:firstLineChars="224"/>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A06DA1B">
      <w:pPr>
        <w:spacing w:line="360" w:lineRule="auto"/>
        <w:ind w:firstLine="420" w:firstLineChars="200"/>
        <w:rPr>
          <w:rFonts w:hint="eastAsia" w:ascii="宋体" w:hAnsi="宋体" w:eastAsia="宋体" w:cs="宋体"/>
          <w:color w:val="auto"/>
          <w:spacing w:val="0"/>
          <w:sz w:val="21"/>
          <w:szCs w:val="21"/>
          <w:highlight w:val="none"/>
          <w:lang w:val="zh-CN" w:eastAsia="zh-CN"/>
        </w:rPr>
      </w:pPr>
    </w:p>
    <w:p w14:paraId="28C17644">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89" w:name="_Toc3969"/>
      <w:bookmarkStart w:id="690" w:name="_Toc31205"/>
      <w:bookmarkStart w:id="691" w:name="_Toc17181"/>
      <w:bookmarkStart w:id="692" w:name="_Toc63757476"/>
      <w:r>
        <w:rPr>
          <w:rFonts w:hint="eastAsia" w:ascii="宋体" w:hAnsi="宋体" w:eastAsia="宋体" w:cs="宋体"/>
          <w:b/>
          <w:color w:val="auto"/>
          <w:spacing w:val="0"/>
          <w:sz w:val="21"/>
          <w:szCs w:val="21"/>
          <w:highlight w:val="none"/>
        </w:rPr>
        <w:t>第二十条  合同生效</w:t>
      </w:r>
      <w:bookmarkEnd w:id="689"/>
      <w:bookmarkEnd w:id="690"/>
      <w:bookmarkEnd w:id="691"/>
      <w:bookmarkEnd w:id="692"/>
    </w:p>
    <w:p w14:paraId="456C8846">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本合同自下列条件全部满足之日起生效：</w:t>
      </w:r>
    </w:p>
    <w:p w14:paraId="29364F57">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双方对本合同及其全部附件内容达成一致并加盖公章。</w:t>
      </w:r>
    </w:p>
    <w:p w14:paraId="2EDE1C56">
      <w:pPr>
        <w:spacing w:line="360" w:lineRule="auto"/>
        <w:rPr>
          <w:rFonts w:hint="eastAsia" w:ascii="宋体" w:hAnsi="宋体" w:eastAsia="宋体" w:cs="宋体"/>
          <w:b/>
          <w:color w:val="auto"/>
          <w:spacing w:val="0"/>
          <w:sz w:val="21"/>
          <w:szCs w:val="21"/>
          <w:highlight w:val="none"/>
        </w:rPr>
      </w:pPr>
    </w:p>
    <w:p w14:paraId="499C2FDE">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93" w:name="_Toc9770"/>
      <w:bookmarkStart w:id="694" w:name="_Toc63757477"/>
      <w:bookmarkStart w:id="695" w:name="_Toc20326"/>
      <w:bookmarkStart w:id="696" w:name="_Toc15614"/>
      <w:r>
        <w:rPr>
          <w:rFonts w:hint="eastAsia" w:ascii="宋体" w:hAnsi="宋体" w:eastAsia="宋体" w:cs="宋体"/>
          <w:b/>
          <w:color w:val="auto"/>
          <w:spacing w:val="0"/>
          <w:sz w:val="21"/>
          <w:szCs w:val="21"/>
          <w:highlight w:val="none"/>
        </w:rPr>
        <w:t>第二十一条  不可抗力</w:t>
      </w:r>
      <w:bookmarkEnd w:id="693"/>
      <w:bookmarkEnd w:id="694"/>
      <w:bookmarkEnd w:id="695"/>
      <w:bookmarkEnd w:id="696"/>
    </w:p>
    <w:p w14:paraId="69116111">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21.1不可抗力是指本合同生效后，发生不能预见并且对其发生和后果不能防止或避免的事件，如地震、台风、水灾、火灾、战争、传染病等，致使直接影响本合同的履行或不能按约定的条件履行。</w:t>
      </w:r>
    </w:p>
    <w:p w14:paraId="7EB63338">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21.2发生不可抗力的一方应立即通知对方，并在十五天内提供不可抗力的详情及将有关证明文件送交对方。</w:t>
      </w:r>
    </w:p>
    <w:p w14:paraId="612371CC">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21.3发生不可抗力事件时，甲乙双方应协商以寻找一个合理的解决方法，并尽一切努力减轻不可抗力产生的后果。</w:t>
      </w:r>
    </w:p>
    <w:p w14:paraId="145C0BEB">
      <w:pPr>
        <w:spacing w:line="360" w:lineRule="auto"/>
        <w:ind w:firstLine="420" w:firstLineChars="200"/>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21.4如不可抗力事件持续三十天时，甲乙双方应友好协商解决本合同是否继续履行或终止的问题。</w:t>
      </w:r>
    </w:p>
    <w:p w14:paraId="51500A48">
      <w:pPr>
        <w:spacing w:line="360" w:lineRule="auto"/>
        <w:rPr>
          <w:rFonts w:hint="eastAsia" w:ascii="宋体" w:hAnsi="宋体" w:eastAsia="宋体" w:cs="宋体"/>
          <w:b/>
          <w:color w:val="auto"/>
          <w:spacing w:val="0"/>
          <w:sz w:val="21"/>
          <w:szCs w:val="21"/>
          <w:highlight w:val="none"/>
        </w:rPr>
      </w:pPr>
    </w:p>
    <w:p w14:paraId="3AAAA527">
      <w:pPr>
        <w:spacing w:line="360" w:lineRule="auto"/>
        <w:ind w:firstLine="413" w:firstLineChars="196"/>
        <w:outlineLvl w:val="1"/>
        <w:rPr>
          <w:rFonts w:hint="eastAsia" w:ascii="宋体" w:hAnsi="宋体" w:eastAsia="宋体" w:cs="宋体"/>
          <w:b/>
          <w:color w:val="auto"/>
          <w:spacing w:val="0"/>
          <w:sz w:val="21"/>
          <w:szCs w:val="21"/>
          <w:highlight w:val="none"/>
        </w:rPr>
      </w:pPr>
      <w:bookmarkStart w:id="697" w:name="_Toc7392"/>
      <w:bookmarkStart w:id="698" w:name="_Toc7649"/>
      <w:bookmarkStart w:id="699" w:name="_Toc18084"/>
      <w:bookmarkStart w:id="700" w:name="_Toc63757478"/>
      <w:r>
        <w:rPr>
          <w:rFonts w:hint="eastAsia" w:ascii="宋体" w:hAnsi="宋体" w:eastAsia="宋体" w:cs="宋体"/>
          <w:b/>
          <w:color w:val="auto"/>
          <w:spacing w:val="0"/>
          <w:sz w:val="21"/>
          <w:szCs w:val="21"/>
          <w:highlight w:val="none"/>
        </w:rPr>
        <w:t>第二十二条  反商业贿赂</w:t>
      </w:r>
      <w:bookmarkEnd w:id="697"/>
      <w:bookmarkEnd w:id="698"/>
      <w:bookmarkEnd w:id="699"/>
      <w:bookmarkEnd w:id="700"/>
    </w:p>
    <w:p w14:paraId="7C4FA3D0">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35DA346">
      <w:pPr>
        <w:spacing w:line="360" w:lineRule="auto"/>
        <w:rPr>
          <w:rFonts w:hint="eastAsia" w:ascii="宋体" w:hAnsi="宋体" w:eastAsia="宋体" w:cs="宋体"/>
          <w:b/>
          <w:color w:val="auto"/>
          <w:spacing w:val="0"/>
          <w:sz w:val="21"/>
          <w:szCs w:val="21"/>
          <w:highlight w:val="none"/>
        </w:rPr>
      </w:pPr>
    </w:p>
    <w:p w14:paraId="1EF93E24">
      <w:pPr>
        <w:spacing w:line="360" w:lineRule="auto"/>
        <w:ind w:firstLine="413" w:firstLineChars="196"/>
        <w:outlineLvl w:val="1"/>
        <w:rPr>
          <w:rFonts w:hint="eastAsia" w:ascii="宋体" w:hAnsi="宋体" w:eastAsia="宋体" w:cs="宋体"/>
          <w:b/>
          <w:color w:val="auto"/>
          <w:spacing w:val="0"/>
          <w:sz w:val="21"/>
          <w:szCs w:val="21"/>
          <w:highlight w:val="none"/>
        </w:rPr>
      </w:pPr>
      <w:bookmarkStart w:id="701" w:name="_Toc8088"/>
      <w:bookmarkStart w:id="702" w:name="_Toc4332"/>
      <w:bookmarkStart w:id="703" w:name="_Toc16770"/>
      <w:bookmarkStart w:id="704" w:name="_Toc63757479"/>
      <w:r>
        <w:rPr>
          <w:rFonts w:hint="eastAsia" w:ascii="宋体" w:hAnsi="宋体" w:eastAsia="宋体" w:cs="宋体"/>
          <w:b/>
          <w:color w:val="auto"/>
          <w:spacing w:val="0"/>
          <w:sz w:val="21"/>
          <w:szCs w:val="21"/>
          <w:highlight w:val="none"/>
        </w:rPr>
        <w:t>第二十三条  附件</w:t>
      </w:r>
      <w:bookmarkEnd w:id="701"/>
      <w:bookmarkEnd w:id="702"/>
      <w:bookmarkEnd w:id="703"/>
      <w:bookmarkEnd w:id="704"/>
    </w:p>
    <w:p w14:paraId="31F33581">
      <w:pPr>
        <w:spacing w:line="360" w:lineRule="auto"/>
        <w:ind w:firstLine="489" w:firstLineChars="233"/>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本合同的附件与合同正本具有同等法律效力，主合同与附件如有冲突，以主合同为准。本合同附件如下：</w:t>
      </w:r>
    </w:p>
    <w:p w14:paraId="2658293E">
      <w:pPr>
        <w:spacing w:line="360" w:lineRule="auto"/>
        <w:ind w:left="560"/>
        <w:outlineLvl w:val="2"/>
        <w:rPr>
          <w:rFonts w:hint="eastAsia" w:ascii="宋体" w:hAnsi="宋体" w:eastAsia="宋体" w:cs="宋体"/>
          <w:color w:val="auto"/>
          <w:spacing w:val="0"/>
          <w:sz w:val="21"/>
          <w:szCs w:val="21"/>
          <w:highlight w:val="none"/>
        </w:rPr>
      </w:pPr>
      <w:bookmarkStart w:id="705" w:name="_Toc20358"/>
      <w:bookmarkStart w:id="706" w:name="_Toc32385"/>
      <w:bookmarkStart w:id="707" w:name="_Toc24310"/>
      <w:r>
        <w:rPr>
          <w:rFonts w:hint="eastAsia" w:ascii="宋体" w:hAnsi="宋体" w:eastAsia="宋体" w:cs="宋体"/>
          <w:color w:val="auto"/>
          <w:spacing w:val="0"/>
          <w:sz w:val="21"/>
          <w:szCs w:val="21"/>
          <w:highlight w:val="none"/>
        </w:rPr>
        <w:t>附件一：工作（需求）说明书</w:t>
      </w:r>
      <w:bookmarkEnd w:id="705"/>
      <w:bookmarkEnd w:id="706"/>
      <w:bookmarkEnd w:id="707"/>
    </w:p>
    <w:p w14:paraId="34472E8B">
      <w:pPr>
        <w:spacing w:line="360" w:lineRule="auto"/>
        <w:ind w:left="56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附件二：项目人员名单及人员应急退出机制</w:t>
      </w:r>
    </w:p>
    <w:p w14:paraId="0AF7E425">
      <w:pPr>
        <w:spacing w:line="360" w:lineRule="auto"/>
        <w:ind w:left="56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附件三：验收标准及流程</w:t>
      </w:r>
    </w:p>
    <w:p w14:paraId="7B439150">
      <w:pPr>
        <w:spacing w:line="360" w:lineRule="auto"/>
        <w:ind w:left="56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附件四：维护服务条款</w:t>
      </w:r>
    </w:p>
    <w:p w14:paraId="2108A524">
      <w:pPr>
        <w:spacing w:line="360" w:lineRule="auto"/>
        <w:ind w:left="56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附件五：服务水平协议（SLA）</w:t>
      </w:r>
    </w:p>
    <w:p w14:paraId="23A71A63">
      <w:pPr>
        <w:spacing w:line="360" w:lineRule="auto"/>
        <w:ind w:firstLine="945" w:firstLineChars="45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附件六：服务连续性预案</w:t>
      </w:r>
    </w:p>
    <w:p w14:paraId="44E5841B">
      <w:pPr>
        <w:spacing w:line="360" w:lineRule="auto"/>
        <w:ind w:firstLine="420" w:firstLineChars="200"/>
        <w:rPr>
          <w:rFonts w:hint="eastAsia" w:ascii="宋体" w:hAnsi="宋体" w:eastAsia="宋体" w:cs="宋体"/>
          <w:color w:val="auto"/>
          <w:spacing w:val="0"/>
          <w:sz w:val="21"/>
          <w:szCs w:val="21"/>
          <w:highlight w:val="none"/>
        </w:rPr>
      </w:pPr>
    </w:p>
    <w:p w14:paraId="5DEFDE81">
      <w:pPr>
        <w:spacing w:line="360" w:lineRule="auto"/>
        <w:ind w:firstLine="413" w:firstLineChars="196"/>
        <w:outlineLvl w:val="1"/>
        <w:rPr>
          <w:rFonts w:hint="eastAsia" w:ascii="宋体" w:hAnsi="宋体" w:eastAsia="宋体" w:cs="宋体"/>
          <w:b/>
          <w:color w:val="auto"/>
          <w:spacing w:val="0"/>
          <w:sz w:val="21"/>
          <w:szCs w:val="21"/>
          <w:highlight w:val="none"/>
        </w:rPr>
      </w:pPr>
      <w:bookmarkStart w:id="708" w:name="_Toc31210"/>
      <w:bookmarkStart w:id="709" w:name="_Toc13220"/>
      <w:bookmarkStart w:id="710" w:name="_Toc17426"/>
      <w:bookmarkStart w:id="711" w:name="_Toc63757480"/>
      <w:r>
        <w:rPr>
          <w:rFonts w:hint="eastAsia" w:ascii="宋体" w:hAnsi="宋体" w:eastAsia="宋体" w:cs="宋体"/>
          <w:b/>
          <w:color w:val="auto"/>
          <w:spacing w:val="0"/>
          <w:sz w:val="21"/>
          <w:szCs w:val="21"/>
          <w:highlight w:val="none"/>
        </w:rPr>
        <w:t>第二十四条  其他</w:t>
      </w:r>
      <w:bookmarkEnd w:id="708"/>
      <w:bookmarkEnd w:id="709"/>
      <w:bookmarkEnd w:id="710"/>
      <w:bookmarkEnd w:id="711"/>
    </w:p>
    <w:p w14:paraId="010DFAA0">
      <w:pPr>
        <w:pStyle w:val="15"/>
        <w:spacing w:before="0" w:beforeLines="0" w:line="360" w:lineRule="auto"/>
        <w:rPr>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kern w:val="0"/>
          <w:sz w:val="21"/>
          <w:szCs w:val="21"/>
          <w:highlight w:val="none"/>
        </w:rPr>
        <w:t>24.1除本</w:t>
      </w:r>
      <w:r>
        <w:rPr>
          <w:rFonts w:hint="eastAsia" w:ascii="宋体" w:hAnsi="宋体" w:eastAsia="宋体" w:cs="宋体"/>
          <w:color w:val="auto"/>
          <w:spacing w:val="0"/>
          <w:sz w:val="21"/>
          <w:szCs w:val="21"/>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316F1A36">
      <w:pPr>
        <w:pStyle w:val="15"/>
        <w:spacing w:before="0" w:beforeLines="0"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w:t>
      </w:r>
      <w:r>
        <w:rPr>
          <w:rStyle w:val="40"/>
          <w:rFonts w:hint="eastAsia" w:ascii="宋体" w:hAnsi="宋体" w:eastAsia="宋体" w:cs="宋体"/>
          <w:color w:val="auto"/>
          <w:spacing w:val="0"/>
          <w:kern w:val="0"/>
          <w:sz w:val="21"/>
          <w:szCs w:val="21"/>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hAnsi="宋体" w:eastAsia="宋体" w:cs="宋体"/>
          <w:color w:val="auto"/>
          <w:spacing w:val="0"/>
          <w:sz w:val="21"/>
          <w:szCs w:val="21"/>
          <w:highlight w:val="none"/>
        </w:rPr>
        <w:t>同其他条款或内容的合法性、有效性和可执行性不受影响。</w:t>
      </w:r>
    </w:p>
    <w:p w14:paraId="3F2390EF">
      <w:pPr>
        <w:spacing w:line="360" w:lineRule="auto"/>
        <w:ind w:firstLine="420" w:firstLineChars="200"/>
        <w:rPr>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kern w:val="0"/>
          <w:sz w:val="21"/>
          <w:szCs w:val="21"/>
          <w:highlight w:val="none"/>
        </w:rPr>
        <w:t>24.3本</w:t>
      </w:r>
      <w:r>
        <w:rPr>
          <w:rFonts w:hint="eastAsia" w:ascii="宋体" w:hAnsi="宋体" w:eastAsia="宋体" w:cs="宋体"/>
          <w:color w:val="auto"/>
          <w:spacing w:val="0"/>
          <w:sz w:val="21"/>
          <w:szCs w:val="21"/>
          <w:highlight w:val="none"/>
        </w:rPr>
        <w:t>合同签订后，如需要就与合同执行有关的事项签订补充合同，应由双方加盖公章后，补充合同即生效。主合同与附件如有冲突，以主合同为准。</w:t>
      </w:r>
    </w:p>
    <w:p w14:paraId="58640FD9">
      <w:pPr>
        <w:spacing w:line="360" w:lineRule="auto"/>
        <w:ind w:firstLine="420" w:firstLineChars="200"/>
        <w:rPr>
          <w:rStyle w:val="40"/>
          <w:rFonts w:hint="eastAsia" w:ascii="宋体" w:hAnsi="宋体" w:eastAsia="宋体" w:cs="宋体"/>
          <w:color w:val="auto"/>
          <w:spacing w:val="0"/>
          <w:kern w:val="0"/>
          <w:sz w:val="21"/>
          <w:szCs w:val="21"/>
          <w:highlight w:val="none"/>
        </w:rPr>
      </w:pPr>
      <w:r>
        <w:rPr>
          <w:rStyle w:val="40"/>
          <w:rFonts w:hint="eastAsia" w:ascii="宋体" w:hAnsi="宋体" w:eastAsia="宋体" w:cs="宋体"/>
          <w:color w:val="auto"/>
          <w:spacing w:val="0"/>
          <w:kern w:val="0"/>
          <w:sz w:val="21"/>
          <w:szCs w:val="21"/>
          <w:highlight w:val="none"/>
        </w:rPr>
        <w:t>24.4本合同以中文版本为准，除非本合同明确规定或双方另有约定，为履行本合同的所有文件及信函均以中文书写。</w:t>
      </w:r>
    </w:p>
    <w:p w14:paraId="077032F3">
      <w:pPr>
        <w:spacing w:line="360" w:lineRule="auto"/>
        <w:ind w:firstLine="420" w:firstLineChars="200"/>
        <w:rPr>
          <w:rFonts w:hint="eastAsia" w:ascii="宋体" w:hAnsi="宋体" w:eastAsia="宋体" w:cs="宋体"/>
          <w:color w:val="auto"/>
          <w:spacing w:val="0"/>
          <w:sz w:val="21"/>
          <w:szCs w:val="21"/>
          <w:highlight w:val="none"/>
        </w:rPr>
      </w:pPr>
      <w:r>
        <w:rPr>
          <w:rStyle w:val="40"/>
          <w:rFonts w:hint="eastAsia" w:ascii="宋体" w:hAnsi="宋体" w:eastAsia="宋体" w:cs="宋体"/>
          <w:color w:val="auto"/>
          <w:spacing w:val="0"/>
          <w:kern w:val="0"/>
          <w:sz w:val="21"/>
          <w:szCs w:val="21"/>
          <w:highlight w:val="none"/>
        </w:rPr>
        <w:t>24.5本合同一式肆份，甲方执贰份，乙方执贰份，每份具有同等法律</w:t>
      </w:r>
      <w:r>
        <w:rPr>
          <w:rFonts w:hint="eastAsia" w:ascii="宋体" w:hAnsi="宋体" w:eastAsia="宋体" w:cs="宋体"/>
          <w:color w:val="auto"/>
          <w:spacing w:val="0"/>
          <w:sz w:val="21"/>
          <w:szCs w:val="21"/>
          <w:highlight w:val="none"/>
        </w:rPr>
        <w:t>效力。</w:t>
      </w:r>
    </w:p>
    <w:p w14:paraId="51A793FA">
      <w:pPr>
        <w:spacing w:line="360" w:lineRule="auto"/>
        <w:rPr>
          <w:rFonts w:hint="eastAsia" w:ascii="宋体" w:hAnsi="宋体" w:eastAsia="宋体" w:cs="宋体"/>
          <w:b/>
          <w:iCs/>
          <w:color w:val="auto"/>
          <w:spacing w:val="0"/>
          <w:sz w:val="21"/>
          <w:szCs w:val="21"/>
          <w:highlight w:val="none"/>
        </w:rPr>
      </w:pPr>
      <w:r>
        <w:rPr>
          <w:rFonts w:hint="eastAsia" w:ascii="宋体" w:hAnsi="宋体" w:eastAsia="宋体" w:cs="宋体"/>
          <w:b/>
          <w:iCs/>
          <w:color w:val="auto"/>
          <w:spacing w:val="0"/>
          <w:sz w:val="21"/>
          <w:szCs w:val="21"/>
          <w:highlight w:val="none"/>
        </w:rPr>
        <w:t>本合同由各方于本合同签署页所述日期正式签署，以昭信守。</w:t>
      </w:r>
    </w:p>
    <w:p w14:paraId="25E04562">
      <w:pPr>
        <w:spacing w:line="360" w:lineRule="auto"/>
        <w:ind w:firstLine="422" w:firstLineChars="200"/>
        <w:rPr>
          <w:rFonts w:hint="eastAsia" w:ascii="宋体" w:hAnsi="宋体" w:eastAsia="宋体" w:cs="宋体"/>
          <w:color w:val="auto"/>
          <w:spacing w:val="0"/>
          <w:sz w:val="21"/>
          <w:szCs w:val="21"/>
          <w:highlight w:val="none"/>
        </w:rPr>
      </w:pPr>
      <w:r>
        <w:rPr>
          <w:rFonts w:hint="eastAsia" w:ascii="宋体" w:hAnsi="宋体" w:eastAsia="宋体" w:cs="宋体"/>
          <w:b/>
          <w:iCs/>
          <w:color w:val="auto"/>
          <w:spacing w:val="0"/>
          <w:sz w:val="21"/>
          <w:szCs w:val="21"/>
          <w:highlight w:val="none"/>
        </w:rPr>
        <w:t>（以下无正文）</w:t>
      </w:r>
    </w:p>
    <w:p w14:paraId="4D89C60D">
      <w:pPr>
        <w:spacing w:line="360" w:lineRule="auto"/>
        <w:rPr>
          <w:rFonts w:hint="eastAsia" w:ascii="宋体" w:hAnsi="宋体" w:eastAsia="宋体" w:cs="宋体"/>
          <w:b/>
          <w:iCs/>
          <w:color w:val="auto"/>
          <w:spacing w:val="0"/>
          <w:sz w:val="21"/>
          <w:szCs w:val="21"/>
          <w:highlight w:val="none"/>
        </w:rPr>
      </w:pPr>
    </w:p>
    <w:p w14:paraId="7E57E642">
      <w:pPr>
        <w:spacing w:line="360" w:lineRule="auto"/>
        <w:rPr>
          <w:rFonts w:hint="eastAsia" w:ascii="宋体" w:hAnsi="宋体" w:eastAsia="宋体" w:cs="宋体"/>
          <w:b/>
          <w:iCs/>
          <w:color w:val="auto"/>
          <w:spacing w:val="0"/>
          <w:sz w:val="21"/>
          <w:szCs w:val="21"/>
          <w:highlight w:val="none"/>
        </w:rPr>
      </w:pPr>
    </w:p>
    <w:p w14:paraId="3DA9746E">
      <w:pPr>
        <w:spacing w:line="360" w:lineRule="auto"/>
        <w:rPr>
          <w:rFonts w:hint="eastAsia" w:ascii="宋体" w:hAnsi="宋体" w:eastAsia="宋体" w:cs="宋体"/>
          <w:b/>
          <w:iCs/>
          <w:color w:val="auto"/>
          <w:spacing w:val="0"/>
          <w:sz w:val="21"/>
          <w:szCs w:val="21"/>
          <w:highlight w:val="none"/>
        </w:rPr>
      </w:pPr>
    </w:p>
    <w:p w14:paraId="51E3A2D3">
      <w:pPr>
        <w:spacing w:line="360" w:lineRule="auto"/>
        <w:rPr>
          <w:rFonts w:hint="eastAsia" w:ascii="宋体" w:hAnsi="宋体" w:eastAsia="宋体" w:cs="宋体"/>
          <w:b/>
          <w:iCs/>
          <w:color w:val="auto"/>
          <w:spacing w:val="0"/>
          <w:sz w:val="21"/>
          <w:szCs w:val="21"/>
          <w:highlight w:val="none"/>
        </w:rPr>
      </w:pPr>
    </w:p>
    <w:p w14:paraId="22FE8557">
      <w:pPr>
        <w:spacing w:line="360" w:lineRule="auto"/>
        <w:outlineLvl w:val="2"/>
        <w:rPr>
          <w:rFonts w:hint="eastAsia" w:ascii="宋体" w:hAnsi="宋体" w:eastAsia="宋体" w:cs="宋体"/>
          <w:b/>
          <w:iCs/>
          <w:color w:val="auto"/>
          <w:spacing w:val="0"/>
          <w:sz w:val="21"/>
          <w:szCs w:val="21"/>
          <w:highlight w:val="none"/>
        </w:rPr>
      </w:pPr>
      <w:bookmarkStart w:id="712" w:name="_Toc25826"/>
      <w:bookmarkStart w:id="713" w:name="_Toc24868"/>
      <w:bookmarkStart w:id="714" w:name="_Toc26855"/>
      <w:r>
        <w:rPr>
          <w:rFonts w:hint="eastAsia" w:ascii="宋体" w:hAnsi="宋体" w:eastAsia="宋体" w:cs="宋体"/>
          <w:b/>
          <w:iCs/>
          <w:color w:val="auto"/>
          <w:spacing w:val="0"/>
          <w:sz w:val="21"/>
          <w:szCs w:val="21"/>
          <w:highlight w:val="none"/>
        </w:rPr>
        <w:t>（本页无正文，为编号XXXXXXXXX《XXX合同》的签署页）</w:t>
      </w:r>
      <w:bookmarkEnd w:id="712"/>
      <w:bookmarkEnd w:id="713"/>
      <w:bookmarkEnd w:id="714"/>
    </w:p>
    <w:p w14:paraId="49F4D279">
      <w:pPr>
        <w:spacing w:line="360" w:lineRule="auto"/>
        <w:rPr>
          <w:rFonts w:hint="eastAsia" w:ascii="宋体" w:hAnsi="宋体" w:eastAsia="宋体" w:cs="宋体"/>
          <w:b/>
          <w:color w:val="auto"/>
          <w:spacing w:val="0"/>
          <w:sz w:val="21"/>
          <w:szCs w:val="21"/>
          <w:highlight w:val="none"/>
        </w:rPr>
      </w:pPr>
    </w:p>
    <w:p w14:paraId="68987BD5">
      <w:pPr>
        <w:spacing w:line="360" w:lineRule="auto"/>
        <w:rPr>
          <w:rFonts w:hint="eastAsia" w:ascii="宋体" w:hAnsi="宋体" w:eastAsia="宋体" w:cs="宋体"/>
          <w:b/>
          <w:color w:val="auto"/>
          <w:spacing w:val="0"/>
          <w:sz w:val="21"/>
          <w:szCs w:val="21"/>
          <w:highlight w:val="none"/>
        </w:rPr>
      </w:pPr>
    </w:p>
    <w:p w14:paraId="77716954">
      <w:pPr>
        <w:tabs>
          <w:tab w:val="left" w:pos="851"/>
        </w:tabs>
        <w:adjustRightInd w:val="0"/>
        <w:spacing w:line="360" w:lineRule="auto"/>
        <w:textAlignment w:val="baseline"/>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甲方：</w:t>
      </w:r>
      <w:r>
        <w:rPr>
          <w:rFonts w:hint="eastAsia" w:ascii="宋体" w:hAnsi="宋体" w:eastAsia="宋体" w:cs="宋体"/>
          <w:b/>
          <w:color w:val="auto"/>
          <w:spacing w:val="0"/>
          <w:sz w:val="21"/>
          <w:szCs w:val="21"/>
          <w:highlight w:val="none"/>
        </w:rPr>
        <w:t>重庆三峡银行股份有限公司</w:t>
      </w:r>
      <w:r>
        <w:rPr>
          <w:rFonts w:hint="eastAsia" w:ascii="宋体" w:hAnsi="宋体" w:eastAsia="宋体" w:cs="宋体"/>
          <w:color w:val="auto"/>
          <w:spacing w:val="0"/>
          <w:kern w:val="0"/>
          <w:sz w:val="21"/>
          <w:szCs w:val="21"/>
          <w:highlight w:val="none"/>
        </w:rPr>
        <w:t xml:space="preserve">     （公章）</w:t>
      </w:r>
    </w:p>
    <w:p w14:paraId="0C5F86A3">
      <w:pPr>
        <w:spacing w:line="360" w:lineRule="auto"/>
        <w:rPr>
          <w:rFonts w:hint="eastAsia" w:ascii="宋体" w:hAnsi="宋体" w:eastAsia="宋体" w:cs="宋体"/>
          <w:color w:val="auto"/>
          <w:spacing w:val="0"/>
          <w:sz w:val="21"/>
          <w:szCs w:val="21"/>
          <w:highlight w:val="none"/>
        </w:rPr>
      </w:pPr>
    </w:p>
    <w:p w14:paraId="63F5DE61">
      <w:pPr>
        <w:tabs>
          <w:tab w:val="left" w:pos="851"/>
        </w:tabs>
        <w:adjustRightInd w:val="0"/>
        <w:spacing w:line="360" w:lineRule="auto"/>
        <w:ind w:firstLine="630" w:firstLineChars="300"/>
        <w:textAlignment w:val="baseline"/>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经办人：</w:t>
      </w:r>
    </w:p>
    <w:p w14:paraId="191529AF">
      <w:pPr>
        <w:tabs>
          <w:tab w:val="left" w:pos="851"/>
        </w:tabs>
        <w:adjustRightInd w:val="0"/>
        <w:spacing w:line="360" w:lineRule="auto"/>
        <w:ind w:firstLine="630" w:firstLineChars="300"/>
        <w:textAlignment w:val="baseline"/>
        <w:rPr>
          <w:rFonts w:hint="eastAsia" w:ascii="宋体" w:hAnsi="宋体" w:eastAsia="宋体" w:cs="宋体"/>
          <w:color w:val="auto"/>
          <w:spacing w:val="0"/>
          <w:kern w:val="0"/>
          <w:sz w:val="21"/>
          <w:szCs w:val="21"/>
          <w:highlight w:val="none"/>
        </w:rPr>
      </w:pPr>
    </w:p>
    <w:p w14:paraId="452A3B11">
      <w:pPr>
        <w:spacing w:line="360" w:lineRule="auto"/>
        <w:rPr>
          <w:rFonts w:hint="eastAsia" w:ascii="宋体" w:hAnsi="宋体" w:eastAsia="宋体" w:cs="宋体"/>
          <w:color w:val="auto"/>
          <w:spacing w:val="0"/>
          <w:sz w:val="21"/>
          <w:szCs w:val="21"/>
          <w:highlight w:val="none"/>
        </w:rPr>
      </w:pPr>
    </w:p>
    <w:p w14:paraId="6279F518">
      <w:pPr>
        <w:spacing w:line="360" w:lineRule="auto"/>
        <w:rPr>
          <w:rFonts w:hint="eastAsia" w:ascii="宋体" w:hAnsi="宋体" w:eastAsia="宋体" w:cs="宋体"/>
          <w:color w:val="auto"/>
          <w:spacing w:val="0"/>
          <w:sz w:val="21"/>
          <w:szCs w:val="21"/>
          <w:highlight w:val="none"/>
        </w:rPr>
      </w:pPr>
    </w:p>
    <w:p w14:paraId="164EC7AE">
      <w:pPr>
        <w:spacing w:line="360" w:lineRule="auto"/>
        <w:rPr>
          <w:rFonts w:hint="eastAsia" w:ascii="宋体" w:hAnsi="宋体" w:eastAsia="宋体" w:cs="宋体"/>
          <w:color w:val="auto"/>
          <w:spacing w:val="0"/>
          <w:sz w:val="21"/>
          <w:szCs w:val="21"/>
          <w:highlight w:val="none"/>
        </w:rPr>
      </w:pPr>
    </w:p>
    <w:p w14:paraId="26CCC197">
      <w:pPr>
        <w:spacing w:line="360" w:lineRule="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乙方：</w:t>
      </w:r>
      <w:r>
        <w:rPr>
          <w:rFonts w:hint="eastAsia" w:ascii="宋体" w:hAnsi="宋体" w:eastAsia="宋体" w:cs="宋体"/>
          <w:b/>
          <w:color w:val="auto"/>
          <w:spacing w:val="0"/>
          <w:sz w:val="21"/>
          <w:szCs w:val="21"/>
          <w:highlight w:val="none"/>
        </w:rPr>
        <w:t>XXXXXXXXXXXXXXXXXXXXXXX</w:t>
      </w:r>
      <w:r>
        <w:rPr>
          <w:rFonts w:hint="eastAsia" w:ascii="宋体" w:hAnsi="宋体" w:eastAsia="宋体" w:cs="宋体"/>
          <w:color w:val="auto"/>
          <w:spacing w:val="0"/>
          <w:sz w:val="21"/>
          <w:szCs w:val="21"/>
          <w:highlight w:val="none"/>
        </w:rPr>
        <w:t>（公章）</w:t>
      </w:r>
    </w:p>
    <w:p w14:paraId="4C533F25">
      <w:pPr>
        <w:spacing w:line="360" w:lineRule="auto"/>
        <w:rPr>
          <w:rFonts w:hint="eastAsia" w:ascii="宋体" w:hAnsi="宋体" w:eastAsia="宋体" w:cs="宋体"/>
          <w:color w:val="auto"/>
          <w:spacing w:val="0"/>
          <w:sz w:val="21"/>
          <w:szCs w:val="21"/>
          <w:highlight w:val="none"/>
        </w:rPr>
      </w:pPr>
    </w:p>
    <w:p w14:paraId="55A731F2">
      <w:pPr>
        <w:spacing w:line="360" w:lineRule="auto"/>
        <w:ind w:firstLine="630" w:firstLineChars="3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经办人：</w:t>
      </w:r>
    </w:p>
    <w:p w14:paraId="57742C47">
      <w:pPr>
        <w:spacing w:line="360" w:lineRule="auto"/>
        <w:rPr>
          <w:rFonts w:hint="eastAsia" w:ascii="宋体" w:hAnsi="宋体" w:eastAsia="宋体" w:cs="宋体"/>
          <w:color w:val="auto"/>
          <w:spacing w:val="0"/>
          <w:sz w:val="21"/>
          <w:szCs w:val="21"/>
          <w:highlight w:val="none"/>
        </w:rPr>
      </w:pPr>
    </w:p>
    <w:p w14:paraId="78292020">
      <w:pPr>
        <w:spacing w:line="360" w:lineRule="auto"/>
        <w:ind w:firstLine="4410" w:firstLineChars="2100"/>
        <w:rPr>
          <w:rFonts w:hint="eastAsia" w:ascii="宋体" w:hAnsi="宋体" w:eastAsia="宋体" w:cs="宋体"/>
          <w:color w:val="auto"/>
          <w:spacing w:val="0"/>
          <w:sz w:val="21"/>
          <w:szCs w:val="21"/>
          <w:highlight w:val="none"/>
        </w:rPr>
      </w:pPr>
    </w:p>
    <w:p w14:paraId="48D2A9CD">
      <w:pPr>
        <w:spacing w:line="360" w:lineRule="auto"/>
        <w:ind w:firstLine="4410" w:firstLineChars="2100"/>
        <w:rPr>
          <w:rFonts w:hint="eastAsia" w:ascii="宋体" w:hAnsi="宋体" w:eastAsia="宋体" w:cs="宋体"/>
          <w:color w:val="auto"/>
          <w:spacing w:val="0"/>
          <w:sz w:val="21"/>
          <w:szCs w:val="21"/>
          <w:highlight w:val="none"/>
        </w:rPr>
      </w:pPr>
    </w:p>
    <w:p w14:paraId="4AF2076A">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日期：    年    月    日</w:t>
      </w:r>
    </w:p>
    <w:p w14:paraId="467E56B2">
      <w:pPr>
        <w:spacing w:line="360" w:lineRule="auto"/>
        <w:ind w:firstLine="420" w:firstLineChars="200"/>
        <w:rPr>
          <w:rFonts w:hint="eastAsia" w:ascii="宋体" w:hAnsi="宋体" w:eastAsia="宋体" w:cs="宋体"/>
          <w:color w:val="auto"/>
          <w:spacing w:val="0"/>
          <w:highlight w:val="none"/>
        </w:rPr>
      </w:pPr>
    </w:p>
    <w:p w14:paraId="5BEE6398">
      <w:pPr>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br w:type="page"/>
      </w:r>
    </w:p>
    <w:p w14:paraId="60BD03C8">
      <w:pPr>
        <w:pStyle w:val="2"/>
        <w:spacing w:before="0" w:after="0"/>
        <w:rPr>
          <w:rStyle w:val="40"/>
          <w:rFonts w:hint="eastAsia" w:ascii="宋体" w:hAnsi="宋体" w:eastAsia="宋体" w:cs="宋体"/>
          <w:color w:val="auto"/>
          <w:spacing w:val="0"/>
          <w:kern w:val="0"/>
          <w:sz w:val="30"/>
          <w:highlight w:val="none"/>
          <w:lang w:eastAsia="zh-CN"/>
        </w:rPr>
      </w:pPr>
      <w:bookmarkStart w:id="715" w:name="_Toc17678"/>
      <w:bookmarkStart w:id="716" w:name="_Toc63757481"/>
      <w:bookmarkStart w:id="717" w:name="_Toc13967"/>
      <w:bookmarkStart w:id="718" w:name="_Toc16360"/>
      <w:bookmarkStart w:id="719" w:name="_Toc23421"/>
      <w:bookmarkStart w:id="720" w:name="_Toc3791"/>
      <w:r>
        <w:rPr>
          <w:rStyle w:val="40"/>
          <w:rFonts w:hint="eastAsia" w:ascii="宋体" w:hAnsi="宋体" w:eastAsia="宋体" w:cs="宋体"/>
          <w:color w:val="auto"/>
          <w:spacing w:val="0"/>
          <w:kern w:val="0"/>
          <w:sz w:val="30"/>
          <w:highlight w:val="none"/>
        </w:rPr>
        <w:t>附件一：工作（需求）说明书</w:t>
      </w:r>
      <w:bookmarkEnd w:id="715"/>
      <w:bookmarkEnd w:id="716"/>
      <w:bookmarkEnd w:id="717"/>
      <w:bookmarkEnd w:id="718"/>
      <w:bookmarkEnd w:id="719"/>
      <w:bookmarkEnd w:id="720"/>
    </w:p>
    <w:p w14:paraId="34175628">
      <w:pPr>
        <w:spacing w:line="360" w:lineRule="auto"/>
        <w:ind w:left="945" w:leftChars="200" w:hanging="525" w:hangingChars="250"/>
        <w:outlineLvl w:val="2"/>
        <w:rPr>
          <w:rStyle w:val="40"/>
          <w:rFonts w:hint="eastAsia" w:ascii="宋体" w:hAnsi="宋体" w:eastAsia="宋体" w:cs="宋体"/>
          <w:bCs/>
          <w:color w:val="auto"/>
          <w:spacing w:val="0"/>
          <w:kern w:val="0"/>
          <w:sz w:val="21"/>
          <w:szCs w:val="21"/>
          <w:highlight w:val="none"/>
          <w:lang w:val="en-US"/>
        </w:rPr>
      </w:pPr>
      <w:bookmarkStart w:id="721" w:name="_Toc25718"/>
      <w:bookmarkStart w:id="722" w:name="_Toc3737"/>
      <w:bookmarkStart w:id="723" w:name="_Toc12118"/>
      <w:r>
        <w:rPr>
          <w:rStyle w:val="40"/>
          <w:rFonts w:hint="eastAsia" w:ascii="宋体" w:hAnsi="宋体" w:eastAsia="宋体" w:cs="宋体"/>
          <w:bCs/>
          <w:color w:val="auto"/>
          <w:spacing w:val="0"/>
          <w:kern w:val="0"/>
          <w:sz w:val="21"/>
          <w:szCs w:val="21"/>
          <w:highlight w:val="none"/>
          <w:lang w:val="en-US"/>
        </w:rPr>
        <w:t>一、项目范围</w:t>
      </w:r>
      <w:bookmarkEnd w:id="721"/>
      <w:bookmarkEnd w:id="722"/>
      <w:bookmarkEnd w:id="723"/>
    </w:p>
    <w:p w14:paraId="21A2DF83">
      <w:pPr>
        <w:snapToGrid/>
        <w:spacing w:line="360" w:lineRule="auto"/>
        <w:ind w:left="945" w:leftChars="200" w:hanging="525" w:hangingChars="250"/>
        <w:outlineLvl w:val="3"/>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bCs/>
          <w:color w:val="auto"/>
          <w:kern w:val="0"/>
          <w:sz w:val="21"/>
          <w:szCs w:val="21"/>
          <w:highlight w:val="none"/>
          <w:lang w:val="en-US" w:eastAsia="zh-CN"/>
        </w:rPr>
        <w:t>1、</w:t>
      </w:r>
      <w:r>
        <w:rPr>
          <w:rStyle w:val="40"/>
          <w:rFonts w:hint="eastAsia" w:ascii="宋体" w:hAnsi="宋体" w:eastAsia="宋体" w:cs="宋体"/>
          <w:bCs/>
          <w:color w:val="auto"/>
          <w:kern w:val="0"/>
          <w:sz w:val="21"/>
          <w:szCs w:val="21"/>
          <w:highlight w:val="none"/>
        </w:rPr>
        <w:t>案件审查审批</w:t>
      </w:r>
    </w:p>
    <w:p w14:paraId="756DBE67">
      <w:pPr>
        <w:snapToGrid/>
        <w:spacing w:line="360" w:lineRule="auto"/>
        <w:ind w:left="0" w:leftChars="0" w:firstLine="420" w:firstLineChars="200"/>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bCs/>
          <w:color w:val="auto"/>
          <w:kern w:val="0"/>
          <w:sz w:val="21"/>
          <w:szCs w:val="21"/>
          <w:highlight w:val="none"/>
        </w:rPr>
        <w:t>支持案件审查审批（含新增案件审批、存量案件变更审批）流程，资产类案件支持授信系统自动推送或人工主动发起报审，非资产类案件支持人工主动发起报审。支持案件审批流程实时/定期提醒（如系统消息、短信等提醒），对应流程完结后生成相关表单并按设置规则自动编号存档，支持表单导出。案件报审与审查具体内容、审查审批节点及权限可配置，支持审查流程节点进展查看。</w:t>
      </w:r>
    </w:p>
    <w:p w14:paraId="6ECF0F5C">
      <w:pPr>
        <w:snapToGrid/>
        <w:spacing w:line="360" w:lineRule="auto"/>
        <w:ind w:left="945" w:leftChars="200" w:hanging="525" w:hangingChars="250"/>
        <w:outlineLvl w:val="3"/>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color w:val="auto"/>
          <w:kern w:val="0"/>
          <w:sz w:val="21"/>
          <w:szCs w:val="21"/>
          <w:highlight w:val="none"/>
        </w:rPr>
        <w:t>2、</w:t>
      </w:r>
      <w:r>
        <w:rPr>
          <w:rStyle w:val="40"/>
          <w:rFonts w:hint="eastAsia" w:ascii="宋体" w:hAnsi="宋体" w:eastAsia="宋体" w:cs="宋体"/>
          <w:bCs/>
          <w:color w:val="auto"/>
          <w:kern w:val="0"/>
          <w:sz w:val="21"/>
          <w:szCs w:val="21"/>
          <w:highlight w:val="none"/>
        </w:rPr>
        <w:t>案件进展跟踪监测</w:t>
      </w:r>
    </w:p>
    <w:p w14:paraId="2F1086DA">
      <w:pPr>
        <w:snapToGrid/>
        <w:spacing w:line="360" w:lineRule="auto"/>
        <w:ind w:left="0" w:leftChars="0" w:firstLine="420" w:firstLineChars="200"/>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bCs/>
          <w:color w:val="auto"/>
          <w:kern w:val="0"/>
          <w:sz w:val="21"/>
          <w:szCs w:val="21"/>
          <w:highlight w:val="none"/>
        </w:rPr>
        <w:t>实现案件一审/二审/再审/仲裁/执行/特别程序等自立案起至案件终结止的“全生命周期”管理。支持定期案件进展更新提醒（如系统消息、短信等提醒）。支持案件进展及信息更新单笔/批量复核流程，对应人员及权限可配置。支持案件督办提醒（如系统消息、短信等提醒），根据配置的审理期限、执行期限、保全期限等，提醒经办单位及人员及时推进案件并更新信息。支持</w:t>
      </w:r>
      <w:r>
        <w:rPr>
          <w:rStyle w:val="40"/>
          <w:rFonts w:hint="eastAsia" w:ascii="宋体" w:hAnsi="宋体" w:eastAsia="宋体" w:cs="宋体"/>
          <w:bCs/>
          <w:color w:val="auto"/>
          <w:kern w:val="0"/>
          <w:sz w:val="21"/>
          <w:szCs w:val="21"/>
          <w:highlight w:val="none"/>
          <w:lang w:val="en-US" w:eastAsia="zh-CN"/>
        </w:rPr>
        <w:t>人工录入案件要素信息，自动识别、填充</w:t>
      </w:r>
      <w:r>
        <w:rPr>
          <w:rStyle w:val="40"/>
          <w:rFonts w:hint="eastAsia" w:ascii="宋体" w:hAnsi="宋体" w:eastAsia="宋体" w:cs="宋体"/>
          <w:bCs/>
          <w:color w:val="auto"/>
          <w:kern w:val="0"/>
          <w:sz w:val="21"/>
          <w:szCs w:val="21"/>
          <w:highlight w:val="none"/>
        </w:rPr>
        <w:t>立案受理通知书、开庭通知书、判决/裁决书等法律文书</w:t>
      </w:r>
      <w:r>
        <w:rPr>
          <w:rStyle w:val="40"/>
          <w:rFonts w:hint="eastAsia" w:ascii="宋体" w:hAnsi="宋体" w:eastAsia="宋体" w:cs="宋体"/>
          <w:bCs/>
          <w:color w:val="auto"/>
          <w:kern w:val="0"/>
          <w:sz w:val="21"/>
          <w:szCs w:val="21"/>
          <w:highlight w:val="none"/>
          <w:lang w:val="en-US" w:eastAsia="zh-CN"/>
        </w:rPr>
        <w:t>中的案件要素信息功能</w:t>
      </w:r>
      <w:r>
        <w:rPr>
          <w:rStyle w:val="40"/>
          <w:rFonts w:hint="eastAsia" w:ascii="宋体" w:hAnsi="宋体" w:cs="宋体"/>
          <w:bCs/>
          <w:color w:val="auto"/>
          <w:kern w:val="0"/>
          <w:sz w:val="21"/>
          <w:szCs w:val="21"/>
          <w:highlight w:val="none"/>
          <w:lang w:val="en-US" w:eastAsia="zh-Hans"/>
        </w:rPr>
        <w:t>，</w:t>
      </w:r>
      <w:r>
        <w:rPr>
          <w:rFonts w:hint="eastAsia" w:cs="Times New Roman"/>
          <w:color w:val="auto"/>
          <w:sz w:val="20"/>
          <w:highlight w:val="none"/>
          <w:lang w:val="en-US" w:eastAsia="zh-Hans"/>
        </w:rPr>
        <w:t>支持接入</w:t>
      </w:r>
      <w:r>
        <w:rPr>
          <w:rFonts w:hint="eastAsia" w:cs="Times New Roman"/>
          <w:color w:val="auto"/>
          <w:sz w:val="20"/>
          <w:highlight w:val="none"/>
          <w:lang w:val="en-US" w:eastAsia="zh-CN"/>
        </w:rPr>
        <w:t>我行</w:t>
      </w:r>
      <w:r>
        <w:rPr>
          <w:rFonts w:hint="eastAsia" w:cs="Times New Roman"/>
          <w:color w:val="auto"/>
          <w:sz w:val="20"/>
          <w:highlight w:val="none"/>
          <w:lang w:val="en-US" w:eastAsia="zh-Hans"/>
        </w:rPr>
        <w:t>外部司法数据，并自动填充、更新案件进展信息</w:t>
      </w:r>
      <w:r>
        <w:rPr>
          <w:rStyle w:val="40"/>
          <w:rFonts w:hint="eastAsia" w:ascii="宋体" w:hAnsi="宋体" w:eastAsia="宋体" w:cs="宋体"/>
          <w:bCs/>
          <w:color w:val="auto"/>
          <w:kern w:val="0"/>
          <w:sz w:val="21"/>
          <w:szCs w:val="21"/>
          <w:highlight w:val="none"/>
        </w:rPr>
        <w:t>。案件跟踪填报具体信息、人员权限可配置。</w:t>
      </w:r>
    </w:p>
    <w:p w14:paraId="699F11BE">
      <w:pPr>
        <w:snapToGrid/>
        <w:spacing w:line="360" w:lineRule="auto"/>
        <w:ind w:left="945" w:leftChars="200" w:hanging="525" w:hangingChars="250"/>
        <w:outlineLvl w:val="3"/>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color w:val="auto"/>
          <w:kern w:val="0"/>
          <w:sz w:val="21"/>
          <w:szCs w:val="21"/>
          <w:highlight w:val="none"/>
        </w:rPr>
        <w:t>3、</w:t>
      </w:r>
      <w:r>
        <w:rPr>
          <w:rStyle w:val="40"/>
          <w:rFonts w:hint="eastAsia" w:ascii="宋体" w:hAnsi="宋体" w:eastAsia="宋体" w:cs="宋体"/>
          <w:bCs/>
          <w:color w:val="auto"/>
          <w:kern w:val="0"/>
          <w:sz w:val="21"/>
          <w:szCs w:val="21"/>
          <w:highlight w:val="none"/>
        </w:rPr>
        <w:t>全量案件信息管理</w:t>
      </w:r>
    </w:p>
    <w:p w14:paraId="1F1EA67F">
      <w:pPr>
        <w:snapToGrid/>
        <w:spacing w:line="360" w:lineRule="auto"/>
        <w:ind w:left="0" w:leftChars="0" w:firstLine="420" w:firstLineChars="200"/>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bCs/>
          <w:color w:val="auto"/>
          <w:kern w:val="0"/>
          <w:sz w:val="21"/>
          <w:szCs w:val="21"/>
          <w:highlight w:val="none"/>
        </w:rPr>
        <w:t>实现资产（含表内资产/表外资产、自有资产/代管资产等）类/非资产类、线上/线下、主诉/被诉/第三人等全量案件统筹管理。支持对案件基本情况、案件进展情况、费用情况、代理情况、处置收回情况、所涉业务情况、自查整改情况等案件所涉全量信息全面、精细管理，并建立统一规范的信息标准。支持定期或人工进行资产类案件所涉业务基本情况、案件处置回收情况等业务信息自动更新，定期期限、人员权限可配置。</w:t>
      </w:r>
    </w:p>
    <w:p w14:paraId="24220E8B">
      <w:pPr>
        <w:snapToGrid/>
        <w:spacing w:line="360" w:lineRule="auto"/>
        <w:ind w:left="945" w:leftChars="200" w:hanging="525" w:hangingChars="250"/>
        <w:outlineLvl w:val="3"/>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color w:val="auto"/>
          <w:kern w:val="0"/>
          <w:sz w:val="21"/>
          <w:szCs w:val="21"/>
          <w:highlight w:val="none"/>
        </w:rPr>
        <w:t>4、</w:t>
      </w:r>
      <w:r>
        <w:rPr>
          <w:rStyle w:val="40"/>
          <w:rFonts w:hint="eastAsia" w:ascii="宋体" w:hAnsi="宋体" w:eastAsia="宋体" w:cs="宋体"/>
          <w:bCs/>
          <w:color w:val="auto"/>
          <w:kern w:val="0"/>
          <w:sz w:val="21"/>
          <w:szCs w:val="21"/>
          <w:highlight w:val="none"/>
        </w:rPr>
        <w:t>案件代理管理</w:t>
      </w:r>
    </w:p>
    <w:p w14:paraId="68214D42">
      <w:pPr>
        <w:snapToGrid/>
        <w:spacing w:line="360" w:lineRule="auto"/>
        <w:ind w:left="0" w:leftChars="0" w:firstLine="420" w:firstLineChars="200"/>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bCs/>
          <w:color w:val="auto"/>
          <w:kern w:val="0"/>
          <w:sz w:val="21"/>
          <w:szCs w:val="21"/>
          <w:highlight w:val="none"/>
        </w:rPr>
        <w:t>实现公司律师、外聘律所及律师的分类管理，支持相关信息批量导入或录入、律所入库及退出管理、个案按规则分发选聘律所</w:t>
      </w:r>
      <w:r>
        <w:rPr>
          <w:rStyle w:val="40"/>
          <w:rFonts w:hint="eastAsia" w:ascii="宋体" w:hAnsi="宋体" w:eastAsia="宋体" w:cs="宋体"/>
          <w:bCs/>
          <w:color w:val="auto"/>
          <w:kern w:val="0"/>
          <w:sz w:val="21"/>
          <w:szCs w:val="21"/>
          <w:highlight w:val="none"/>
          <w:lang w:eastAsia="zh-CN"/>
        </w:rPr>
        <w:t>（</w:t>
      </w:r>
      <w:r>
        <w:rPr>
          <w:rStyle w:val="40"/>
          <w:rFonts w:hint="eastAsia" w:ascii="宋体" w:hAnsi="宋体" w:eastAsia="宋体" w:cs="宋体"/>
          <w:bCs/>
          <w:color w:val="auto"/>
          <w:kern w:val="0"/>
          <w:sz w:val="21"/>
          <w:szCs w:val="21"/>
          <w:highlight w:val="none"/>
          <w:lang w:val="en-US" w:eastAsia="zh-Hans"/>
        </w:rPr>
        <w:t>分发选聘的方式需为系统按设定逻辑自动向入库的外聘律所进行派单</w:t>
      </w:r>
      <w:r>
        <w:rPr>
          <w:rStyle w:val="40"/>
          <w:rFonts w:hint="eastAsia" w:ascii="宋体" w:hAnsi="宋体" w:eastAsia="宋体" w:cs="宋体"/>
          <w:bCs/>
          <w:color w:val="auto"/>
          <w:kern w:val="0"/>
          <w:sz w:val="21"/>
          <w:szCs w:val="21"/>
          <w:highlight w:val="none"/>
          <w:lang w:eastAsia="zh-Hans"/>
        </w:rPr>
        <w:t>）</w:t>
      </w:r>
      <w:r>
        <w:rPr>
          <w:rStyle w:val="40"/>
          <w:rFonts w:hint="eastAsia" w:ascii="宋体" w:hAnsi="宋体" w:eastAsia="宋体" w:cs="宋体"/>
          <w:bCs/>
          <w:color w:val="auto"/>
          <w:kern w:val="0"/>
          <w:sz w:val="21"/>
          <w:szCs w:val="21"/>
          <w:highlight w:val="none"/>
        </w:rPr>
        <w:t>、公司律师考评、律所考评（含整体服务、个案代理考评等）等全方位管理，相关权限可配置。</w:t>
      </w:r>
    </w:p>
    <w:p w14:paraId="17BF2C17">
      <w:pPr>
        <w:snapToGrid/>
        <w:spacing w:line="360" w:lineRule="auto"/>
        <w:ind w:left="945" w:leftChars="200" w:hanging="525" w:hangingChars="250"/>
        <w:outlineLvl w:val="3"/>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color w:val="auto"/>
          <w:kern w:val="0"/>
          <w:sz w:val="21"/>
          <w:szCs w:val="21"/>
          <w:highlight w:val="none"/>
        </w:rPr>
        <w:t>5、</w:t>
      </w:r>
      <w:r>
        <w:rPr>
          <w:rStyle w:val="40"/>
          <w:rFonts w:hint="eastAsia" w:ascii="宋体" w:hAnsi="宋体" w:eastAsia="宋体" w:cs="宋体"/>
          <w:bCs/>
          <w:color w:val="auto"/>
          <w:kern w:val="0"/>
          <w:sz w:val="21"/>
          <w:szCs w:val="21"/>
          <w:highlight w:val="none"/>
        </w:rPr>
        <w:t>案件费用管理</w:t>
      </w:r>
    </w:p>
    <w:p w14:paraId="43E673C1">
      <w:pPr>
        <w:snapToGrid/>
        <w:spacing w:line="360" w:lineRule="auto"/>
        <w:ind w:left="0" w:leftChars="0" w:firstLine="420" w:firstLineChars="200"/>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bCs/>
          <w:color w:val="auto"/>
          <w:kern w:val="0"/>
          <w:sz w:val="21"/>
          <w:szCs w:val="21"/>
          <w:highlight w:val="none"/>
          <w:lang w:val="en-US" w:eastAsia="zh-CN"/>
        </w:rPr>
        <w:t>对接</w:t>
      </w:r>
      <w:r>
        <w:rPr>
          <w:rStyle w:val="40"/>
          <w:rFonts w:hint="eastAsia" w:ascii="宋体" w:hAnsi="宋体" w:eastAsia="宋体" w:cs="宋体"/>
          <w:bCs/>
          <w:color w:val="auto"/>
          <w:kern w:val="0"/>
          <w:sz w:val="21"/>
          <w:szCs w:val="21"/>
          <w:highlight w:val="none"/>
        </w:rPr>
        <w:t>财务共享平台</w:t>
      </w:r>
      <w:r>
        <w:rPr>
          <w:rStyle w:val="40"/>
          <w:rFonts w:hint="eastAsia" w:ascii="宋体" w:hAnsi="宋体" w:eastAsia="宋体" w:cs="宋体"/>
          <w:bCs/>
          <w:color w:val="auto"/>
          <w:kern w:val="0"/>
          <w:sz w:val="21"/>
          <w:szCs w:val="21"/>
          <w:highlight w:val="none"/>
          <w:lang w:eastAsia="zh-CN"/>
        </w:rPr>
        <w:t>，</w:t>
      </w:r>
      <w:r>
        <w:rPr>
          <w:rStyle w:val="40"/>
          <w:rFonts w:hint="eastAsia" w:ascii="宋体" w:hAnsi="宋体" w:eastAsia="宋体" w:cs="宋体"/>
          <w:bCs/>
          <w:color w:val="auto"/>
          <w:kern w:val="0"/>
          <w:sz w:val="21"/>
          <w:szCs w:val="21"/>
          <w:highlight w:val="none"/>
        </w:rPr>
        <w:t>支持诉讼费、仲裁费、公证费、保全费、评估费、拍卖/变卖费、鉴定费、翻译费</w:t>
      </w:r>
      <w:r>
        <w:rPr>
          <w:rStyle w:val="40"/>
          <w:rFonts w:hint="eastAsia" w:ascii="宋体" w:hAnsi="宋体" w:eastAsia="宋体" w:cs="宋体"/>
          <w:bCs/>
          <w:color w:val="auto"/>
          <w:kern w:val="0"/>
          <w:sz w:val="21"/>
          <w:szCs w:val="21"/>
          <w:highlight w:val="none"/>
          <w:lang w:eastAsia="zh-CN"/>
        </w:rPr>
        <w:t>、</w:t>
      </w:r>
      <w:r>
        <w:rPr>
          <w:rStyle w:val="40"/>
          <w:rFonts w:hint="eastAsia" w:ascii="宋体" w:hAnsi="宋体" w:eastAsia="宋体" w:cs="宋体"/>
          <w:bCs/>
          <w:color w:val="auto"/>
          <w:kern w:val="0"/>
          <w:sz w:val="21"/>
          <w:szCs w:val="21"/>
          <w:highlight w:val="none"/>
          <w:lang w:val="en-US" w:eastAsia="zh-CN"/>
        </w:rPr>
        <w:t>律师费</w:t>
      </w:r>
      <w:r>
        <w:rPr>
          <w:rStyle w:val="40"/>
          <w:rFonts w:hint="eastAsia" w:ascii="宋体" w:hAnsi="宋体" w:eastAsia="宋体" w:cs="宋体"/>
          <w:bCs/>
          <w:color w:val="auto"/>
          <w:kern w:val="0"/>
          <w:sz w:val="21"/>
          <w:szCs w:val="21"/>
          <w:highlight w:val="none"/>
        </w:rPr>
        <w:t>等具体案件所涉费用与案件进展、代理情况、处置回收情况等关联校验控制，案件、财务信息互联互通，实现案件及相关费用双向管理。</w:t>
      </w:r>
    </w:p>
    <w:p w14:paraId="60F6AB0E">
      <w:pPr>
        <w:snapToGrid/>
        <w:spacing w:line="360" w:lineRule="auto"/>
        <w:ind w:left="945" w:leftChars="200" w:hanging="525" w:hangingChars="250"/>
        <w:outlineLvl w:val="3"/>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color w:val="auto"/>
          <w:kern w:val="0"/>
          <w:sz w:val="21"/>
          <w:szCs w:val="21"/>
          <w:highlight w:val="none"/>
        </w:rPr>
        <w:t>6、</w:t>
      </w:r>
      <w:r>
        <w:rPr>
          <w:rStyle w:val="40"/>
          <w:rFonts w:hint="eastAsia" w:ascii="宋体" w:hAnsi="宋体" w:eastAsia="宋体" w:cs="宋体"/>
          <w:bCs/>
          <w:color w:val="auto"/>
          <w:kern w:val="0"/>
          <w:sz w:val="21"/>
          <w:szCs w:val="21"/>
          <w:highlight w:val="none"/>
        </w:rPr>
        <w:t>案件统计分析</w:t>
      </w:r>
    </w:p>
    <w:p w14:paraId="23E37EB1">
      <w:pPr>
        <w:snapToGrid/>
        <w:spacing w:line="360" w:lineRule="auto"/>
        <w:ind w:left="0" w:leftChars="0" w:firstLine="420" w:firstLineChars="200"/>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bCs/>
          <w:color w:val="auto"/>
          <w:kern w:val="0"/>
          <w:sz w:val="21"/>
          <w:szCs w:val="21"/>
          <w:highlight w:val="none"/>
        </w:rPr>
        <w:t>实现案件信息统计，系统自动生成案件“全生命周期”管理表单，支持通过筛选项、自定义数据字段等，实现分类/批量/单笔案件全部/部分信息统计表单生成、查看、导出，查看、导出权限可配置。实现案件信息数据分析，根据不同维度、规则对案件情况进行智能分析并展示分析结果表单、图表，并支持表单、图表导出，分析维度、规则可配置。</w:t>
      </w:r>
    </w:p>
    <w:p w14:paraId="6C83894C">
      <w:pPr>
        <w:snapToGrid/>
        <w:spacing w:line="360" w:lineRule="auto"/>
        <w:ind w:left="945" w:leftChars="200" w:hanging="525" w:hangingChars="250"/>
        <w:outlineLvl w:val="3"/>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color w:val="auto"/>
          <w:kern w:val="0"/>
          <w:sz w:val="21"/>
          <w:szCs w:val="21"/>
          <w:highlight w:val="none"/>
        </w:rPr>
        <w:t>7、</w:t>
      </w:r>
      <w:r>
        <w:rPr>
          <w:rStyle w:val="40"/>
          <w:rFonts w:hint="eastAsia" w:ascii="宋体" w:hAnsi="宋体" w:eastAsia="宋体" w:cs="宋体"/>
          <w:bCs/>
          <w:color w:val="auto"/>
          <w:kern w:val="0"/>
          <w:sz w:val="21"/>
          <w:szCs w:val="21"/>
          <w:highlight w:val="none"/>
        </w:rPr>
        <w:t>案件档案管理</w:t>
      </w:r>
    </w:p>
    <w:p w14:paraId="11CBE355">
      <w:pPr>
        <w:snapToGrid/>
        <w:spacing w:line="360" w:lineRule="auto"/>
        <w:ind w:left="0" w:leftChars="0" w:firstLine="420" w:firstLineChars="200"/>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bCs/>
          <w:color w:val="auto"/>
          <w:kern w:val="0"/>
          <w:sz w:val="21"/>
          <w:szCs w:val="21"/>
          <w:highlight w:val="none"/>
        </w:rPr>
        <w:t>支持起诉状、答辩状、执行申请书、立案受理通知书、开庭通知书、判决书、裁决书等各阶段案件主要及重要法律文书扫描上传并归档保存，保存时限须符合本行档案管理要求。支持案件档案查看、导出，权限可配置。</w:t>
      </w:r>
    </w:p>
    <w:p w14:paraId="4C8847E9">
      <w:pPr>
        <w:snapToGrid/>
        <w:spacing w:line="360" w:lineRule="auto"/>
        <w:ind w:left="945" w:leftChars="200" w:hanging="525" w:hangingChars="250"/>
        <w:outlineLvl w:val="3"/>
        <w:rPr>
          <w:rStyle w:val="40"/>
          <w:rFonts w:hint="eastAsia" w:ascii="宋体" w:hAnsi="宋体" w:eastAsia="宋体" w:cs="宋体"/>
          <w:bCs/>
          <w:color w:val="auto"/>
          <w:kern w:val="0"/>
          <w:sz w:val="21"/>
          <w:szCs w:val="21"/>
          <w:highlight w:val="none"/>
        </w:rPr>
      </w:pPr>
      <w:r>
        <w:rPr>
          <w:rStyle w:val="40"/>
          <w:rFonts w:hint="eastAsia" w:ascii="宋体" w:hAnsi="宋体" w:eastAsia="宋体" w:cs="宋体"/>
          <w:color w:val="auto"/>
          <w:kern w:val="0"/>
          <w:sz w:val="21"/>
          <w:szCs w:val="21"/>
          <w:highlight w:val="none"/>
        </w:rPr>
        <w:t>8、</w:t>
      </w:r>
      <w:r>
        <w:rPr>
          <w:rStyle w:val="40"/>
          <w:rFonts w:hint="eastAsia" w:ascii="宋体" w:hAnsi="宋体" w:eastAsia="宋体" w:cs="宋体"/>
          <w:bCs/>
          <w:color w:val="auto"/>
          <w:kern w:val="0"/>
          <w:sz w:val="21"/>
          <w:szCs w:val="21"/>
          <w:highlight w:val="none"/>
        </w:rPr>
        <w:t>案件权限管理</w:t>
      </w:r>
    </w:p>
    <w:p w14:paraId="289050B4">
      <w:pPr>
        <w:spacing w:line="360" w:lineRule="auto"/>
        <w:ind w:left="0" w:leftChars="0" w:firstLine="420" w:firstLineChars="200"/>
        <w:rPr>
          <w:rFonts w:hint="eastAsia" w:ascii="宋体" w:hAnsi="宋体" w:eastAsia="宋体" w:cs="宋体"/>
          <w:color w:val="auto"/>
          <w:spacing w:val="0"/>
          <w:sz w:val="21"/>
          <w:szCs w:val="21"/>
          <w:highlight w:val="none"/>
        </w:rPr>
      </w:pPr>
      <w:r>
        <w:rPr>
          <w:rStyle w:val="40"/>
          <w:rFonts w:hint="eastAsia" w:ascii="宋体" w:hAnsi="宋体" w:eastAsia="宋体" w:cs="宋体"/>
          <w:bCs/>
          <w:color w:val="auto"/>
          <w:kern w:val="0"/>
          <w:sz w:val="21"/>
          <w:szCs w:val="21"/>
          <w:highlight w:val="none"/>
        </w:rPr>
        <w:t>实现本行机构及人员信息同步更新，支持各机构、人员案件审查审批、案件进展跟踪监测、案件代理管理、案件信息查询/统计/分析等各项权限可配置。支持人员变动情况下案件主动、指定等移交。</w:t>
      </w:r>
    </w:p>
    <w:p w14:paraId="223088FF">
      <w:pPr>
        <w:pStyle w:val="2"/>
        <w:keepNext w:val="0"/>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E95F6C0">
      <w:pPr>
        <w:pStyle w:val="2"/>
        <w:spacing w:before="0" w:after="0"/>
        <w:outlineLvl w:val="2"/>
        <w:rPr>
          <w:rStyle w:val="40"/>
          <w:rFonts w:hint="eastAsia" w:ascii="宋体" w:hAnsi="宋体" w:eastAsia="宋体" w:cs="宋体"/>
          <w:color w:val="auto"/>
          <w:spacing w:val="0"/>
          <w:kern w:val="0"/>
          <w:sz w:val="30"/>
          <w:highlight w:val="none"/>
        </w:rPr>
      </w:pPr>
      <w:bookmarkStart w:id="724" w:name="_Toc4173"/>
      <w:bookmarkStart w:id="725" w:name="_Toc12860"/>
      <w:bookmarkStart w:id="726" w:name="_Toc8972"/>
      <w:r>
        <w:rPr>
          <w:rStyle w:val="40"/>
          <w:rFonts w:hint="eastAsia" w:ascii="宋体" w:hAnsi="宋体" w:eastAsia="宋体" w:cs="宋体"/>
          <w:b w:val="0"/>
          <w:color w:val="auto"/>
          <w:spacing w:val="0"/>
          <w:kern w:val="0"/>
          <w:sz w:val="30"/>
          <w:highlight w:val="none"/>
        </w:rPr>
        <w:t>附件二：</w:t>
      </w:r>
      <w:r>
        <w:rPr>
          <w:rStyle w:val="40"/>
          <w:rFonts w:hint="eastAsia" w:ascii="宋体" w:hAnsi="宋体" w:eastAsia="宋体" w:cs="宋体"/>
          <w:color w:val="auto"/>
          <w:spacing w:val="0"/>
          <w:kern w:val="0"/>
          <w:sz w:val="30"/>
          <w:highlight w:val="none"/>
        </w:rPr>
        <w:t>项目人员名单及人员应急退出机制</w:t>
      </w:r>
      <w:bookmarkEnd w:id="724"/>
      <w:bookmarkEnd w:id="725"/>
      <w:bookmarkEnd w:id="726"/>
    </w:p>
    <w:p w14:paraId="7C101668">
      <w:pPr>
        <w:spacing w:line="360" w:lineRule="auto"/>
        <w:rPr>
          <w:rStyle w:val="40"/>
          <w:rFonts w:hint="eastAsia" w:ascii="宋体" w:hAnsi="宋体" w:eastAsia="宋体" w:cs="宋体"/>
          <w:color w:val="auto"/>
          <w:spacing w:val="0"/>
          <w:kern w:val="0"/>
          <w:highlight w:val="none"/>
        </w:rPr>
      </w:pPr>
    </w:p>
    <w:p w14:paraId="0F5D49DF">
      <w:pPr>
        <w:spacing w:line="360" w:lineRule="auto"/>
        <w:ind w:firstLine="482" w:firstLineChars="200"/>
        <w:outlineLvl w:val="2"/>
        <w:rPr>
          <w:rStyle w:val="40"/>
          <w:rFonts w:hint="eastAsia" w:ascii="宋体" w:hAnsi="宋体" w:eastAsia="宋体" w:cs="宋体"/>
          <w:b/>
          <w:color w:val="auto"/>
          <w:spacing w:val="0"/>
          <w:kern w:val="0"/>
          <w:highlight w:val="none"/>
        </w:rPr>
      </w:pPr>
      <w:bookmarkStart w:id="727" w:name="_Toc24498"/>
      <w:bookmarkStart w:id="728" w:name="_Toc15798"/>
      <w:bookmarkStart w:id="729" w:name="_Toc32233"/>
      <w:r>
        <w:rPr>
          <w:rStyle w:val="40"/>
          <w:rFonts w:hint="eastAsia" w:ascii="宋体" w:hAnsi="宋体" w:eastAsia="宋体" w:cs="宋体"/>
          <w:b/>
          <w:color w:val="auto"/>
          <w:spacing w:val="0"/>
          <w:kern w:val="0"/>
          <w:highlight w:val="none"/>
        </w:rPr>
        <w:t>一、项目人员名单</w:t>
      </w:r>
      <w:bookmarkEnd w:id="727"/>
      <w:bookmarkEnd w:id="728"/>
      <w:bookmarkEnd w:id="729"/>
    </w:p>
    <w:p w14:paraId="62D6D9C1">
      <w:pPr>
        <w:spacing w:line="360" w:lineRule="auto"/>
        <w:ind w:firstLine="480" w:firstLineChars="20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 xml:space="preserve">项目经理： </w:t>
      </w:r>
    </w:p>
    <w:p w14:paraId="15940415">
      <w:pPr>
        <w:spacing w:line="360" w:lineRule="auto"/>
        <w:ind w:firstLine="480" w:firstLineChars="20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技术骨干：</w:t>
      </w:r>
    </w:p>
    <w:p w14:paraId="38308E66">
      <w:pPr>
        <w:spacing w:line="360" w:lineRule="auto"/>
        <w:ind w:firstLine="480" w:firstLineChars="20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 xml:space="preserve">项目组成员： </w:t>
      </w:r>
    </w:p>
    <w:p w14:paraId="494A7B03">
      <w:pPr>
        <w:spacing w:line="360" w:lineRule="auto"/>
        <w:ind w:firstLine="480" w:firstLineChars="200"/>
        <w:rPr>
          <w:rStyle w:val="40"/>
          <w:rFonts w:hint="eastAsia" w:ascii="宋体" w:hAnsi="宋体" w:eastAsia="宋体" w:cs="宋体"/>
          <w:color w:val="auto"/>
          <w:spacing w:val="0"/>
          <w:kern w:val="0"/>
          <w:highlight w:val="none"/>
        </w:rPr>
      </w:pPr>
    </w:p>
    <w:p w14:paraId="4165B53F">
      <w:pPr>
        <w:spacing w:line="360" w:lineRule="auto"/>
        <w:ind w:firstLine="482" w:firstLineChars="200"/>
        <w:outlineLvl w:val="2"/>
        <w:rPr>
          <w:rStyle w:val="40"/>
          <w:rFonts w:hint="eastAsia" w:ascii="宋体" w:hAnsi="宋体" w:eastAsia="宋体" w:cs="宋体"/>
          <w:b/>
          <w:color w:val="auto"/>
          <w:spacing w:val="0"/>
          <w:kern w:val="0"/>
          <w:highlight w:val="none"/>
        </w:rPr>
      </w:pPr>
      <w:bookmarkStart w:id="730" w:name="_Toc3249"/>
      <w:bookmarkStart w:id="731" w:name="_Toc27233"/>
      <w:bookmarkStart w:id="732" w:name="_Toc28340"/>
      <w:r>
        <w:rPr>
          <w:rStyle w:val="40"/>
          <w:rFonts w:hint="eastAsia" w:ascii="宋体" w:hAnsi="宋体" w:eastAsia="宋体" w:cs="宋体"/>
          <w:b/>
          <w:color w:val="auto"/>
          <w:spacing w:val="0"/>
          <w:kern w:val="0"/>
          <w:highlight w:val="none"/>
        </w:rPr>
        <w:t>二、人员应急退出机制</w:t>
      </w:r>
      <w:bookmarkEnd w:id="730"/>
      <w:bookmarkEnd w:id="731"/>
      <w:bookmarkEnd w:id="732"/>
    </w:p>
    <w:p w14:paraId="14D35513">
      <w:pPr>
        <w:spacing w:line="360" w:lineRule="auto"/>
        <w:ind w:firstLine="480" w:firstLineChars="20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2484FD3B">
      <w:pPr>
        <w:spacing w:line="360" w:lineRule="auto"/>
        <w:ind w:firstLine="465" w:firstLineChars="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备用项目经理：</w:t>
      </w:r>
    </w:p>
    <w:p w14:paraId="3CBDFBE3">
      <w:pPr>
        <w:spacing w:line="360" w:lineRule="auto"/>
        <w:ind w:firstLine="465" w:firstLineChars="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备用技术骨干：</w:t>
      </w:r>
    </w:p>
    <w:p w14:paraId="5926C5B2">
      <w:pPr>
        <w:pStyle w:val="2"/>
        <w:spacing w:before="0" w:after="0"/>
        <w:outlineLvl w:val="3"/>
        <w:rPr>
          <w:rStyle w:val="40"/>
          <w:rFonts w:hint="eastAsia" w:ascii="宋体" w:hAnsi="宋体" w:eastAsia="宋体" w:cs="宋体"/>
          <w:color w:val="auto"/>
          <w:spacing w:val="0"/>
          <w:kern w:val="0"/>
          <w:sz w:val="30"/>
          <w:highlight w:val="none"/>
          <w:lang w:eastAsia="zh-CN"/>
        </w:rPr>
      </w:pPr>
      <w:r>
        <w:rPr>
          <w:rStyle w:val="28"/>
          <w:rFonts w:hint="eastAsia" w:ascii="宋体" w:hAnsi="宋体" w:eastAsia="宋体" w:cs="宋体"/>
          <w:b w:val="0"/>
          <w:bCs w:val="0"/>
          <w:color w:val="auto"/>
          <w:kern w:val="2"/>
          <w:szCs w:val="20"/>
          <w:highlight w:val="none"/>
        </w:rPr>
        <w:br w:type="page"/>
      </w:r>
      <w:bookmarkStart w:id="733" w:name="_Toc63757483"/>
      <w:r>
        <w:rPr>
          <w:rStyle w:val="40"/>
          <w:rFonts w:hint="eastAsia" w:ascii="宋体" w:hAnsi="宋体" w:eastAsia="宋体" w:cs="宋体"/>
          <w:color w:val="auto"/>
          <w:spacing w:val="0"/>
          <w:kern w:val="0"/>
          <w:sz w:val="30"/>
          <w:highlight w:val="none"/>
        </w:rPr>
        <w:t>附件三：验收标准</w:t>
      </w:r>
      <w:r>
        <w:rPr>
          <w:rStyle w:val="40"/>
          <w:rFonts w:hint="eastAsia" w:ascii="宋体" w:hAnsi="宋体" w:eastAsia="宋体" w:cs="宋体"/>
          <w:color w:val="auto"/>
          <w:spacing w:val="0"/>
          <w:kern w:val="0"/>
          <w:sz w:val="30"/>
          <w:highlight w:val="none"/>
          <w:lang w:eastAsia="zh-CN"/>
        </w:rPr>
        <w:t>及流程</w:t>
      </w:r>
      <w:bookmarkEnd w:id="733"/>
    </w:p>
    <w:p w14:paraId="1C33D6B9">
      <w:pPr>
        <w:spacing w:line="360" w:lineRule="auto"/>
        <w:ind w:firstLine="482" w:firstLineChars="200"/>
        <w:outlineLvl w:val="2"/>
        <w:rPr>
          <w:rStyle w:val="40"/>
          <w:rFonts w:hint="eastAsia" w:ascii="宋体" w:hAnsi="宋体" w:eastAsia="宋体" w:cs="宋体"/>
          <w:color w:val="auto"/>
          <w:spacing w:val="0"/>
          <w:kern w:val="0"/>
          <w:highlight w:val="none"/>
        </w:rPr>
      </w:pPr>
      <w:bookmarkStart w:id="734" w:name="_Toc10767"/>
      <w:bookmarkStart w:id="735" w:name="_Toc11934"/>
      <w:bookmarkStart w:id="736" w:name="_Toc28174"/>
      <w:r>
        <w:rPr>
          <w:rStyle w:val="40"/>
          <w:rFonts w:hint="eastAsia" w:ascii="宋体" w:hAnsi="宋体" w:eastAsia="宋体" w:cs="宋体"/>
          <w:b/>
          <w:color w:val="auto"/>
          <w:spacing w:val="0"/>
          <w:kern w:val="0"/>
          <w:highlight w:val="none"/>
        </w:rPr>
        <w:t>一、验收标准</w:t>
      </w:r>
      <w:bookmarkEnd w:id="734"/>
      <w:bookmarkEnd w:id="735"/>
      <w:bookmarkEnd w:id="736"/>
    </w:p>
    <w:p w14:paraId="70EC6B98">
      <w:pPr>
        <w:numPr>
          <w:ilvl w:val="0"/>
          <w:numId w:val="2"/>
        </w:numPr>
        <w:spacing w:line="360" w:lineRule="auto"/>
        <w:ind w:firstLineChars="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验收系统须满足试运行期内项目产品运行稳定、无遗留问题。</w:t>
      </w:r>
    </w:p>
    <w:p w14:paraId="093186D5">
      <w:pPr>
        <w:numPr>
          <w:ilvl w:val="0"/>
          <w:numId w:val="2"/>
        </w:numPr>
        <w:spacing w:line="360" w:lineRule="auto"/>
        <w:ind w:firstLineChars="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项目知识及文档已全部完成转移。</w:t>
      </w:r>
    </w:p>
    <w:p w14:paraId="2CCD493B">
      <w:pPr>
        <w:spacing w:line="360" w:lineRule="auto"/>
        <w:ind w:firstLine="360" w:firstLineChars="15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3、 验收交付物包括：</w:t>
      </w:r>
    </w:p>
    <w:p w14:paraId="6D4CCE9C">
      <w:pPr>
        <w:spacing w:line="360" w:lineRule="auto"/>
        <w:rPr>
          <w:rStyle w:val="40"/>
          <w:rFonts w:hint="eastAsia" w:ascii="宋体" w:hAnsi="宋体" w:eastAsia="宋体" w:cs="宋体"/>
          <w:color w:val="auto"/>
          <w:spacing w:val="0"/>
          <w:kern w:val="0"/>
          <w:highlight w:val="none"/>
          <w:lang w:val="zh-CN" w:eastAsia="zh-CN"/>
        </w:rPr>
      </w:pPr>
      <w:r>
        <w:rPr>
          <w:rStyle w:val="40"/>
          <w:rFonts w:hint="eastAsia" w:ascii="宋体" w:hAnsi="宋体" w:eastAsia="宋体" w:cs="宋体"/>
          <w:color w:val="auto"/>
          <w:spacing w:val="0"/>
          <w:kern w:val="0"/>
          <w:highlight w:val="none"/>
        </w:rPr>
        <w:t>《项目需求分析说明书》、《概要设计说明书》、《详细设计说明书》、《数据库设计说明书》、《系统安装部署手册》、《系统运行维护手册》、《用户操作手册》、《试运行报告》、《验收报告》、</w:t>
      </w:r>
      <w:r>
        <w:rPr>
          <w:rStyle w:val="40"/>
          <w:rFonts w:hint="eastAsia" w:ascii="宋体" w:hAnsi="宋体" w:eastAsia="宋体" w:cs="宋体"/>
          <w:color w:val="auto"/>
          <w:spacing w:val="0"/>
          <w:kern w:val="0"/>
          <w:highlight w:val="none"/>
          <w:lang w:val="zh-CN" w:eastAsia="zh-CN"/>
        </w:rPr>
        <w:t>《系统测试计划》、《系统测试报告》、《性能测试报告》、《安全测试报告》</w:t>
      </w:r>
    </w:p>
    <w:p w14:paraId="5957C445">
      <w:pPr>
        <w:spacing w:line="360" w:lineRule="auto"/>
        <w:ind w:firstLine="482" w:firstLineChars="200"/>
        <w:outlineLvl w:val="2"/>
        <w:rPr>
          <w:rStyle w:val="40"/>
          <w:rFonts w:hint="eastAsia" w:ascii="宋体" w:hAnsi="宋体" w:eastAsia="宋体" w:cs="宋体"/>
          <w:b/>
          <w:color w:val="auto"/>
          <w:spacing w:val="0"/>
          <w:kern w:val="0"/>
          <w:highlight w:val="none"/>
        </w:rPr>
      </w:pPr>
      <w:bookmarkStart w:id="737" w:name="_Toc15700"/>
      <w:bookmarkStart w:id="738" w:name="_Toc21310"/>
      <w:bookmarkStart w:id="739" w:name="_Toc2137"/>
      <w:r>
        <w:rPr>
          <w:rStyle w:val="40"/>
          <w:rFonts w:hint="eastAsia" w:ascii="宋体" w:hAnsi="宋体" w:eastAsia="宋体" w:cs="宋体"/>
          <w:b/>
          <w:color w:val="auto"/>
          <w:spacing w:val="0"/>
          <w:kern w:val="0"/>
          <w:highlight w:val="none"/>
        </w:rPr>
        <w:t>二、验收流程</w:t>
      </w:r>
      <w:bookmarkEnd w:id="737"/>
      <w:bookmarkEnd w:id="738"/>
      <w:bookmarkEnd w:id="739"/>
    </w:p>
    <w:p w14:paraId="0C0CEA14">
      <w:pPr>
        <w:spacing w:line="360" w:lineRule="auto"/>
        <w:ind w:left="2" w:leftChars="1" w:firstLine="360" w:firstLineChars="15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701241F9">
      <w:pPr>
        <w:spacing w:line="360" w:lineRule="auto"/>
        <w:ind w:left="-358"/>
        <w:rPr>
          <w:rStyle w:val="40"/>
          <w:rFonts w:hint="eastAsia" w:ascii="宋体" w:hAnsi="宋体" w:eastAsia="宋体" w:cs="宋体"/>
          <w:color w:val="auto"/>
          <w:spacing w:val="0"/>
          <w:kern w:val="0"/>
          <w:highlight w:val="none"/>
        </w:rPr>
      </w:pPr>
    </w:p>
    <w:p w14:paraId="24F49C61">
      <w:pPr>
        <w:pStyle w:val="2"/>
        <w:keepNext w:val="0"/>
        <w:outlineLvl w:val="9"/>
        <w:rPr>
          <w:rStyle w:val="28"/>
          <w:rFonts w:hint="eastAsia" w:ascii="宋体" w:hAnsi="宋体" w:eastAsia="宋体" w:cs="宋体"/>
          <w:b w:val="0"/>
          <w:bCs w:val="0"/>
          <w:color w:val="auto"/>
          <w:kern w:val="2"/>
          <w:szCs w:val="20"/>
          <w:highlight w:val="none"/>
        </w:rPr>
      </w:pPr>
      <w:r>
        <w:rPr>
          <w:rStyle w:val="28"/>
          <w:rFonts w:hint="eastAsia" w:ascii="宋体" w:hAnsi="宋体" w:eastAsia="宋体" w:cs="宋体"/>
          <w:b w:val="0"/>
          <w:bCs w:val="0"/>
          <w:color w:val="auto"/>
          <w:kern w:val="2"/>
          <w:szCs w:val="20"/>
          <w:highlight w:val="none"/>
        </w:rPr>
        <w:br w:type="page"/>
      </w:r>
    </w:p>
    <w:p w14:paraId="1DB3689C">
      <w:pPr>
        <w:pStyle w:val="2"/>
        <w:spacing w:before="0" w:after="0"/>
        <w:outlineLvl w:val="3"/>
        <w:rPr>
          <w:rStyle w:val="40"/>
          <w:rFonts w:hint="eastAsia" w:ascii="宋体" w:hAnsi="宋体" w:eastAsia="宋体" w:cs="宋体"/>
          <w:color w:val="auto"/>
          <w:spacing w:val="0"/>
          <w:kern w:val="0"/>
          <w:sz w:val="30"/>
          <w:highlight w:val="none"/>
        </w:rPr>
      </w:pPr>
      <w:bookmarkStart w:id="740" w:name="_Toc63757484"/>
      <w:r>
        <w:rPr>
          <w:rStyle w:val="40"/>
          <w:rFonts w:hint="eastAsia" w:ascii="宋体" w:hAnsi="宋体" w:eastAsia="宋体" w:cs="宋体"/>
          <w:color w:val="auto"/>
          <w:spacing w:val="0"/>
          <w:kern w:val="0"/>
          <w:sz w:val="30"/>
          <w:highlight w:val="none"/>
        </w:rPr>
        <w:t>附件四：维护服务条款</w:t>
      </w:r>
      <w:bookmarkEnd w:id="740"/>
    </w:p>
    <w:p w14:paraId="326F4D84">
      <w:pP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（请根据项目要求及采购文件、谈判文件等进行修订）</w:t>
      </w:r>
    </w:p>
    <w:p w14:paraId="4A3FB6B4">
      <w:pPr>
        <w:spacing w:line="360" w:lineRule="auto"/>
        <w:ind w:firstLine="480" w:firstLineChars="0"/>
        <w:rPr>
          <w:rStyle w:val="40"/>
          <w:rFonts w:hint="eastAsia" w:ascii="宋体" w:hAnsi="宋体" w:eastAsia="宋体" w:cs="宋体"/>
          <w:color w:val="auto"/>
          <w:spacing w:val="0"/>
          <w:kern w:val="0"/>
          <w:highlight w:val="none"/>
        </w:rPr>
      </w:pPr>
      <w:r>
        <w:rPr>
          <w:rStyle w:val="40"/>
          <w:rFonts w:hint="eastAsia" w:ascii="宋体" w:hAnsi="宋体" w:eastAsia="宋体" w:cs="宋体"/>
          <w:color w:val="auto"/>
          <w:spacing w:val="0"/>
          <w:kern w:val="0"/>
          <w:highlight w:val="none"/>
        </w:rPr>
        <w:t>乙方业务代表作为技术服务的第一联系人，项目经理作为该项目的技术服务第二联系人，随时接受客户的电话服务支持，并申请调配相关资源为客户提供及时服务。</w:t>
      </w:r>
    </w:p>
    <w:p w14:paraId="19DE2CB8">
      <w:pPr>
        <w:numPr>
          <w:ilvl w:val="0"/>
          <w:numId w:val="3"/>
        </w:numPr>
        <w:spacing w:line="360" w:lineRule="auto"/>
        <w:ind w:firstLineChars="0"/>
        <w:rPr>
          <w:rStyle w:val="40"/>
          <w:rFonts w:hint="eastAsia" w:ascii="宋体" w:hAnsi="宋体" w:eastAsia="宋体" w:cs="宋体"/>
          <w:color w:val="auto"/>
          <w:spacing w:val="0"/>
          <w:highlight w:val="none"/>
        </w:rPr>
      </w:pPr>
      <w:r>
        <w:rPr>
          <w:rStyle w:val="40"/>
          <w:rFonts w:hint="eastAsia" w:ascii="宋体" w:hAnsi="宋体" w:eastAsia="宋体" w:cs="宋体"/>
          <w:color w:val="auto"/>
          <w:spacing w:val="0"/>
          <w:highlight w:val="none"/>
        </w:rPr>
        <w:t>系统正式验收通过，上线后提供三个月免费人员现场驻场维护，</w:t>
      </w:r>
      <w:r>
        <w:rPr>
          <w:rFonts w:hint="eastAsia" w:ascii="宋体" w:hAnsi="宋体" w:eastAsia="宋体" w:cs="宋体"/>
          <w:color w:val="auto"/>
          <w:spacing w:val="0"/>
          <w:kern w:val="0"/>
          <w:highlight w:val="none"/>
        </w:rPr>
        <w:t>正式</w:t>
      </w:r>
      <w:r>
        <w:rPr>
          <w:rFonts w:hint="eastAsia" w:ascii="宋体" w:hAnsi="宋体" w:eastAsia="宋体" w:cs="宋体"/>
          <w:color w:val="auto"/>
          <w:spacing w:val="0"/>
          <w:highlight w:val="none"/>
        </w:rPr>
        <w:t>验收合格次日</w:t>
      </w:r>
      <w:r>
        <w:rPr>
          <w:rStyle w:val="40"/>
          <w:rFonts w:hint="eastAsia" w:ascii="宋体" w:hAnsi="宋体" w:eastAsia="宋体" w:cs="宋体"/>
          <w:color w:val="auto"/>
          <w:spacing w:val="0"/>
          <w:highlight w:val="none"/>
        </w:rPr>
        <w:t>至次年</w:t>
      </w:r>
      <w:r>
        <w:rPr>
          <w:rFonts w:hint="eastAsia" w:ascii="宋体" w:hAnsi="宋体" w:eastAsia="宋体" w:cs="宋体"/>
          <w:color w:val="auto"/>
          <w:spacing w:val="0"/>
          <w:highlight w:val="none"/>
        </w:rPr>
        <w:t>并延期至6月30日或12月31日中较近日期（即维保延期最长不超过半年）</w:t>
      </w:r>
      <w:r>
        <w:rPr>
          <w:rStyle w:val="40"/>
          <w:rFonts w:hint="eastAsia" w:ascii="宋体" w:hAnsi="宋体" w:eastAsia="宋体" w:cs="宋体"/>
          <w:color w:val="auto"/>
          <w:spacing w:val="0"/>
          <w:highlight w:val="none"/>
        </w:rPr>
        <w:t>提供支持和服务。</w:t>
      </w:r>
    </w:p>
    <w:p w14:paraId="5CBF3CAC">
      <w:pPr>
        <w:numPr>
          <w:ilvl w:val="0"/>
          <w:numId w:val="3"/>
        </w:numPr>
        <w:spacing w:line="360" w:lineRule="auto"/>
        <w:ind w:firstLineChars="0"/>
        <w:outlineLvl w:val="3"/>
        <w:rPr>
          <w:rStyle w:val="40"/>
          <w:rFonts w:hint="eastAsia" w:ascii="宋体" w:hAnsi="宋体" w:eastAsia="宋体" w:cs="宋体"/>
          <w:color w:val="auto"/>
          <w:spacing w:val="0"/>
          <w:highlight w:val="none"/>
        </w:rPr>
      </w:pPr>
      <w:r>
        <w:rPr>
          <w:rStyle w:val="40"/>
          <w:rFonts w:hint="eastAsia" w:ascii="宋体" w:hAnsi="宋体" w:eastAsia="宋体" w:cs="宋体"/>
          <w:color w:val="auto"/>
          <w:spacing w:val="0"/>
          <w:highlight w:val="none"/>
        </w:rPr>
        <w:t>维护期内，提供平台升级及优化服务。</w:t>
      </w:r>
    </w:p>
    <w:p w14:paraId="7A9CFEAF">
      <w:pPr>
        <w:numPr>
          <w:ilvl w:val="0"/>
          <w:numId w:val="3"/>
        </w:numPr>
        <w:spacing w:line="360" w:lineRule="auto"/>
        <w:ind w:firstLineChars="0"/>
        <w:rPr>
          <w:rStyle w:val="40"/>
          <w:rFonts w:hint="eastAsia" w:ascii="宋体" w:hAnsi="宋体" w:eastAsia="宋体" w:cs="宋体"/>
          <w:color w:val="auto"/>
          <w:spacing w:val="0"/>
          <w:highlight w:val="none"/>
        </w:rPr>
      </w:pPr>
      <w:r>
        <w:rPr>
          <w:rStyle w:val="40"/>
          <w:rFonts w:hint="eastAsia" w:ascii="宋体" w:hAnsi="宋体" w:eastAsia="宋体" w:cs="宋体"/>
          <w:color w:val="auto"/>
          <w:spacing w:val="0"/>
          <w:highlight w:val="none"/>
        </w:rPr>
        <w:t>系统上线后，提供二次系统和产品的培训，时间为每次1天。在维护期内，也可以根据用户需求，随时到客户现场进行系统和产品的培训。</w:t>
      </w:r>
    </w:p>
    <w:p w14:paraId="33F236B5">
      <w:pPr>
        <w:numPr>
          <w:ilvl w:val="0"/>
          <w:numId w:val="3"/>
        </w:numPr>
        <w:spacing w:line="360" w:lineRule="auto"/>
        <w:ind w:firstLineChars="0"/>
        <w:rPr>
          <w:rFonts w:hint="eastAsia" w:ascii="宋体" w:hAnsi="宋体" w:eastAsia="宋体" w:cs="宋体"/>
          <w:color w:val="auto"/>
          <w:spacing w:val="0"/>
          <w:highlight w:val="none"/>
        </w:rPr>
      </w:pPr>
      <w:r>
        <w:rPr>
          <w:rStyle w:val="40"/>
          <w:rFonts w:hint="eastAsia" w:ascii="宋体" w:hAnsi="宋体" w:eastAsia="宋体" w:cs="宋体"/>
          <w:color w:val="auto"/>
          <w:spacing w:val="0"/>
          <w:highlight w:val="none"/>
        </w:rPr>
        <w:t>维护期内，每季度派工程师现场巡检一次，并在巡检后提交巡检报告，针对巡检中发现的问题立即组织整改。</w:t>
      </w:r>
      <w:bookmarkStart w:id="741" w:name="_Toc85087070"/>
      <w:bookmarkStart w:id="742" w:name="_Toc87509290"/>
      <w:bookmarkStart w:id="743" w:name="_Toc131174383"/>
    </w:p>
    <w:p w14:paraId="6535ED54">
      <w:pPr>
        <w:spacing w:line="360" w:lineRule="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支持方式和手段</w:t>
      </w:r>
      <w:bookmarkEnd w:id="741"/>
      <w:bookmarkEnd w:id="742"/>
      <w:bookmarkEnd w:id="743"/>
    </w:p>
    <w:p w14:paraId="4B1597B4">
      <w:pPr>
        <w:numPr>
          <w:ilvl w:val="0"/>
          <w:numId w:val="4"/>
        </w:numPr>
        <w:spacing w:line="360" w:lineRule="auto"/>
        <w:ind w:firstLineChars="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热线电话</w:t>
      </w:r>
      <w:r>
        <w:rPr>
          <w:rFonts w:hint="eastAsia" w:ascii="宋体" w:hAnsi="宋体" w:eastAsia="宋体" w:cs="宋体"/>
          <w:color w:val="auto"/>
          <w:spacing w:val="0"/>
          <w:highlight w:val="none"/>
        </w:rPr>
        <w:br w:type="textWrapping"/>
      </w:r>
      <w:r>
        <w:rPr>
          <w:rFonts w:hint="eastAsia" w:ascii="宋体" w:hAnsi="宋体" w:eastAsia="宋体" w:cs="宋体"/>
          <w:color w:val="auto"/>
          <w:spacing w:val="0"/>
          <w:highlight w:val="none"/>
        </w:rPr>
        <w:t>针对具体业务过程中产生的各种技术咨询，开设专线，提供7*24小时的技术服务支持。</w:t>
      </w:r>
    </w:p>
    <w:p w14:paraId="2810F39E">
      <w:pPr>
        <w:numPr>
          <w:ilvl w:val="0"/>
          <w:numId w:val="4"/>
        </w:numPr>
        <w:spacing w:line="360" w:lineRule="auto"/>
        <w:ind w:firstLineChars="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E-mail</w:t>
      </w:r>
      <w:r>
        <w:rPr>
          <w:rFonts w:hint="eastAsia" w:ascii="宋体" w:hAnsi="宋体" w:eastAsia="宋体" w:cs="宋体"/>
          <w:color w:val="auto"/>
          <w:spacing w:val="0"/>
          <w:highlight w:val="none"/>
        </w:rPr>
        <w:br w:type="textWrapping"/>
      </w:r>
      <w:r>
        <w:rPr>
          <w:rFonts w:hint="eastAsia" w:ascii="宋体" w:hAnsi="宋体" w:eastAsia="宋体" w:cs="宋体"/>
          <w:color w:val="auto"/>
          <w:spacing w:val="0"/>
          <w:highlight w:val="none"/>
        </w:rPr>
        <w:t>客户建议、意见及技术支持同样可以通过</w:t>
      </w:r>
      <w:r>
        <w:rPr>
          <w:rFonts w:hint="eastAsia" w:ascii="宋体" w:hAnsi="宋体" w:eastAsia="宋体" w:cs="宋体"/>
          <w:color w:val="auto"/>
          <w:spacing w:val="0"/>
          <w:highlight w:val="none"/>
          <w:u w:val="single"/>
        </w:rPr>
        <w:t xml:space="preserve">    XXXXX公司（乙方）  </w:t>
      </w:r>
      <w:r>
        <w:rPr>
          <w:rFonts w:hint="eastAsia" w:ascii="宋体" w:hAnsi="宋体" w:eastAsia="宋体" w:cs="宋体"/>
          <w:color w:val="auto"/>
          <w:spacing w:val="0"/>
          <w:highlight w:val="none"/>
        </w:rPr>
        <w:t>提供的服务支持电子信箱获得响应，我们将做出详细、全面的服务解答，在半天内给予E-mail回复。</w:t>
      </w:r>
    </w:p>
    <w:p w14:paraId="509C7339">
      <w:pPr>
        <w:pStyle w:val="2"/>
        <w:keepNext w:val="0"/>
        <w:outlineLvl w:val="9"/>
        <w:rPr>
          <w:rStyle w:val="28"/>
          <w:rFonts w:hint="eastAsia" w:ascii="宋体" w:hAnsi="宋体" w:eastAsia="宋体" w:cs="宋体"/>
          <w:b w:val="0"/>
          <w:bCs w:val="0"/>
          <w:color w:val="auto"/>
          <w:kern w:val="2"/>
          <w:szCs w:val="20"/>
          <w:highlight w:val="none"/>
        </w:rPr>
      </w:pPr>
    </w:p>
    <w:p w14:paraId="48375F3E">
      <w:pPr>
        <w:pStyle w:val="2"/>
        <w:outlineLvl w:val="9"/>
        <w:rPr>
          <w:rFonts w:hint="eastAsia" w:ascii="宋体" w:hAnsi="宋体" w:eastAsia="宋体" w:cs="宋体"/>
          <w:color w:val="auto"/>
          <w:highlight w:val="none"/>
        </w:rPr>
      </w:pPr>
      <w:r>
        <w:rPr>
          <w:rStyle w:val="40"/>
          <w:rFonts w:hint="eastAsia" w:ascii="宋体" w:hAnsi="宋体" w:eastAsia="宋体" w:cs="宋体"/>
          <w:b w:val="0"/>
          <w:color w:val="auto"/>
          <w:spacing w:val="0"/>
          <w:kern w:val="0"/>
          <w:sz w:val="30"/>
          <w:highlight w:val="none"/>
        </w:rPr>
        <w:br w:type="page"/>
      </w:r>
    </w:p>
    <w:p w14:paraId="5A20C073">
      <w:pPr>
        <w:pStyle w:val="2"/>
        <w:spacing w:before="0" w:after="0"/>
        <w:outlineLvl w:val="4"/>
        <w:rPr>
          <w:rStyle w:val="40"/>
          <w:rFonts w:hint="eastAsia" w:ascii="宋体" w:hAnsi="宋体" w:eastAsia="宋体" w:cs="宋体"/>
          <w:color w:val="auto"/>
          <w:spacing w:val="0"/>
          <w:kern w:val="0"/>
          <w:sz w:val="30"/>
          <w:highlight w:val="none"/>
        </w:rPr>
      </w:pPr>
      <w:bookmarkStart w:id="744" w:name="_Toc63757485"/>
      <w:r>
        <w:rPr>
          <w:rStyle w:val="40"/>
          <w:rFonts w:hint="eastAsia" w:ascii="宋体" w:hAnsi="宋体" w:eastAsia="宋体" w:cs="宋体"/>
          <w:color w:val="auto"/>
          <w:spacing w:val="0"/>
          <w:kern w:val="0"/>
          <w:sz w:val="30"/>
          <w:highlight w:val="none"/>
        </w:rPr>
        <w:t>附件五：服务水平协议（SLA）</w:t>
      </w:r>
      <w:bookmarkEnd w:id="744"/>
    </w:p>
    <w:p w14:paraId="486DCDE3">
      <w:pPr>
        <w:spacing w:line="360" w:lineRule="auto"/>
        <w:rPr>
          <w:rFonts w:hint="eastAsia" w:ascii="宋体" w:hAnsi="宋体" w:eastAsia="宋体" w:cs="宋体"/>
          <w:color w:val="auto"/>
          <w:spacing w:val="0"/>
          <w:kern w:val="0"/>
          <w:sz w:val="21"/>
          <w:szCs w:val="24"/>
          <w:highlight w:val="none"/>
        </w:rPr>
      </w:pPr>
    </w:p>
    <w:p w14:paraId="52FBEFF6">
      <w:pPr>
        <w:outlineLvl w:val="4"/>
        <w:rPr>
          <w:rFonts w:hint="eastAsia" w:ascii="宋体" w:hAnsi="宋体" w:eastAsia="宋体" w:cs="宋体"/>
          <w:b/>
          <w:bCs/>
          <w:color w:val="auto"/>
          <w:spacing w:val="0"/>
          <w:szCs w:val="24"/>
          <w:highlight w:val="none"/>
        </w:rPr>
      </w:pPr>
      <w:bookmarkStart w:id="745" w:name="_Toc254884639"/>
      <w:r>
        <w:rPr>
          <w:rFonts w:hint="eastAsia" w:ascii="宋体" w:hAnsi="宋体" w:eastAsia="宋体" w:cs="宋体"/>
          <w:b/>
          <w:bCs/>
          <w:color w:val="auto"/>
          <w:spacing w:val="0"/>
          <w:kern w:val="32"/>
          <w:szCs w:val="24"/>
          <w:highlight w:val="none"/>
        </w:rPr>
        <w:t>1. 目标</w:t>
      </w:r>
      <w:bookmarkEnd w:id="745"/>
    </w:p>
    <w:p w14:paraId="22C7AE94">
      <w:pPr>
        <w:spacing w:line="360" w:lineRule="auto"/>
        <w:ind w:firstLine="420" w:firstLineChars="20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本服务水平协议（SLA）的目标是为了清晰地定义由xxxxxx公司（乙方）在本项目中为重庆三峡银行（甲方）提供的服务水平，本SLA主要：</w:t>
      </w:r>
    </w:p>
    <w:p w14:paraId="572917FA">
      <w:pPr>
        <w:widowControl/>
        <w:numPr>
          <w:ilvl w:val="0"/>
          <w:numId w:val="5"/>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明确甲方对外包乙方所提供服务水平的期望</w:t>
      </w:r>
    </w:p>
    <w:p w14:paraId="0C93B643">
      <w:pPr>
        <w:widowControl/>
        <w:numPr>
          <w:ilvl w:val="0"/>
          <w:numId w:val="5"/>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规范和加强甲方对乙方所提供服务水平的控制</w:t>
      </w:r>
    </w:p>
    <w:p w14:paraId="7AD50E00">
      <w:pPr>
        <w:spacing w:line="360" w:lineRule="auto"/>
        <w:ind w:firstLine="420" w:firstLineChars="20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双方将针对本项目制定明确的职责分工表用来确定计划和管理服务水平协议的角色和职责。</w:t>
      </w:r>
    </w:p>
    <w:p w14:paraId="11F6C7EB">
      <w:pPr>
        <w:outlineLvl w:val="4"/>
        <w:rPr>
          <w:rFonts w:hint="eastAsia" w:ascii="宋体" w:hAnsi="宋体" w:eastAsia="宋体" w:cs="宋体"/>
          <w:b/>
          <w:bCs/>
          <w:color w:val="auto"/>
          <w:spacing w:val="0"/>
          <w:kern w:val="32"/>
          <w:szCs w:val="24"/>
          <w:highlight w:val="none"/>
        </w:rPr>
      </w:pPr>
      <w:bookmarkStart w:id="746" w:name="_Toc254884640"/>
      <w:r>
        <w:rPr>
          <w:rFonts w:hint="eastAsia" w:ascii="宋体" w:hAnsi="宋体" w:eastAsia="宋体" w:cs="宋体"/>
          <w:b/>
          <w:bCs/>
          <w:color w:val="auto"/>
          <w:spacing w:val="0"/>
          <w:kern w:val="32"/>
          <w:szCs w:val="24"/>
          <w:highlight w:val="none"/>
        </w:rPr>
        <w:t>2. 协议期限</w:t>
      </w:r>
      <w:bookmarkEnd w:id="746"/>
    </w:p>
    <w:p w14:paraId="414495F5">
      <w:pPr>
        <w:spacing w:line="360" w:lineRule="auto"/>
        <w:ind w:firstLine="371" w:firstLineChars="177"/>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根据双方达成的一致要求，本协议的有效期从本项目实施之日起到合同正文</w:t>
      </w:r>
      <w:r>
        <w:rPr>
          <w:rFonts w:hint="eastAsia" w:ascii="宋体" w:hAnsi="宋体" w:eastAsia="宋体" w:cs="宋体"/>
          <w:color w:val="auto"/>
          <w:spacing w:val="0"/>
          <w:highlight w:val="none"/>
        </w:rPr>
        <w:t>6.1承诺的</w:t>
      </w:r>
      <w:r>
        <w:rPr>
          <w:rFonts w:hint="eastAsia" w:ascii="宋体" w:hAnsi="宋体" w:eastAsia="宋体" w:cs="宋体"/>
          <w:color w:val="auto"/>
          <w:spacing w:val="0"/>
          <w:szCs w:val="24"/>
          <w:highlight w:val="none"/>
        </w:rPr>
        <w:t>维护期结束。</w:t>
      </w:r>
    </w:p>
    <w:p w14:paraId="03409BE7">
      <w:pPr>
        <w:outlineLvl w:val="4"/>
        <w:rPr>
          <w:rFonts w:hint="eastAsia" w:ascii="宋体" w:hAnsi="宋体" w:eastAsia="宋体" w:cs="宋体"/>
          <w:b/>
          <w:bCs/>
          <w:color w:val="auto"/>
          <w:spacing w:val="0"/>
          <w:kern w:val="32"/>
          <w:szCs w:val="24"/>
          <w:highlight w:val="none"/>
        </w:rPr>
      </w:pPr>
      <w:bookmarkStart w:id="747" w:name="_Toc254884641"/>
      <w:r>
        <w:rPr>
          <w:rFonts w:hint="eastAsia" w:ascii="宋体" w:hAnsi="宋体" w:eastAsia="宋体" w:cs="宋体"/>
          <w:b/>
          <w:bCs/>
          <w:color w:val="auto"/>
          <w:spacing w:val="0"/>
          <w:kern w:val="32"/>
          <w:szCs w:val="24"/>
          <w:highlight w:val="none"/>
        </w:rPr>
        <w:t>3. 双方职责</w:t>
      </w:r>
      <w:bookmarkEnd w:id="747"/>
    </w:p>
    <w:p w14:paraId="3F4FF0A9">
      <w:pPr>
        <w:rPr>
          <w:rFonts w:hint="eastAsia" w:ascii="宋体" w:hAnsi="宋体" w:eastAsia="宋体" w:cs="宋体"/>
          <w:b/>
          <w:bCs/>
          <w:color w:val="auto"/>
          <w:spacing w:val="0"/>
          <w:kern w:val="32"/>
          <w:szCs w:val="24"/>
          <w:highlight w:val="none"/>
        </w:rPr>
      </w:pPr>
      <w:bookmarkStart w:id="748" w:name="_Toc254884642"/>
      <w:r>
        <w:rPr>
          <w:rFonts w:hint="eastAsia" w:ascii="宋体" w:hAnsi="宋体" w:eastAsia="宋体" w:cs="宋体"/>
          <w:b/>
          <w:bCs/>
          <w:color w:val="auto"/>
          <w:spacing w:val="0"/>
          <w:kern w:val="32"/>
          <w:szCs w:val="24"/>
          <w:highlight w:val="none"/>
        </w:rPr>
        <w:t>3.1乙方</w:t>
      </w:r>
      <w:bookmarkEnd w:id="748"/>
    </w:p>
    <w:p w14:paraId="613AA1FB">
      <w:pPr>
        <w:spacing w:line="360" w:lineRule="auto"/>
        <w:ind w:firstLine="420" w:firstLineChars="20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除本协议第7条描述的服务水平衡量和目标外，乙方还应：</w:t>
      </w:r>
    </w:p>
    <w:p w14:paraId="7A0CFF5A">
      <w:pPr>
        <w:widowControl/>
        <w:numPr>
          <w:ilvl w:val="0"/>
          <w:numId w:val="5"/>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尽快向甲方管理层汇报发现的问题；</w:t>
      </w:r>
    </w:p>
    <w:p w14:paraId="79CC032A">
      <w:pPr>
        <w:widowControl/>
        <w:numPr>
          <w:ilvl w:val="0"/>
          <w:numId w:val="5"/>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任何可能影响SLA中规定服务的服务能力的事件，乙方应尽早向甲方提供预警信息，以及可能的影响和处置措施。事件包括：</w:t>
      </w:r>
    </w:p>
    <w:p w14:paraId="00EAB6C9">
      <w:pPr>
        <w:widowControl/>
        <w:numPr>
          <w:ilvl w:val="0"/>
          <w:numId w:val="6"/>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组织架构变更</w:t>
      </w:r>
    </w:p>
    <w:p w14:paraId="2E5A0485">
      <w:pPr>
        <w:widowControl/>
        <w:numPr>
          <w:ilvl w:val="0"/>
          <w:numId w:val="6"/>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技术变更</w:t>
      </w:r>
    </w:p>
    <w:p w14:paraId="1034C66A">
      <w:pPr>
        <w:widowControl/>
        <w:numPr>
          <w:ilvl w:val="0"/>
          <w:numId w:val="6"/>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职能变更</w:t>
      </w:r>
    </w:p>
    <w:p w14:paraId="062D960C">
      <w:pPr>
        <w:widowControl/>
        <w:numPr>
          <w:ilvl w:val="0"/>
          <w:numId w:val="5"/>
        </w:numPr>
        <w:spacing w:line="360" w:lineRule="auto"/>
        <w:ind w:left="709" w:hanging="229"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其他可能影响对甲方服务的突发事件协助甲方及时解决生产事件。当问题产生时，应尽快采取适当的措施识别并修复问题。</w:t>
      </w:r>
    </w:p>
    <w:p w14:paraId="3C72C048">
      <w:pPr>
        <w:rPr>
          <w:rFonts w:hint="eastAsia" w:ascii="宋体" w:hAnsi="宋体" w:eastAsia="宋体" w:cs="宋体"/>
          <w:b/>
          <w:bCs/>
          <w:color w:val="auto"/>
          <w:spacing w:val="0"/>
          <w:kern w:val="32"/>
          <w:szCs w:val="24"/>
          <w:highlight w:val="none"/>
        </w:rPr>
      </w:pPr>
      <w:r>
        <w:rPr>
          <w:rFonts w:hint="eastAsia" w:ascii="宋体" w:hAnsi="宋体" w:eastAsia="宋体" w:cs="宋体"/>
          <w:b/>
          <w:bCs/>
          <w:color w:val="auto"/>
          <w:spacing w:val="0"/>
          <w:kern w:val="32"/>
          <w:szCs w:val="24"/>
          <w:highlight w:val="none"/>
        </w:rPr>
        <w:t>3.2甲方</w:t>
      </w:r>
    </w:p>
    <w:p w14:paraId="103E1F28">
      <w:pPr>
        <w:widowControl/>
        <w:numPr>
          <w:ilvl w:val="0"/>
          <w:numId w:val="5"/>
        </w:numPr>
        <w:spacing w:line="360" w:lineRule="auto"/>
        <w:ind w:left="709" w:hanging="229"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甲方将尽快将问题汇报给乙方管理层；</w:t>
      </w:r>
    </w:p>
    <w:p w14:paraId="5F2AF554">
      <w:pPr>
        <w:widowControl/>
        <w:numPr>
          <w:ilvl w:val="0"/>
          <w:numId w:val="5"/>
        </w:numPr>
        <w:spacing w:line="360" w:lineRule="auto"/>
        <w:ind w:left="709" w:hanging="229"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提供任何可能影响乙方向甲方提供SLA中规定服务的服务能力的事件信息，包括：</w:t>
      </w:r>
    </w:p>
    <w:p w14:paraId="6B56E11C">
      <w:pPr>
        <w:widowControl/>
        <w:numPr>
          <w:ilvl w:val="0"/>
          <w:numId w:val="6"/>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组织架构变更</w:t>
      </w:r>
    </w:p>
    <w:p w14:paraId="7D14D916">
      <w:pPr>
        <w:widowControl/>
        <w:numPr>
          <w:ilvl w:val="0"/>
          <w:numId w:val="6"/>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技术变更</w:t>
      </w:r>
    </w:p>
    <w:p w14:paraId="403BD287">
      <w:pPr>
        <w:widowControl/>
        <w:numPr>
          <w:ilvl w:val="0"/>
          <w:numId w:val="6"/>
        </w:numPr>
        <w:spacing w:line="360" w:lineRule="auto"/>
        <w:ind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职能变更</w:t>
      </w:r>
    </w:p>
    <w:p w14:paraId="6D61E878">
      <w:pPr>
        <w:rPr>
          <w:rFonts w:hint="eastAsia" w:ascii="宋体" w:hAnsi="宋体" w:eastAsia="宋体" w:cs="宋体"/>
          <w:b/>
          <w:bCs/>
          <w:color w:val="auto"/>
          <w:spacing w:val="0"/>
          <w:kern w:val="32"/>
          <w:szCs w:val="24"/>
          <w:highlight w:val="none"/>
        </w:rPr>
      </w:pPr>
      <w:bookmarkStart w:id="749" w:name="_Toc254884644"/>
      <w:r>
        <w:rPr>
          <w:rFonts w:hint="eastAsia" w:ascii="宋体" w:hAnsi="宋体" w:eastAsia="宋体" w:cs="宋体"/>
          <w:b/>
          <w:bCs/>
          <w:color w:val="auto"/>
          <w:spacing w:val="0"/>
          <w:kern w:val="32"/>
          <w:szCs w:val="24"/>
          <w:highlight w:val="none"/>
        </w:rPr>
        <w:t>4. 服务内容</w:t>
      </w:r>
      <w:bookmarkEnd w:id="749"/>
    </w:p>
    <w:tbl>
      <w:tblPr>
        <w:tblStyle w:val="24"/>
        <w:tblW w:w="889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7"/>
        <w:gridCol w:w="300"/>
        <w:gridCol w:w="1514"/>
        <w:gridCol w:w="6275"/>
      </w:tblGrid>
      <w:tr w14:paraId="1774B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5B69FB5C">
            <w:pPr>
              <w:rPr>
                <w:rFonts w:hint="eastAsia" w:ascii="宋体" w:hAnsi="宋体" w:eastAsia="宋体" w:cs="宋体"/>
                <w:color w:val="auto"/>
                <w:spacing w:val="0"/>
                <w:szCs w:val="24"/>
                <w:highlight w:val="none"/>
              </w:rPr>
            </w:pPr>
            <w:r>
              <w:rPr>
                <w:rFonts w:hint="eastAsia" w:ascii="宋体" w:hAnsi="宋体" w:eastAsia="宋体" w:cs="宋体"/>
                <w:b/>
                <w:bCs/>
                <w:color w:val="auto"/>
                <w:spacing w:val="0"/>
                <w:kern w:val="32"/>
                <w:szCs w:val="24"/>
                <w:highlight w:val="none"/>
              </w:rPr>
              <w:t>4.1技术管理</w:t>
            </w:r>
          </w:p>
        </w:tc>
      </w:tr>
      <w:tr w14:paraId="2034C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35821B8A">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4.1.1</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CF6727D">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项目执行控制</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663D463F">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管理目标、沟通和范围</w:t>
            </w:r>
          </w:p>
        </w:tc>
      </w:tr>
      <w:tr w14:paraId="6A4B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7C965A56">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4.1.2</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37C90A1">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系统部署</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56239927">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在甲方所提供的技术环境内配置和部署系统接入所需的资源</w:t>
            </w:r>
          </w:p>
        </w:tc>
      </w:tr>
      <w:tr w14:paraId="6E8C2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24886BBA">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4.1.3</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00F2978">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管理系统</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5FED0165">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管理运行过程中的各个环节和环境（如测试、培训、维护等）</w:t>
            </w:r>
          </w:p>
        </w:tc>
      </w:tr>
      <w:tr w14:paraId="2DAFD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68E8E46A">
            <w:pPr>
              <w:jc w:val="left"/>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4.2系统处理</w:t>
            </w:r>
          </w:p>
        </w:tc>
      </w:tr>
      <w:tr w14:paraId="02AE1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3C227DB0">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4.2.1</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628B4C9">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备份</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50367A77">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提供数据容量规划咨询，设计系统的备份策略，完成其有效性验证</w:t>
            </w:r>
          </w:p>
        </w:tc>
      </w:tr>
      <w:tr w14:paraId="6F04B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5A8F1D7A">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4.2.2</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5CFBA42">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恢复</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4247C1BA">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设计系统的恢复策略，完成其有效性验证</w:t>
            </w:r>
          </w:p>
        </w:tc>
      </w:tr>
      <w:tr w14:paraId="0EDC3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96E087A">
            <w:pPr>
              <w:jc w:val="left"/>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4.3软件开发及测试</w:t>
            </w:r>
          </w:p>
        </w:tc>
      </w:tr>
      <w:tr w14:paraId="59F83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4554377F">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4.3.1</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A0A630E">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软件管理</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618557EE">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负责管理和设计应用软件，配合进行软件过程开发管理</w:t>
            </w:r>
          </w:p>
        </w:tc>
      </w:tr>
      <w:tr w14:paraId="199D4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412AABD6">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4.3.2</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1972C76">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系统接口开发</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1D338246">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设计和开发系统内部各模块的接口以及与外部系统进行数据交互的接口</w:t>
            </w:r>
          </w:p>
        </w:tc>
      </w:tr>
      <w:tr w14:paraId="725C5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735B57E3">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4.3.3</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BB14E9B">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代码开发和测试</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2A7EE4D3">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编写代码并且完成开发自测与系统测试</w:t>
            </w:r>
          </w:p>
        </w:tc>
      </w:tr>
      <w:tr w14:paraId="56D2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07" w:type="dxa"/>
            <w:tcBorders>
              <w:top w:val="single" w:color="000000" w:sz="4" w:space="0"/>
              <w:left w:val="single" w:color="000000" w:sz="4" w:space="0"/>
              <w:bottom w:val="single" w:color="000000" w:sz="4" w:space="0"/>
              <w:right w:val="single" w:color="000000" w:sz="4" w:space="0"/>
              <w:tl2br w:val="nil"/>
              <w:tr2bl w:val="nil"/>
            </w:tcBorders>
            <w:vAlign w:val="center"/>
          </w:tcPr>
          <w:p w14:paraId="7A28863D">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4.3.4</w:t>
            </w:r>
          </w:p>
        </w:tc>
        <w:tc>
          <w:tcPr>
            <w:tcW w:w="181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CC7A225">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知识转移</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2C8B7660">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负责现场培训</w:t>
            </w:r>
          </w:p>
        </w:tc>
      </w:tr>
      <w:tr w14:paraId="5AC12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1C66D3A6">
            <w:pPr>
              <w:jc w:val="left"/>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4.4 支持和维护</w:t>
            </w:r>
          </w:p>
        </w:tc>
      </w:tr>
      <w:tr w14:paraId="1D5FE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01EA9BC">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4.4.1</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6A0EADB7">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变更管理</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6EB40B32">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根据变更需求在甲方的技术环境内设计并且执行所有平台和应用软件变更程序</w:t>
            </w:r>
          </w:p>
        </w:tc>
      </w:tr>
      <w:tr w14:paraId="53CF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B3C3C55">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4.4.2</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356411D8">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系统监控</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7F2AC561">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提供对系统监控的支持，包括专有硬件设备（如有）、应用系统进程、日志、连接等</w:t>
            </w:r>
          </w:p>
        </w:tc>
      </w:tr>
      <w:tr w14:paraId="5350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C685C06">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4.4.3</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5A3BE80E">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发布管理</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6737BF6C">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制定测试环境发布方案，协助将具体的目标系统从测试环境移植到生产的上线方案</w:t>
            </w:r>
          </w:p>
        </w:tc>
      </w:tr>
      <w:tr w14:paraId="2848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6"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DA5C6FC">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4.4.4</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46F2924D">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安全管理</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60226DFE">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配合甲方完成上线前的漏洞扫描、渗透测试等安全评估工作，根据甲方要求完成发现漏洞的整改工作</w:t>
            </w:r>
          </w:p>
        </w:tc>
      </w:tr>
      <w:tr w14:paraId="02169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trPr>
        <w:tc>
          <w:tcPr>
            <w:tcW w:w="8896"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7FA82499">
            <w:pPr>
              <w:jc w:val="left"/>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4.5 后续支持</w:t>
            </w:r>
          </w:p>
        </w:tc>
      </w:tr>
      <w:tr w14:paraId="11F0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B0CF31A">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4.5.1</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45A7142E">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版本安装、更新和升级</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1C379871">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提供系统版本安装和升级支持，包括响应甲方对生产、测试、开发、培训环境的安装和升级要求；提供硬件更换服务</w:t>
            </w:r>
          </w:p>
        </w:tc>
      </w:tr>
      <w:tr w14:paraId="67139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CB2F048">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4.5.2</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1A6B90DC">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安全漏洞整改</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75E1A0DC">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针对系统运行过程中发现的安全漏洞，根据甲方要求完成整改工作</w:t>
            </w:r>
          </w:p>
        </w:tc>
      </w:tr>
      <w:tr w14:paraId="0924F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96236A8">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4.5.3</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0E6BC768">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服务台支持</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75F6440A">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提供7×24小时的技术支持服务</w:t>
            </w:r>
          </w:p>
        </w:tc>
      </w:tr>
      <w:tr w14:paraId="47B67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1EF4D03">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4.5.4</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11F8919C">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巡检服务</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421B607E">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提供系统运行状况报告</w:t>
            </w:r>
          </w:p>
        </w:tc>
      </w:tr>
      <w:tr w14:paraId="4F767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CCE0E0E">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4.5.5</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3374F269">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现场问题解决</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7CC3C826">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提供重大问题现场解决，提供系统性能、容量、问题报告</w:t>
            </w:r>
          </w:p>
        </w:tc>
      </w:tr>
      <w:tr w14:paraId="15F26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9" w:hRule="exact"/>
        </w:trPr>
        <w:tc>
          <w:tcPr>
            <w:tcW w:w="110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83BEB2C">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4.5.6</w:t>
            </w:r>
          </w:p>
        </w:tc>
        <w:tc>
          <w:tcPr>
            <w:tcW w:w="1513" w:type="dxa"/>
            <w:tcBorders>
              <w:top w:val="single" w:color="000000" w:sz="4" w:space="0"/>
              <w:left w:val="single" w:color="000000" w:sz="4" w:space="0"/>
              <w:bottom w:val="single" w:color="000000" w:sz="4" w:space="0"/>
              <w:right w:val="single" w:color="000000" w:sz="4" w:space="0"/>
              <w:tl2br w:val="nil"/>
              <w:tr2bl w:val="nil"/>
            </w:tcBorders>
            <w:vAlign w:val="center"/>
          </w:tcPr>
          <w:p w14:paraId="7F7631D4">
            <w:pPr>
              <w:ind w:left="0" w:firstLine="0" w:firstLineChars="0"/>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响应要求</w:t>
            </w:r>
          </w:p>
        </w:tc>
        <w:tc>
          <w:tcPr>
            <w:tcW w:w="6276" w:type="dxa"/>
            <w:tcBorders>
              <w:top w:val="single" w:color="000000" w:sz="4" w:space="0"/>
              <w:left w:val="single" w:color="000000" w:sz="4" w:space="0"/>
              <w:bottom w:val="single" w:color="000000" w:sz="4" w:space="0"/>
              <w:right w:val="single" w:color="000000" w:sz="4" w:space="0"/>
              <w:tl2br w:val="nil"/>
              <w:tr2bl w:val="nil"/>
            </w:tcBorders>
            <w:vAlign w:val="center"/>
          </w:tcPr>
          <w:p w14:paraId="06B06541">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要求按服务水平和指标及时响应：</w:t>
            </w:r>
          </w:p>
          <w:p w14:paraId="391AAFD5">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5276644">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二级响应：系统的运行性能严重下降，或性能明显下降，对业务运作产生明显影响。响应时间1小时内，必要时4小时到达，8小时内排除问题；</w:t>
            </w:r>
          </w:p>
          <w:p w14:paraId="505C510E">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三级响应：系统的运作性能受损，但业务仍可正常运行，响应时间12小时内，必要时24小时到达，1周内排除问题；</w:t>
            </w:r>
          </w:p>
          <w:p w14:paraId="63B71E02">
            <w:pPr>
              <w:jc w:val="left"/>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四级响应：对系统安装或配置方面需要咨询或支援，很显然对业务运作几乎无影响，或根本没有影响。响应时间24小时内，必要时48小时到达，2周内排除问题。</w:t>
            </w:r>
          </w:p>
        </w:tc>
      </w:tr>
    </w:tbl>
    <w:p w14:paraId="1A18A223">
      <w:pPr>
        <w:rPr>
          <w:rFonts w:hint="eastAsia" w:ascii="宋体" w:hAnsi="宋体" w:eastAsia="宋体" w:cs="宋体"/>
          <w:b/>
          <w:bCs/>
          <w:color w:val="auto"/>
          <w:spacing w:val="0"/>
          <w:kern w:val="32"/>
          <w:szCs w:val="24"/>
          <w:highlight w:val="none"/>
        </w:rPr>
      </w:pPr>
      <w:r>
        <w:rPr>
          <w:rFonts w:hint="eastAsia" w:ascii="宋体" w:hAnsi="宋体" w:eastAsia="宋体" w:cs="宋体"/>
          <w:color w:val="auto"/>
          <w:highlight w:val="none"/>
        </w:rPr>
        <w:br w:type="page"/>
      </w:r>
      <w:bookmarkStart w:id="750" w:name="_Toc254884645"/>
      <w:r>
        <w:rPr>
          <w:rFonts w:hint="eastAsia" w:ascii="宋体" w:hAnsi="宋体" w:eastAsia="宋体" w:cs="宋体"/>
          <w:b/>
          <w:bCs/>
          <w:color w:val="auto"/>
          <w:spacing w:val="0"/>
          <w:kern w:val="32"/>
          <w:szCs w:val="24"/>
          <w:highlight w:val="none"/>
        </w:rPr>
        <w:t>5. 问题管理流程</w:t>
      </w:r>
      <w:bookmarkEnd w:id="750"/>
    </w:p>
    <w:p w14:paraId="2DC5C276">
      <w:pPr>
        <w:rPr>
          <w:rFonts w:hint="eastAsia" w:ascii="宋体" w:hAnsi="宋体" w:eastAsia="宋体" w:cs="宋体"/>
          <w:b/>
          <w:bCs/>
          <w:color w:val="auto"/>
          <w:spacing w:val="0"/>
          <w:kern w:val="32"/>
          <w:szCs w:val="24"/>
          <w:highlight w:val="none"/>
        </w:rPr>
      </w:pPr>
      <w:bookmarkStart w:id="751" w:name="_Toc254884646"/>
      <w:r>
        <w:rPr>
          <w:rFonts w:hint="eastAsia" w:ascii="宋体" w:hAnsi="宋体" w:eastAsia="宋体" w:cs="宋体"/>
          <w:b/>
          <w:bCs/>
          <w:color w:val="auto"/>
          <w:spacing w:val="0"/>
          <w:kern w:val="32"/>
          <w:szCs w:val="24"/>
          <w:highlight w:val="none"/>
        </w:rPr>
        <w:t>5.1问题处理流程</w:t>
      </w:r>
      <w:bookmarkEnd w:id="751"/>
    </w:p>
    <w:p w14:paraId="131DA0E4">
      <w:pPr>
        <w:widowControl/>
        <w:numPr>
          <w:ilvl w:val="0"/>
          <w:numId w:val="7"/>
        </w:numPr>
        <w:spacing w:line="360" w:lineRule="auto"/>
        <w:ind w:left="0" w:firstLine="567" w:firstLineChars="270"/>
        <w:outlineLvl w:val="4"/>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甲方或乙方均可以首先提出对问题解决方案有不同意见的看法；</w:t>
      </w:r>
    </w:p>
    <w:p w14:paraId="263EBE56">
      <w:pPr>
        <w:widowControl/>
        <w:numPr>
          <w:ilvl w:val="0"/>
          <w:numId w:val="7"/>
        </w:numPr>
        <w:spacing w:line="360" w:lineRule="auto"/>
        <w:ind w:left="0" w:firstLine="567" w:firstLineChars="27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甲方管理层和乙方管理层将决定问题是否需要提升到更高的管理层；</w:t>
      </w:r>
    </w:p>
    <w:p w14:paraId="286F9832">
      <w:pPr>
        <w:widowControl/>
        <w:numPr>
          <w:ilvl w:val="0"/>
          <w:numId w:val="7"/>
        </w:numPr>
        <w:spacing w:line="360" w:lineRule="auto"/>
        <w:ind w:left="0" w:firstLine="567" w:firstLineChars="27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及时召开相关的会议讨论和解决问题，问题的相关文档应提前一天发送到与会者；</w:t>
      </w:r>
    </w:p>
    <w:p w14:paraId="1BFBBD94">
      <w:pPr>
        <w:widowControl/>
        <w:numPr>
          <w:ilvl w:val="0"/>
          <w:numId w:val="7"/>
        </w:numPr>
        <w:spacing w:line="360" w:lineRule="auto"/>
        <w:ind w:left="0" w:firstLine="567" w:firstLineChars="27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441F074F">
      <w:pPr>
        <w:widowControl/>
        <w:numPr>
          <w:ilvl w:val="0"/>
          <w:numId w:val="7"/>
        </w:numPr>
        <w:spacing w:line="360" w:lineRule="auto"/>
        <w:ind w:left="0" w:firstLine="567" w:firstLineChars="27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如果问题最终仍没解决，甲方和乙方双方可以申请仲裁来达成最终的一致方案。</w:t>
      </w:r>
    </w:p>
    <w:p w14:paraId="63B49322">
      <w:pPr>
        <w:rPr>
          <w:rFonts w:hint="eastAsia" w:ascii="宋体" w:hAnsi="宋体" w:eastAsia="宋体" w:cs="宋体"/>
          <w:b/>
          <w:bCs/>
          <w:color w:val="auto"/>
          <w:spacing w:val="0"/>
          <w:kern w:val="32"/>
          <w:szCs w:val="24"/>
          <w:highlight w:val="none"/>
        </w:rPr>
      </w:pPr>
      <w:bookmarkStart w:id="752" w:name="_Toc254884647"/>
      <w:r>
        <w:rPr>
          <w:rFonts w:hint="eastAsia" w:ascii="宋体" w:hAnsi="宋体" w:eastAsia="宋体" w:cs="宋体"/>
          <w:b/>
          <w:bCs/>
          <w:color w:val="auto"/>
          <w:spacing w:val="0"/>
          <w:kern w:val="32"/>
          <w:szCs w:val="24"/>
          <w:highlight w:val="none"/>
        </w:rPr>
        <w:t>5.2问题升级流程</w:t>
      </w:r>
      <w:bookmarkEnd w:id="752"/>
    </w:p>
    <w:p w14:paraId="259B25F3">
      <w:pPr>
        <w:widowControl/>
        <w:numPr>
          <w:ilvl w:val="0"/>
          <w:numId w:val="8"/>
        </w:numPr>
        <w:spacing w:line="360" w:lineRule="auto"/>
        <w:ind w:firstLineChars="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甲方或者乙方都有可能首先提出该流程；</w:t>
      </w:r>
    </w:p>
    <w:p w14:paraId="56254F88">
      <w:pPr>
        <w:widowControl/>
        <w:numPr>
          <w:ilvl w:val="0"/>
          <w:numId w:val="8"/>
        </w:numPr>
        <w:spacing w:line="360" w:lineRule="auto"/>
        <w:ind w:firstLineChars="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首先提出的一方应及时通知对方问题升级流程已经启动；</w:t>
      </w:r>
    </w:p>
    <w:p w14:paraId="2163CE8B">
      <w:pPr>
        <w:widowControl/>
        <w:numPr>
          <w:ilvl w:val="0"/>
          <w:numId w:val="8"/>
        </w:numPr>
        <w:spacing w:line="360" w:lineRule="auto"/>
        <w:ind w:firstLineChars="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问题升级到的管理层应当事先定义在联络人表中；</w:t>
      </w:r>
    </w:p>
    <w:p w14:paraId="3BE541ED">
      <w:pPr>
        <w:widowControl/>
        <w:numPr>
          <w:ilvl w:val="0"/>
          <w:numId w:val="8"/>
        </w:numPr>
        <w:spacing w:line="360" w:lineRule="auto"/>
        <w:ind w:firstLineChars="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问题升级的层次在甲方和乙方之间应当保持一致，直至解决该问题。</w:t>
      </w:r>
    </w:p>
    <w:p w14:paraId="3275DF44">
      <w:pPr>
        <w:rPr>
          <w:rFonts w:hint="eastAsia" w:ascii="宋体" w:hAnsi="宋体" w:eastAsia="宋体" w:cs="宋体"/>
          <w:b/>
          <w:bCs/>
          <w:color w:val="auto"/>
          <w:spacing w:val="0"/>
          <w:kern w:val="32"/>
          <w:szCs w:val="24"/>
          <w:highlight w:val="none"/>
        </w:rPr>
      </w:pPr>
      <w:bookmarkStart w:id="753" w:name="_Toc254884648"/>
      <w:r>
        <w:rPr>
          <w:rFonts w:hint="eastAsia" w:ascii="宋体" w:hAnsi="宋体" w:eastAsia="宋体" w:cs="宋体"/>
          <w:b/>
          <w:bCs/>
          <w:color w:val="auto"/>
          <w:spacing w:val="0"/>
          <w:kern w:val="32"/>
          <w:szCs w:val="24"/>
          <w:highlight w:val="none"/>
        </w:rPr>
        <w:t>5.3联络表</w:t>
      </w:r>
      <w:bookmarkEnd w:id="753"/>
    </w:p>
    <w:tbl>
      <w:tblPr>
        <w:tblStyle w:val="24"/>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5934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7D3F839">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b/>
                <w:color w:val="auto"/>
                <w:spacing w:val="0"/>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523C3204">
            <w:pPr>
              <w:spacing w:line="360" w:lineRule="auto"/>
              <w:jc w:val="center"/>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48402EF">
            <w:pPr>
              <w:spacing w:line="360" w:lineRule="auto"/>
              <w:jc w:val="center"/>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电话</w:t>
            </w:r>
          </w:p>
        </w:tc>
      </w:tr>
      <w:tr w14:paraId="3E88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E4B94D4">
            <w:pPr>
              <w:spacing w:line="360" w:lineRule="auto"/>
              <w:jc w:val="center"/>
              <w:rPr>
                <w:rFonts w:hint="eastAsia" w:ascii="宋体" w:hAnsi="宋体" w:eastAsia="宋体" w:cs="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22644D0">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C07C119">
            <w:pPr>
              <w:spacing w:line="360" w:lineRule="auto"/>
              <w:jc w:val="center"/>
              <w:rPr>
                <w:rFonts w:hint="eastAsia" w:ascii="宋体" w:hAnsi="宋体" w:eastAsia="宋体" w:cs="宋体"/>
                <w:color w:val="auto"/>
                <w:spacing w:val="0"/>
                <w:szCs w:val="24"/>
                <w:highlight w:val="none"/>
              </w:rPr>
            </w:pPr>
          </w:p>
        </w:tc>
      </w:tr>
      <w:tr w14:paraId="2938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65B0C21">
            <w:pPr>
              <w:spacing w:line="360" w:lineRule="auto"/>
              <w:jc w:val="center"/>
              <w:rPr>
                <w:rFonts w:hint="eastAsia" w:ascii="宋体" w:hAnsi="宋体" w:eastAsia="宋体" w:cs="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7756940">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1860E76">
            <w:pPr>
              <w:spacing w:line="360" w:lineRule="auto"/>
              <w:jc w:val="center"/>
              <w:rPr>
                <w:rFonts w:hint="eastAsia" w:ascii="宋体" w:hAnsi="宋体" w:eastAsia="宋体" w:cs="宋体"/>
                <w:color w:val="auto"/>
                <w:spacing w:val="0"/>
                <w:szCs w:val="24"/>
                <w:highlight w:val="none"/>
              </w:rPr>
            </w:pPr>
          </w:p>
        </w:tc>
      </w:tr>
      <w:tr w14:paraId="4C47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1721D14">
            <w:pPr>
              <w:spacing w:line="360" w:lineRule="auto"/>
              <w:jc w:val="center"/>
              <w:rPr>
                <w:rFonts w:hint="eastAsia" w:ascii="宋体" w:hAnsi="宋体" w:eastAsia="宋体" w:cs="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85FBFDC">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D5BA508">
            <w:pPr>
              <w:spacing w:line="360" w:lineRule="auto"/>
              <w:jc w:val="center"/>
              <w:rPr>
                <w:rFonts w:hint="eastAsia" w:ascii="宋体" w:hAnsi="宋体" w:eastAsia="宋体" w:cs="宋体"/>
                <w:color w:val="auto"/>
                <w:spacing w:val="0"/>
                <w:szCs w:val="24"/>
                <w:highlight w:val="none"/>
              </w:rPr>
            </w:pPr>
          </w:p>
        </w:tc>
      </w:tr>
      <w:tr w14:paraId="7471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67476F5">
            <w:pPr>
              <w:spacing w:line="360" w:lineRule="auto"/>
              <w:jc w:val="center"/>
              <w:rPr>
                <w:rFonts w:hint="eastAsia" w:ascii="宋体" w:hAnsi="宋体" w:eastAsia="宋体" w:cs="宋体"/>
                <w:color w:val="auto"/>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B6B0A2D">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7E7B301">
            <w:pPr>
              <w:spacing w:line="360" w:lineRule="auto"/>
              <w:jc w:val="center"/>
              <w:rPr>
                <w:rFonts w:hint="eastAsia" w:ascii="宋体" w:hAnsi="宋体" w:eastAsia="宋体" w:cs="宋体"/>
                <w:color w:val="auto"/>
                <w:spacing w:val="0"/>
                <w:szCs w:val="24"/>
                <w:highlight w:val="none"/>
              </w:rPr>
            </w:pPr>
          </w:p>
        </w:tc>
      </w:tr>
    </w:tbl>
    <w:p w14:paraId="0A330C2A">
      <w:pPr>
        <w:outlineLvl w:val="4"/>
        <w:rPr>
          <w:rFonts w:hint="eastAsia" w:ascii="宋体" w:hAnsi="宋体" w:eastAsia="宋体" w:cs="宋体"/>
          <w:b/>
          <w:bCs/>
          <w:color w:val="auto"/>
          <w:spacing w:val="0"/>
          <w:kern w:val="32"/>
          <w:szCs w:val="24"/>
          <w:highlight w:val="none"/>
        </w:rPr>
      </w:pPr>
      <w:bookmarkStart w:id="754" w:name="_Toc254884649"/>
      <w:r>
        <w:rPr>
          <w:rFonts w:hint="eastAsia" w:ascii="宋体" w:hAnsi="宋体" w:eastAsia="宋体" w:cs="宋体"/>
          <w:b/>
          <w:bCs/>
          <w:color w:val="auto"/>
          <w:spacing w:val="0"/>
          <w:kern w:val="32"/>
          <w:szCs w:val="24"/>
          <w:highlight w:val="none"/>
        </w:rPr>
        <w:t>6. 汇报内容及流程</w:t>
      </w:r>
      <w:bookmarkEnd w:id="754"/>
    </w:p>
    <w:p w14:paraId="5A73DC97">
      <w:pPr>
        <w:spacing w:line="360" w:lineRule="auto"/>
        <w:ind w:firstLine="420" w:firstLineChars="200"/>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43C3827C">
      <w:pPr>
        <w:outlineLvl w:val="4"/>
        <w:rPr>
          <w:rFonts w:hint="eastAsia" w:ascii="宋体" w:hAnsi="宋体" w:eastAsia="宋体" w:cs="宋体"/>
          <w:b/>
          <w:bCs/>
          <w:color w:val="auto"/>
          <w:spacing w:val="0"/>
          <w:kern w:val="32"/>
          <w:szCs w:val="24"/>
          <w:highlight w:val="none"/>
        </w:rPr>
      </w:pPr>
      <w:bookmarkStart w:id="755" w:name="_Toc254884650"/>
      <w:r>
        <w:rPr>
          <w:rFonts w:hint="eastAsia" w:ascii="宋体" w:hAnsi="宋体" w:eastAsia="宋体" w:cs="宋体"/>
          <w:b/>
          <w:bCs/>
          <w:color w:val="auto"/>
          <w:spacing w:val="0"/>
          <w:kern w:val="32"/>
          <w:szCs w:val="24"/>
          <w:highlight w:val="none"/>
        </w:rPr>
        <w:t>7. 服务水平和指标</w:t>
      </w:r>
      <w:bookmarkEnd w:id="755"/>
    </w:p>
    <w:p w14:paraId="7F07D613">
      <w:pPr>
        <w:keepNext w:val="0"/>
        <w:widowControl w:val="0"/>
        <w:spacing w:line="600" w:lineRule="exact"/>
        <w:ind w:left="0" w:firstLine="420" w:firstLineChars="200"/>
        <w:rPr>
          <w:rFonts w:hint="eastAsia" w:ascii="宋体" w:hAnsi="宋体" w:eastAsia="宋体" w:cs="宋体"/>
          <w:color w:val="auto"/>
          <w:szCs w:val="20"/>
          <w:highlight w:val="none"/>
        </w:rPr>
      </w:pPr>
      <w:r>
        <w:rPr>
          <w:rFonts w:hint="eastAsia" w:ascii="宋体" w:hAnsi="宋体" w:eastAsia="宋体" w:cs="宋体"/>
          <w:color w:val="auto"/>
          <w:spacing w:val="0"/>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4"/>
        <w:tblW w:w="99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701"/>
        <w:gridCol w:w="1506"/>
        <w:gridCol w:w="1896"/>
        <w:gridCol w:w="1701"/>
        <w:gridCol w:w="709"/>
      </w:tblGrid>
      <w:tr w14:paraId="255F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D93FD">
            <w:pPr>
              <w:widowControl/>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6AA96">
            <w:pPr>
              <w:widowControl/>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53777">
            <w:pPr>
              <w:widowControl/>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B5CED">
            <w:pPr>
              <w:widowControl/>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服务标准</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C97D3">
            <w:pPr>
              <w:widowControl/>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指标计算</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CC4A0">
            <w:pPr>
              <w:widowControl/>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服务水平要求</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9FEE7">
            <w:pPr>
              <w:widowControl/>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违约金标准</w:t>
            </w:r>
          </w:p>
        </w:tc>
        <w:tc>
          <w:tcPr>
            <w:tcW w:w="709" w:type="dxa"/>
            <w:tcBorders>
              <w:top w:val="single" w:color="auto" w:sz="4" w:space="0"/>
              <w:left w:val="single" w:color="auto" w:sz="4" w:space="0"/>
              <w:bottom w:val="single" w:color="auto" w:sz="4" w:space="0"/>
              <w:right w:val="single" w:color="auto" w:sz="4" w:space="0"/>
            </w:tcBorders>
            <w:noWrap/>
            <w:vAlign w:val="center"/>
          </w:tcPr>
          <w:p w14:paraId="29E01F98">
            <w:pPr>
              <w:widowControl/>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是否满足</w:t>
            </w:r>
          </w:p>
        </w:tc>
      </w:tr>
      <w:tr w14:paraId="525A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C2DE7">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0E98D">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E3C4B">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EEF94">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乙方在收到甲方任务后2个工作日内，向甲方反馈确认任务的实施方案、计划和工作量等</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0DF19">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甲方应当明确任务提出时间，乙方应当向甲方发出一个确认任务响应信息</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2EB2A">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乙方不得违反承诺响应时间</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DFF3F">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如违反承诺的响应时间要求，每次扣除1000元违约金</w:t>
            </w:r>
          </w:p>
        </w:tc>
        <w:tc>
          <w:tcPr>
            <w:tcW w:w="709" w:type="dxa"/>
            <w:tcBorders>
              <w:top w:val="single" w:color="auto" w:sz="4" w:space="0"/>
              <w:left w:val="single" w:color="auto" w:sz="4" w:space="0"/>
              <w:bottom w:val="single" w:color="auto" w:sz="4" w:space="0"/>
              <w:right w:val="single" w:color="auto" w:sz="4" w:space="0"/>
            </w:tcBorders>
            <w:noWrap/>
          </w:tcPr>
          <w:p w14:paraId="69B9F030">
            <w:pPr>
              <w:widowControl/>
              <w:rPr>
                <w:rFonts w:hint="eastAsia" w:ascii="宋体" w:hAnsi="宋体" w:eastAsia="宋体" w:cs="宋体"/>
                <w:color w:val="auto"/>
                <w:sz w:val="21"/>
                <w:szCs w:val="24"/>
                <w:highlight w:val="none"/>
              </w:rPr>
            </w:pPr>
          </w:p>
        </w:tc>
      </w:tr>
      <w:tr w14:paraId="722C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E2587">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364E1">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项目延期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2D71F">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衡量乙方对项目整体实施进度的控制能力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659A5">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乙方原因导致的项目进度偏差</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8A8C5">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按项目计划为基准计算进度偏差天数（进度偏差率≤20%）</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F35EB">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进度偏差率=进度偏差天数/项目计划中进度天数（进度偏差率≤20%）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C60B6">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20%＜进度偏差率≤30%，每偏差一天按合同总金额的0.1%计违约金，进度偏差率＞30%并且延期3个月以上，违约金为合同总金额的10%</w:t>
            </w:r>
          </w:p>
        </w:tc>
        <w:tc>
          <w:tcPr>
            <w:tcW w:w="709" w:type="dxa"/>
            <w:tcBorders>
              <w:top w:val="single" w:color="auto" w:sz="4" w:space="0"/>
              <w:left w:val="single" w:color="auto" w:sz="4" w:space="0"/>
              <w:bottom w:val="single" w:color="auto" w:sz="4" w:space="0"/>
              <w:right w:val="single" w:color="auto" w:sz="4" w:space="0"/>
            </w:tcBorders>
            <w:noWrap/>
          </w:tcPr>
          <w:p w14:paraId="6FE7F739">
            <w:pPr>
              <w:widowControl/>
              <w:rPr>
                <w:rFonts w:hint="eastAsia" w:ascii="宋体" w:hAnsi="宋体" w:eastAsia="宋体" w:cs="宋体"/>
                <w:color w:val="auto"/>
                <w:sz w:val="21"/>
                <w:szCs w:val="24"/>
                <w:highlight w:val="none"/>
              </w:rPr>
            </w:pPr>
          </w:p>
        </w:tc>
      </w:tr>
      <w:tr w14:paraId="1FE7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1CA0B">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3822D">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C0605">
            <w:pPr>
              <w:widowControl/>
              <w:snapToGrid w:val="0"/>
              <w:spacing w:line="320" w:lineRule="exact"/>
              <w:ind w:firstLine="0" w:firstLineChars="0"/>
              <w:rPr>
                <w:rFonts w:hint="eastAsia" w:ascii="宋体" w:hAnsi="宋体" w:eastAsia="宋体" w:cs="宋体"/>
                <w:color w:val="auto"/>
                <w:highlight w:val="none"/>
              </w:rPr>
            </w:pPr>
            <w:r>
              <w:rPr>
                <w:rFonts w:hint="eastAsia" w:ascii="宋体" w:hAnsi="宋体" w:eastAsia="宋体" w:cs="宋体"/>
                <w:color w:val="auto"/>
                <w:sz w:val="21"/>
                <w:szCs w:val="24"/>
                <w:highlight w:val="none"/>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F811B">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乙方应当在双方确认的时间内完成任务</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F5C23">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甲方标识出每一项任务完成的具体时间，对比乙方给出的任务完成计划时间</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B6990">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1.需求分析说明、概要设计、详细设计100%完成；</w:t>
            </w:r>
          </w:p>
          <w:p w14:paraId="566A728D">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2.软件编码100%完成；3.测试案例需求覆盖率100%，且测试案例执行率100%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EF647">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以上三个指标之一低于90%甲方有权终止合同，追回支付款项，要求赔偿损失</w:t>
            </w:r>
          </w:p>
        </w:tc>
        <w:tc>
          <w:tcPr>
            <w:tcW w:w="709" w:type="dxa"/>
            <w:tcBorders>
              <w:top w:val="single" w:color="auto" w:sz="4" w:space="0"/>
              <w:left w:val="single" w:color="auto" w:sz="4" w:space="0"/>
              <w:bottom w:val="single" w:color="auto" w:sz="4" w:space="0"/>
              <w:right w:val="single" w:color="auto" w:sz="4" w:space="0"/>
            </w:tcBorders>
            <w:noWrap/>
          </w:tcPr>
          <w:p w14:paraId="079936F7">
            <w:pPr>
              <w:widowControl/>
              <w:rPr>
                <w:rFonts w:hint="eastAsia" w:ascii="宋体" w:hAnsi="宋体" w:eastAsia="宋体" w:cs="宋体"/>
                <w:color w:val="auto"/>
                <w:sz w:val="21"/>
                <w:szCs w:val="24"/>
                <w:highlight w:val="none"/>
              </w:rPr>
            </w:pPr>
          </w:p>
        </w:tc>
      </w:tr>
      <w:tr w14:paraId="696C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8CE3D">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02501">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上线后重大质量缺陷</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54C32">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衡量乙方在系统上线运行后的稳定性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879CF">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系统上线后不能发生较大运营中断事件和重大质量缺陷</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A1B9C">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甲方根据系统生产缺陷程度和数量判定</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35BD5">
            <w:pPr>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1、应用软件未出现III级(含)以上的运营中断事件；</w:t>
            </w:r>
          </w:p>
          <w:p w14:paraId="7BF04263">
            <w:pPr>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2、应用软件未出现严重缺陷和致命缺陷；</w:t>
            </w:r>
          </w:p>
          <w:p w14:paraId="50C16333">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3、一般和微小缺陷逃逸率≤4.5%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E2055">
            <w:pPr>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不满足该项任一标准扣除2万元违约金并要求乙方赔偿损失</w:t>
            </w:r>
          </w:p>
        </w:tc>
        <w:tc>
          <w:tcPr>
            <w:tcW w:w="709" w:type="dxa"/>
            <w:tcBorders>
              <w:top w:val="single" w:color="auto" w:sz="4" w:space="0"/>
              <w:left w:val="single" w:color="auto" w:sz="4" w:space="0"/>
              <w:bottom w:val="single" w:color="auto" w:sz="4" w:space="0"/>
              <w:right w:val="single" w:color="auto" w:sz="4" w:space="0"/>
            </w:tcBorders>
            <w:noWrap/>
          </w:tcPr>
          <w:p w14:paraId="71C0FF98">
            <w:pPr>
              <w:rPr>
                <w:rFonts w:hint="eastAsia" w:ascii="宋体" w:hAnsi="宋体" w:eastAsia="宋体" w:cs="宋体"/>
                <w:color w:val="auto"/>
                <w:sz w:val="21"/>
                <w:szCs w:val="24"/>
                <w:highlight w:val="none"/>
              </w:rPr>
            </w:pPr>
          </w:p>
        </w:tc>
      </w:tr>
      <w:tr w14:paraId="3AE0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83BA6">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CD01D">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上线后重大问题处理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C2B0E">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衡量乙方在系统上线运行后及时处理重大问题的能力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398DE">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上线后遗留问题或生产缺陷解决的及时性</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3EE25">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甲方根据系统上线运行后的重大问题处理情况判定</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A8E6B">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生产缺陷解决及时率=100%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B6D05">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重大生产缺陷、问题不能得到及时解决，每次按合同总金额的5%计违约金</w:t>
            </w:r>
          </w:p>
        </w:tc>
        <w:tc>
          <w:tcPr>
            <w:tcW w:w="709" w:type="dxa"/>
            <w:tcBorders>
              <w:top w:val="single" w:color="auto" w:sz="4" w:space="0"/>
              <w:left w:val="single" w:color="auto" w:sz="4" w:space="0"/>
              <w:bottom w:val="single" w:color="auto" w:sz="4" w:space="0"/>
              <w:right w:val="single" w:color="auto" w:sz="4" w:space="0"/>
            </w:tcBorders>
            <w:noWrap/>
          </w:tcPr>
          <w:p w14:paraId="5AD95819">
            <w:pPr>
              <w:widowControl/>
              <w:rPr>
                <w:rFonts w:hint="eastAsia" w:ascii="宋体" w:hAnsi="宋体" w:eastAsia="宋体" w:cs="宋体"/>
                <w:color w:val="auto"/>
                <w:sz w:val="21"/>
                <w:szCs w:val="24"/>
                <w:highlight w:val="none"/>
              </w:rPr>
            </w:pPr>
          </w:p>
        </w:tc>
      </w:tr>
      <w:tr w14:paraId="489F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DC166">
            <w:pPr>
              <w:widowControl/>
              <w:snapToGrid w:val="0"/>
              <w:spacing w:line="32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113AB">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63A8D">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4A7A0">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投入人员情况符合投标文件或合同要求，乙方项目组人员变动比例不得高于30%</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8ED1A">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甲方按合同要求判定乙方人员投入及变动情况</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43BEF">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人员数量差异=承诺人数-实际人数</w:t>
            </w:r>
          </w:p>
          <w:p w14:paraId="49593735">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人员变动率=人员变动人数/原项目组人员总人数</w:t>
            </w:r>
          </w:p>
          <w:p w14:paraId="3B02B80E">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（人员数量差异≤2；技术骨干及项目经理不得变动；技术人员变动率≤30%）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7D05E">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技术骨干及项目经理变动扣除技术骨干人月单价（至少不低于3万元），技术人员变动超过30%，扣除合同总金额10%</w:t>
            </w:r>
          </w:p>
        </w:tc>
        <w:tc>
          <w:tcPr>
            <w:tcW w:w="709" w:type="dxa"/>
            <w:tcBorders>
              <w:top w:val="single" w:color="auto" w:sz="4" w:space="0"/>
              <w:left w:val="single" w:color="auto" w:sz="4" w:space="0"/>
              <w:bottom w:val="single" w:color="auto" w:sz="4" w:space="0"/>
              <w:right w:val="single" w:color="auto" w:sz="4" w:space="0"/>
            </w:tcBorders>
            <w:noWrap/>
          </w:tcPr>
          <w:p w14:paraId="17496004">
            <w:pPr>
              <w:widowControl/>
              <w:rPr>
                <w:rFonts w:hint="eastAsia" w:ascii="宋体" w:hAnsi="宋体" w:eastAsia="宋体" w:cs="宋体"/>
                <w:color w:val="auto"/>
                <w:sz w:val="21"/>
                <w:szCs w:val="24"/>
                <w:highlight w:val="none"/>
              </w:rPr>
            </w:pPr>
          </w:p>
        </w:tc>
      </w:tr>
      <w:tr w14:paraId="7707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90104">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26EFC">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测试人员配置</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9FDF2">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衡量乙方投入系统测试人员的符合度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36262">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投入系统测试人员情况符合投标文件或合同要求</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25FF0">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甲方按照合同或标书要求判定乙方测试人员投入情况</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C4FF7">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人员重合率=测试人员/开发人员（人员重合率=0）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B3600">
            <w:pPr>
              <w:widowControl/>
              <w:rPr>
                <w:rFonts w:hint="eastAsia" w:ascii="宋体" w:hAnsi="宋体" w:eastAsia="宋体" w:cs="宋体"/>
                <w:color w:val="auto"/>
                <w:sz w:val="21"/>
                <w:szCs w:val="24"/>
                <w:highlight w:val="none"/>
              </w:rPr>
            </w:pPr>
          </w:p>
        </w:tc>
        <w:tc>
          <w:tcPr>
            <w:tcW w:w="709" w:type="dxa"/>
            <w:tcBorders>
              <w:top w:val="single" w:color="auto" w:sz="4" w:space="0"/>
              <w:left w:val="single" w:color="auto" w:sz="4" w:space="0"/>
              <w:bottom w:val="single" w:color="auto" w:sz="4" w:space="0"/>
              <w:right w:val="single" w:color="auto" w:sz="4" w:space="0"/>
            </w:tcBorders>
            <w:noWrap/>
          </w:tcPr>
          <w:p w14:paraId="20A05B6B">
            <w:pPr>
              <w:widowControl/>
              <w:rPr>
                <w:rFonts w:hint="eastAsia" w:ascii="宋体" w:hAnsi="宋体" w:eastAsia="宋体" w:cs="宋体"/>
                <w:color w:val="auto"/>
                <w:sz w:val="21"/>
                <w:szCs w:val="24"/>
                <w:highlight w:val="none"/>
              </w:rPr>
            </w:pPr>
          </w:p>
        </w:tc>
      </w:tr>
      <w:tr w14:paraId="2A41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7B46D">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3194A">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4B603">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68E72">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未经甲方同意，乙方人员辞职和离职或无计划的调离项目组</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1B836">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甲方根据乙方人员退出的具体时间和原因测算</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963D2">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人员异常退出次数=0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4D4FE">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每次人员异常退出扣除乙方金额人民币1000元</w:t>
            </w:r>
          </w:p>
        </w:tc>
        <w:tc>
          <w:tcPr>
            <w:tcW w:w="709" w:type="dxa"/>
            <w:tcBorders>
              <w:top w:val="single" w:color="auto" w:sz="4" w:space="0"/>
              <w:left w:val="single" w:color="auto" w:sz="4" w:space="0"/>
              <w:bottom w:val="single" w:color="auto" w:sz="4" w:space="0"/>
              <w:right w:val="single" w:color="auto" w:sz="4" w:space="0"/>
            </w:tcBorders>
            <w:noWrap/>
          </w:tcPr>
          <w:p w14:paraId="1E19BC48">
            <w:pPr>
              <w:widowControl/>
              <w:rPr>
                <w:rFonts w:hint="eastAsia" w:ascii="宋体" w:hAnsi="宋体" w:eastAsia="宋体" w:cs="宋体"/>
                <w:color w:val="auto"/>
                <w:sz w:val="21"/>
                <w:szCs w:val="24"/>
                <w:highlight w:val="none"/>
              </w:rPr>
            </w:pPr>
          </w:p>
        </w:tc>
      </w:tr>
      <w:tr w14:paraId="54A1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F381E">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D2473">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8644B">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A3F5D">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乙方人员不得违反甲方的各项规章制度和操作规范</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0D803">
            <w:pPr>
              <w:widowControl/>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甲方根据自身检查及其他管理部门的检查结果为依据统计乙方人员违规次数。</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CC083">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人员违规次数=0次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33472">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乙方人员违反甲方规章制度或操作规范，每次扣除乙方金额人民币500元</w:t>
            </w:r>
          </w:p>
        </w:tc>
        <w:tc>
          <w:tcPr>
            <w:tcW w:w="709" w:type="dxa"/>
            <w:tcBorders>
              <w:top w:val="single" w:color="auto" w:sz="4" w:space="0"/>
              <w:left w:val="single" w:color="auto" w:sz="4" w:space="0"/>
              <w:bottom w:val="single" w:color="auto" w:sz="4" w:space="0"/>
              <w:right w:val="single" w:color="auto" w:sz="4" w:space="0"/>
            </w:tcBorders>
            <w:noWrap/>
          </w:tcPr>
          <w:p w14:paraId="4ECBA091">
            <w:pPr>
              <w:widowControl/>
              <w:rPr>
                <w:rFonts w:hint="eastAsia" w:ascii="宋体" w:hAnsi="宋体" w:eastAsia="宋体" w:cs="宋体"/>
                <w:color w:val="auto"/>
                <w:sz w:val="21"/>
                <w:szCs w:val="24"/>
                <w:highlight w:val="none"/>
              </w:rPr>
            </w:pPr>
          </w:p>
        </w:tc>
      </w:tr>
      <w:tr w14:paraId="49D8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7CED8">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07055">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安全管理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1C511">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衡量乙方网络和信息安全服务的管理能力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0F884">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针对发现的安全漏洞及安全缺陷（包括源代码、第三方SDK或第三方小程序、第三方软件产品及开源组件等），须按甲方要求完成整改。</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98483">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甲方根据整改情况统计整改及时性及整改通过率。</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94D46">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互联网或电子银行类系统：</w:t>
            </w:r>
          </w:p>
          <w:p w14:paraId="662AE24A">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1.安全漏洞及安全缺陷整改及时率=100%</w:t>
            </w:r>
          </w:p>
          <w:p w14:paraId="2F5C67F6">
            <w:pPr>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2.安全漏洞及安全缺陷整改通过率=100%</w:t>
            </w:r>
          </w:p>
          <w:p w14:paraId="75056780">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非互联网或电子银行类系统：</w:t>
            </w:r>
          </w:p>
          <w:p w14:paraId="7549ECC0">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1.中高危安全漏洞及安全缺陷整改及时率=100%</w:t>
            </w:r>
          </w:p>
          <w:p w14:paraId="3E645386">
            <w:pPr>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2.中高危安全漏洞及安全缺陷整改通过率=100%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AF821">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不满足该项任一标准扣除2万元违约金并要求乙方赔偿损失</w:t>
            </w:r>
          </w:p>
        </w:tc>
        <w:tc>
          <w:tcPr>
            <w:tcW w:w="709" w:type="dxa"/>
            <w:tcBorders>
              <w:top w:val="single" w:color="auto" w:sz="4" w:space="0"/>
              <w:left w:val="single" w:color="auto" w:sz="4" w:space="0"/>
              <w:bottom w:val="single" w:color="auto" w:sz="4" w:space="0"/>
              <w:right w:val="single" w:color="auto" w:sz="4" w:space="0"/>
            </w:tcBorders>
            <w:noWrap/>
          </w:tcPr>
          <w:p w14:paraId="06B2ADA9">
            <w:pPr>
              <w:widowControl/>
              <w:rPr>
                <w:rFonts w:hint="eastAsia" w:ascii="宋体" w:hAnsi="宋体" w:eastAsia="宋体" w:cs="宋体"/>
                <w:color w:val="auto"/>
                <w:sz w:val="21"/>
                <w:szCs w:val="24"/>
                <w:highlight w:val="none"/>
              </w:rPr>
            </w:pPr>
          </w:p>
        </w:tc>
      </w:tr>
      <w:tr w14:paraId="515C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DE10C">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461D5">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94685">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91786">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不得因乙方原因（含乙方合作的第三方）导致甲方发生网络安全事件</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DC276">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甲方根据监管和要求及事件危害程度判定。</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7EB90">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网络安全事件=0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9D098">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每发生一次网络安全事件扣除乙方合同金额不低于3%,并要求乙方赔偿实际损失。</w:t>
            </w:r>
          </w:p>
        </w:tc>
        <w:tc>
          <w:tcPr>
            <w:tcW w:w="709" w:type="dxa"/>
            <w:tcBorders>
              <w:top w:val="single" w:color="auto" w:sz="4" w:space="0"/>
              <w:left w:val="single" w:color="auto" w:sz="4" w:space="0"/>
              <w:bottom w:val="single" w:color="auto" w:sz="4" w:space="0"/>
              <w:right w:val="single" w:color="auto" w:sz="4" w:space="0"/>
            </w:tcBorders>
            <w:noWrap/>
          </w:tcPr>
          <w:p w14:paraId="62601168">
            <w:pPr>
              <w:widowControl/>
              <w:rPr>
                <w:rFonts w:hint="eastAsia" w:ascii="宋体" w:hAnsi="宋体" w:eastAsia="宋体" w:cs="宋体"/>
                <w:color w:val="auto"/>
                <w:sz w:val="21"/>
                <w:szCs w:val="24"/>
                <w:highlight w:val="none"/>
              </w:rPr>
            </w:pPr>
          </w:p>
        </w:tc>
      </w:tr>
      <w:tr w14:paraId="290B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D9BF1">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6E303">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09D7F">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4EF58">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乙方不得出现危害甲方生产运行安全、数据安全等并造成后果的外包安全事件。</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ADE56">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F9458">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外包安全事件=0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CE80B">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每次事件扣罚乙方金额不低于人民币1000元，并要求乙方赔偿实际损失。</w:t>
            </w:r>
          </w:p>
        </w:tc>
        <w:tc>
          <w:tcPr>
            <w:tcW w:w="709" w:type="dxa"/>
            <w:tcBorders>
              <w:top w:val="single" w:color="auto" w:sz="4" w:space="0"/>
              <w:left w:val="single" w:color="auto" w:sz="4" w:space="0"/>
              <w:bottom w:val="single" w:color="auto" w:sz="4" w:space="0"/>
              <w:right w:val="single" w:color="auto" w:sz="4" w:space="0"/>
            </w:tcBorders>
            <w:noWrap/>
          </w:tcPr>
          <w:p w14:paraId="60F822BB">
            <w:pPr>
              <w:widowControl/>
              <w:rPr>
                <w:rFonts w:hint="eastAsia" w:ascii="宋体" w:hAnsi="宋体" w:eastAsia="宋体" w:cs="宋体"/>
                <w:color w:val="auto"/>
                <w:sz w:val="21"/>
                <w:szCs w:val="24"/>
                <w:highlight w:val="none"/>
              </w:rPr>
            </w:pPr>
          </w:p>
        </w:tc>
      </w:tr>
      <w:tr w14:paraId="02DE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A4B3B">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D2724">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D59D7">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8FE23">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交付文档数量及质量满足甲方要求</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70288">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甲方根据乙方实际交付的文档数量及文档质量计算</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C6A95">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文档实际交付数量不少于甲方要求数量（文档实际交付数量是指文档交付甲方后甲方确认文档质量并实际接收的文档数量）</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3C71A">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文档每缺少一个扣除合同金额2000元；每有一个文档质量不合格扣除合同金额2000元</w:t>
            </w:r>
          </w:p>
        </w:tc>
        <w:tc>
          <w:tcPr>
            <w:tcW w:w="709" w:type="dxa"/>
            <w:tcBorders>
              <w:top w:val="single" w:color="auto" w:sz="4" w:space="0"/>
              <w:left w:val="single" w:color="auto" w:sz="4" w:space="0"/>
              <w:bottom w:val="single" w:color="auto" w:sz="4" w:space="0"/>
              <w:right w:val="single" w:color="auto" w:sz="4" w:space="0"/>
            </w:tcBorders>
            <w:noWrap/>
            <w:vAlign w:val="center"/>
          </w:tcPr>
          <w:p w14:paraId="16E1F303">
            <w:pPr>
              <w:widowControl/>
              <w:rPr>
                <w:rFonts w:hint="eastAsia" w:ascii="宋体" w:hAnsi="宋体" w:eastAsia="宋体" w:cs="宋体"/>
                <w:color w:val="auto"/>
                <w:sz w:val="21"/>
                <w:szCs w:val="24"/>
                <w:highlight w:val="none"/>
              </w:rPr>
            </w:pPr>
          </w:p>
        </w:tc>
      </w:tr>
      <w:tr w14:paraId="5E70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FD74C">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84636">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服务满意度</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7BD6E">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衡量甲方内部人员对乙方所提供服务的满意情况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6511E">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服务满意度指标</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772BE">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服务满意度评级判定</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478F0">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客户满意度级别为：1级（非常不满意）；2级（不满意）；3级（一般满意）；4级（满意）；5级（非常满意）（服务满意不低于3级）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C4B3E">
            <w:pPr>
              <w:widowControl/>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w:t>
            </w:r>
          </w:p>
        </w:tc>
        <w:tc>
          <w:tcPr>
            <w:tcW w:w="709" w:type="dxa"/>
            <w:tcBorders>
              <w:top w:val="single" w:color="auto" w:sz="4" w:space="0"/>
              <w:left w:val="single" w:color="auto" w:sz="4" w:space="0"/>
              <w:bottom w:val="single" w:color="auto" w:sz="4" w:space="0"/>
              <w:right w:val="single" w:color="auto" w:sz="4" w:space="0"/>
            </w:tcBorders>
            <w:noWrap/>
          </w:tcPr>
          <w:p w14:paraId="16F6721E">
            <w:pPr>
              <w:widowControl/>
              <w:rPr>
                <w:rFonts w:hint="eastAsia" w:ascii="宋体" w:hAnsi="宋体" w:eastAsia="宋体" w:cs="宋体"/>
                <w:color w:val="auto"/>
                <w:sz w:val="21"/>
                <w:szCs w:val="24"/>
                <w:highlight w:val="none"/>
              </w:rPr>
            </w:pPr>
          </w:p>
        </w:tc>
      </w:tr>
      <w:tr w14:paraId="01C6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58569">
            <w:pPr>
              <w:widowControl/>
              <w:ind w:firstLine="0" w:firstLineChars="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CCAC8">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EB881">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0262F">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衡量乙方达到要求的SLA占全部SLA的百分比。</w:t>
            </w:r>
          </w:p>
        </w:tc>
        <w:tc>
          <w:tcPr>
            <w:tcW w:w="15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B633C">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为了这个度量报告，需要持续汇报SOW中所有SLA情况。</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7FB32">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SLA满足率＝（满足SLA的个数/总体SLA的个数）×100%（SLA满足率≥70%）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81297">
            <w:pPr>
              <w:widowControl/>
              <w:ind w:firstLine="0" w:firstLine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SLA满足率每低于标准5%，扣除合同总金额的1%</w:t>
            </w:r>
          </w:p>
        </w:tc>
        <w:tc>
          <w:tcPr>
            <w:tcW w:w="709" w:type="dxa"/>
            <w:tcBorders>
              <w:top w:val="single" w:color="auto" w:sz="4" w:space="0"/>
              <w:left w:val="single" w:color="auto" w:sz="4" w:space="0"/>
              <w:bottom w:val="single" w:color="auto" w:sz="4" w:space="0"/>
              <w:right w:val="single" w:color="auto" w:sz="4" w:space="0"/>
            </w:tcBorders>
            <w:noWrap/>
          </w:tcPr>
          <w:p w14:paraId="55CE994C">
            <w:pPr>
              <w:widowControl/>
              <w:rPr>
                <w:rFonts w:hint="eastAsia" w:ascii="宋体" w:hAnsi="宋体" w:eastAsia="宋体" w:cs="宋体"/>
                <w:color w:val="auto"/>
                <w:sz w:val="21"/>
                <w:szCs w:val="24"/>
                <w:highlight w:val="none"/>
              </w:rPr>
            </w:pPr>
          </w:p>
        </w:tc>
      </w:tr>
      <w:tr w14:paraId="297F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924"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5F13F77">
            <w:pPr>
              <w:widowControl/>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综合评价：</w:t>
            </w:r>
          </w:p>
          <w:p w14:paraId="6D5DD320">
            <w:pPr>
              <w:widowControl/>
              <w:rPr>
                <w:rFonts w:hint="eastAsia" w:ascii="宋体" w:hAnsi="宋体" w:eastAsia="宋体" w:cs="宋体"/>
                <w:color w:val="auto"/>
                <w:sz w:val="21"/>
                <w:szCs w:val="24"/>
                <w:highlight w:val="none"/>
              </w:rPr>
            </w:pPr>
          </w:p>
          <w:p w14:paraId="23103AFF">
            <w:pPr>
              <w:widowControl/>
              <w:rPr>
                <w:rFonts w:hint="eastAsia" w:ascii="宋体" w:hAnsi="宋体" w:eastAsia="宋体" w:cs="宋体"/>
                <w:color w:val="auto"/>
                <w:sz w:val="21"/>
                <w:szCs w:val="24"/>
                <w:highlight w:val="none"/>
              </w:rPr>
            </w:pPr>
          </w:p>
          <w:p w14:paraId="287A29FB">
            <w:pPr>
              <w:widowControl/>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评价人：</w:t>
            </w:r>
          </w:p>
        </w:tc>
      </w:tr>
    </w:tbl>
    <w:p w14:paraId="5254C7B8">
      <w:pPr>
        <w:pStyle w:val="2"/>
        <w:spacing w:before="0" w:after="0"/>
        <w:outlineLvl w:val="2"/>
        <w:rPr>
          <w:rStyle w:val="40"/>
          <w:rFonts w:hint="eastAsia" w:ascii="宋体" w:hAnsi="宋体" w:eastAsia="宋体" w:cs="宋体"/>
          <w:color w:val="auto"/>
          <w:spacing w:val="0"/>
          <w:kern w:val="0"/>
          <w:sz w:val="30"/>
          <w:highlight w:val="none"/>
        </w:rPr>
      </w:pPr>
      <w:bookmarkStart w:id="756" w:name="_Toc30746"/>
      <w:bookmarkStart w:id="757" w:name="_Toc12452"/>
      <w:bookmarkStart w:id="758" w:name="_Toc14404"/>
    </w:p>
    <w:p w14:paraId="751EFDBE">
      <w:pPr>
        <w:rPr>
          <w:rStyle w:val="40"/>
          <w:rFonts w:hint="eastAsia" w:ascii="宋体" w:hAnsi="宋体" w:eastAsia="宋体" w:cs="宋体"/>
          <w:color w:val="auto"/>
          <w:spacing w:val="0"/>
          <w:kern w:val="0"/>
          <w:sz w:val="30"/>
          <w:highlight w:val="none"/>
        </w:rPr>
      </w:pPr>
      <w:r>
        <w:rPr>
          <w:rStyle w:val="40"/>
          <w:rFonts w:hint="eastAsia" w:ascii="宋体" w:hAnsi="宋体" w:eastAsia="宋体" w:cs="宋体"/>
          <w:color w:val="auto"/>
          <w:spacing w:val="0"/>
          <w:kern w:val="0"/>
          <w:sz w:val="30"/>
          <w:highlight w:val="none"/>
        </w:rPr>
        <w:br w:type="page"/>
      </w:r>
    </w:p>
    <w:p w14:paraId="16AADA46">
      <w:pPr>
        <w:pStyle w:val="2"/>
        <w:spacing w:before="0" w:after="0"/>
        <w:outlineLvl w:val="2"/>
        <w:rPr>
          <w:rStyle w:val="40"/>
          <w:rFonts w:hint="eastAsia" w:ascii="宋体" w:hAnsi="宋体" w:eastAsia="宋体" w:cs="宋体"/>
          <w:color w:val="auto"/>
          <w:spacing w:val="0"/>
          <w:kern w:val="0"/>
          <w:sz w:val="30"/>
          <w:highlight w:val="none"/>
        </w:rPr>
      </w:pPr>
      <w:r>
        <w:rPr>
          <w:rStyle w:val="40"/>
          <w:rFonts w:hint="eastAsia" w:ascii="宋体" w:hAnsi="宋体" w:eastAsia="宋体" w:cs="宋体"/>
          <w:color w:val="auto"/>
          <w:spacing w:val="0"/>
          <w:kern w:val="0"/>
          <w:sz w:val="30"/>
          <w:highlight w:val="none"/>
        </w:rPr>
        <w:t>附件六：服务连续性预案</w:t>
      </w:r>
      <w:bookmarkEnd w:id="756"/>
      <w:bookmarkEnd w:id="757"/>
      <w:bookmarkEnd w:id="758"/>
    </w:p>
    <w:p w14:paraId="0C012780">
      <w:pPr>
        <w:jc w:val="center"/>
        <w:rPr>
          <w:rFonts w:hint="eastAsia" w:ascii="宋体" w:hAnsi="宋体" w:eastAsia="宋体" w:cs="宋体"/>
          <w:color w:val="auto"/>
          <w:highlight w:val="none"/>
        </w:rPr>
      </w:pPr>
      <w:r>
        <w:rPr>
          <w:rFonts w:hint="eastAsia" w:ascii="宋体" w:hAnsi="宋体" w:eastAsia="宋体" w:cs="宋体"/>
          <w:color w:val="auto"/>
          <w:highlight w:val="none"/>
        </w:rPr>
        <w:t>（应考虑供应链风险产生的影响）</w:t>
      </w:r>
    </w:p>
    <w:p w14:paraId="2F2E2140">
      <w:pPr>
        <w:ind w:firstLine="422" w:firstLineChars="200"/>
        <w:outlineLvl w:val="2"/>
        <w:rPr>
          <w:rFonts w:hint="eastAsia" w:ascii="宋体" w:hAnsi="宋体" w:eastAsia="宋体" w:cs="宋体"/>
          <w:b/>
          <w:color w:val="auto"/>
          <w:spacing w:val="0"/>
          <w:szCs w:val="24"/>
          <w:highlight w:val="none"/>
        </w:rPr>
      </w:pPr>
      <w:bookmarkStart w:id="759" w:name="_Toc3454"/>
      <w:bookmarkStart w:id="760" w:name="_Toc1525"/>
      <w:bookmarkStart w:id="761" w:name="_Toc8158"/>
      <w:r>
        <w:rPr>
          <w:rFonts w:hint="eastAsia" w:ascii="宋体" w:hAnsi="宋体" w:eastAsia="宋体" w:cs="宋体"/>
          <w:b/>
          <w:color w:val="auto"/>
          <w:spacing w:val="0"/>
          <w:szCs w:val="24"/>
          <w:highlight w:val="none"/>
        </w:rPr>
        <w:t>一、目的</w:t>
      </w:r>
      <w:bookmarkEnd w:id="759"/>
      <w:bookmarkEnd w:id="760"/>
      <w:bookmarkEnd w:id="761"/>
    </w:p>
    <w:p w14:paraId="01FC29F2">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3EFFD2F7">
      <w:pPr>
        <w:ind w:firstLine="422" w:firstLineChars="200"/>
        <w:outlineLvl w:val="2"/>
        <w:rPr>
          <w:rFonts w:hint="eastAsia" w:ascii="宋体" w:hAnsi="宋体" w:eastAsia="宋体" w:cs="宋体"/>
          <w:b/>
          <w:color w:val="auto"/>
          <w:spacing w:val="0"/>
          <w:szCs w:val="24"/>
          <w:highlight w:val="none"/>
        </w:rPr>
      </w:pPr>
      <w:bookmarkStart w:id="762" w:name="_Toc14059"/>
      <w:bookmarkStart w:id="763" w:name="_Toc1016"/>
      <w:bookmarkStart w:id="764" w:name="_Toc3597"/>
      <w:r>
        <w:rPr>
          <w:rFonts w:hint="eastAsia" w:ascii="宋体" w:hAnsi="宋体" w:eastAsia="宋体" w:cs="宋体"/>
          <w:b/>
          <w:color w:val="auto"/>
          <w:spacing w:val="0"/>
          <w:szCs w:val="24"/>
          <w:highlight w:val="none"/>
        </w:rPr>
        <w:t>二、应急组织架构及职责</w:t>
      </w:r>
      <w:bookmarkEnd w:id="762"/>
      <w:bookmarkEnd w:id="763"/>
      <w:bookmarkEnd w:id="764"/>
    </w:p>
    <w:p w14:paraId="47C7A4DE">
      <w:pPr>
        <w:ind w:firstLine="422" w:firstLineChars="200"/>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（一）决策层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341F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F61860A">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0D221321">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193094C3">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2A9E46F">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职责</w:t>
            </w:r>
          </w:p>
        </w:tc>
      </w:tr>
      <w:tr w14:paraId="35A3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B820941">
            <w:pPr>
              <w:widowControl/>
              <w:jc w:val="center"/>
              <w:rPr>
                <w:rFonts w:hint="eastAsia" w:ascii="宋体" w:hAnsi="宋体" w:eastAsia="宋体" w:cs="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D090A67">
            <w:pPr>
              <w:widowControl/>
              <w:jc w:val="center"/>
              <w:rPr>
                <w:rFonts w:hint="eastAsia" w:ascii="宋体" w:hAnsi="宋体" w:eastAsia="宋体" w:cs="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11698051">
            <w:pPr>
              <w:widowControl/>
              <w:jc w:val="center"/>
              <w:rPr>
                <w:rFonts w:hint="eastAsia" w:ascii="宋体" w:hAnsi="宋体" w:eastAsia="宋体" w:cs="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BA352CE">
            <w:pPr>
              <w:widowControl/>
              <w:jc w:val="center"/>
              <w:rPr>
                <w:rFonts w:hint="eastAsia" w:ascii="宋体" w:hAnsi="宋体" w:eastAsia="宋体" w:cs="宋体"/>
                <w:color w:val="auto"/>
                <w:spacing w:val="0"/>
                <w:sz w:val="21"/>
                <w:szCs w:val="24"/>
                <w:highlight w:val="none"/>
              </w:rPr>
            </w:pPr>
          </w:p>
        </w:tc>
      </w:tr>
      <w:tr w14:paraId="37E5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3756336">
            <w:pPr>
              <w:widowControl/>
              <w:jc w:val="center"/>
              <w:rPr>
                <w:rFonts w:hint="eastAsia" w:ascii="宋体" w:hAnsi="宋体" w:eastAsia="宋体" w:cs="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8AA026D">
            <w:pPr>
              <w:widowControl/>
              <w:jc w:val="center"/>
              <w:rPr>
                <w:rFonts w:hint="eastAsia" w:ascii="宋体" w:hAnsi="宋体" w:eastAsia="宋体" w:cs="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6C8BC22">
            <w:pPr>
              <w:widowControl/>
              <w:jc w:val="center"/>
              <w:rPr>
                <w:rFonts w:hint="eastAsia" w:ascii="宋体" w:hAnsi="宋体" w:eastAsia="宋体" w:cs="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035211D">
            <w:pPr>
              <w:widowControl/>
              <w:jc w:val="center"/>
              <w:rPr>
                <w:rFonts w:hint="eastAsia" w:ascii="宋体" w:hAnsi="宋体" w:eastAsia="宋体" w:cs="宋体"/>
                <w:color w:val="auto"/>
                <w:spacing w:val="0"/>
                <w:sz w:val="21"/>
                <w:szCs w:val="24"/>
                <w:highlight w:val="none"/>
              </w:rPr>
            </w:pPr>
          </w:p>
        </w:tc>
      </w:tr>
      <w:tr w14:paraId="1702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22414E7">
            <w:pPr>
              <w:widowControl/>
              <w:jc w:val="center"/>
              <w:rPr>
                <w:rFonts w:hint="eastAsia" w:ascii="宋体" w:hAnsi="宋体" w:eastAsia="宋体" w:cs="宋体"/>
                <w:color w:val="auto"/>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C55505E">
            <w:pPr>
              <w:widowControl/>
              <w:jc w:val="center"/>
              <w:rPr>
                <w:rFonts w:hint="eastAsia" w:ascii="宋体" w:hAnsi="宋体" w:eastAsia="宋体" w:cs="宋体"/>
                <w:color w:val="auto"/>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1E7CEB25">
            <w:pPr>
              <w:widowControl/>
              <w:jc w:val="center"/>
              <w:rPr>
                <w:rFonts w:hint="eastAsia" w:ascii="宋体" w:hAnsi="宋体" w:eastAsia="宋体" w:cs="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F20E3A9">
            <w:pPr>
              <w:widowControl/>
              <w:jc w:val="center"/>
              <w:rPr>
                <w:rFonts w:hint="eastAsia" w:ascii="宋体" w:hAnsi="宋体" w:eastAsia="宋体" w:cs="宋体"/>
                <w:color w:val="auto"/>
                <w:spacing w:val="0"/>
                <w:sz w:val="21"/>
                <w:szCs w:val="24"/>
                <w:highlight w:val="none"/>
              </w:rPr>
            </w:pPr>
          </w:p>
        </w:tc>
      </w:tr>
    </w:tbl>
    <w:p w14:paraId="74C21856">
      <w:pPr>
        <w:ind w:firstLine="422" w:firstLineChars="200"/>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（二）危机处理层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6B58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1894F70">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18CE7BF">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CECBDE2">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4986FF7">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职责</w:t>
            </w:r>
          </w:p>
        </w:tc>
      </w:tr>
      <w:tr w14:paraId="4362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033EBE40">
            <w:pPr>
              <w:widowControl/>
              <w:jc w:val="center"/>
              <w:rPr>
                <w:rFonts w:hint="eastAsia" w:ascii="宋体" w:hAnsi="宋体" w:eastAsia="宋体" w:cs="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35FD81F">
            <w:pPr>
              <w:widowControl/>
              <w:jc w:val="center"/>
              <w:rPr>
                <w:rFonts w:hint="eastAsia" w:ascii="宋体" w:hAnsi="宋体" w:eastAsia="宋体" w:cs="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B7603FF">
            <w:pPr>
              <w:widowControl/>
              <w:jc w:val="center"/>
              <w:rPr>
                <w:rFonts w:hint="eastAsia" w:ascii="宋体" w:hAnsi="宋体" w:eastAsia="宋体" w:cs="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15DB5162">
            <w:pPr>
              <w:widowControl/>
              <w:jc w:val="center"/>
              <w:rPr>
                <w:rFonts w:hint="eastAsia" w:ascii="宋体" w:hAnsi="宋体" w:eastAsia="宋体" w:cs="宋体"/>
                <w:color w:val="auto"/>
                <w:spacing w:val="0"/>
                <w:sz w:val="21"/>
                <w:szCs w:val="24"/>
                <w:highlight w:val="none"/>
              </w:rPr>
            </w:pPr>
          </w:p>
        </w:tc>
      </w:tr>
      <w:tr w14:paraId="4612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11B971E7">
            <w:pPr>
              <w:widowControl/>
              <w:jc w:val="center"/>
              <w:rPr>
                <w:rFonts w:hint="eastAsia" w:ascii="宋体" w:hAnsi="宋体" w:eastAsia="宋体" w:cs="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6EE070E">
            <w:pPr>
              <w:widowControl/>
              <w:jc w:val="center"/>
              <w:rPr>
                <w:rFonts w:hint="eastAsia" w:ascii="宋体" w:hAnsi="宋体" w:eastAsia="宋体" w:cs="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CE23003">
            <w:pPr>
              <w:widowControl/>
              <w:jc w:val="center"/>
              <w:rPr>
                <w:rFonts w:hint="eastAsia" w:ascii="宋体" w:hAnsi="宋体" w:eastAsia="宋体" w:cs="宋体"/>
                <w:color w:val="auto"/>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7C8C219E">
            <w:pPr>
              <w:widowControl/>
              <w:jc w:val="center"/>
              <w:rPr>
                <w:rFonts w:hint="eastAsia" w:ascii="宋体" w:hAnsi="宋体" w:eastAsia="宋体" w:cs="宋体"/>
                <w:color w:val="auto"/>
                <w:spacing w:val="0"/>
                <w:sz w:val="21"/>
                <w:szCs w:val="24"/>
                <w:highlight w:val="none"/>
              </w:rPr>
            </w:pPr>
          </w:p>
        </w:tc>
      </w:tr>
    </w:tbl>
    <w:p w14:paraId="03D85E38">
      <w:pPr>
        <w:ind w:firstLine="422" w:firstLineChars="200"/>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（三）具体业务层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73E6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7DFD325">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2B554F22">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01F11E75">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1872EBCB">
            <w:pPr>
              <w:spacing w:line="360" w:lineRule="auto"/>
              <w:jc w:val="center"/>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职责</w:t>
            </w:r>
          </w:p>
        </w:tc>
      </w:tr>
      <w:tr w14:paraId="67B2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126DA3B">
            <w:pPr>
              <w:widowControl/>
              <w:jc w:val="center"/>
              <w:rPr>
                <w:rFonts w:hint="eastAsia" w:ascii="宋体" w:hAnsi="宋体" w:eastAsia="宋体" w:cs="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182798BA">
            <w:pPr>
              <w:widowControl/>
              <w:jc w:val="center"/>
              <w:rPr>
                <w:rFonts w:hint="eastAsia" w:ascii="宋体" w:hAnsi="宋体" w:eastAsia="宋体" w:cs="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FE0B192">
            <w:pPr>
              <w:widowControl/>
              <w:rPr>
                <w:rFonts w:hint="eastAsia" w:ascii="宋体" w:hAnsi="宋体" w:eastAsia="宋体" w:cs="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FF2220A">
            <w:pPr>
              <w:widowControl/>
              <w:jc w:val="center"/>
              <w:rPr>
                <w:rFonts w:hint="eastAsia" w:ascii="宋体" w:hAnsi="宋体" w:eastAsia="宋体" w:cs="宋体"/>
                <w:color w:val="auto"/>
                <w:spacing w:val="0"/>
                <w:sz w:val="21"/>
                <w:szCs w:val="24"/>
                <w:highlight w:val="none"/>
              </w:rPr>
            </w:pPr>
          </w:p>
        </w:tc>
      </w:tr>
      <w:tr w14:paraId="41BF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74EE667">
            <w:pPr>
              <w:widowControl/>
              <w:jc w:val="center"/>
              <w:rPr>
                <w:rFonts w:hint="eastAsia" w:ascii="宋体" w:hAnsi="宋体" w:eastAsia="宋体" w:cs="宋体"/>
                <w:color w:val="auto"/>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E7A0338">
            <w:pPr>
              <w:widowControl/>
              <w:jc w:val="center"/>
              <w:rPr>
                <w:rFonts w:hint="eastAsia" w:ascii="宋体" w:hAnsi="宋体" w:eastAsia="宋体" w:cs="宋体"/>
                <w:color w:val="auto"/>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DA6CDAB">
            <w:pPr>
              <w:widowControl/>
              <w:rPr>
                <w:rFonts w:hint="eastAsia" w:ascii="宋体" w:hAnsi="宋体" w:eastAsia="宋体" w:cs="宋体"/>
                <w:color w:val="auto"/>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1A05409">
            <w:pPr>
              <w:widowControl/>
              <w:jc w:val="center"/>
              <w:rPr>
                <w:rFonts w:hint="eastAsia" w:ascii="宋体" w:hAnsi="宋体" w:eastAsia="宋体" w:cs="宋体"/>
                <w:color w:val="auto"/>
                <w:spacing w:val="0"/>
                <w:sz w:val="21"/>
                <w:szCs w:val="24"/>
                <w:highlight w:val="none"/>
              </w:rPr>
            </w:pPr>
          </w:p>
        </w:tc>
      </w:tr>
    </w:tbl>
    <w:p w14:paraId="1973562B">
      <w:pPr>
        <w:ind w:firstLine="422" w:firstLineChars="200"/>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（四）应急领导小组职责</w:t>
      </w:r>
    </w:p>
    <w:p w14:paraId="3352D8CF">
      <w:pPr>
        <w:spacing w:line="360" w:lineRule="auto"/>
        <w:ind w:firstLine="489" w:firstLineChars="233"/>
        <w:outlineLvl w:val="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1.启动应急预案</w:t>
      </w:r>
    </w:p>
    <w:p w14:paraId="6ADF753F">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2C8DF764">
      <w:pPr>
        <w:spacing w:line="360" w:lineRule="auto"/>
        <w:ind w:firstLine="489" w:firstLineChars="233"/>
        <w:outlineLvl w:val="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2.应急事件处理</w:t>
      </w:r>
    </w:p>
    <w:p w14:paraId="19190056">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47BF7033">
      <w:pPr>
        <w:spacing w:line="360" w:lineRule="auto"/>
        <w:ind w:firstLine="489" w:firstLineChars="233"/>
        <w:outlineLvl w:val="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3.业务持续性计划及应急预案优化</w:t>
      </w:r>
    </w:p>
    <w:p w14:paraId="50E44E34">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7A7EB61">
      <w:pPr>
        <w:ind w:firstLine="422" w:firstLineChars="200"/>
        <w:outlineLvl w:val="2"/>
        <w:rPr>
          <w:rFonts w:hint="eastAsia" w:ascii="宋体" w:hAnsi="宋体" w:eastAsia="宋体" w:cs="宋体"/>
          <w:b/>
          <w:color w:val="auto"/>
          <w:spacing w:val="0"/>
          <w:szCs w:val="24"/>
          <w:highlight w:val="none"/>
        </w:rPr>
      </w:pPr>
      <w:bookmarkStart w:id="765" w:name="_Toc11364"/>
      <w:bookmarkStart w:id="766" w:name="_Toc23613"/>
      <w:bookmarkStart w:id="767" w:name="_Toc29922"/>
      <w:r>
        <w:rPr>
          <w:rFonts w:hint="eastAsia" w:ascii="宋体" w:hAnsi="宋体" w:eastAsia="宋体" w:cs="宋体"/>
          <w:b/>
          <w:color w:val="auto"/>
          <w:spacing w:val="0"/>
          <w:szCs w:val="24"/>
          <w:highlight w:val="none"/>
        </w:rPr>
        <w:t>三、应急场景</w:t>
      </w:r>
      <w:bookmarkEnd w:id="765"/>
      <w:bookmarkEnd w:id="766"/>
      <w:bookmarkEnd w:id="767"/>
    </w:p>
    <w:p w14:paraId="5148ABCF">
      <w:pPr>
        <w:ind w:firstLine="422" w:firstLineChars="200"/>
        <w:outlineLvl w:val="3"/>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（一）单个核心成员或某个角色无法提供正常服务</w:t>
      </w:r>
    </w:p>
    <w:p w14:paraId="66217944">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1.影响程度：外包服务部分中断</w:t>
      </w:r>
    </w:p>
    <w:p w14:paraId="5E6BAD36">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2.规避措施：</w:t>
      </w:r>
    </w:p>
    <w:p w14:paraId="46A81B54">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1）乙方在2小时内协调重庆本地高于该成员资历水平的的员工来厂商现场进行顶替，直到合适的补充人员入场能够接替该成员的工作为止，否则按照SLA第6调更换人员的相关条款进行罚款。</w:t>
      </w:r>
    </w:p>
    <w:p w14:paraId="51414077">
      <w:pPr>
        <w:ind w:firstLine="420" w:firstLineChars="200"/>
        <w:rPr>
          <w:rFonts w:hint="eastAsia" w:ascii="宋体" w:hAnsi="宋体" w:eastAsia="宋体" w:cs="宋体"/>
          <w:b/>
          <w:color w:val="auto"/>
          <w:spacing w:val="0"/>
          <w:szCs w:val="24"/>
          <w:highlight w:val="none"/>
        </w:rPr>
      </w:pPr>
      <w:r>
        <w:rPr>
          <w:rFonts w:hint="eastAsia" w:ascii="宋体" w:hAnsi="宋体" w:eastAsia="宋体" w:cs="宋体"/>
          <w:color w:val="auto"/>
          <w:spacing w:val="0"/>
          <w:szCs w:val="24"/>
          <w:highlight w:val="none"/>
        </w:rPr>
        <w:t>2）乙方服务团队在合同有效期内，建立人才储备机制和培训机制，同时由A角和B角对项目进行支持工作。因乙方原因造成甲方损失的，乙方按照SLA进行赔偿。</w:t>
      </w:r>
      <w:r>
        <w:rPr>
          <w:rFonts w:hint="eastAsia" w:ascii="宋体" w:hAnsi="宋体" w:eastAsia="宋体" w:cs="宋体"/>
          <w:b/>
          <w:color w:val="auto"/>
          <w:spacing w:val="0"/>
          <w:szCs w:val="24"/>
          <w:highlight w:val="none"/>
        </w:rPr>
        <w:t>（二）乙方服务团队无法提供正常服务，但乙方仍具备履约能力</w:t>
      </w:r>
    </w:p>
    <w:p w14:paraId="19CC6F96">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1.影响程度：外包服务完全中断</w:t>
      </w:r>
    </w:p>
    <w:p w14:paraId="6E9222C2">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2.规避措施：</w:t>
      </w:r>
    </w:p>
    <w:p w14:paraId="74EE6962">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1）乙方服务团队需按时按照甲方流程及制度规范提交项目各类文档；</w:t>
      </w:r>
    </w:p>
    <w:p w14:paraId="250FC029">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2）乙方服务团队需制定合理的培训计划和培训内容，加强知识转移；</w:t>
      </w:r>
    </w:p>
    <w:p w14:paraId="41D29117">
      <w:pPr>
        <w:spacing w:line="360" w:lineRule="auto"/>
        <w:ind w:firstLine="489" w:firstLineChars="233"/>
        <w:outlineLvl w:val="4"/>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3）如遇类似事件乙方提前10个工作日书面通知甲方项目经理；</w:t>
      </w:r>
    </w:p>
    <w:p w14:paraId="10398364">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4）乙方负责提前协调备用团队，并协调相应角色做好交接工作，协调方案经过甲方认可后，在10个工作日内将补充团队派驻入场，保障工作连续开展。因乙方原因造成甲方损失的，乙方在双方协商后做出赔偿。</w:t>
      </w:r>
    </w:p>
    <w:p w14:paraId="16CBC6F3">
      <w:pPr>
        <w:ind w:firstLine="422" w:firstLineChars="200"/>
        <w:outlineLvl w:val="3"/>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（三）乙方服务团队无法提供正常服务且乙方不具备恢复服务能力或意愿</w:t>
      </w:r>
    </w:p>
    <w:p w14:paraId="0E3FBA54">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1.影响程度：外包服务完全中断</w:t>
      </w:r>
    </w:p>
    <w:p w14:paraId="184CEEBA">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2.规避措施：</w:t>
      </w:r>
    </w:p>
    <w:p w14:paraId="6D535A66">
      <w:pPr>
        <w:spacing w:line="360" w:lineRule="auto"/>
        <w:ind w:firstLine="489" w:firstLineChars="233"/>
        <w:outlineLvl w:val="4"/>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1）如遇类似事件乙方提前15个工作日书面通知甲方项目经理；</w:t>
      </w:r>
    </w:p>
    <w:p w14:paraId="1C278A63">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2）乙方保证提前沟通协调人力资源，于10个工作日内提交所有阶段性项目文档，并完成甲方认可的所有工作交接和知识转移，包括不限于对替代供应商进行培训；</w:t>
      </w:r>
    </w:p>
    <w:p w14:paraId="6C7A20CE">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3）允许推荐项目成员到与甲方合作良好的其他供应商任职或由甲方直接聘用。因乙方原因造成甲方损失的，乙方在双方协商后做出赔偿。</w:t>
      </w:r>
    </w:p>
    <w:p w14:paraId="00B7DE08">
      <w:pPr>
        <w:ind w:firstLine="422" w:firstLineChars="200"/>
        <w:outlineLvl w:val="3"/>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（四）乙方因资质变更、被收购、兼并或破产等原因致使其无法继续提供服务</w:t>
      </w:r>
    </w:p>
    <w:p w14:paraId="56AC3A1D">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1.影响程度：外包服务完全中断</w:t>
      </w:r>
    </w:p>
    <w:p w14:paraId="13FBC43A">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2.规避措施：</w:t>
      </w:r>
    </w:p>
    <w:p w14:paraId="5E9EFF07">
      <w:pPr>
        <w:spacing w:line="360" w:lineRule="auto"/>
        <w:ind w:firstLine="489" w:firstLineChars="233"/>
        <w:outlineLvl w:val="4"/>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1）如遇类似事件乙方提前20个工作日通知甲方项目经理；</w:t>
      </w:r>
    </w:p>
    <w:p w14:paraId="4C6ACEA4">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2）根据开发合同约定提前与甲方进行沟通协商，做好代码、文档、服务等交接工作，减少对甲方的影响；</w:t>
      </w:r>
    </w:p>
    <w:p w14:paraId="4830C827">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3）乙方保证提前沟通协调人力资源，于15个工作日内提交所有阶段性项目文档，并完成甲方认可的所有工作交接和知识转移，包括不限于对替代供应商进行培训。因乙方原因造成甲方损失的，乙方在双方协商后做出赔偿；</w:t>
      </w:r>
    </w:p>
    <w:p w14:paraId="418C029B">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4）允许推荐项目成员到与甲方合作良好的其他供应商任职或由甲方直接聘用。</w:t>
      </w:r>
    </w:p>
    <w:p w14:paraId="1A45A85D">
      <w:pPr>
        <w:ind w:firstLine="422" w:firstLineChars="200"/>
        <w:outlineLvl w:val="3"/>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（五）乙方因不可抗力导致其主动退出（国家相关法律法规调整、遭受大规模自然灾害等）</w:t>
      </w:r>
    </w:p>
    <w:p w14:paraId="4A3AEB90">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1.影响程度：外包服务完全中断</w:t>
      </w:r>
    </w:p>
    <w:p w14:paraId="28868CFA">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2.规避措施：</w:t>
      </w:r>
    </w:p>
    <w:p w14:paraId="3E782957">
      <w:pPr>
        <w:spacing w:line="360" w:lineRule="auto"/>
        <w:ind w:firstLine="489" w:firstLineChars="233"/>
        <w:outlineLvl w:val="4"/>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1）如遇类似事件乙方应立即通知甲方项目经理。</w:t>
      </w:r>
    </w:p>
    <w:p w14:paraId="7F8FEE27">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2）乙方与甲方及时进行协商，得出一致性解决方案，于15个工作日内提交所有阶段性项目文档，并完成甲方认可的所有工作交接和知识转移，降低突发事件的影响；</w:t>
      </w:r>
    </w:p>
    <w:p w14:paraId="7EA39305">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3）允许推荐项目成员到与甲方合作良好的其他供应商任职或由甲方直接聘用。因乙方原因造成甲方损失的，乙方在双方协商后做出赔偿。</w:t>
      </w:r>
    </w:p>
    <w:p w14:paraId="5430E65C">
      <w:pPr>
        <w:ind w:firstLine="422" w:firstLineChars="200"/>
        <w:outlineLvl w:val="2"/>
        <w:rPr>
          <w:rFonts w:hint="eastAsia" w:ascii="宋体" w:hAnsi="宋体" w:eastAsia="宋体" w:cs="宋体"/>
          <w:color w:val="auto"/>
          <w:spacing w:val="0"/>
          <w:szCs w:val="24"/>
          <w:highlight w:val="none"/>
        </w:rPr>
      </w:pPr>
      <w:bookmarkStart w:id="768" w:name="_Toc29390"/>
      <w:bookmarkStart w:id="769" w:name="_Toc28559"/>
      <w:bookmarkStart w:id="770" w:name="_Toc3063"/>
      <w:r>
        <w:rPr>
          <w:rFonts w:hint="eastAsia" w:ascii="宋体" w:hAnsi="宋体" w:eastAsia="宋体" w:cs="宋体"/>
          <w:b/>
          <w:color w:val="auto"/>
          <w:spacing w:val="0"/>
          <w:szCs w:val="24"/>
          <w:highlight w:val="none"/>
        </w:rPr>
        <w:t>四、应急处理阶段</w:t>
      </w:r>
      <w:bookmarkEnd w:id="768"/>
      <w:bookmarkEnd w:id="769"/>
      <w:bookmarkEnd w:id="770"/>
    </w:p>
    <w:p w14:paraId="27B3575C">
      <w:pPr>
        <w:ind w:firstLine="422" w:firstLineChars="200"/>
        <w:outlineLvl w:val="3"/>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（一）项目实施过程中应急服务</w:t>
      </w:r>
    </w:p>
    <w:p w14:paraId="046D2F58">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35960404">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在应急事件处理完毕后，由乙方应急小组对事件发生原因、性质、影响、后果、责任及应急处置能力、恢复重建等问题进行全面调查评估，总结经验教训，完善应急处理预案，整改项目服务过程中存在的隐患问题。</w:t>
      </w:r>
    </w:p>
    <w:p w14:paraId="41AA1D4A">
      <w:pPr>
        <w:ind w:firstLine="422" w:firstLineChars="200"/>
        <w:outlineLvl w:val="3"/>
        <w:rPr>
          <w:rFonts w:hint="eastAsia" w:ascii="宋体" w:hAnsi="宋体" w:eastAsia="宋体" w:cs="宋体"/>
          <w:b/>
          <w:color w:val="auto"/>
          <w:spacing w:val="0"/>
          <w:szCs w:val="24"/>
          <w:highlight w:val="none"/>
        </w:rPr>
      </w:pPr>
      <w:r>
        <w:rPr>
          <w:rFonts w:hint="eastAsia" w:ascii="宋体" w:hAnsi="宋体" w:eastAsia="宋体" w:cs="宋体"/>
          <w:b/>
          <w:color w:val="auto"/>
          <w:spacing w:val="0"/>
          <w:szCs w:val="24"/>
          <w:highlight w:val="none"/>
        </w:rPr>
        <w:t>（二）系统上线后应急服务</w:t>
      </w:r>
    </w:p>
    <w:p w14:paraId="1A742875">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7FCC941A">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姓名:        手机号码：        邮箱：</w:t>
      </w:r>
    </w:p>
    <w:p w14:paraId="43EFF912">
      <w:pPr>
        <w:spacing w:line="360" w:lineRule="auto"/>
        <w:ind w:firstLine="489" w:firstLineChars="233"/>
        <w:rPr>
          <w:rFonts w:hint="eastAsia" w:ascii="宋体" w:hAnsi="宋体" w:eastAsia="宋体" w:cs="宋体"/>
          <w:color w:val="auto"/>
          <w:spacing w:val="0"/>
          <w:szCs w:val="24"/>
          <w:highlight w:val="none"/>
        </w:rPr>
      </w:pPr>
      <w:r>
        <w:rPr>
          <w:rFonts w:hint="eastAsia" w:ascii="宋体" w:hAnsi="宋体" w:eastAsia="宋体" w:cs="宋体"/>
          <w:color w:val="auto"/>
          <w:spacing w:val="0"/>
          <w:szCs w:val="24"/>
          <w:highlight w:val="none"/>
        </w:rPr>
        <w:t>姓名:        手机号码：        邮箱：</w:t>
      </w:r>
    </w:p>
    <w:p w14:paraId="210B1214">
      <w:pPr>
        <w:spacing w:line="360" w:lineRule="auto"/>
        <w:rPr>
          <w:rStyle w:val="40"/>
          <w:rFonts w:hint="eastAsia" w:ascii="宋体" w:hAnsi="宋体" w:eastAsia="宋体" w:cs="宋体"/>
          <w:color w:val="auto"/>
          <w:spacing w:val="0"/>
          <w:kern w:val="0"/>
          <w:highlight w:val="none"/>
          <w:lang w:eastAsia="zh-CN"/>
        </w:rPr>
      </w:pPr>
    </w:p>
    <w:p w14:paraId="2EAD64FC">
      <w:pPr>
        <w:spacing w:line="360" w:lineRule="auto"/>
        <w:rPr>
          <w:rStyle w:val="40"/>
          <w:rFonts w:hint="eastAsia" w:ascii="宋体" w:hAnsi="宋体" w:eastAsia="宋体" w:cs="宋体"/>
          <w:color w:val="auto"/>
          <w:kern w:val="0"/>
          <w:highlight w:val="none"/>
        </w:rPr>
      </w:pPr>
    </w:p>
    <w:p w14:paraId="229DB1F2">
      <w:pPr>
        <w:keepNext w:val="0"/>
        <w:rPr>
          <w:rFonts w:hint="eastAsia" w:ascii="宋体" w:hAnsi="宋体" w:eastAsia="宋体" w:cs="宋体"/>
          <w:color w:val="auto"/>
          <w:highlight w:val="none"/>
        </w:rPr>
      </w:pPr>
      <w:r>
        <w:rPr>
          <w:rStyle w:val="40"/>
          <w:rFonts w:hint="eastAsia" w:ascii="宋体" w:hAnsi="宋体" w:eastAsia="宋体" w:cs="宋体"/>
          <w:color w:val="auto"/>
          <w:kern w:val="0"/>
          <w:highlight w:val="none"/>
        </w:rPr>
        <w:br w:type="page"/>
      </w:r>
    </w:p>
    <w:p w14:paraId="2F65BF27">
      <w:pPr>
        <w:rPr>
          <w:rFonts w:ascii="Times New Roman" w:hAnsi="Times New Roman"/>
          <w:color w:val="auto"/>
          <w:highlight w:val="none"/>
        </w:rPr>
      </w:pPr>
    </w:p>
    <w:p w14:paraId="25226768">
      <w:pPr>
        <w:pStyle w:val="2"/>
        <w:rPr>
          <w:rFonts w:ascii="Times New Roman" w:hAnsi="Times New Roman"/>
          <w:color w:val="auto"/>
          <w:highlight w:val="none"/>
        </w:rPr>
      </w:pPr>
      <w:bookmarkStart w:id="771" w:name="_Toc3309"/>
      <w:bookmarkStart w:id="772" w:name="_Toc20020"/>
      <w:bookmarkStart w:id="773" w:name="_Toc1246"/>
      <w:bookmarkStart w:id="774" w:name="_Toc24064"/>
      <w:bookmarkStart w:id="775" w:name="_Toc251"/>
      <w:r>
        <w:rPr>
          <w:rFonts w:hint="eastAsia" w:ascii="Times New Roman" w:hAnsi="Times New Roman"/>
          <w:color w:val="auto"/>
          <w:highlight w:val="none"/>
        </w:rPr>
        <w:t>第六章 参选文件</w:t>
      </w:r>
      <w:bookmarkEnd w:id="559"/>
      <w:bookmarkEnd w:id="560"/>
      <w:bookmarkStart w:id="776" w:name="_Toc303066035"/>
      <w:r>
        <w:rPr>
          <w:rFonts w:hint="eastAsia" w:ascii="Times New Roman" w:hAnsi="Times New Roman"/>
          <w:color w:val="auto"/>
          <w:highlight w:val="none"/>
        </w:rPr>
        <w:t>格式</w:t>
      </w:r>
      <w:bookmarkEnd w:id="570"/>
      <w:bookmarkEnd w:id="771"/>
      <w:bookmarkEnd w:id="772"/>
      <w:bookmarkEnd w:id="773"/>
      <w:bookmarkEnd w:id="774"/>
      <w:bookmarkEnd w:id="775"/>
    </w:p>
    <w:bookmarkEnd w:id="776"/>
    <w:p w14:paraId="1211B234">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07564277">
      <w:pPr>
        <w:spacing w:line="360" w:lineRule="auto"/>
        <w:ind w:firstLine="0" w:firstLineChars="0"/>
        <w:jc w:val="center"/>
        <w:outlineLvl w:val="1"/>
        <w:rPr>
          <w:rFonts w:ascii="Times New Roman" w:hAnsi="Times New Roman" w:cs="Times New Roman"/>
          <w:b/>
          <w:snapToGrid w:val="0"/>
          <w:color w:val="auto"/>
          <w:kern w:val="0"/>
          <w:sz w:val="48"/>
          <w:szCs w:val="84"/>
          <w:highlight w:val="none"/>
        </w:rPr>
      </w:pPr>
      <w:bookmarkStart w:id="777" w:name="_Toc15642"/>
      <w:bookmarkStart w:id="778" w:name="_Toc10970"/>
      <w:bookmarkStart w:id="779" w:name="_Toc10427"/>
      <w:r>
        <w:rPr>
          <w:rFonts w:hint="eastAsia" w:ascii="Times New Roman" w:hAnsi="Times New Roman" w:cs="Times New Roman"/>
          <w:b/>
          <w:snapToGrid w:val="0"/>
          <w:color w:val="auto"/>
          <w:kern w:val="0"/>
          <w:sz w:val="48"/>
          <w:szCs w:val="84"/>
          <w:highlight w:val="none"/>
        </w:rPr>
        <w:t>重庆三峡银行</w:t>
      </w:r>
      <w:bookmarkEnd w:id="777"/>
      <w:bookmarkEnd w:id="778"/>
      <w:bookmarkEnd w:id="779"/>
    </w:p>
    <w:p w14:paraId="214C16A6">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u w:val="none"/>
        </w:rPr>
      </w:pPr>
      <w:r>
        <w:rPr>
          <w:rFonts w:ascii="Times New Roman" w:hAnsi="Times New Roman" w:cs="Times New Roman"/>
          <w:b/>
          <w:snapToGrid w:val="0"/>
          <w:color w:val="auto"/>
          <w:kern w:val="0"/>
          <w:sz w:val="48"/>
          <w:szCs w:val="84"/>
          <w:highlight w:val="none"/>
        </w:rPr>
        <w:t>民事案件管理</w:t>
      </w:r>
      <w:r>
        <w:rPr>
          <w:rFonts w:hint="eastAsia" w:ascii="Times New Roman" w:hAnsi="Times New Roman" w:cs="Times New Roman"/>
          <w:b/>
          <w:snapToGrid w:val="0"/>
          <w:color w:val="auto"/>
          <w:kern w:val="0"/>
          <w:sz w:val="48"/>
          <w:szCs w:val="84"/>
          <w:highlight w:val="none"/>
          <w:lang w:val="en-US" w:eastAsia="zh-CN"/>
        </w:rPr>
        <w:t>系统建设</w:t>
      </w:r>
      <w:r>
        <w:rPr>
          <w:rFonts w:hint="eastAsia" w:ascii="Times New Roman" w:hAnsi="Times New Roman" w:cs="Times New Roman"/>
          <w:b/>
          <w:snapToGrid w:val="0"/>
          <w:color w:val="auto"/>
          <w:kern w:val="0"/>
          <w:sz w:val="48"/>
          <w:szCs w:val="84"/>
          <w:highlight w:val="none"/>
          <w:u w:val="none"/>
        </w:rPr>
        <w:t>项目</w:t>
      </w:r>
    </w:p>
    <w:p w14:paraId="734B12EC">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05B656DA">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45762D4F">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38FB37F4">
      <w:pPr>
        <w:adjustRightInd w:val="0"/>
        <w:snapToGrid w:val="0"/>
        <w:spacing w:line="360" w:lineRule="auto"/>
        <w:ind w:firstLine="0" w:firstLineChars="0"/>
        <w:jc w:val="center"/>
        <w:rPr>
          <w:rFonts w:ascii="Times New Roman" w:hAnsi="Times New Roman"/>
          <w:color w:val="auto"/>
          <w:kern w:val="0"/>
          <w:sz w:val="16"/>
          <w:highlight w:val="none"/>
        </w:rPr>
      </w:pPr>
    </w:p>
    <w:p w14:paraId="4739DBCC">
      <w:pPr>
        <w:adjustRightInd w:val="0"/>
        <w:snapToGrid w:val="0"/>
        <w:spacing w:line="360" w:lineRule="auto"/>
        <w:ind w:firstLine="0" w:firstLineChars="0"/>
        <w:jc w:val="center"/>
        <w:rPr>
          <w:rFonts w:ascii="Times New Roman" w:hAnsi="Times New Roman"/>
          <w:b/>
          <w:color w:val="auto"/>
          <w:kern w:val="0"/>
          <w:sz w:val="20"/>
          <w:highlight w:val="none"/>
        </w:rPr>
      </w:pPr>
    </w:p>
    <w:p w14:paraId="7B9CE7F1">
      <w:pPr>
        <w:adjustRightInd w:val="0"/>
        <w:snapToGrid w:val="0"/>
        <w:spacing w:line="360" w:lineRule="auto"/>
        <w:ind w:firstLine="0" w:firstLineChars="0"/>
        <w:jc w:val="center"/>
        <w:rPr>
          <w:rFonts w:ascii="Times New Roman" w:hAnsi="Times New Roman"/>
          <w:b/>
          <w:color w:val="auto"/>
          <w:kern w:val="0"/>
          <w:sz w:val="20"/>
          <w:highlight w:val="none"/>
        </w:rPr>
      </w:pPr>
    </w:p>
    <w:p w14:paraId="63A79A67">
      <w:pPr>
        <w:adjustRightInd w:val="0"/>
        <w:snapToGrid w:val="0"/>
        <w:spacing w:line="360" w:lineRule="auto"/>
        <w:ind w:firstLine="0" w:firstLineChars="0"/>
        <w:jc w:val="center"/>
        <w:rPr>
          <w:rFonts w:ascii="Times New Roman" w:hAnsi="Times New Roman"/>
          <w:b/>
          <w:color w:val="auto"/>
          <w:kern w:val="0"/>
          <w:sz w:val="20"/>
          <w:highlight w:val="none"/>
        </w:rPr>
      </w:pPr>
    </w:p>
    <w:p w14:paraId="301C4796">
      <w:pPr>
        <w:adjustRightInd w:val="0"/>
        <w:snapToGrid w:val="0"/>
        <w:spacing w:line="360" w:lineRule="auto"/>
        <w:ind w:firstLine="0" w:firstLineChars="0"/>
        <w:jc w:val="center"/>
        <w:rPr>
          <w:rFonts w:ascii="Times New Roman" w:hAnsi="Times New Roman"/>
          <w:b/>
          <w:color w:val="auto"/>
          <w:kern w:val="0"/>
          <w:sz w:val="20"/>
          <w:highlight w:val="none"/>
        </w:rPr>
      </w:pPr>
    </w:p>
    <w:p w14:paraId="54547DE0">
      <w:pPr>
        <w:adjustRightInd w:val="0"/>
        <w:snapToGrid w:val="0"/>
        <w:spacing w:line="360" w:lineRule="auto"/>
        <w:ind w:firstLine="0" w:firstLineChars="0"/>
        <w:jc w:val="center"/>
        <w:rPr>
          <w:rFonts w:ascii="Times New Roman" w:hAnsi="Times New Roman"/>
          <w:b/>
          <w:color w:val="auto"/>
          <w:kern w:val="0"/>
          <w:sz w:val="20"/>
          <w:highlight w:val="none"/>
        </w:rPr>
      </w:pPr>
    </w:p>
    <w:p w14:paraId="13072C9F">
      <w:pPr>
        <w:adjustRightInd w:val="0"/>
        <w:snapToGrid w:val="0"/>
        <w:spacing w:line="360" w:lineRule="auto"/>
        <w:ind w:firstLine="0" w:firstLineChars="0"/>
        <w:jc w:val="center"/>
        <w:rPr>
          <w:rFonts w:ascii="Times New Roman" w:hAnsi="Times New Roman"/>
          <w:b/>
          <w:color w:val="auto"/>
          <w:kern w:val="0"/>
          <w:sz w:val="20"/>
          <w:highlight w:val="none"/>
        </w:rPr>
      </w:pPr>
    </w:p>
    <w:p w14:paraId="2A6520A8">
      <w:pPr>
        <w:adjustRightInd w:val="0"/>
        <w:snapToGrid w:val="0"/>
        <w:spacing w:line="360" w:lineRule="auto"/>
        <w:ind w:firstLine="0" w:firstLineChars="0"/>
        <w:jc w:val="center"/>
        <w:rPr>
          <w:rFonts w:ascii="Times New Roman" w:hAnsi="Times New Roman"/>
          <w:b/>
          <w:color w:val="auto"/>
          <w:kern w:val="0"/>
          <w:sz w:val="20"/>
          <w:highlight w:val="none"/>
        </w:rPr>
      </w:pPr>
    </w:p>
    <w:p w14:paraId="46E00127">
      <w:pPr>
        <w:adjustRightInd w:val="0"/>
        <w:snapToGrid w:val="0"/>
        <w:spacing w:line="360" w:lineRule="auto"/>
        <w:ind w:firstLine="0" w:firstLineChars="0"/>
        <w:jc w:val="center"/>
        <w:rPr>
          <w:rFonts w:ascii="Times New Roman" w:hAnsi="Times New Roman"/>
          <w:b/>
          <w:color w:val="auto"/>
          <w:kern w:val="0"/>
          <w:sz w:val="20"/>
          <w:highlight w:val="none"/>
        </w:rPr>
      </w:pPr>
    </w:p>
    <w:p w14:paraId="05C4F003">
      <w:pPr>
        <w:adjustRightInd w:val="0"/>
        <w:snapToGrid w:val="0"/>
        <w:spacing w:line="360" w:lineRule="auto"/>
        <w:ind w:firstLine="0" w:firstLineChars="0"/>
        <w:jc w:val="center"/>
        <w:rPr>
          <w:rFonts w:ascii="Times New Roman" w:hAnsi="Times New Roman"/>
          <w:b/>
          <w:color w:val="auto"/>
          <w:kern w:val="0"/>
          <w:sz w:val="20"/>
          <w:highlight w:val="none"/>
        </w:rPr>
      </w:pPr>
    </w:p>
    <w:p w14:paraId="2D99166D">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315EB042">
      <w:pPr>
        <w:spacing w:line="360" w:lineRule="auto"/>
        <w:ind w:firstLine="0" w:firstLineChars="0"/>
        <w:jc w:val="center"/>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ascii="Times New Roman" w:hAnsi="Times New Roman"/>
          <w:color w:val="auto"/>
          <w:highlight w:val="none"/>
        </w:rPr>
        <w:t>/委托代理人：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w:t>
      </w:r>
      <w:r>
        <w:rPr>
          <w:rFonts w:hint="eastAsia" w:ascii="Times New Roman" w:hAnsi="Times New Roman"/>
          <w:color w:val="auto"/>
          <w:highlight w:val="none"/>
          <w:lang w:val="en-US" w:eastAsia="zh-CN"/>
        </w:rPr>
        <w:t>或盖章</w:t>
      </w:r>
      <w:r>
        <w:rPr>
          <w:rFonts w:hint="eastAsia" w:ascii="Times New Roman" w:hAnsi="Times New Roman"/>
          <w:color w:val="auto"/>
          <w:highlight w:val="none"/>
        </w:rPr>
        <w:t>）</w:t>
      </w:r>
    </w:p>
    <w:p w14:paraId="20DB9D0A">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5ABA9F2E">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6943E7B6">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18FF0020">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50782E05">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6F11DFFB">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bookmarkStart w:id="780" w:name="_Toc1541"/>
      <w:bookmarkStart w:id="781" w:name="_Toc28253"/>
      <w:bookmarkStart w:id="782" w:name="_Toc14851"/>
      <w:r>
        <w:rPr>
          <w:rFonts w:hint="eastAsia" w:ascii="Times New Roman" w:hAnsi="Times New Roman"/>
          <w:b/>
          <w:snapToGrid w:val="0"/>
          <w:color w:val="auto"/>
          <w:kern w:val="0"/>
          <w:sz w:val="36"/>
          <w:szCs w:val="28"/>
          <w:highlight w:val="none"/>
        </w:rPr>
        <w:t>目  录</w:t>
      </w:r>
      <w:bookmarkEnd w:id="780"/>
      <w:bookmarkEnd w:id="781"/>
      <w:bookmarkEnd w:id="782"/>
    </w:p>
    <w:p w14:paraId="58D89740">
      <w:pPr>
        <w:rPr>
          <w:rFonts w:ascii="Times New Roman" w:hAnsi="Times New Roman"/>
          <w:color w:val="auto"/>
          <w:highlight w:val="none"/>
        </w:rPr>
      </w:pPr>
      <w:r>
        <w:rPr>
          <w:rFonts w:hint="eastAsia" w:ascii="Times New Roman" w:hAnsi="Times New Roman"/>
          <w:color w:val="auto"/>
          <w:highlight w:val="none"/>
        </w:rPr>
        <w:t>一、参选函</w:t>
      </w:r>
    </w:p>
    <w:p w14:paraId="671A77BE">
      <w:pPr>
        <w:rPr>
          <w:rFonts w:hint="default" w:ascii="Times New Roman" w:hAnsi="Times New Roman" w:eastAsia="宋体"/>
          <w:color w:val="auto"/>
          <w:highlight w:val="none"/>
          <w:lang w:val="en-US" w:eastAsia="zh-CN"/>
        </w:rPr>
      </w:pPr>
      <w:r>
        <w:rPr>
          <w:rFonts w:hint="eastAsia" w:ascii="Times New Roman" w:hAnsi="Times New Roman"/>
          <w:color w:val="auto"/>
          <w:highlight w:val="none"/>
        </w:rPr>
        <w:t>二、</w:t>
      </w:r>
      <w:r>
        <w:rPr>
          <w:rFonts w:hint="eastAsia"/>
          <w:color w:val="auto"/>
          <w:highlight w:val="none"/>
          <w:lang w:val="en-US" w:eastAsia="zh-CN"/>
        </w:rPr>
        <w:t>报价一览表</w:t>
      </w:r>
    </w:p>
    <w:p w14:paraId="44D48165">
      <w:pPr>
        <w:rPr>
          <w:rFonts w:ascii="Times New Roman" w:hAnsi="Times New Roman"/>
          <w:color w:val="auto"/>
          <w:highlight w:val="none"/>
        </w:rPr>
      </w:pPr>
      <w:r>
        <w:rPr>
          <w:rFonts w:hint="eastAsia" w:ascii="Times New Roman" w:hAnsi="Times New Roman"/>
          <w:color w:val="auto"/>
          <w:highlight w:val="none"/>
        </w:rPr>
        <w:t>三、资格性文件</w:t>
      </w:r>
    </w:p>
    <w:p w14:paraId="6240A218">
      <w:pPr>
        <w:rPr>
          <w:rFonts w:ascii="Times New Roman" w:hAnsi="Times New Roman"/>
          <w:color w:val="auto"/>
          <w:highlight w:val="none"/>
        </w:rPr>
      </w:pPr>
      <w:r>
        <w:rPr>
          <w:rFonts w:ascii="Times New Roman" w:hAnsi="Times New Roman"/>
          <w:color w:val="auto"/>
          <w:highlight w:val="none"/>
        </w:rPr>
        <w:t>（一）参选人基本情况介绍，资质证明等</w:t>
      </w:r>
    </w:p>
    <w:p w14:paraId="447F7E9C">
      <w:pPr>
        <w:rPr>
          <w:rFonts w:ascii="Times New Roman" w:hAnsi="Times New Roman"/>
          <w:color w:val="auto"/>
          <w:highlight w:val="none"/>
        </w:rPr>
      </w:pPr>
      <w:r>
        <w:rPr>
          <w:rFonts w:ascii="Times New Roman" w:hAnsi="Times New Roman"/>
          <w:color w:val="auto"/>
          <w:highlight w:val="none"/>
        </w:rPr>
        <w:t>（二）法定代表人身份证明及授权委托书</w:t>
      </w:r>
    </w:p>
    <w:p w14:paraId="0EB9A1D6">
      <w:pPr>
        <w:rPr>
          <w:rFonts w:ascii="Times New Roman" w:hAnsi="Times New Roman"/>
          <w:color w:val="auto"/>
          <w:highlight w:val="none"/>
        </w:rPr>
      </w:pPr>
      <w:r>
        <w:rPr>
          <w:rFonts w:hint="eastAsia" w:ascii="Times New Roman" w:hAnsi="Times New Roman"/>
          <w:color w:val="auto"/>
          <w:highlight w:val="none"/>
        </w:rPr>
        <w:t>（三）书面声明</w:t>
      </w:r>
    </w:p>
    <w:p w14:paraId="27ABB48D">
      <w:pP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19F1AA19">
      <w:pPr>
        <w:rPr>
          <w:rFonts w:hint="eastAsia" w:ascii="Times New Roman" w:hAnsi="Times New Roman"/>
          <w:color w:val="auto"/>
          <w:highlight w:val="none"/>
          <w:lang w:val="en-US" w:eastAsia="zh-CN"/>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项目实施案例证明文件</w:t>
      </w:r>
    </w:p>
    <w:p w14:paraId="6F9C72B8">
      <w:pPr>
        <w:numPr>
          <w:ilvl w:val="0"/>
          <w:numId w:val="9"/>
        </w:numPr>
        <w:rPr>
          <w:rFonts w:ascii="Times New Roman" w:hAnsi="Times New Roman" w:cs="Times New Roman"/>
          <w:color w:val="auto"/>
          <w:highlight w:val="none"/>
        </w:rPr>
      </w:pPr>
      <w:r>
        <w:rPr>
          <w:rFonts w:ascii="Times New Roman" w:hAnsi="Times New Roman" w:cs="Times New Roman"/>
          <w:color w:val="auto"/>
          <w:highlight w:val="none"/>
        </w:rPr>
        <w:t>第三方软件产品的原厂商授权书或确认函</w:t>
      </w:r>
    </w:p>
    <w:p w14:paraId="0EF06D4A">
      <w:pPr>
        <w:numPr>
          <w:ilvl w:val="0"/>
          <w:numId w:val="10"/>
        </w:numPr>
        <w:rPr>
          <w:rFonts w:hint="eastAsia" w:ascii="Times New Roman" w:hAnsi="Times New Roman" w:cs="Cambria Math"/>
          <w:color w:val="auto"/>
          <w:highlight w:val="none"/>
          <w:lang w:val="en-US" w:eastAsia="zh-CN"/>
        </w:rPr>
      </w:pPr>
      <w:r>
        <w:rPr>
          <w:rFonts w:hint="eastAsia" w:ascii="Times New Roman" w:hAnsi="Times New Roman" w:cs="Cambria Math"/>
          <w:color w:val="auto"/>
          <w:highlight w:val="none"/>
          <w:lang w:val="en-US" w:eastAsia="zh-CN"/>
        </w:rPr>
        <w:t>响应性文件</w:t>
      </w:r>
    </w:p>
    <w:p w14:paraId="4E70DDC1">
      <w:pPr>
        <w:rPr>
          <w:rFonts w:ascii="Times New Roman" w:hAnsi="Times New Roman"/>
          <w:color w:val="auto"/>
          <w:highlight w:val="none"/>
        </w:rPr>
      </w:pPr>
      <w:r>
        <w:rPr>
          <w:rFonts w:hint="eastAsia" w:ascii="Times New Roman" w:hAnsi="Times New Roman"/>
          <w:color w:val="auto"/>
          <w:highlight w:val="none"/>
        </w:rPr>
        <w:t>（一）响应承诺函</w:t>
      </w:r>
    </w:p>
    <w:p w14:paraId="0BC375B6">
      <w:pPr>
        <w:rPr>
          <w:rFonts w:ascii="Times New Roman" w:hAnsi="Times New Roman" w:cs="Times New Roman"/>
          <w:color w:val="auto"/>
          <w:highlight w:val="none"/>
        </w:rPr>
      </w:pPr>
      <w:r>
        <w:rPr>
          <w:rFonts w:ascii="Times New Roman" w:hAnsi="Times New Roman" w:cs="Times New Roman"/>
          <w:color w:val="auto"/>
          <w:highlight w:val="none"/>
        </w:rPr>
        <w:t>（二）近半年公司为项目组成员缴纳社保的证明材料</w:t>
      </w:r>
    </w:p>
    <w:p w14:paraId="10C94ED0">
      <w:pPr>
        <w:rPr>
          <w:rFonts w:ascii="Times New Roman" w:hAnsi="Times New Roman" w:cs="Times New Roman"/>
          <w:color w:val="auto"/>
          <w:highlight w:val="none"/>
        </w:rPr>
      </w:pPr>
      <w:r>
        <w:rPr>
          <w:rFonts w:ascii="Times New Roman" w:hAnsi="Times New Roman" w:cs="Times New Roman"/>
          <w:color w:val="auto"/>
          <w:highlight w:val="none"/>
        </w:rPr>
        <w:t>（三）项目组成员简历信息</w:t>
      </w:r>
    </w:p>
    <w:p w14:paraId="356BD34C">
      <w:pPr>
        <w:rPr>
          <w:rFonts w:ascii="Times New Roman" w:hAnsi="Times New Roman" w:cs="Times New Roman"/>
          <w:color w:val="auto"/>
          <w:highlight w:val="none"/>
        </w:rPr>
      </w:pPr>
      <w:r>
        <w:rPr>
          <w:rFonts w:ascii="Times New Roman" w:hAnsi="Times New Roman" w:cs="Times New Roman"/>
          <w:color w:val="auto"/>
          <w:highlight w:val="none"/>
        </w:rPr>
        <w:t>（四）售后服务</w:t>
      </w:r>
      <w:r>
        <w:rPr>
          <w:rFonts w:hint="eastAsia" w:cs="Times New Roman"/>
          <w:color w:val="auto"/>
          <w:highlight w:val="none"/>
          <w:lang w:val="en-US" w:eastAsia="zh-CN"/>
        </w:rPr>
        <w:t>和培训</w:t>
      </w:r>
      <w:r>
        <w:rPr>
          <w:rFonts w:ascii="Times New Roman" w:hAnsi="Times New Roman" w:cs="Times New Roman"/>
          <w:color w:val="auto"/>
          <w:highlight w:val="none"/>
        </w:rPr>
        <w:t>方案</w:t>
      </w:r>
    </w:p>
    <w:p w14:paraId="07B310E8">
      <w:pPr>
        <w:rPr>
          <w:rFonts w:ascii="Times New Roman" w:hAnsi="Times New Roman" w:cs="Times New Roman"/>
          <w:color w:val="auto"/>
          <w:highlight w:val="none"/>
        </w:rPr>
      </w:pPr>
      <w:r>
        <w:rPr>
          <w:rFonts w:ascii="Times New Roman" w:hAnsi="Times New Roman" w:cs="Times New Roman"/>
          <w:color w:val="auto"/>
          <w:highlight w:val="none"/>
        </w:rPr>
        <w:t>（五）服务连续性预案</w:t>
      </w:r>
    </w:p>
    <w:p w14:paraId="6D3198E3">
      <w:pPr>
        <w:rPr>
          <w:rFonts w:ascii="Times New Roman" w:hAnsi="Times New Roman" w:cs="Times New Roman"/>
          <w:color w:val="auto"/>
          <w:highlight w:val="none"/>
        </w:rPr>
      </w:pPr>
      <w:r>
        <w:rPr>
          <w:rFonts w:ascii="Times New Roman" w:hAnsi="Times New Roman" w:cs="Times New Roman"/>
          <w:color w:val="auto"/>
          <w:highlight w:val="none"/>
        </w:rPr>
        <w:t>（六）项目实施方案</w:t>
      </w:r>
    </w:p>
    <w:p w14:paraId="1D430F2E">
      <w:pPr>
        <w:rPr>
          <w:rFonts w:ascii="Times New Roman" w:hAnsi="Times New Roman"/>
          <w:color w:val="auto"/>
          <w:highlight w:val="none"/>
        </w:rPr>
      </w:pPr>
      <w:r>
        <w:rPr>
          <w:rFonts w:ascii="Times New Roman" w:hAnsi="Times New Roman" w:cs="Times New Roman"/>
          <w:color w:val="auto"/>
          <w:highlight w:val="none"/>
        </w:rPr>
        <w:t>（七）</w:t>
      </w:r>
      <w:r>
        <w:rPr>
          <w:rFonts w:hint="eastAsia" w:cs="Times New Roman"/>
          <w:color w:val="auto"/>
          <w:highlight w:val="none"/>
          <w:lang w:val="en-US" w:eastAsia="zh-CN"/>
        </w:rPr>
        <w:t>其他（如有）</w:t>
      </w:r>
    </w:p>
    <w:p w14:paraId="298CF7C7">
      <w:pPr>
        <w:rPr>
          <w:rFonts w:ascii="Times New Roman" w:hAnsi="Times New Roman"/>
          <w:color w:val="auto"/>
          <w:highlight w:val="none"/>
        </w:rPr>
      </w:pPr>
      <w:r>
        <w:rPr>
          <w:rFonts w:hint="eastAsia" w:ascii="Times New Roman" w:hAnsi="Times New Roman"/>
          <w:color w:val="auto"/>
          <w:highlight w:val="none"/>
        </w:rPr>
        <w:t>五、参选保证金</w:t>
      </w:r>
    </w:p>
    <w:p w14:paraId="2026FD8A">
      <w:pPr>
        <w:rPr>
          <w:rFonts w:ascii="Times New Roman" w:hAnsi="Times New Roman"/>
          <w:color w:val="auto"/>
          <w:highlight w:val="none"/>
        </w:rPr>
      </w:pPr>
      <w:r>
        <w:rPr>
          <w:rFonts w:hint="eastAsia" w:ascii="Times New Roman" w:hAnsi="Times New Roman"/>
          <w:color w:val="auto"/>
          <w:highlight w:val="none"/>
        </w:rPr>
        <w:t>六、服务水平协议（SLA）</w:t>
      </w:r>
    </w:p>
    <w:p w14:paraId="4D682A85">
      <w:pPr>
        <w:rPr>
          <w:rFonts w:ascii="Times New Roman" w:hAnsi="Times New Roman" w:cs="宋体"/>
          <w:color w:val="auto"/>
          <w:highlight w:val="none"/>
        </w:rPr>
      </w:pPr>
      <w:r>
        <w:rPr>
          <w:rFonts w:ascii="Times New Roman" w:hAnsi="Times New Roman" w:cs="Times New Roman"/>
          <w:color w:val="auto"/>
          <w:highlight w:val="none"/>
        </w:rPr>
        <w:t>七、其他（如有）</w:t>
      </w:r>
    </w:p>
    <w:p w14:paraId="24AC8FCD">
      <w:pPr>
        <w:spacing w:line="360" w:lineRule="auto"/>
        <w:rPr>
          <w:rFonts w:ascii="Times New Roman" w:hAnsi="Times New Roman" w:cs="宋体"/>
          <w:color w:val="auto"/>
          <w:highlight w:val="none"/>
        </w:rPr>
      </w:pPr>
    </w:p>
    <w:p w14:paraId="289B1ED7">
      <w:pPr>
        <w:numPr>
          <w:ilvl w:val="-1"/>
          <w:numId w:val="0"/>
        </w:numPr>
        <w:ind w:firstLine="0" w:firstLineChars="0"/>
        <w:rPr>
          <w:rFonts w:hint="eastAsia" w:ascii="Times New Roman" w:hAnsi="Times New Roman" w:eastAsia="宋体" w:cs="Cambria Math"/>
          <w:color w:val="auto"/>
          <w:highlight w:val="none"/>
          <w:lang w:val="en-US" w:eastAsia="zh-CN"/>
        </w:rPr>
      </w:pPr>
    </w:p>
    <w:p w14:paraId="4A895489">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13772A8">
      <w:pPr>
        <w:rPr>
          <w:rFonts w:ascii="Times New Roman" w:hAnsi="Times New Roman" w:cs="Times New Roman"/>
          <w:color w:val="auto"/>
          <w:highlight w:val="none"/>
        </w:rPr>
      </w:pPr>
    </w:p>
    <w:p w14:paraId="4BD49F93">
      <w:pPr>
        <w:spacing w:line="360" w:lineRule="auto"/>
        <w:ind w:firstLine="0" w:firstLineChars="0"/>
        <w:jc w:val="center"/>
        <w:outlineLvl w:val="1"/>
        <w:rPr>
          <w:rStyle w:val="30"/>
          <w:rFonts w:ascii="Times New Roman" w:hAnsi="Times New Roman"/>
          <w:color w:val="auto"/>
          <w:highlight w:val="none"/>
        </w:rPr>
      </w:pPr>
      <w:bookmarkStart w:id="783" w:name="_Toc16363"/>
      <w:bookmarkStart w:id="784" w:name="_Toc20557"/>
      <w:bookmarkStart w:id="785" w:name="_Toc22006"/>
      <w:r>
        <w:rPr>
          <w:rStyle w:val="30"/>
          <w:rFonts w:hint="eastAsia" w:ascii="Times New Roman" w:hAnsi="Times New Roman"/>
          <w:color w:val="auto"/>
          <w:highlight w:val="none"/>
        </w:rPr>
        <w:t>一、参选函</w:t>
      </w:r>
      <w:bookmarkEnd w:id="783"/>
      <w:bookmarkEnd w:id="784"/>
      <w:bookmarkEnd w:id="785"/>
    </w:p>
    <w:p w14:paraId="6DC23C27">
      <w:pPr>
        <w:tabs>
          <w:tab w:val="left" w:pos="6300"/>
        </w:tabs>
        <w:snapToGrid w:val="0"/>
        <w:spacing w:line="360" w:lineRule="auto"/>
        <w:ind w:right="-29" w:rightChars="-14"/>
        <w:rPr>
          <w:rFonts w:ascii="Times New Roman" w:hAnsi="Times New Roman"/>
          <w:snapToGrid w:val="0"/>
          <w:color w:val="auto"/>
          <w:kern w:val="0"/>
          <w:szCs w:val="24"/>
          <w:highlight w:val="none"/>
          <w:u w:val="single"/>
        </w:rPr>
      </w:pPr>
    </w:p>
    <w:p w14:paraId="4D42A300">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5668D165">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6574FD07">
      <w:pPr>
        <w:tabs>
          <w:tab w:val="left" w:pos="6300"/>
        </w:tabs>
        <w:snapToGrid w:val="0"/>
        <w:spacing w:line="360" w:lineRule="auto"/>
        <w:ind w:right="-29"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single"/>
        </w:rPr>
        <w:t>。</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r>
        <w:rPr>
          <w:rFonts w:hint="eastAsia" w:ascii="Times New Roman" w:hAnsi="Times New Roman"/>
          <w:snapToGrid w:val="0"/>
          <w:color w:val="auto"/>
          <w:kern w:val="0"/>
          <w:szCs w:val="24"/>
          <w:highlight w:val="none"/>
        </w:rPr>
        <w:t>免费维保期后的维保费率：</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20701687">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4D67ED15">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1D8723C9">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38CB87FF">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16576012">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2E52DB83">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7、若我方中选，我方开具税率为______%的增值税专用发票。</w:t>
      </w:r>
    </w:p>
    <w:p w14:paraId="262BB113">
      <w:pPr>
        <w:tabs>
          <w:tab w:val="left" w:pos="6300"/>
        </w:tabs>
        <w:snapToGrid w:val="0"/>
        <w:spacing w:line="360" w:lineRule="auto"/>
        <w:ind w:right="-29" w:rightChars="-14"/>
        <w:rPr>
          <w:rFonts w:ascii="Times New Roman" w:hAnsi="Times New Roman"/>
          <w:snapToGrid w:val="0"/>
          <w:color w:val="auto"/>
          <w:kern w:val="0"/>
          <w:szCs w:val="24"/>
          <w:highlight w:val="none"/>
        </w:rPr>
      </w:pPr>
    </w:p>
    <w:p w14:paraId="0F65ABC9">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6F824C3F">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2CFB347E">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1CCBAE53">
      <w:pPr>
        <w:tabs>
          <w:tab w:val="left" w:pos="6300"/>
        </w:tabs>
        <w:snapToGrid w:val="0"/>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611DEA73">
      <w:pPr>
        <w:tabs>
          <w:tab w:val="left" w:pos="6300"/>
        </w:tabs>
        <w:snapToGrid w:val="0"/>
        <w:spacing w:line="360" w:lineRule="auto"/>
        <w:ind w:right="-29" w:rightChars="-14" w:firstLine="5722" w:firstLineChars="2725"/>
        <w:rPr>
          <w:rFonts w:ascii="Times New Roman" w:hAnsi="Times New Roman"/>
          <w:snapToGrid w:val="0"/>
          <w:color w:val="auto"/>
          <w:kern w:val="0"/>
          <w:szCs w:val="24"/>
          <w:highlight w:val="none"/>
        </w:rPr>
      </w:pPr>
    </w:p>
    <w:p w14:paraId="3E4B07B4">
      <w:pPr>
        <w:tabs>
          <w:tab w:val="left" w:pos="6300"/>
        </w:tabs>
        <w:snapToGrid w:val="0"/>
        <w:spacing w:line="360" w:lineRule="auto"/>
        <w:ind w:right="-29" w:rightChars="-14" w:firstLine="4725"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521505B4">
      <w:pPr>
        <w:widowControl/>
        <w:spacing w:line="360" w:lineRule="auto"/>
        <w:jc w:val="left"/>
        <w:rPr>
          <w:rFonts w:ascii="Times New Roman" w:hAnsi="Times New Roman"/>
          <w:snapToGrid w:val="0"/>
          <w:color w:val="auto"/>
          <w:kern w:val="0"/>
          <w:szCs w:val="24"/>
          <w:highlight w:val="none"/>
        </w:rPr>
      </w:pPr>
    </w:p>
    <w:p w14:paraId="0AD56EB7">
      <w:pPr>
        <w:tabs>
          <w:tab w:val="left" w:pos="6300"/>
        </w:tabs>
        <w:snapToGrid w:val="0"/>
        <w:spacing w:line="360" w:lineRule="auto"/>
        <w:rPr>
          <w:rFonts w:ascii="Times New Roman" w:hAnsi="Times New Roman"/>
          <w:snapToGrid w:val="0"/>
          <w:color w:val="auto"/>
          <w:kern w:val="0"/>
          <w:szCs w:val="24"/>
          <w:highlight w:val="none"/>
        </w:rPr>
      </w:pPr>
    </w:p>
    <w:p w14:paraId="65A3F6B8">
      <w:pPr>
        <w:widowControl/>
        <w:spacing w:line="360" w:lineRule="auto"/>
        <w:jc w:val="left"/>
        <w:rPr>
          <w:rFonts w:ascii="Times New Roman" w:hAnsi="Times New Roman"/>
          <w:snapToGrid w:val="0"/>
          <w:color w:val="auto"/>
          <w:kern w:val="0"/>
          <w:szCs w:val="24"/>
          <w:highlight w:val="none"/>
        </w:rPr>
      </w:pPr>
    </w:p>
    <w:p w14:paraId="17CA4FBA">
      <w:pPr>
        <w:widowControl/>
        <w:spacing w:line="360" w:lineRule="auto"/>
        <w:jc w:val="left"/>
        <w:rPr>
          <w:rFonts w:ascii="Times New Roman" w:hAnsi="Times New Roman"/>
          <w:snapToGrid w:val="0"/>
          <w:color w:val="auto"/>
          <w:kern w:val="0"/>
          <w:szCs w:val="24"/>
          <w:highlight w:val="none"/>
        </w:rPr>
      </w:pPr>
    </w:p>
    <w:p w14:paraId="7F95A45C">
      <w:pPr>
        <w:widowControl/>
        <w:spacing w:line="360" w:lineRule="auto"/>
        <w:jc w:val="left"/>
        <w:rPr>
          <w:rFonts w:ascii="Times New Roman" w:hAnsi="Times New Roman"/>
          <w:snapToGrid w:val="0"/>
          <w:color w:val="auto"/>
          <w:kern w:val="0"/>
          <w:szCs w:val="24"/>
          <w:highlight w:val="none"/>
        </w:rPr>
      </w:pPr>
    </w:p>
    <w:p w14:paraId="6BAAC735">
      <w:pPr>
        <w:snapToGrid w:val="0"/>
        <w:spacing w:line="360" w:lineRule="auto"/>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76E217D0">
      <w:pPr>
        <w:pStyle w:val="31"/>
        <w:rPr>
          <w:rFonts w:hint="default" w:ascii="Times New Roman" w:hAnsi="Times New Roman" w:eastAsia="宋体"/>
          <w:color w:val="auto"/>
          <w:highlight w:val="none"/>
          <w:lang w:val="en-US" w:eastAsia="zh-CN"/>
        </w:rPr>
      </w:pPr>
      <w:bookmarkStart w:id="786" w:name="_Toc3924"/>
      <w:bookmarkStart w:id="787" w:name="_Toc31399"/>
      <w:bookmarkStart w:id="788" w:name="_Toc2301"/>
      <w:r>
        <w:rPr>
          <w:rFonts w:ascii="Times New Roman" w:hAnsi="Times New Roman"/>
          <w:color w:val="auto"/>
          <w:highlight w:val="none"/>
        </w:rPr>
        <w:t>二、</w:t>
      </w:r>
      <w:bookmarkEnd w:id="786"/>
      <w:bookmarkEnd w:id="787"/>
      <w:bookmarkEnd w:id="788"/>
      <w:r>
        <w:rPr>
          <w:rFonts w:hint="eastAsia"/>
          <w:color w:val="auto"/>
          <w:highlight w:val="none"/>
          <w:lang w:val="en-US" w:eastAsia="zh-CN"/>
        </w:rPr>
        <w:t>报价一览表</w:t>
      </w:r>
    </w:p>
    <w:p w14:paraId="6833CFFC">
      <w:pPr>
        <w:tabs>
          <w:tab w:val="left" w:pos="6300"/>
        </w:tabs>
        <w:snapToGrid w:val="0"/>
        <w:spacing w:line="360" w:lineRule="auto"/>
        <w:jc w:val="center"/>
        <w:rPr>
          <w:rFonts w:ascii="Times New Roman" w:hAnsi="Times New Roman" w:cs="Times New Roman"/>
          <w:b/>
          <w:snapToGrid w:val="0"/>
          <w:color w:val="auto"/>
          <w:kern w:val="0"/>
          <w:sz w:val="36"/>
          <w:szCs w:val="28"/>
          <w:highlight w:val="none"/>
        </w:rPr>
      </w:pPr>
    </w:p>
    <w:tbl>
      <w:tblPr>
        <w:tblStyle w:val="2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3171"/>
        <w:gridCol w:w="3266"/>
      </w:tblGrid>
      <w:tr w14:paraId="0F07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13BC8E6">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参选人全称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19C9AF93">
            <w:pPr>
              <w:spacing w:line="360" w:lineRule="auto"/>
              <w:jc w:val="center"/>
              <w:rPr>
                <w:rFonts w:ascii="Times New Roman" w:hAnsi="Times New Roman" w:cs="Times New Roman"/>
                <w:color w:val="auto"/>
                <w:szCs w:val="24"/>
                <w:highlight w:val="none"/>
              </w:rPr>
            </w:pPr>
          </w:p>
        </w:tc>
      </w:tr>
      <w:tr w14:paraId="1D34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057779C2">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比选项目名称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6456424B">
            <w:pPr>
              <w:spacing w:line="360" w:lineRule="auto"/>
              <w:jc w:val="center"/>
              <w:rPr>
                <w:rFonts w:ascii="Times New Roman" w:hAnsi="Times New Roman" w:cs="Times New Roman"/>
                <w:snapToGrid w:val="0"/>
                <w:color w:val="auto"/>
                <w:szCs w:val="24"/>
                <w:highlight w:val="none"/>
              </w:rPr>
            </w:pPr>
          </w:p>
        </w:tc>
      </w:tr>
      <w:tr w14:paraId="202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535A803">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szCs w:val="24"/>
                <w:highlight w:val="none"/>
              </w:rPr>
              <w:t>参选</w:t>
            </w:r>
            <w:r>
              <w:rPr>
                <w:rFonts w:ascii="Times New Roman" w:hAnsi="Times New Roman" w:cs="Times New Roman"/>
                <w:color w:val="auto"/>
                <w:szCs w:val="24"/>
                <w:highlight w:val="none"/>
              </w:rPr>
              <w:t>总价（含税）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24ED1EF6">
            <w:pPr>
              <w:spacing w:line="360" w:lineRule="auto"/>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小写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p w14:paraId="0104A962">
            <w:pPr>
              <w:spacing w:line="360" w:lineRule="auto"/>
              <w:jc w:val="both"/>
              <w:rPr>
                <w:rFonts w:ascii="Times New Roman" w:hAnsi="Times New Roman" w:cs="Times New Roman"/>
                <w:snapToGrid w:val="0"/>
                <w:color w:val="auto"/>
                <w:szCs w:val="24"/>
                <w:highlight w:val="none"/>
              </w:rPr>
            </w:pPr>
            <w:r>
              <w:rPr>
                <w:rFonts w:ascii="Times New Roman" w:hAnsi="Times New Roman" w:cs="Times New Roman"/>
                <w:snapToGrid w:val="0"/>
                <w:color w:val="auto"/>
                <w:kern w:val="0"/>
                <w:szCs w:val="24"/>
                <w:highlight w:val="none"/>
              </w:rPr>
              <w:t>大写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tc>
      </w:tr>
      <w:tr w14:paraId="56D8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6F06EBC6">
            <w:pPr>
              <w:spacing w:line="360" w:lineRule="auto"/>
              <w:jc w:val="center"/>
              <w:rPr>
                <w:rFonts w:ascii="Times New Roman" w:hAnsi="Times New Roman" w:cs="Times New Roman"/>
                <w:snapToGrid w:val="0"/>
                <w:color w:val="auto"/>
                <w:szCs w:val="24"/>
                <w:highlight w:val="none"/>
              </w:rPr>
            </w:pPr>
            <w:r>
              <w:rPr>
                <w:rFonts w:ascii="Times New Roman" w:hAnsi="Times New Roman" w:cs="Times New Roman"/>
                <w:snapToGrid w:val="0"/>
                <w:color w:val="auto"/>
                <w:szCs w:val="24"/>
                <w:highlight w:val="none"/>
              </w:rPr>
              <w:t>参选</w:t>
            </w:r>
            <w:r>
              <w:rPr>
                <w:rFonts w:ascii="Times New Roman" w:hAnsi="Times New Roman" w:cs="Times New Roman"/>
                <w:color w:val="auto"/>
                <w:szCs w:val="24"/>
                <w:highlight w:val="none"/>
              </w:rPr>
              <w:t>总价（</w:t>
            </w:r>
            <w:r>
              <w:rPr>
                <w:rFonts w:hint="eastAsia" w:ascii="Times New Roman" w:hAnsi="Times New Roman" w:cs="Times New Roman"/>
                <w:color w:val="auto"/>
                <w:szCs w:val="24"/>
                <w:highlight w:val="none"/>
              </w:rPr>
              <w:t>不</w:t>
            </w:r>
            <w:r>
              <w:rPr>
                <w:rFonts w:ascii="Times New Roman" w:hAnsi="Times New Roman" w:cs="Times New Roman"/>
                <w:color w:val="auto"/>
                <w:szCs w:val="24"/>
                <w:highlight w:val="none"/>
              </w:rPr>
              <w:t>含税）</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5A8F0DD">
            <w:pPr>
              <w:spacing w:line="360" w:lineRule="auto"/>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小写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p w14:paraId="2AE08BEB">
            <w:pPr>
              <w:spacing w:line="360" w:lineRule="auto"/>
              <w:jc w:val="both"/>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大写</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人民币</w:t>
            </w:r>
            <w:r>
              <w:rPr>
                <w:rFonts w:hint="eastAsia" w:ascii="Times New Roman" w:hAnsi="Times New Roman" w:cs="Times New Roman"/>
                <w:snapToGrid w:val="0"/>
                <w:color w:val="auto"/>
                <w:kern w:val="0"/>
                <w:szCs w:val="24"/>
                <w:highlight w:val="none"/>
              </w:rPr>
              <w:t>）</w:t>
            </w:r>
            <w:r>
              <w:rPr>
                <w:rFonts w:ascii="Times New Roman" w:hAnsi="Times New Roman" w:cs="Times New Roman"/>
                <w:snapToGrid w:val="0"/>
                <w:color w:val="auto"/>
                <w:kern w:val="0"/>
                <w:szCs w:val="24"/>
                <w:highlight w:val="none"/>
              </w:rPr>
              <w:t>：</w:t>
            </w:r>
            <w:r>
              <w:rPr>
                <w:rFonts w:hint="eastAsia" w:ascii="Times New Roman" w:hAnsi="Times New Roman" w:cs="Times New Roman"/>
                <w:snapToGrid w:val="0"/>
                <w:color w:val="auto"/>
                <w:kern w:val="0"/>
                <w:szCs w:val="24"/>
                <w:highlight w:val="none"/>
              </w:rPr>
              <w:t xml:space="preserve">            </w:t>
            </w:r>
          </w:p>
        </w:tc>
      </w:tr>
      <w:tr w14:paraId="4D15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66071C3">
            <w:pPr>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产品报价</w:t>
            </w:r>
            <w:r>
              <w:rPr>
                <w:rFonts w:hint="eastAsia" w:ascii="Times New Roman" w:hAnsi="Times New Roman" w:cs="Times New Roman"/>
                <w:color w:val="auto"/>
                <w:szCs w:val="24"/>
                <w:highlight w:val="none"/>
              </w:rPr>
              <w:t>小写</w:t>
            </w:r>
          </w:p>
          <w:p w14:paraId="1E473140">
            <w:pPr>
              <w:spacing w:line="360" w:lineRule="auto"/>
              <w:ind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税率</w:t>
            </w: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13%</w:t>
            </w:r>
            <w:r>
              <w:rPr>
                <w:rFonts w:hint="eastAsia" w:ascii="Times New Roman" w:hAnsi="Times New Roman" w:cs="Times New Roman"/>
                <w:color w:val="auto"/>
                <w:szCs w:val="24"/>
                <w:highlight w:val="none"/>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2E392963">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2B4EDF30">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不含税价：</w:t>
            </w:r>
          </w:p>
        </w:tc>
      </w:tr>
      <w:tr w14:paraId="6523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3B57DC8">
            <w:pPr>
              <w:spacing w:line="360" w:lineRule="auto"/>
              <w:ind w:firstLine="0" w:firstLineChars="0"/>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定制开发报价</w:t>
            </w:r>
            <w:r>
              <w:rPr>
                <w:rFonts w:hint="eastAsia" w:ascii="Times New Roman" w:hAnsi="Times New Roman" w:cs="Times New Roman"/>
                <w:color w:val="auto"/>
                <w:szCs w:val="24"/>
                <w:highlight w:val="none"/>
              </w:rPr>
              <w:t>小写</w:t>
            </w:r>
          </w:p>
          <w:p w14:paraId="2B2A60B4">
            <w:pPr>
              <w:spacing w:line="360" w:lineRule="auto"/>
              <w:ind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税率：6%</w:t>
            </w:r>
            <w:r>
              <w:rPr>
                <w:rFonts w:hint="eastAsia" w:ascii="Times New Roman" w:hAnsi="Times New Roman" w:cs="Times New Roman"/>
                <w:color w:val="auto"/>
                <w:szCs w:val="24"/>
                <w:highlight w:val="none"/>
              </w:rPr>
              <w:t>）</w:t>
            </w:r>
          </w:p>
        </w:tc>
        <w:tc>
          <w:tcPr>
            <w:tcW w:w="3171" w:type="dxa"/>
            <w:tcBorders>
              <w:top w:val="single" w:color="auto" w:sz="4" w:space="0"/>
              <w:left w:val="single" w:color="auto" w:sz="4" w:space="0"/>
              <w:bottom w:val="single" w:color="auto" w:sz="4" w:space="0"/>
              <w:right w:val="single" w:color="auto" w:sz="4" w:space="0"/>
            </w:tcBorders>
            <w:noWrap/>
            <w:vAlign w:val="center"/>
          </w:tcPr>
          <w:p w14:paraId="3DD15D45">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含税价：</w:t>
            </w:r>
          </w:p>
        </w:tc>
        <w:tc>
          <w:tcPr>
            <w:tcW w:w="3266" w:type="dxa"/>
            <w:tcBorders>
              <w:top w:val="single" w:color="auto" w:sz="4" w:space="0"/>
              <w:left w:val="single" w:color="auto" w:sz="4" w:space="0"/>
              <w:bottom w:val="single" w:color="auto" w:sz="4" w:space="0"/>
              <w:right w:val="single" w:color="auto" w:sz="4" w:space="0"/>
            </w:tcBorders>
            <w:noWrap/>
            <w:vAlign w:val="center"/>
          </w:tcPr>
          <w:p w14:paraId="215840C6">
            <w:pPr>
              <w:spacing w:line="360" w:lineRule="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不含税价：</w:t>
            </w:r>
          </w:p>
        </w:tc>
      </w:tr>
      <w:tr w14:paraId="4B23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01391930">
            <w:pPr>
              <w:spacing w:line="360" w:lineRule="auto"/>
              <w:jc w:val="cente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lang w:val="en-US" w:eastAsia="zh-CN"/>
              </w:rPr>
              <w:t>免费</w:t>
            </w:r>
            <w:r>
              <w:rPr>
                <w:rFonts w:ascii="Times New Roman" w:hAnsi="Times New Roman" w:cs="Times New Roman"/>
                <w:snapToGrid w:val="0"/>
                <w:color w:val="auto"/>
                <w:kern w:val="0"/>
                <w:szCs w:val="24"/>
                <w:highlight w:val="none"/>
              </w:rPr>
              <w:t>维护期</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0F0A5ED">
            <w:pPr>
              <w:spacing w:line="360" w:lineRule="auto"/>
              <w:jc w:val="center"/>
              <w:rPr>
                <w:rFonts w:ascii="Times New Roman" w:hAnsi="Times New Roman" w:cs="Times New Roman"/>
                <w:color w:val="auto"/>
                <w:szCs w:val="24"/>
                <w:highlight w:val="none"/>
              </w:rPr>
            </w:pPr>
          </w:p>
        </w:tc>
      </w:tr>
      <w:tr w14:paraId="66CD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5F894DD">
            <w:pPr>
              <w:spacing w:line="360" w:lineRule="auto"/>
              <w:jc w:val="cente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lang w:val="en-US" w:eastAsia="zh-CN"/>
              </w:rPr>
              <w:t>免费</w:t>
            </w:r>
            <w:r>
              <w:rPr>
                <w:rFonts w:ascii="Times New Roman" w:hAnsi="Times New Roman" w:cs="Times New Roman"/>
                <w:snapToGrid w:val="0"/>
                <w:color w:val="auto"/>
                <w:kern w:val="0"/>
                <w:szCs w:val="24"/>
                <w:highlight w:val="none"/>
              </w:rPr>
              <w:t>维护期后的维保费率</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2C2912CC">
            <w:pPr>
              <w:spacing w:line="360" w:lineRule="auto"/>
              <w:jc w:val="center"/>
              <w:rPr>
                <w:rFonts w:ascii="Times New Roman" w:hAnsi="Times New Roman" w:cs="Times New Roman"/>
                <w:color w:val="auto"/>
                <w:szCs w:val="24"/>
                <w:highlight w:val="none"/>
              </w:rPr>
            </w:pPr>
          </w:p>
        </w:tc>
      </w:tr>
      <w:tr w14:paraId="483D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1D927ED">
            <w:pPr>
              <w:spacing w:line="360" w:lineRule="auto"/>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开具发票类型</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20BA4555">
            <w:pPr>
              <w:spacing w:line="360" w:lineRule="auto"/>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增值税专用发票</w:t>
            </w:r>
          </w:p>
        </w:tc>
      </w:tr>
      <w:tr w14:paraId="0D70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3"/>
            <w:tcBorders>
              <w:top w:val="single" w:color="auto" w:sz="4" w:space="0"/>
              <w:left w:val="single" w:color="auto" w:sz="4" w:space="0"/>
              <w:bottom w:val="single" w:color="auto" w:sz="4" w:space="0"/>
              <w:right w:val="single" w:color="auto" w:sz="4" w:space="0"/>
            </w:tcBorders>
            <w:noWrap/>
          </w:tcPr>
          <w:p w14:paraId="641C6317">
            <w:pPr>
              <w:pStyle w:val="14"/>
              <w:spacing w:line="360" w:lineRule="auto"/>
              <w:rPr>
                <w:rFonts w:ascii="Times New Roman" w:hAnsi="Times New Roman" w:cs="Times New Roman"/>
                <w:snapToGrid w:val="0"/>
                <w:color w:val="auto"/>
                <w:szCs w:val="24"/>
                <w:highlight w:val="none"/>
              </w:rPr>
            </w:pPr>
          </w:p>
          <w:p w14:paraId="0998B30E">
            <w:pPr>
              <w:pStyle w:val="14"/>
              <w:spacing w:line="360" w:lineRule="auto"/>
              <w:rPr>
                <w:rFonts w:ascii="Times New Roman" w:hAnsi="Times New Roman" w:cs="Times New Roman"/>
                <w:snapToGrid w:val="0"/>
                <w:color w:val="auto"/>
                <w:szCs w:val="24"/>
                <w:highlight w:val="none"/>
              </w:rPr>
            </w:pPr>
            <w:r>
              <w:rPr>
                <w:rFonts w:ascii="Times New Roman" w:hAnsi="Times New Roman" w:cs="Times New Roman"/>
                <w:snapToGrid w:val="0"/>
                <w:color w:val="auto"/>
                <w:szCs w:val="24"/>
                <w:highlight w:val="none"/>
              </w:rPr>
              <w:t>备注：</w:t>
            </w:r>
          </w:p>
        </w:tc>
      </w:tr>
    </w:tbl>
    <w:p w14:paraId="06D62851">
      <w:pPr>
        <w:spacing w:line="360" w:lineRule="auto"/>
        <w:ind w:right="-29" w:rightChars="-14" w:firstLine="0" w:firstLineChars="0"/>
        <w:rPr>
          <w:rFonts w:ascii="Times New Roman" w:hAnsi="Times New Roman" w:cs="Times New Roman"/>
          <w:color w:val="auto"/>
          <w:szCs w:val="28"/>
          <w:highlight w:val="none"/>
        </w:rPr>
      </w:pPr>
      <w:bookmarkStart w:id="789" w:name="_Hlk59456849"/>
      <w:r>
        <w:rPr>
          <w:rFonts w:ascii="Times New Roman" w:hAnsi="Times New Roman" w:cs="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789"/>
    <w:p w14:paraId="7C47979D">
      <w:pPr>
        <w:spacing w:line="360" w:lineRule="auto"/>
        <w:ind w:right="-29" w:rightChars="-14"/>
        <w:rPr>
          <w:rFonts w:ascii="Times New Roman" w:hAnsi="Times New Roman" w:cs="Times New Roman"/>
          <w:color w:val="auto"/>
          <w:szCs w:val="28"/>
          <w:highlight w:val="none"/>
        </w:rPr>
      </w:pPr>
    </w:p>
    <w:p w14:paraId="07114E90">
      <w:pPr>
        <w:spacing w:line="360" w:lineRule="auto"/>
        <w:ind w:right="-29"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参选人：                                    法人授权代表：</w:t>
      </w:r>
    </w:p>
    <w:p w14:paraId="14197E43">
      <w:pPr>
        <w:spacing w:line="360" w:lineRule="auto"/>
        <w:ind w:right="-29"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（公章）                                    （签</w:t>
      </w:r>
      <w:r>
        <w:rPr>
          <w:rFonts w:hint="eastAsia" w:ascii="Times New Roman" w:hAnsi="Times New Roman" w:cs="Times New Roman"/>
          <w:snapToGrid w:val="0"/>
          <w:color w:val="auto"/>
          <w:kern w:val="0"/>
          <w:szCs w:val="24"/>
          <w:highlight w:val="none"/>
          <w:lang w:val="en-US" w:eastAsia="zh-CN"/>
        </w:rPr>
        <w:t>字或盖</w:t>
      </w:r>
      <w:r>
        <w:rPr>
          <w:rFonts w:ascii="Times New Roman" w:hAnsi="Times New Roman" w:cs="Times New Roman"/>
          <w:snapToGrid w:val="0"/>
          <w:color w:val="auto"/>
          <w:kern w:val="0"/>
          <w:szCs w:val="24"/>
          <w:highlight w:val="none"/>
        </w:rPr>
        <w:t>章）</w:t>
      </w:r>
    </w:p>
    <w:p w14:paraId="567AB4DC">
      <w:pPr>
        <w:spacing w:line="360" w:lineRule="auto"/>
        <w:ind w:right="-29" w:rightChars="-14"/>
        <w:jc w:val="center"/>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 xml:space="preserve">                                       年  月   日</w:t>
      </w:r>
    </w:p>
    <w:p w14:paraId="4B6D834D">
      <w:pPr>
        <w:snapToGrid w:val="0"/>
        <w:spacing w:line="360" w:lineRule="auto"/>
        <w:ind w:firstLine="0" w:firstLineChars="0"/>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有关说明：</w:t>
      </w:r>
    </w:p>
    <w:p w14:paraId="2C343000">
      <w:pPr>
        <w:snapToGrid w:val="0"/>
        <w:spacing w:line="360" w:lineRule="auto"/>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报价一览表在开标大会上当众宣读，务必填写清楚，准确无误。表格可扩展。本次报价包含上述</w:t>
      </w:r>
      <w:r>
        <w:rPr>
          <w:rFonts w:hint="eastAsia" w:ascii="Times New Roman" w:hAnsi="Times New Roman" w:cs="Times New Roman"/>
          <w:snapToGrid w:val="0"/>
          <w:color w:val="auto"/>
          <w:kern w:val="0"/>
          <w:szCs w:val="24"/>
          <w:highlight w:val="none"/>
          <w:lang w:val="en-US" w:eastAsia="zh-CN"/>
        </w:rPr>
        <w:t>免费</w:t>
      </w:r>
      <w:r>
        <w:rPr>
          <w:rFonts w:ascii="Times New Roman" w:hAnsi="Times New Roman" w:cs="Times New Roman"/>
          <w:snapToGrid w:val="0"/>
          <w:color w:val="auto"/>
          <w:kern w:val="0"/>
          <w:szCs w:val="24"/>
          <w:highlight w:val="none"/>
        </w:rPr>
        <w:t>维护期，比选人不再另行支付该维护期内维护费用。</w:t>
      </w:r>
    </w:p>
    <w:p w14:paraId="5C3C05CE">
      <w:pPr>
        <w:rPr>
          <w:rStyle w:val="29"/>
          <w:rFonts w:ascii="Times New Roman" w:hAnsi="Times New Roman"/>
          <w:b/>
          <w:color w:val="auto"/>
          <w:highlight w:val="none"/>
        </w:rPr>
      </w:pPr>
      <w:r>
        <w:rPr>
          <w:rStyle w:val="29"/>
          <w:rFonts w:hint="eastAsia" w:ascii="Times New Roman" w:hAnsi="Times New Roman"/>
          <w:b/>
          <w:color w:val="auto"/>
          <w:highlight w:val="none"/>
        </w:rPr>
        <w:br w:type="page"/>
      </w:r>
    </w:p>
    <w:p w14:paraId="760BC3F4">
      <w:pPr>
        <w:pStyle w:val="31"/>
        <w:rPr>
          <w:rFonts w:ascii="Times New Roman" w:hAnsi="Times New Roman"/>
          <w:color w:val="auto"/>
          <w:highlight w:val="none"/>
        </w:rPr>
      </w:pPr>
      <w:bookmarkStart w:id="790" w:name="_Toc17927"/>
      <w:bookmarkStart w:id="791" w:name="_Toc17330"/>
      <w:bookmarkStart w:id="792" w:name="_Toc10013"/>
      <w:r>
        <w:rPr>
          <w:rFonts w:ascii="Times New Roman" w:hAnsi="Times New Roman"/>
          <w:color w:val="auto"/>
          <w:highlight w:val="none"/>
        </w:rPr>
        <w:t>三、资格性文件</w:t>
      </w:r>
      <w:bookmarkEnd w:id="790"/>
      <w:bookmarkEnd w:id="791"/>
      <w:bookmarkEnd w:id="792"/>
    </w:p>
    <w:p w14:paraId="0802A002">
      <w:pPr>
        <w:pStyle w:val="33"/>
        <w:rPr>
          <w:rFonts w:ascii="Times New Roman" w:hAnsi="Times New Roman"/>
          <w:color w:val="auto"/>
          <w:highlight w:val="none"/>
        </w:rPr>
      </w:pPr>
      <w:bookmarkStart w:id="793" w:name="_Toc360"/>
      <w:bookmarkStart w:id="794" w:name="_Toc2126"/>
      <w:bookmarkStart w:id="795" w:name="_Toc27305"/>
      <w:r>
        <w:rPr>
          <w:rFonts w:ascii="Times New Roman" w:hAnsi="Times New Roman"/>
          <w:color w:val="auto"/>
          <w:highlight w:val="none"/>
        </w:rPr>
        <w:t>（一）参选人基本情况介绍，资质证明等</w:t>
      </w:r>
      <w:bookmarkEnd w:id="793"/>
      <w:bookmarkEnd w:id="794"/>
      <w:bookmarkEnd w:id="795"/>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BD1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390A1A5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0BF63D2B">
            <w:pPr>
              <w:spacing w:line="360" w:lineRule="auto"/>
              <w:ind w:firstLine="0" w:firstLineChars="0"/>
              <w:jc w:val="center"/>
              <w:rPr>
                <w:rFonts w:ascii="Times New Roman" w:hAnsi="Times New Roman"/>
                <w:color w:val="auto"/>
                <w:sz w:val="22"/>
                <w:szCs w:val="24"/>
                <w:highlight w:val="none"/>
              </w:rPr>
            </w:pPr>
          </w:p>
        </w:tc>
      </w:tr>
      <w:tr w14:paraId="6341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980" w:type="dxa"/>
            <w:vAlign w:val="center"/>
          </w:tcPr>
          <w:p w14:paraId="7B0A5AE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19A71C2F">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59B3DB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2E5E6B3F">
            <w:pPr>
              <w:spacing w:line="360" w:lineRule="auto"/>
              <w:ind w:firstLine="0" w:firstLineChars="0"/>
              <w:jc w:val="center"/>
              <w:rPr>
                <w:rFonts w:ascii="Times New Roman" w:hAnsi="Times New Roman"/>
                <w:color w:val="auto"/>
                <w:sz w:val="22"/>
                <w:szCs w:val="24"/>
                <w:highlight w:val="none"/>
              </w:rPr>
            </w:pPr>
          </w:p>
        </w:tc>
      </w:tr>
      <w:tr w14:paraId="122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980" w:type="dxa"/>
            <w:vMerge w:val="restart"/>
            <w:vAlign w:val="center"/>
          </w:tcPr>
          <w:p w14:paraId="604E182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538CB3C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E594CBC">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400605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728FD07C">
            <w:pPr>
              <w:spacing w:line="360" w:lineRule="auto"/>
              <w:ind w:firstLine="0" w:firstLineChars="0"/>
              <w:jc w:val="center"/>
              <w:rPr>
                <w:rFonts w:ascii="Times New Roman" w:hAnsi="Times New Roman"/>
                <w:color w:val="auto"/>
                <w:sz w:val="22"/>
                <w:szCs w:val="24"/>
                <w:highlight w:val="none"/>
              </w:rPr>
            </w:pPr>
          </w:p>
        </w:tc>
      </w:tr>
      <w:tr w14:paraId="67D1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980" w:type="dxa"/>
            <w:vMerge w:val="continue"/>
            <w:vAlign w:val="center"/>
          </w:tcPr>
          <w:p w14:paraId="756A3868">
            <w:pPr>
              <w:rPr>
                <w:color w:val="auto"/>
                <w:highlight w:val="none"/>
              </w:rPr>
            </w:pPr>
          </w:p>
        </w:tc>
        <w:tc>
          <w:tcPr>
            <w:tcW w:w="1077" w:type="dxa"/>
            <w:tcBorders>
              <w:top w:val="single" w:color="auto" w:sz="4" w:space="0"/>
              <w:left w:val="single" w:color="auto" w:sz="4" w:space="0"/>
              <w:right w:val="single" w:color="auto" w:sz="4" w:space="0"/>
            </w:tcBorders>
            <w:vAlign w:val="center"/>
          </w:tcPr>
          <w:p w14:paraId="65F9907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6CC661A7">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1C2FD11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1B076F81">
            <w:pPr>
              <w:spacing w:line="360" w:lineRule="auto"/>
              <w:ind w:firstLine="0" w:firstLineChars="0"/>
              <w:jc w:val="center"/>
              <w:rPr>
                <w:rFonts w:ascii="Times New Roman" w:hAnsi="Times New Roman"/>
                <w:color w:val="auto"/>
                <w:sz w:val="22"/>
                <w:szCs w:val="24"/>
                <w:highlight w:val="none"/>
              </w:rPr>
            </w:pPr>
          </w:p>
        </w:tc>
      </w:tr>
      <w:tr w14:paraId="146B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370959E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31F7C22D">
            <w:pPr>
              <w:spacing w:line="360" w:lineRule="auto"/>
              <w:ind w:firstLine="0" w:firstLineChars="0"/>
              <w:jc w:val="center"/>
              <w:rPr>
                <w:rFonts w:ascii="Times New Roman" w:hAnsi="Times New Roman"/>
                <w:color w:val="auto"/>
                <w:sz w:val="22"/>
                <w:szCs w:val="24"/>
                <w:highlight w:val="none"/>
              </w:rPr>
            </w:pPr>
          </w:p>
        </w:tc>
      </w:tr>
      <w:tr w14:paraId="643A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9B4714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2E43817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37931F2F">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3EBAE9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3FE8657">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3833CC5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09B3BAC3">
            <w:pPr>
              <w:spacing w:line="360" w:lineRule="auto"/>
              <w:ind w:firstLine="0" w:firstLineChars="0"/>
              <w:jc w:val="center"/>
              <w:rPr>
                <w:rFonts w:ascii="Times New Roman" w:hAnsi="Times New Roman"/>
                <w:color w:val="auto"/>
                <w:sz w:val="22"/>
                <w:szCs w:val="24"/>
                <w:highlight w:val="none"/>
              </w:rPr>
            </w:pPr>
          </w:p>
        </w:tc>
      </w:tr>
      <w:tr w14:paraId="190B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D7417A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2FAD5A6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582E11A5">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7FC5CC4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44F2073">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61B549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41C6EB80">
            <w:pPr>
              <w:spacing w:line="360" w:lineRule="auto"/>
              <w:ind w:firstLine="0" w:firstLineChars="0"/>
              <w:jc w:val="center"/>
              <w:rPr>
                <w:rFonts w:ascii="Times New Roman" w:hAnsi="Times New Roman"/>
                <w:color w:val="auto"/>
                <w:sz w:val="22"/>
                <w:szCs w:val="24"/>
                <w:highlight w:val="none"/>
              </w:rPr>
            </w:pPr>
          </w:p>
        </w:tc>
      </w:tr>
      <w:tr w14:paraId="7B73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2121AC0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7F84BBC3">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67D52D5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71A0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C4AC41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5EA63C9">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14E16D0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253CA11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51F74DC2">
            <w:pPr>
              <w:spacing w:line="360" w:lineRule="auto"/>
              <w:ind w:firstLine="0" w:firstLineChars="0"/>
              <w:jc w:val="center"/>
              <w:rPr>
                <w:rFonts w:ascii="Times New Roman" w:hAnsi="Times New Roman"/>
                <w:color w:val="auto"/>
                <w:sz w:val="22"/>
                <w:szCs w:val="24"/>
                <w:highlight w:val="none"/>
              </w:rPr>
            </w:pPr>
          </w:p>
        </w:tc>
      </w:tr>
      <w:tr w14:paraId="6B78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63AD70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96FEFE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833CE8C">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737601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17B9A1FE">
            <w:pPr>
              <w:spacing w:line="360" w:lineRule="auto"/>
              <w:ind w:firstLine="0" w:firstLineChars="0"/>
              <w:jc w:val="center"/>
              <w:rPr>
                <w:rFonts w:ascii="Times New Roman" w:hAnsi="Times New Roman"/>
                <w:color w:val="auto"/>
                <w:sz w:val="22"/>
                <w:szCs w:val="24"/>
                <w:highlight w:val="none"/>
              </w:rPr>
            </w:pPr>
          </w:p>
        </w:tc>
      </w:tr>
      <w:tr w14:paraId="1186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1B69423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71A1F1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021E750">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9068D7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43936C92">
            <w:pPr>
              <w:spacing w:line="360" w:lineRule="auto"/>
              <w:ind w:firstLine="0" w:firstLineChars="0"/>
              <w:jc w:val="center"/>
              <w:rPr>
                <w:rFonts w:ascii="Times New Roman" w:hAnsi="Times New Roman"/>
                <w:color w:val="auto"/>
                <w:sz w:val="22"/>
                <w:szCs w:val="24"/>
                <w:highlight w:val="none"/>
              </w:rPr>
            </w:pPr>
          </w:p>
        </w:tc>
      </w:tr>
      <w:tr w14:paraId="428D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D227F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8E952A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0920D3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D33E62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7DAE5B1F">
            <w:pPr>
              <w:spacing w:line="360" w:lineRule="auto"/>
              <w:ind w:firstLine="0" w:firstLineChars="0"/>
              <w:jc w:val="center"/>
              <w:rPr>
                <w:rFonts w:ascii="Times New Roman" w:hAnsi="Times New Roman"/>
                <w:color w:val="auto"/>
                <w:sz w:val="22"/>
                <w:szCs w:val="24"/>
                <w:highlight w:val="none"/>
              </w:rPr>
            </w:pPr>
          </w:p>
        </w:tc>
      </w:tr>
      <w:tr w14:paraId="5F8E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F9878D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5B1918EE">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801DCAC">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E96088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27BBA175">
            <w:pPr>
              <w:spacing w:line="360" w:lineRule="auto"/>
              <w:ind w:firstLine="0" w:firstLineChars="0"/>
              <w:jc w:val="center"/>
              <w:rPr>
                <w:rFonts w:ascii="Times New Roman" w:hAnsi="Times New Roman"/>
                <w:color w:val="auto"/>
                <w:sz w:val="22"/>
                <w:szCs w:val="24"/>
                <w:highlight w:val="none"/>
              </w:rPr>
            </w:pPr>
          </w:p>
        </w:tc>
      </w:tr>
      <w:tr w14:paraId="714E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E3FF0C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411B8AB0">
            <w:pPr>
              <w:spacing w:line="360" w:lineRule="auto"/>
              <w:ind w:firstLine="0" w:firstLineChars="0"/>
              <w:jc w:val="center"/>
              <w:rPr>
                <w:rFonts w:ascii="Times New Roman" w:hAnsi="Times New Roman"/>
                <w:color w:val="auto"/>
                <w:sz w:val="22"/>
                <w:szCs w:val="24"/>
                <w:highlight w:val="none"/>
              </w:rPr>
            </w:pPr>
          </w:p>
        </w:tc>
      </w:tr>
      <w:tr w14:paraId="67B0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0ABEE1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667E8EDA">
            <w:pPr>
              <w:spacing w:line="360" w:lineRule="auto"/>
              <w:ind w:firstLine="0" w:firstLineChars="0"/>
              <w:jc w:val="center"/>
              <w:rPr>
                <w:rFonts w:ascii="Times New Roman" w:hAnsi="Times New Roman"/>
                <w:color w:val="auto"/>
                <w:sz w:val="22"/>
                <w:szCs w:val="24"/>
                <w:highlight w:val="none"/>
              </w:rPr>
            </w:pPr>
          </w:p>
        </w:tc>
      </w:tr>
    </w:tbl>
    <w:p w14:paraId="097D2218">
      <w:pPr>
        <w:widowControl/>
        <w:spacing w:line="360" w:lineRule="auto"/>
        <w:jc w:val="left"/>
        <w:rPr>
          <w:rFonts w:ascii="Times New Roman" w:hAnsi="Times New Roman"/>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color w:val="auto"/>
          <w:sz w:val="20"/>
          <w:szCs w:val="21"/>
          <w:highlight w:val="none"/>
        </w:rPr>
        <w:t>注：附营业执照（副本）、资质证明复印件等。</w:t>
      </w:r>
    </w:p>
    <w:p w14:paraId="434A954A">
      <w:pPr>
        <w:pStyle w:val="33"/>
        <w:rPr>
          <w:rFonts w:ascii="Times New Roman" w:hAnsi="Times New Roman"/>
          <w:color w:val="auto"/>
          <w:highlight w:val="none"/>
        </w:rPr>
      </w:pPr>
      <w:bookmarkStart w:id="796" w:name="_Toc26748"/>
      <w:bookmarkStart w:id="797" w:name="_Toc478053903"/>
      <w:bookmarkStart w:id="798" w:name="_Toc819"/>
      <w:bookmarkStart w:id="799" w:name="_Toc378234770"/>
      <w:bookmarkStart w:id="800" w:name="_Toc2353"/>
      <w:bookmarkStart w:id="801" w:name="_Toc472780356"/>
      <w:bookmarkStart w:id="802" w:name="_Toc378234584"/>
      <w:bookmarkStart w:id="803" w:name="_Toc478054435"/>
      <w:r>
        <w:rPr>
          <w:rFonts w:ascii="Times New Roman" w:hAnsi="Times New Roman"/>
          <w:color w:val="auto"/>
          <w:highlight w:val="none"/>
        </w:rPr>
        <w:t>（二）法定代表人身份证明及授权委托书</w:t>
      </w:r>
      <w:bookmarkEnd w:id="796"/>
      <w:bookmarkEnd w:id="797"/>
      <w:bookmarkEnd w:id="798"/>
      <w:bookmarkEnd w:id="799"/>
      <w:bookmarkEnd w:id="800"/>
      <w:bookmarkEnd w:id="801"/>
      <w:bookmarkEnd w:id="802"/>
      <w:bookmarkEnd w:id="803"/>
    </w:p>
    <w:p w14:paraId="7D96CB74">
      <w:pPr>
        <w:pStyle w:val="34"/>
        <w:rPr>
          <w:rFonts w:ascii="Times New Roman" w:hAnsi="Times New Roman"/>
          <w:color w:val="auto"/>
          <w:highlight w:val="none"/>
        </w:rPr>
      </w:pPr>
      <w:r>
        <w:rPr>
          <w:rFonts w:ascii="Times New Roman" w:hAnsi="Times New Roman"/>
          <w:color w:val="auto"/>
          <w:highlight w:val="none"/>
        </w:rPr>
        <w:t>法定代表人身份证明书</w:t>
      </w:r>
    </w:p>
    <w:p w14:paraId="466F7747">
      <w:pPr>
        <w:tabs>
          <w:tab w:val="left" w:pos="6300"/>
        </w:tabs>
        <w:snapToGrid w:val="0"/>
        <w:spacing w:line="360" w:lineRule="auto"/>
        <w:rPr>
          <w:rFonts w:ascii="Times New Roman" w:hAnsi="Times New Roman"/>
          <w:snapToGrid w:val="0"/>
          <w:color w:val="auto"/>
          <w:kern w:val="0"/>
          <w:highlight w:val="none"/>
        </w:rPr>
      </w:pPr>
    </w:p>
    <w:p w14:paraId="0FCB967A">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2B0B21D3">
      <w:pPr>
        <w:tabs>
          <w:tab w:val="left" w:pos="6300"/>
        </w:tabs>
        <w:snapToGrid w:val="0"/>
        <w:spacing w:line="360" w:lineRule="auto"/>
        <w:rPr>
          <w:rFonts w:ascii="Times New Roman" w:hAnsi="Times New Roman"/>
          <w:snapToGrid w:val="0"/>
          <w:color w:val="auto"/>
          <w:kern w:val="0"/>
          <w:highlight w:val="none"/>
        </w:rPr>
      </w:pPr>
    </w:p>
    <w:p w14:paraId="72CD97D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066956B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0FA6A6DF">
      <w:pPr>
        <w:tabs>
          <w:tab w:val="left" w:pos="6300"/>
        </w:tabs>
        <w:snapToGrid w:val="0"/>
        <w:spacing w:line="360" w:lineRule="auto"/>
        <w:rPr>
          <w:rFonts w:ascii="Times New Roman" w:hAnsi="Times New Roman"/>
          <w:snapToGrid w:val="0"/>
          <w:color w:val="auto"/>
          <w:kern w:val="0"/>
          <w:highlight w:val="none"/>
        </w:rPr>
      </w:pPr>
    </w:p>
    <w:p w14:paraId="672C62E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57F6D6EB">
      <w:pPr>
        <w:tabs>
          <w:tab w:val="left" w:pos="6300"/>
        </w:tabs>
        <w:snapToGrid w:val="0"/>
        <w:spacing w:line="360" w:lineRule="auto"/>
        <w:rPr>
          <w:rFonts w:ascii="Times New Roman" w:hAnsi="Times New Roman"/>
          <w:snapToGrid w:val="0"/>
          <w:color w:val="auto"/>
          <w:kern w:val="0"/>
          <w:highlight w:val="none"/>
        </w:rPr>
      </w:pPr>
    </w:p>
    <w:p w14:paraId="65652076">
      <w:pPr>
        <w:tabs>
          <w:tab w:val="left" w:pos="6300"/>
        </w:tabs>
        <w:snapToGrid w:val="0"/>
        <w:spacing w:line="360" w:lineRule="auto"/>
        <w:rPr>
          <w:rFonts w:ascii="Times New Roman" w:hAnsi="Times New Roman"/>
          <w:snapToGrid w:val="0"/>
          <w:color w:val="auto"/>
          <w:kern w:val="0"/>
          <w:highlight w:val="none"/>
        </w:rPr>
      </w:pPr>
    </w:p>
    <w:p w14:paraId="4F8042FD">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62D434F0">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2BF0A3D">
      <w:pPr>
        <w:tabs>
          <w:tab w:val="left" w:pos="6300"/>
        </w:tabs>
        <w:snapToGrid w:val="0"/>
        <w:spacing w:line="360" w:lineRule="auto"/>
        <w:rPr>
          <w:rFonts w:ascii="Times New Roman" w:hAnsi="Times New Roman"/>
          <w:snapToGrid w:val="0"/>
          <w:color w:val="auto"/>
          <w:kern w:val="0"/>
          <w:highlight w:val="none"/>
        </w:rPr>
      </w:pPr>
    </w:p>
    <w:p w14:paraId="5C88900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495D6CC5">
      <w:pPr>
        <w:tabs>
          <w:tab w:val="left" w:pos="6300"/>
        </w:tabs>
        <w:snapToGrid w:val="0"/>
        <w:spacing w:line="360" w:lineRule="auto"/>
        <w:rPr>
          <w:rFonts w:ascii="Times New Roman" w:hAnsi="Times New Roman"/>
          <w:snapToGrid w:val="0"/>
          <w:color w:val="auto"/>
          <w:kern w:val="0"/>
          <w:highlight w:val="none"/>
        </w:rPr>
      </w:pPr>
    </w:p>
    <w:p w14:paraId="7BF0AE4A">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59974784">
      <w:pPr>
        <w:tabs>
          <w:tab w:val="left" w:pos="6300"/>
        </w:tabs>
        <w:snapToGrid w:val="0"/>
        <w:spacing w:line="360" w:lineRule="auto"/>
        <w:rPr>
          <w:rFonts w:ascii="Times New Roman" w:hAnsi="Times New Roman"/>
          <w:snapToGrid w:val="0"/>
          <w:color w:val="auto"/>
          <w:kern w:val="0"/>
          <w:highlight w:val="none"/>
        </w:rPr>
      </w:pPr>
    </w:p>
    <w:p w14:paraId="415D78B7">
      <w:pPr>
        <w:tabs>
          <w:tab w:val="left" w:pos="6300"/>
        </w:tabs>
        <w:snapToGrid w:val="0"/>
        <w:spacing w:line="360" w:lineRule="auto"/>
        <w:rPr>
          <w:rFonts w:ascii="Times New Roman" w:hAnsi="Times New Roman"/>
          <w:snapToGrid w:val="0"/>
          <w:color w:val="auto"/>
          <w:kern w:val="0"/>
          <w:highlight w:val="none"/>
        </w:rPr>
      </w:pPr>
    </w:p>
    <w:p w14:paraId="72F0146B">
      <w:pPr>
        <w:tabs>
          <w:tab w:val="left" w:pos="6300"/>
        </w:tabs>
        <w:snapToGrid w:val="0"/>
        <w:spacing w:line="360" w:lineRule="auto"/>
        <w:rPr>
          <w:rFonts w:ascii="Times New Roman" w:hAnsi="Times New Roman"/>
          <w:snapToGrid w:val="0"/>
          <w:color w:val="auto"/>
          <w:kern w:val="0"/>
          <w:highlight w:val="none"/>
        </w:rPr>
      </w:pPr>
    </w:p>
    <w:p w14:paraId="573B7AC5">
      <w:pPr>
        <w:jc w:val="center"/>
        <w:rPr>
          <w:rStyle w:val="35"/>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5"/>
          <w:rFonts w:ascii="Times New Roman" w:hAnsi="Times New Roman"/>
          <w:color w:val="auto"/>
          <w:highlight w:val="none"/>
        </w:rPr>
        <w:t>法定代表人授权委托书</w:t>
      </w:r>
    </w:p>
    <w:p w14:paraId="0DBB7B01">
      <w:pPr>
        <w:tabs>
          <w:tab w:val="left" w:pos="6300"/>
        </w:tabs>
        <w:snapToGrid w:val="0"/>
        <w:spacing w:line="360" w:lineRule="auto"/>
        <w:rPr>
          <w:rFonts w:ascii="Times New Roman" w:hAnsi="Times New Roman"/>
          <w:snapToGrid w:val="0"/>
          <w:color w:val="auto"/>
          <w:kern w:val="0"/>
          <w:highlight w:val="none"/>
        </w:rPr>
      </w:pPr>
    </w:p>
    <w:p w14:paraId="62E2EED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32A23946">
      <w:pPr>
        <w:tabs>
          <w:tab w:val="left" w:pos="6300"/>
        </w:tabs>
        <w:snapToGrid w:val="0"/>
        <w:spacing w:line="360" w:lineRule="auto"/>
        <w:rPr>
          <w:rFonts w:ascii="Times New Roman" w:hAnsi="Times New Roman"/>
          <w:snapToGrid w:val="0"/>
          <w:color w:val="auto"/>
          <w:kern w:val="0"/>
          <w:highlight w:val="none"/>
        </w:rPr>
      </w:pPr>
    </w:p>
    <w:p w14:paraId="356067B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749988C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6904C5D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63BBE59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605B3627">
      <w:pPr>
        <w:tabs>
          <w:tab w:val="left" w:pos="6300"/>
        </w:tabs>
        <w:snapToGrid w:val="0"/>
        <w:spacing w:line="360" w:lineRule="auto"/>
        <w:rPr>
          <w:rFonts w:ascii="Times New Roman" w:hAnsi="Times New Roman"/>
          <w:snapToGrid w:val="0"/>
          <w:color w:val="auto"/>
          <w:kern w:val="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2B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1A1E092">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331F097A">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647E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DB8CFA8">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581665F8">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7EE6197F">
      <w:pPr>
        <w:tabs>
          <w:tab w:val="left" w:pos="6300"/>
        </w:tabs>
        <w:snapToGrid w:val="0"/>
        <w:spacing w:line="360" w:lineRule="auto"/>
        <w:rPr>
          <w:rFonts w:ascii="Times New Roman" w:hAnsi="Times New Roman"/>
          <w:snapToGrid w:val="0"/>
          <w:color w:val="auto"/>
          <w:kern w:val="0"/>
          <w:highlight w:val="none"/>
        </w:rPr>
      </w:pPr>
    </w:p>
    <w:p w14:paraId="2FCE270D">
      <w:pPr>
        <w:tabs>
          <w:tab w:val="left" w:pos="6300"/>
        </w:tabs>
        <w:snapToGrid w:val="0"/>
        <w:spacing w:line="360" w:lineRule="auto"/>
        <w:rPr>
          <w:rFonts w:ascii="Times New Roman" w:hAnsi="Times New Roman"/>
          <w:snapToGrid w:val="0"/>
          <w:color w:val="auto"/>
          <w:kern w:val="0"/>
          <w:szCs w:val="28"/>
          <w:highlight w:val="none"/>
        </w:rPr>
      </w:pPr>
    </w:p>
    <w:p w14:paraId="001A2767">
      <w:pPr>
        <w:tabs>
          <w:tab w:val="left" w:pos="6300"/>
        </w:tabs>
        <w:snapToGrid w:val="0"/>
        <w:spacing w:line="360" w:lineRule="auto"/>
        <w:rPr>
          <w:rFonts w:ascii="Times New Roman" w:hAnsi="Times New Roman"/>
          <w:snapToGrid w:val="0"/>
          <w:color w:val="auto"/>
          <w:kern w:val="0"/>
          <w:highlight w:val="none"/>
        </w:rPr>
      </w:pPr>
    </w:p>
    <w:p w14:paraId="341AC58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4B250C10">
      <w:pPr>
        <w:tabs>
          <w:tab w:val="left" w:pos="6300"/>
        </w:tabs>
        <w:snapToGrid w:val="0"/>
        <w:spacing w:line="360" w:lineRule="auto"/>
        <w:rPr>
          <w:rFonts w:ascii="Times New Roman" w:hAnsi="Times New Roman"/>
          <w:snapToGrid w:val="0"/>
          <w:color w:val="auto"/>
          <w:kern w:val="0"/>
          <w:highlight w:val="none"/>
        </w:rPr>
      </w:pPr>
    </w:p>
    <w:p w14:paraId="1AAFBAF5">
      <w:pPr>
        <w:tabs>
          <w:tab w:val="left" w:pos="6300"/>
        </w:tabs>
        <w:snapToGrid w:val="0"/>
        <w:spacing w:line="360" w:lineRule="auto"/>
        <w:rPr>
          <w:rFonts w:ascii="Times New Roman" w:hAnsi="Times New Roman"/>
          <w:snapToGrid w:val="0"/>
          <w:color w:val="auto"/>
          <w:kern w:val="0"/>
          <w:highlight w:val="none"/>
        </w:rPr>
      </w:pPr>
    </w:p>
    <w:p w14:paraId="6C1DB782">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2821848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1A44EC51">
      <w:pPr>
        <w:tabs>
          <w:tab w:val="left" w:pos="6300"/>
        </w:tabs>
        <w:snapToGrid w:val="0"/>
        <w:spacing w:line="360" w:lineRule="auto"/>
        <w:rPr>
          <w:rFonts w:ascii="Times New Roman" w:hAnsi="Times New Roman"/>
          <w:snapToGrid w:val="0"/>
          <w:color w:val="auto"/>
          <w:kern w:val="0"/>
          <w:highlight w:val="none"/>
        </w:rPr>
      </w:pPr>
    </w:p>
    <w:p w14:paraId="47026C1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7E108CF0">
      <w:pPr>
        <w:rPr>
          <w:rFonts w:ascii="Times New Roman" w:hAnsi="Times New Roman"/>
          <w:color w:val="auto"/>
          <w:highlight w:val="none"/>
        </w:rPr>
      </w:pPr>
    </w:p>
    <w:p w14:paraId="0F79DEB7">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2AE634B0">
      <w:pPr>
        <w:pStyle w:val="33"/>
        <w:rPr>
          <w:rFonts w:ascii="Times New Roman" w:hAnsi="Times New Roman"/>
          <w:color w:val="auto"/>
          <w:highlight w:val="none"/>
        </w:rPr>
      </w:pPr>
      <w:bookmarkStart w:id="804" w:name="_Toc20628"/>
      <w:bookmarkStart w:id="805" w:name="_Toc32700"/>
      <w:bookmarkStart w:id="806" w:name="_Toc6670"/>
      <w:r>
        <w:rPr>
          <w:rFonts w:hint="eastAsia" w:ascii="Times New Roman" w:hAnsi="Times New Roman"/>
          <w:color w:val="auto"/>
          <w:highlight w:val="none"/>
        </w:rPr>
        <w:t>（三）书面声明</w:t>
      </w:r>
      <w:bookmarkEnd w:id="804"/>
      <w:bookmarkEnd w:id="805"/>
      <w:bookmarkEnd w:id="806"/>
    </w:p>
    <w:p w14:paraId="50251A5D">
      <w:pPr>
        <w:tabs>
          <w:tab w:val="left" w:pos="6300"/>
        </w:tabs>
        <w:snapToGrid w:val="0"/>
        <w:spacing w:line="360" w:lineRule="auto"/>
        <w:rPr>
          <w:rFonts w:ascii="Times New Roman" w:hAnsi="Times New Roman"/>
          <w:color w:val="auto"/>
          <w:highlight w:val="none"/>
        </w:rPr>
      </w:pPr>
    </w:p>
    <w:p w14:paraId="0550AFEA">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234747B2">
      <w:pPr>
        <w:tabs>
          <w:tab w:val="left" w:pos="6300"/>
        </w:tabs>
        <w:snapToGrid w:val="0"/>
        <w:spacing w:line="360" w:lineRule="auto"/>
        <w:rPr>
          <w:rFonts w:ascii="Times New Roman" w:hAnsi="Times New Roman"/>
          <w:color w:val="auto"/>
          <w:highlight w:val="none"/>
        </w:rPr>
      </w:pPr>
    </w:p>
    <w:p w14:paraId="4DEECF9B">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0C531A73">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w:t>
      </w:r>
      <w:r>
        <w:rPr>
          <w:rFonts w:ascii="Times New Roman" w:hAnsi="Times New Roman" w:cs="Times New Roman"/>
          <w:color w:val="auto"/>
          <w:highlight w:val="none"/>
        </w:rPr>
        <w:t>近3年财务状况稳定</w:t>
      </w:r>
      <w:r>
        <w:rPr>
          <w:rFonts w:hint="eastAsia" w:ascii="Times New Roman" w:hAnsi="Times New Roman" w:cs="Times New Roman"/>
          <w:color w:val="auto"/>
          <w:highlight w:val="none"/>
          <w:lang w:eastAsia="zh-CN"/>
        </w:rPr>
        <w:t>，</w:t>
      </w:r>
      <w:r>
        <w:rPr>
          <w:rFonts w:hint="eastAsia" w:ascii="Times New Roman" w:hAnsi="Times New Roman"/>
          <w:color w:val="auto"/>
          <w:highlight w:val="none"/>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1B94A8D4">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6EC4CA69">
      <w:pPr>
        <w:tabs>
          <w:tab w:val="left" w:pos="6300"/>
        </w:tabs>
        <w:snapToGrid w:val="0"/>
        <w:spacing w:line="360" w:lineRule="auto"/>
        <w:rPr>
          <w:rFonts w:ascii="Times New Roman" w:hAnsi="Times New Roman"/>
          <w:color w:val="auto"/>
          <w:highlight w:val="none"/>
        </w:rPr>
      </w:pPr>
    </w:p>
    <w:p w14:paraId="2B1025AA">
      <w:pPr>
        <w:tabs>
          <w:tab w:val="left" w:pos="6300"/>
        </w:tabs>
        <w:snapToGrid w:val="0"/>
        <w:spacing w:line="360" w:lineRule="auto"/>
        <w:rPr>
          <w:rFonts w:ascii="Times New Roman" w:hAnsi="Times New Roman"/>
          <w:color w:val="auto"/>
          <w:highlight w:val="none"/>
        </w:rPr>
      </w:pPr>
    </w:p>
    <w:p w14:paraId="6F5628B0">
      <w:pPr>
        <w:tabs>
          <w:tab w:val="left" w:pos="6300"/>
        </w:tabs>
        <w:snapToGrid w:val="0"/>
        <w:spacing w:line="360" w:lineRule="auto"/>
        <w:rPr>
          <w:rFonts w:ascii="Times New Roman" w:hAnsi="Times New Roman"/>
          <w:color w:val="auto"/>
          <w:highlight w:val="none"/>
        </w:rPr>
      </w:pPr>
    </w:p>
    <w:p w14:paraId="7F3EF0E8">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324F6207">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42F60325">
      <w:pPr>
        <w:spacing w:line="360" w:lineRule="auto"/>
        <w:jc w:val="left"/>
        <w:rPr>
          <w:rFonts w:ascii="Times New Roman" w:hAnsi="Times New Roman" w:cs="等线 Light"/>
          <w:snapToGrid w:val="0"/>
          <w:color w:val="auto"/>
          <w:kern w:val="0"/>
          <w:szCs w:val="24"/>
          <w:highlight w:val="none"/>
        </w:rPr>
      </w:pPr>
    </w:p>
    <w:p w14:paraId="77D41C93">
      <w:pPr>
        <w:spacing w:line="360" w:lineRule="auto"/>
        <w:jc w:val="left"/>
        <w:rPr>
          <w:rFonts w:ascii="Times New Roman" w:hAnsi="Times New Roman" w:cs="等线 Light"/>
          <w:snapToGrid w:val="0"/>
          <w:color w:val="auto"/>
          <w:kern w:val="0"/>
          <w:szCs w:val="24"/>
          <w:highlight w:val="none"/>
        </w:rPr>
      </w:pPr>
    </w:p>
    <w:p w14:paraId="33BFC4A3">
      <w:pPr>
        <w:spacing w:line="360" w:lineRule="auto"/>
        <w:jc w:val="left"/>
        <w:rPr>
          <w:rFonts w:ascii="Times New Roman" w:hAnsi="Times New Roman" w:cs="等线 Light"/>
          <w:snapToGrid w:val="0"/>
          <w:color w:val="auto"/>
          <w:kern w:val="0"/>
          <w:szCs w:val="24"/>
          <w:highlight w:val="none"/>
        </w:rPr>
      </w:pPr>
    </w:p>
    <w:p w14:paraId="25EC82E5">
      <w:pPr>
        <w:spacing w:line="360" w:lineRule="auto"/>
        <w:jc w:val="left"/>
        <w:rPr>
          <w:rFonts w:ascii="Times New Roman" w:hAnsi="Times New Roman" w:cs="等线 Light"/>
          <w:snapToGrid w:val="0"/>
          <w:color w:val="auto"/>
          <w:kern w:val="0"/>
          <w:szCs w:val="24"/>
          <w:highlight w:val="none"/>
        </w:rPr>
      </w:pPr>
    </w:p>
    <w:p w14:paraId="42A82672">
      <w:pPr>
        <w:spacing w:line="360" w:lineRule="auto"/>
        <w:jc w:val="left"/>
        <w:rPr>
          <w:rFonts w:ascii="Times New Roman" w:hAnsi="Times New Roman" w:cs="等线 Light"/>
          <w:snapToGrid w:val="0"/>
          <w:color w:val="auto"/>
          <w:kern w:val="0"/>
          <w:szCs w:val="24"/>
          <w:highlight w:val="none"/>
        </w:rPr>
      </w:pPr>
    </w:p>
    <w:p w14:paraId="46E0F23D">
      <w:pPr>
        <w:spacing w:line="360" w:lineRule="auto"/>
        <w:jc w:val="left"/>
        <w:rPr>
          <w:rFonts w:ascii="Times New Roman" w:hAnsi="Times New Roman" w:cs="等线 Light"/>
          <w:snapToGrid w:val="0"/>
          <w:color w:val="auto"/>
          <w:kern w:val="0"/>
          <w:szCs w:val="24"/>
          <w:highlight w:val="none"/>
        </w:rPr>
      </w:pPr>
    </w:p>
    <w:p w14:paraId="0E1D57A7">
      <w:pPr>
        <w:spacing w:line="360" w:lineRule="auto"/>
        <w:jc w:val="left"/>
        <w:rPr>
          <w:rFonts w:ascii="Times New Roman" w:hAnsi="Times New Roman" w:cs="等线 Light"/>
          <w:snapToGrid w:val="0"/>
          <w:color w:val="auto"/>
          <w:kern w:val="0"/>
          <w:szCs w:val="24"/>
          <w:highlight w:val="none"/>
        </w:rPr>
      </w:pPr>
    </w:p>
    <w:p w14:paraId="78C91487">
      <w:pPr>
        <w:rPr>
          <w:rFonts w:ascii="Times New Roman" w:hAnsi="Times New Roman"/>
          <w:b/>
          <w:bCs/>
          <w:color w:val="auto"/>
          <w:highlight w:val="none"/>
        </w:rPr>
      </w:pPr>
      <w:r>
        <w:rPr>
          <w:rFonts w:hint="eastAsia" w:ascii="Times New Roman" w:hAnsi="Times New Roman"/>
          <w:color w:val="auto"/>
          <w:kern w:val="0"/>
          <w:highlight w:val="none"/>
        </w:rPr>
        <w:br w:type="page"/>
      </w:r>
    </w:p>
    <w:p w14:paraId="53C7A0F6">
      <w:pPr>
        <w:pStyle w:val="33"/>
        <w:rPr>
          <w:rFonts w:ascii="Times New Roman" w:hAnsi="Times New Roman"/>
          <w:color w:val="auto"/>
          <w:highlight w:val="none"/>
        </w:rPr>
      </w:pPr>
      <w:bookmarkStart w:id="807" w:name="_Toc30901"/>
      <w:bookmarkStart w:id="808" w:name="_Toc11348"/>
      <w:bookmarkStart w:id="809" w:name="_Toc14050"/>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bookmarkEnd w:id="807"/>
      <w:bookmarkEnd w:id="808"/>
      <w:bookmarkEnd w:id="809"/>
    </w:p>
    <w:p w14:paraId="4ECA37F9">
      <w:pPr>
        <w:rPr>
          <w:rFonts w:ascii="Times New Roman" w:hAnsi="Times New Roman"/>
          <w:color w:val="auto"/>
          <w:highlight w:val="none"/>
        </w:rPr>
      </w:pPr>
    </w:p>
    <w:p w14:paraId="1212D7F2">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06AE0833">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23C6817A">
      <w:pPr>
        <w:bidi w:val="0"/>
        <w:rPr>
          <w:color w:val="auto"/>
          <w:highlight w:val="none"/>
        </w:rPr>
      </w:pPr>
    </w:p>
    <w:p w14:paraId="5C8A9C92">
      <w:pPr>
        <w:rPr>
          <w:rFonts w:ascii="Times New Roman" w:hAnsi="Times New Roman"/>
          <w:color w:val="auto"/>
          <w:highlight w:val="none"/>
        </w:rPr>
      </w:pPr>
    </w:p>
    <w:p w14:paraId="39D99E54">
      <w:pPr>
        <w:rPr>
          <w:rFonts w:ascii="Times New Roman" w:hAnsi="Times New Roman"/>
          <w:color w:val="auto"/>
          <w:highlight w:val="none"/>
        </w:rPr>
      </w:pPr>
    </w:p>
    <w:p w14:paraId="406F4F43">
      <w:pPr>
        <w:rPr>
          <w:rFonts w:ascii="Times New Roman" w:hAnsi="Times New Roman"/>
          <w:color w:val="auto"/>
          <w:highlight w:val="none"/>
        </w:rPr>
      </w:pPr>
    </w:p>
    <w:p w14:paraId="3540ABA6">
      <w:pPr>
        <w:rPr>
          <w:rFonts w:ascii="Times New Roman" w:hAnsi="Times New Roman"/>
          <w:color w:val="auto"/>
          <w:highlight w:val="none"/>
        </w:rPr>
      </w:pPr>
    </w:p>
    <w:p w14:paraId="3B6AB01D">
      <w:pPr>
        <w:rPr>
          <w:rFonts w:ascii="Times New Roman" w:hAnsi="Times New Roman"/>
          <w:color w:val="auto"/>
          <w:highlight w:val="none"/>
        </w:rPr>
      </w:pPr>
      <w:r>
        <w:rPr>
          <w:rFonts w:hint="eastAsia" w:ascii="Times New Roman" w:hAnsi="Times New Roman"/>
          <w:color w:val="auto"/>
          <w:highlight w:val="none"/>
        </w:rPr>
        <w:br w:type="page"/>
      </w:r>
    </w:p>
    <w:p w14:paraId="44E733D1">
      <w:pPr>
        <w:pStyle w:val="33"/>
        <w:rPr>
          <w:rFonts w:ascii="Times New Roman" w:hAnsi="Times New Roman"/>
          <w:color w:val="auto"/>
          <w:highlight w:val="none"/>
        </w:rPr>
      </w:pPr>
      <w:bookmarkStart w:id="810" w:name="_Toc19296"/>
      <w:bookmarkStart w:id="811" w:name="_Toc2080"/>
      <w:bookmarkStart w:id="812" w:name="_Toc12322"/>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项目实施案例证明文件</w:t>
      </w:r>
      <w:bookmarkEnd w:id="810"/>
      <w:bookmarkEnd w:id="811"/>
      <w:bookmarkEnd w:id="812"/>
    </w:p>
    <w:p w14:paraId="13F85920">
      <w:pPr>
        <w:tabs>
          <w:tab w:val="left" w:pos="6300"/>
        </w:tabs>
        <w:snapToGrid w:val="0"/>
        <w:spacing w:line="360" w:lineRule="auto"/>
        <w:jc w:val="center"/>
        <w:rPr>
          <w:rFonts w:ascii="Times New Roman" w:hAnsi="Times New Roman" w:cs="Times New Roman"/>
          <w:snapToGrid w:val="0"/>
          <w:color w:val="auto"/>
          <w:kern w:val="0"/>
          <w:szCs w:val="24"/>
          <w:highlight w:val="none"/>
        </w:rPr>
      </w:pPr>
    </w:p>
    <w:p w14:paraId="61F37525">
      <w:pPr>
        <w:rPr>
          <w:rFonts w:ascii="Times New Roman" w:hAnsi="Times New Roman"/>
          <w:color w:val="auto"/>
          <w:highlight w:val="none"/>
        </w:rPr>
      </w:pPr>
    </w:p>
    <w:p w14:paraId="2B72D6B0">
      <w:pPr>
        <w:rPr>
          <w:rFonts w:ascii="Times New Roman" w:hAnsi="Times New Roman"/>
          <w:color w:val="auto"/>
          <w:highlight w:val="none"/>
          <w:lang w:val="zh-CN"/>
        </w:rPr>
      </w:pPr>
    </w:p>
    <w:p w14:paraId="3B8FEEE1">
      <w:pPr>
        <w:rPr>
          <w:rFonts w:ascii="Times New Roman" w:hAnsi="Times New Roman"/>
          <w:color w:val="auto"/>
          <w:highlight w:val="none"/>
          <w:lang w:val="zh-CN"/>
        </w:rPr>
      </w:pPr>
    </w:p>
    <w:p w14:paraId="47329627">
      <w:pPr>
        <w:rPr>
          <w:rFonts w:ascii="Times New Roman" w:hAnsi="Times New Roman"/>
          <w:color w:val="auto"/>
          <w:highlight w:val="none"/>
          <w:lang w:val="zh-CN"/>
        </w:rPr>
        <w:sectPr>
          <w:pgSz w:w="11906" w:h="16838"/>
          <w:pgMar w:top="1440" w:right="1800" w:bottom="1440" w:left="1800" w:header="851" w:footer="992" w:gutter="0"/>
          <w:cols w:space="720" w:num="1"/>
          <w:docGrid w:type="lines" w:linePitch="312" w:charSpace="0"/>
        </w:sectPr>
      </w:pPr>
    </w:p>
    <w:p w14:paraId="0035D289">
      <w:pPr>
        <w:numPr>
          <w:ilvl w:val="0"/>
          <w:numId w:val="0"/>
        </w:numPr>
        <w:ind w:firstLine="0" w:firstLineChars="0"/>
        <w:jc w:val="center"/>
        <w:outlineLvl w:val="2"/>
        <w:rPr>
          <w:rFonts w:ascii="Times New Roman" w:hAnsi="Times New Roman" w:cs="Times New Roman"/>
          <w:color w:val="auto"/>
          <w:highlight w:val="none"/>
        </w:rPr>
      </w:pPr>
      <w:bookmarkStart w:id="813" w:name="_Toc14195"/>
      <w:bookmarkStart w:id="814" w:name="_Toc331"/>
      <w:bookmarkStart w:id="815" w:name="_Toc14942"/>
      <w:bookmarkStart w:id="816" w:name="_Toc7410"/>
      <w:bookmarkStart w:id="817" w:name="_Toc13224"/>
      <w:r>
        <w:rPr>
          <w:rFonts w:hint="eastAsia" w:ascii="Times New Roman" w:hAnsi="Times New Roman" w:eastAsia="宋体" w:cs="Times New Roman"/>
          <w:color w:val="auto"/>
          <w:kern w:val="2"/>
          <w:sz w:val="21"/>
          <w:szCs w:val="20"/>
          <w:highlight w:val="none"/>
          <w:lang w:val="en-US" w:eastAsia="zh-CN" w:bidi="ar-SA"/>
        </w:rPr>
        <w:t>（六）</w:t>
      </w:r>
      <w:r>
        <w:rPr>
          <w:rFonts w:ascii="Times New Roman" w:hAnsi="Times New Roman" w:cs="Times New Roman"/>
          <w:color w:val="auto"/>
          <w:highlight w:val="none"/>
        </w:rPr>
        <w:t>第三方软件产品的原厂商授权书或确认函</w:t>
      </w:r>
      <w:bookmarkEnd w:id="813"/>
      <w:bookmarkEnd w:id="814"/>
      <w:bookmarkEnd w:id="815"/>
    </w:p>
    <w:p w14:paraId="0314D180">
      <w:pPr>
        <w:numPr>
          <w:ilvl w:val="0"/>
          <w:numId w:val="0"/>
        </w:numPr>
        <w:ind w:firstLine="0" w:firstLineChars="0"/>
        <w:jc w:val="center"/>
        <w:outlineLvl w:val="9"/>
        <w:rPr>
          <w:rFonts w:ascii="Times New Roman" w:hAnsi="Times New Roman"/>
          <w:color w:val="auto"/>
          <w:highlight w:val="none"/>
        </w:rPr>
      </w:pPr>
      <w:bookmarkStart w:id="818" w:name="_Toc27399"/>
      <w:bookmarkStart w:id="819" w:name="_Toc12983"/>
      <w:bookmarkStart w:id="820" w:name="_Toc2643"/>
      <w:r>
        <w:rPr>
          <w:rFonts w:hint="eastAsia" w:ascii="Times New Roman" w:hAnsi="Times New Roman" w:cs="Times New Roman"/>
          <w:color w:val="auto"/>
          <w:highlight w:val="none"/>
        </w:rPr>
        <w:t>(如果未使用第三方软件产品，需提供未使用确认函并加盖公章)</w:t>
      </w:r>
      <w:bookmarkEnd w:id="816"/>
      <w:bookmarkEnd w:id="817"/>
      <w:bookmarkEnd w:id="818"/>
      <w:bookmarkEnd w:id="819"/>
      <w:bookmarkEnd w:id="820"/>
    </w:p>
    <w:p w14:paraId="78DFC5FB">
      <w:pPr>
        <w:rPr>
          <w:rFonts w:ascii="Times New Roman" w:hAnsi="Times New Roman"/>
          <w:color w:val="auto"/>
          <w:highlight w:val="none"/>
        </w:rPr>
      </w:pPr>
    </w:p>
    <w:p w14:paraId="4BC6EA5B">
      <w:pPr>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16274B6E">
      <w:pPr>
        <w:ind w:firstLine="0" w:firstLineChars="0"/>
        <w:rPr>
          <w:rFonts w:ascii="Times New Roman" w:hAnsi="Times New Roman"/>
          <w:color w:val="auto"/>
          <w:highlight w:val="none"/>
          <w:lang w:val="zh-CN"/>
        </w:rPr>
      </w:pPr>
    </w:p>
    <w:p w14:paraId="5971297B">
      <w:pPr>
        <w:pStyle w:val="31"/>
        <w:rPr>
          <w:rFonts w:ascii="Times New Roman" w:hAnsi="Times New Roman"/>
          <w:color w:val="auto"/>
          <w:highlight w:val="none"/>
        </w:rPr>
      </w:pPr>
      <w:bookmarkStart w:id="821" w:name="_Toc3124"/>
      <w:bookmarkStart w:id="822" w:name="_Toc18550"/>
      <w:bookmarkStart w:id="823" w:name="_Toc16085"/>
      <w:r>
        <w:rPr>
          <w:rFonts w:ascii="Times New Roman" w:hAnsi="Times New Roman"/>
          <w:color w:val="auto"/>
          <w:highlight w:val="none"/>
        </w:rPr>
        <w:t>四、响应</w:t>
      </w:r>
      <w:r>
        <w:rPr>
          <w:rFonts w:hint="eastAsia" w:ascii="Times New Roman" w:hAnsi="Times New Roman"/>
          <w:color w:val="auto"/>
          <w:highlight w:val="none"/>
          <w:lang w:val="en-US" w:eastAsia="zh-CN"/>
        </w:rPr>
        <w:t>性文件</w:t>
      </w:r>
      <w:bookmarkEnd w:id="821"/>
      <w:bookmarkEnd w:id="822"/>
      <w:bookmarkEnd w:id="823"/>
    </w:p>
    <w:p w14:paraId="69E41FFE">
      <w:pPr>
        <w:pStyle w:val="33"/>
        <w:rPr>
          <w:rFonts w:ascii="Times New Roman" w:hAnsi="Times New Roman" w:cs="Times New Roman"/>
          <w:color w:val="auto"/>
          <w:highlight w:val="none"/>
        </w:rPr>
      </w:pPr>
      <w:bookmarkStart w:id="824" w:name="_Toc32355"/>
      <w:bookmarkStart w:id="825" w:name="_Toc1661"/>
      <w:bookmarkStart w:id="826" w:name="_Toc29139"/>
      <w:bookmarkStart w:id="827" w:name="_Toc735"/>
      <w:r>
        <w:rPr>
          <w:rFonts w:ascii="Times New Roman" w:hAnsi="Times New Roman" w:cs="Times New Roman"/>
          <w:color w:val="auto"/>
          <w:highlight w:val="none"/>
        </w:rPr>
        <w:t>（一）响应承诺函</w:t>
      </w:r>
      <w:bookmarkEnd w:id="824"/>
      <w:bookmarkEnd w:id="825"/>
      <w:bookmarkEnd w:id="826"/>
      <w:bookmarkEnd w:id="827"/>
    </w:p>
    <w:p w14:paraId="0BD315FD">
      <w:pPr>
        <w:rPr>
          <w:color w:val="auto"/>
          <w:highlight w:val="none"/>
        </w:rPr>
      </w:pPr>
      <w:r>
        <w:rPr>
          <w:rFonts w:hint="eastAsia" w:ascii="宋体"/>
          <w:color w:val="auto"/>
          <w:szCs w:val="28"/>
          <w:highlight w:val="none"/>
        </w:rPr>
        <w:t>项目名称</w:t>
      </w:r>
      <w:r>
        <w:rPr>
          <w:rFonts w:hint="eastAsia" w:ascii="宋体"/>
          <w:color w:val="auto"/>
          <w:highlight w:val="none"/>
        </w:rPr>
        <w:t>：</w:t>
      </w:r>
    </w:p>
    <w:p w14:paraId="62E1A330">
      <w:pPr>
        <w:rPr>
          <w:color w:val="auto"/>
          <w:highlight w:val="none"/>
        </w:rPr>
      </w:pPr>
    </w:p>
    <w:p w14:paraId="11869AD1">
      <w:pPr>
        <w:spacing w:line="480" w:lineRule="exact"/>
        <w:ind w:firstLine="0" w:firstLineChars="0"/>
        <w:rPr>
          <w:color w:val="auto"/>
          <w:highlight w:val="none"/>
        </w:rPr>
      </w:pPr>
      <w:r>
        <w:rPr>
          <w:rFonts w:hint="eastAsia"/>
          <w:color w:val="auto"/>
          <w:highlight w:val="none"/>
        </w:rPr>
        <w:t>致：重庆三峡银行股份有限公司：</w:t>
      </w:r>
    </w:p>
    <w:p w14:paraId="73389A04">
      <w:pPr>
        <w:rPr>
          <w:color w:val="auto"/>
          <w:highlight w:val="none"/>
        </w:rPr>
      </w:pPr>
    </w:p>
    <w:p w14:paraId="2F697E65">
      <w:pPr>
        <w:rPr>
          <w:color w:val="auto"/>
          <w:highlight w:val="none"/>
        </w:rPr>
      </w:pPr>
      <w:r>
        <w:rPr>
          <w:rFonts w:hint="eastAsia"/>
          <w:color w:val="auto"/>
          <w:highlight w:val="none"/>
        </w:rPr>
        <w:t>我公司郑重承诺，完全满足第三章“项目要求”所有内容。</w:t>
      </w:r>
    </w:p>
    <w:p w14:paraId="6A0829B1">
      <w:pPr>
        <w:rPr>
          <w:rFonts w:ascii="Times New Roman" w:hAnsi="Times New Roman" w:cs="Times New Roman"/>
          <w:color w:val="auto"/>
          <w:highlight w:val="none"/>
        </w:rPr>
      </w:pPr>
      <w:r>
        <w:rPr>
          <w:rFonts w:hint="eastAsia"/>
          <w:color w:val="auto"/>
          <w:highlight w:val="none"/>
          <w:lang w:val="en-US" w:eastAsia="zh-CN"/>
        </w:rPr>
        <w:t>我公司中选后，</w:t>
      </w:r>
      <w:r>
        <w:rPr>
          <w:rFonts w:ascii="Times New Roman" w:hAnsi="Times New Roman" w:cs="Times New Roman"/>
          <w:color w:val="auto"/>
          <w:highlight w:val="none"/>
        </w:rPr>
        <w:t>未征得比选人书面同意的情况下不得更换项目成员</w:t>
      </w:r>
      <w:r>
        <w:rPr>
          <w:rFonts w:hint="eastAsia" w:ascii="Times New Roman" w:hAnsi="Times New Roman" w:cs="Times New Roman"/>
          <w:color w:val="auto"/>
          <w:highlight w:val="none"/>
        </w:rPr>
        <w:t>。</w:t>
      </w:r>
    </w:p>
    <w:p w14:paraId="2648111E">
      <w:pPr>
        <w:rPr>
          <w:color w:val="auto"/>
          <w:highlight w:val="none"/>
        </w:rPr>
      </w:pPr>
      <w:r>
        <w:rPr>
          <w:rFonts w:hint="eastAsia"/>
          <w:color w:val="auto"/>
          <w:highlight w:val="none"/>
          <w:lang w:val="en-US" w:eastAsia="zh-CN"/>
        </w:rPr>
        <w:t>我公司中选后，</w:t>
      </w:r>
      <w:r>
        <w:rPr>
          <w:rFonts w:hint="eastAsia"/>
          <w:color w:val="auto"/>
          <w:highlight w:val="none"/>
        </w:rPr>
        <w:t>将根据</w:t>
      </w:r>
      <w:r>
        <w:rPr>
          <w:rFonts w:hint="eastAsia" w:ascii="Times New Roman" w:hAnsi="Times New Roman" w:cs="Times New Roman"/>
          <w:color w:val="auto"/>
          <w:highlight w:val="none"/>
        </w:rPr>
        <w:t>我公司</w:t>
      </w:r>
      <w:r>
        <w:rPr>
          <w:rFonts w:hint="eastAsia" w:ascii="Times New Roman" w:hAnsi="Times New Roman" w:cs="Times New Roman"/>
          <w:color w:val="auto"/>
          <w:highlight w:val="none"/>
          <w:lang w:val="en-US" w:eastAsia="zh-CN"/>
        </w:rPr>
        <w:t>提</w:t>
      </w:r>
      <w:r>
        <w:rPr>
          <w:rFonts w:hint="eastAsia" w:ascii="Times New Roman" w:hAnsi="Times New Roman" w:cs="Times New Roman"/>
          <w:color w:val="auto"/>
          <w:highlight w:val="none"/>
        </w:rPr>
        <w:t>供的</w:t>
      </w:r>
      <w:r>
        <w:rPr>
          <w:rFonts w:ascii="Times New Roman" w:hAnsi="Times New Roman" w:cs="Times New Roman"/>
          <w:color w:val="auto"/>
          <w:highlight w:val="none"/>
        </w:rPr>
        <w:t>售后服务和培训方案</w:t>
      </w:r>
      <w:r>
        <w:rPr>
          <w:rFonts w:hint="eastAsia" w:ascii="Times New Roman" w:hAnsi="Times New Roman" w:cs="Times New Roman"/>
          <w:color w:val="auto"/>
          <w:highlight w:val="none"/>
        </w:rPr>
        <w:t>进行售后服务和培训。</w:t>
      </w:r>
    </w:p>
    <w:p w14:paraId="7D6B3C21">
      <w:pPr>
        <w:rPr>
          <w:color w:val="auto"/>
          <w:highlight w:val="none"/>
        </w:rPr>
      </w:pPr>
    </w:p>
    <w:p w14:paraId="542BF826">
      <w:pPr>
        <w:spacing w:line="480" w:lineRule="exact"/>
        <w:ind w:firstLine="0" w:firstLineChars="0"/>
        <w:rPr>
          <w:color w:val="auto"/>
          <w:highlight w:val="none"/>
        </w:rPr>
      </w:pPr>
      <w:r>
        <w:rPr>
          <w:rFonts w:hint="eastAsia"/>
          <w:color w:val="auto"/>
          <w:highlight w:val="none"/>
        </w:rPr>
        <w:t>特此承诺。</w:t>
      </w:r>
    </w:p>
    <w:p w14:paraId="4DF15095">
      <w:pPr>
        <w:tabs>
          <w:tab w:val="left" w:pos="6300"/>
        </w:tabs>
        <w:snapToGrid w:val="0"/>
        <w:spacing w:line="480" w:lineRule="exact"/>
        <w:rPr>
          <w:rFonts w:ascii="宋体"/>
          <w:color w:val="auto"/>
          <w:highlight w:val="none"/>
        </w:rPr>
      </w:pPr>
    </w:p>
    <w:p w14:paraId="641F2B9B">
      <w:pPr>
        <w:tabs>
          <w:tab w:val="left" w:pos="6300"/>
        </w:tabs>
        <w:snapToGrid w:val="0"/>
        <w:spacing w:line="480" w:lineRule="exact"/>
        <w:rPr>
          <w:rFonts w:ascii="宋体"/>
          <w:color w:val="auto"/>
          <w:highlight w:val="none"/>
        </w:rPr>
      </w:pPr>
    </w:p>
    <w:p w14:paraId="1AE8C16E">
      <w:pPr>
        <w:tabs>
          <w:tab w:val="left" w:pos="6300"/>
        </w:tabs>
        <w:snapToGrid w:val="0"/>
        <w:spacing w:line="480" w:lineRule="exact"/>
        <w:ind w:right="424"/>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50FE1F73">
      <w:pPr>
        <w:tabs>
          <w:tab w:val="left" w:pos="6300"/>
        </w:tabs>
        <w:snapToGrid w:val="0"/>
        <w:spacing w:line="480" w:lineRule="exact"/>
        <w:ind w:right="480"/>
        <w:jc w:val="right"/>
        <w:rPr>
          <w:rFonts w:ascii="宋体"/>
          <w:color w:val="auto"/>
          <w:highlight w:val="none"/>
        </w:rPr>
      </w:pPr>
      <w:r>
        <w:rPr>
          <w:rFonts w:hint="eastAsia" w:ascii="宋体"/>
          <w:color w:val="auto"/>
          <w:highlight w:val="none"/>
        </w:rPr>
        <w:t>年   月   日</w:t>
      </w:r>
    </w:p>
    <w:p w14:paraId="4247E485">
      <w:pPr>
        <w:pStyle w:val="4"/>
        <w:outlineLvl w:val="9"/>
        <w:rPr>
          <w:color w:val="auto"/>
          <w:highlight w:val="none"/>
        </w:rPr>
        <w:sectPr>
          <w:pgSz w:w="11906" w:h="16838"/>
          <w:pgMar w:top="1440" w:right="1800" w:bottom="1440" w:left="1800" w:header="851" w:footer="992" w:gutter="0"/>
          <w:cols w:space="720" w:num="1"/>
          <w:docGrid w:type="lines" w:linePitch="312" w:charSpace="0"/>
        </w:sectPr>
      </w:pPr>
    </w:p>
    <w:p w14:paraId="2725F456">
      <w:pPr>
        <w:autoSpaceDE/>
        <w:autoSpaceDN/>
        <w:ind w:firstLine="0" w:firstLineChars="0"/>
        <w:jc w:val="center"/>
        <w:outlineLvl w:val="2"/>
        <w:rPr>
          <w:rFonts w:ascii="Times New Roman" w:hAnsi="Times New Roman" w:cs="Times New Roman"/>
          <w:color w:val="auto"/>
          <w:highlight w:val="none"/>
        </w:rPr>
      </w:pPr>
      <w:bookmarkStart w:id="828" w:name="_Toc30917"/>
      <w:bookmarkStart w:id="829" w:name="_Toc7810"/>
      <w:bookmarkStart w:id="830" w:name="_Toc4892"/>
      <w:bookmarkStart w:id="831" w:name="_Toc11090"/>
      <w:bookmarkStart w:id="832" w:name="_Toc24165"/>
      <w:r>
        <w:rPr>
          <w:rFonts w:ascii="Times New Roman" w:hAnsi="Times New Roman" w:cs="Times New Roman"/>
          <w:color w:val="auto"/>
          <w:highlight w:val="none"/>
        </w:rPr>
        <w:t>（二）近半年公司为项目组成员缴纳社保的证明材料</w:t>
      </w:r>
      <w:bookmarkEnd w:id="828"/>
      <w:bookmarkEnd w:id="829"/>
      <w:bookmarkEnd w:id="830"/>
      <w:bookmarkEnd w:id="831"/>
      <w:bookmarkEnd w:id="832"/>
    </w:p>
    <w:p w14:paraId="197F3404">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48D4555">
      <w:pPr>
        <w:autoSpaceDE/>
        <w:autoSpaceDN/>
        <w:ind w:firstLine="0" w:firstLineChars="0"/>
        <w:jc w:val="center"/>
        <w:outlineLvl w:val="2"/>
        <w:rPr>
          <w:rFonts w:ascii="Times New Roman" w:hAnsi="Times New Roman" w:cs="Times New Roman"/>
          <w:snapToGrid w:val="0"/>
          <w:color w:val="auto"/>
          <w:kern w:val="0"/>
          <w:highlight w:val="none"/>
        </w:rPr>
      </w:pPr>
      <w:bookmarkStart w:id="833" w:name="_Toc6946"/>
      <w:bookmarkStart w:id="834" w:name="_Toc17999"/>
      <w:bookmarkStart w:id="835" w:name="_Toc10162"/>
      <w:bookmarkStart w:id="836" w:name="_Toc21648"/>
      <w:bookmarkStart w:id="837" w:name="_Toc22709"/>
      <w:r>
        <w:rPr>
          <w:rFonts w:ascii="Times New Roman" w:hAnsi="Times New Roman" w:cs="Times New Roman"/>
          <w:color w:val="auto"/>
          <w:highlight w:val="none"/>
        </w:rPr>
        <w:t>（三）</w:t>
      </w:r>
      <w:r>
        <w:rPr>
          <w:rFonts w:ascii="Times New Roman" w:hAnsi="Times New Roman" w:cs="Times New Roman"/>
          <w:snapToGrid w:val="0"/>
          <w:color w:val="auto"/>
          <w:kern w:val="0"/>
          <w:highlight w:val="none"/>
        </w:rPr>
        <w:t>项目组成员简历信息</w:t>
      </w:r>
      <w:bookmarkEnd w:id="833"/>
      <w:bookmarkEnd w:id="834"/>
      <w:bookmarkEnd w:id="835"/>
      <w:bookmarkEnd w:id="836"/>
      <w:bookmarkEnd w:id="837"/>
    </w:p>
    <w:p w14:paraId="48F8D94F">
      <w:pPr>
        <w:ind w:firstLine="0" w:firstLineChars="0"/>
        <w:jc w:val="center"/>
        <w:outlineLvl w:val="9"/>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参选人项目组成员简历表（模板）</w:t>
      </w:r>
    </w:p>
    <w:p w14:paraId="4573F2F0">
      <w:pPr>
        <w:ind w:firstLine="0" w:firstLineChars="0"/>
        <w:rPr>
          <w:rFonts w:ascii="Times New Roman" w:hAnsi="Times New Roman" w:cs="Times New Roman"/>
          <w:b/>
          <w:color w:val="auto"/>
          <w:highlight w:val="none"/>
        </w:rPr>
      </w:pPr>
      <w:r>
        <w:rPr>
          <w:rFonts w:ascii="Times New Roman" w:hAnsi="Times New Roman" w:cs="Times New Roman"/>
          <w:b/>
          <w:color w:val="auto"/>
          <w:highlight w:val="none"/>
        </w:rPr>
        <w:t>单位名称（盖章）：                                填表日期：年 月 日</w:t>
      </w:r>
    </w:p>
    <w:tbl>
      <w:tblPr>
        <w:tblStyle w:val="2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1C3F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1F91727C">
            <w:pPr>
              <w:spacing w:line="300" w:lineRule="auto"/>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基本信息</w:t>
            </w:r>
          </w:p>
        </w:tc>
      </w:tr>
      <w:tr w14:paraId="0C83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D9A8838">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1B0A873">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C5014ED">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5E16C2C">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295F02C7">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8CB55D5">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91F1A1D">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贴</w:t>
            </w:r>
          </w:p>
          <w:p w14:paraId="2EE82CFB">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照</w:t>
            </w:r>
          </w:p>
          <w:p w14:paraId="7DD778EE">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片</w:t>
            </w:r>
          </w:p>
          <w:p w14:paraId="341646E8">
            <w:pPr>
              <w:adjustRightInd w:val="0"/>
              <w:snapToGrid w:val="0"/>
              <w:spacing w:line="400" w:lineRule="exact"/>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处</w:t>
            </w:r>
          </w:p>
          <w:p w14:paraId="781B708A">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r>
      <w:tr w14:paraId="03F1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7FFE5E">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24D0E480">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B0CAFD9">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F45A287">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66555E64">
            <w:pPr>
              <w:adjustRightInd w:val="0"/>
              <w:snapToGrid w:val="0"/>
              <w:spacing w:line="40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F1A1F27">
            <w:pPr>
              <w:adjustRightInd w:val="0"/>
              <w:snapToGrid w:val="0"/>
              <w:spacing w:line="400" w:lineRule="exact"/>
              <w:ind w:firstLine="0" w:firstLineChars="0"/>
              <w:jc w:val="both"/>
              <w:rPr>
                <w:rFonts w:ascii="Times New Roman" w:hAnsi="Times New Roman"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51D69C2B">
            <w:pPr>
              <w:rPr>
                <w:color w:val="auto"/>
                <w:highlight w:val="none"/>
              </w:rPr>
            </w:pPr>
          </w:p>
        </w:tc>
      </w:tr>
      <w:tr w14:paraId="3768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22BD3AB">
            <w:pPr>
              <w:adjustRightInd w:val="0"/>
              <w:snapToGrid w:val="0"/>
              <w:spacing w:line="280" w:lineRule="exact"/>
              <w:ind w:right="-107" w:rightChars="-51" w:firstLine="0" w:firstLineChars="0"/>
              <w:jc w:val="both"/>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4A026BD9">
            <w:pPr>
              <w:adjustRightInd w:val="0"/>
              <w:snapToGrid w:val="0"/>
              <w:spacing w:line="280" w:lineRule="exact"/>
              <w:ind w:firstLine="0" w:firstLineChars="0"/>
              <w:jc w:val="both"/>
              <w:rPr>
                <w:rFonts w:ascii="Times New Roman" w:hAnsi="Times New Roman" w:eastAsia="仿宋_GB2312" w:cs="Times New Roman"/>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BEC7B71">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同类项目</w:t>
            </w:r>
          </w:p>
          <w:p w14:paraId="2ABE68AA">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A16FC66">
            <w:pPr>
              <w:adjustRightInd w:val="0"/>
              <w:snapToGrid w:val="0"/>
              <w:spacing w:line="280" w:lineRule="exact"/>
              <w:ind w:firstLine="0" w:firstLineChars="0"/>
              <w:jc w:val="both"/>
              <w:rPr>
                <w:rFonts w:ascii="Times New Roman" w:hAnsi="Times New Roman" w:eastAsia="仿宋_GB2312" w:cs="Times New Roman"/>
                <w:color w:val="auto"/>
                <w:highlight w:val="none"/>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3F73811E">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拟任本</w:t>
            </w:r>
          </w:p>
          <w:p w14:paraId="487A258E">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FB9EAF0">
            <w:pPr>
              <w:adjustRightInd w:val="0"/>
              <w:snapToGrid w:val="0"/>
              <w:spacing w:line="280" w:lineRule="exact"/>
              <w:ind w:firstLine="0" w:firstLineChars="0"/>
              <w:jc w:val="both"/>
              <w:rPr>
                <w:rFonts w:ascii="Times New Roman" w:hAnsi="Times New Roman"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62A784BD">
            <w:pPr>
              <w:rPr>
                <w:color w:val="auto"/>
                <w:highlight w:val="none"/>
              </w:rPr>
            </w:pPr>
          </w:p>
        </w:tc>
      </w:tr>
      <w:tr w14:paraId="45D1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DA83786">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学历</w:t>
            </w:r>
          </w:p>
          <w:p w14:paraId="2A35C241">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4C58A291">
            <w:pPr>
              <w:adjustRightInd w:val="0"/>
              <w:snapToGrid w:val="0"/>
              <w:spacing w:line="280" w:lineRule="exact"/>
              <w:ind w:right="-107" w:rightChars="-51" w:firstLine="0" w:firstLineChars="0"/>
              <w:jc w:val="both"/>
              <w:rPr>
                <w:rFonts w:ascii="Times New Roman" w:hAnsi="Times New Roman" w:eastAsia="仿宋_GB2312" w:cs="Times New Roman"/>
                <w:b/>
                <w:color w:val="auto"/>
                <w:highlight w:val="none"/>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33C1519">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毕业院校</w:t>
            </w:r>
          </w:p>
          <w:p w14:paraId="59934E0A">
            <w:pPr>
              <w:adjustRightInd w:val="0"/>
              <w:snapToGrid w:val="0"/>
              <w:spacing w:line="280" w:lineRule="exact"/>
              <w:ind w:left="-12" w:leftChars="-51" w:right="-107" w:rightChars="-51" w:hanging="95" w:hangingChars="45"/>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3682F948">
            <w:pPr>
              <w:adjustRightInd w:val="0"/>
              <w:snapToGrid w:val="0"/>
              <w:spacing w:line="280" w:lineRule="exact"/>
              <w:ind w:right="-107" w:rightChars="-51" w:firstLine="0" w:firstLineChars="0"/>
              <w:jc w:val="both"/>
              <w:rPr>
                <w:rFonts w:ascii="Times New Roman" w:hAnsi="Times New Roman" w:eastAsia="仿宋_GB2312" w:cs="Times New Roman"/>
                <w:color w:val="auto"/>
                <w:highlight w:val="none"/>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1F267A7C">
            <w:pPr>
              <w:rPr>
                <w:color w:val="auto"/>
                <w:highlight w:val="none"/>
              </w:rPr>
            </w:pPr>
          </w:p>
        </w:tc>
      </w:tr>
      <w:tr w14:paraId="6DF2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2FCCB3C">
            <w:pPr>
              <w:adjustRightInd w:val="0"/>
              <w:snapToGrid w:val="0"/>
              <w:spacing w:line="28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18A31D78">
            <w:pPr>
              <w:adjustRightInd w:val="0"/>
              <w:snapToGrid w:val="0"/>
              <w:spacing w:line="280" w:lineRule="exact"/>
              <w:ind w:firstLine="0" w:firstLineChars="0"/>
              <w:jc w:val="both"/>
              <w:rPr>
                <w:rFonts w:ascii="Times New Roman" w:hAnsi="Times New Roman" w:eastAsia="仿宋_GB2312" w:cs="Times New Roman"/>
                <w:b/>
                <w:color w:val="auto"/>
                <w:highlight w:val="none"/>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DAEE929">
            <w:pPr>
              <w:adjustRightInd w:val="0"/>
              <w:snapToGrid w:val="0"/>
              <w:spacing w:line="280" w:lineRule="exact"/>
              <w:ind w:firstLine="0" w:firstLineChars="0"/>
              <w:jc w:val="both"/>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737A837D">
            <w:pPr>
              <w:adjustRightInd w:val="0"/>
              <w:snapToGrid w:val="0"/>
              <w:spacing w:line="280" w:lineRule="exact"/>
              <w:jc w:val="center"/>
              <w:rPr>
                <w:rFonts w:ascii="Times New Roman" w:hAnsi="Times New Roman" w:eastAsia="仿宋_GB2312" w:cs="Times New Roman"/>
                <w:b/>
                <w:color w:val="auto"/>
                <w:highlight w:val="none"/>
              </w:rPr>
            </w:pPr>
          </w:p>
        </w:tc>
      </w:tr>
      <w:tr w14:paraId="417C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B12269D">
            <w:pPr>
              <w:adjustRightInd w:val="0"/>
              <w:snapToGrid w:val="0"/>
              <w:spacing w:line="28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679CDAF3">
            <w:pPr>
              <w:adjustRightInd w:val="0"/>
              <w:snapToGrid w:val="0"/>
              <w:spacing w:line="280" w:lineRule="exact"/>
              <w:ind w:firstLine="0" w:firstLineChars="0"/>
              <w:jc w:val="both"/>
              <w:rPr>
                <w:rFonts w:ascii="Times New Roman" w:hAnsi="Times New Roman" w:eastAsia="仿宋_GB2312" w:cs="Times New Roman"/>
                <w:b/>
                <w:color w:val="auto"/>
                <w:highlight w:val="none"/>
              </w:rPr>
            </w:pPr>
          </w:p>
        </w:tc>
      </w:tr>
      <w:tr w14:paraId="3B9D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689C20D9">
            <w:pPr>
              <w:spacing w:line="300" w:lineRule="auto"/>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工作及项目经历信息</w:t>
            </w:r>
          </w:p>
        </w:tc>
      </w:tr>
      <w:tr w14:paraId="209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77CE85E">
            <w:pPr>
              <w:spacing w:line="300" w:lineRule="auto"/>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3A6271E">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2644294">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1DBC29C">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3EC0C89E">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B7F3FA5">
            <w:pPr>
              <w:spacing w:line="30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联系方式</w:t>
            </w:r>
          </w:p>
        </w:tc>
      </w:tr>
      <w:tr w14:paraId="3289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8C41E1E">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225C5E8">
            <w:pPr>
              <w:spacing w:line="300" w:lineRule="auto"/>
              <w:ind w:firstLine="0" w:firstLineChars="0"/>
              <w:jc w:val="both"/>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BAFA521">
            <w:pPr>
              <w:spacing w:line="300" w:lineRule="auto"/>
              <w:ind w:firstLine="0" w:firstLineChars="0"/>
              <w:jc w:val="both"/>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42C619">
            <w:pPr>
              <w:spacing w:line="300" w:lineRule="auto"/>
              <w:ind w:firstLine="0" w:firstLineChars="0"/>
              <w:jc w:val="both"/>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30F68A26">
            <w:pPr>
              <w:spacing w:line="300" w:lineRule="auto"/>
              <w:ind w:firstLine="0" w:firstLineChars="0"/>
              <w:jc w:val="both"/>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1B274B7">
            <w:pPr>
              <w:spacing w:line="300" w:lineRule="auto"/>
              <w:ind w:firstLine="0" w:firstLineChars="0"/>
              <w:jc w:val="both"/>
              <w:rPr>
                <w:rFonts w:ascii="Times New Roman" w:hAnsi="Times New Roman" w:eastAsia="仿宋_GB2312" w:cs="Times New Roman"/>
                <w:color w:val="auto"/>
                <w:highlight w:val="none"/>
              </w:rPr>
            </w:pPr>
          </w:p>
        </w:tc>
      </w:tr>
      <w:tr w14:paraId="60EC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8A68D65">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12B4E2F8">
            <w:pPr>
              <w:spacing w:line="300" w:lineRule="auto"/>
              <w:ind w:firstLine="0" w:firstLineChars="0"/>
              <w:jc w:val="both"/>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4BE4A5E4">
            <w:pPr>
              <w:spacing w:line="300" w:lineRule="auto"/>
              <w:ind w:firstLine="0" w:firstLineChars="0"/>
              <w:jc w:val="both"/>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041C7752">
            <w:pPr>
              <w:spacing w:line="300" w:lineRule="auto"/>
              <w:ind w:firstLine="0" w:firstLineChars="0"/>
              <w:jc w:val="both"/>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1CD288D5">
            <w:pPr>
              <w:spacing w:line="300" w:lineRule="auto"/>
              <w:ind w:firstLine="0" w:firstLineChars="0"/>
              <w:jc w:val="both"/>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5A7BEC0C">
            <w:pPr>
              <w:spacing w:line="300" w:lineRule="auto"/>
              <w:ind w:firstLine="0" w:firstLineChars="0"/>
              <w:jc w:val="both"/>
              <w:rPr>
                <w:rFonts w:ascii="Times New Roman" w:hAnsi="Times New Roman" w:eastAsia="仿宋_GB2312" w:cs="Times New Roman"/>
                <w:color w:val="auto"/>
                <w:highlight w:val="none"/>
              </w:rPr>
            </w:pPr>
          </w:p>
        </w:tc>
      </w:tr>
      <w:tr w14:paraId="1B91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BD68F65">
            <w:pPr>
              <w:rPr>
                <w:color w:val="auto"/>
                <w:highlight w:val="none"/>
              </w:rPr>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572FF860">
            <w:pPr>
              <w:spacing w:line="300" w:lineRule="auto"/>
              <w:ind w:firstLine="0" w:firstLineChars="0"/>
              <w:jc w:val="both"/>
              <w:rPr>
                <w:rFonts w:ascii="Times New Roman" w:hAnsi="Times New Roman" w:eastAsia="仿宋_GB2312" w:cs="Times New Roman"/>
                <w:color w:val="auto"/>
                <w:highlight w:val="none"/>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645437F3">
            <w:pPr>
              <w:spacing w:line="300" w:lineRule="auto"/>
              <w:ind w:firstLine="0" w:firstLineChars="0"/>
              <w:jc w:val="both"/>
              <w:rPr>
                <w:rFonts w:ascii="Times New Roman" w:hAnsi="Times New Roman" w:eastAsia="仿宋_GB2312" w:cs="Times New Roman"/>
                <w:color w:val="auto"/>
                <w:highlight w:val="none"/>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7A0546DA">
            <w:pPr>
              <w:spacing w:line="300" w:lineRule="auto"/>
              <w:ind w:firstLine="0" w:firstLineChars="0"/>
              <w:jc w:val="both"/>
              <w:rPr>
                <w:rFonts w:ascii="Times New Roman" w:hAnsi="Times New Roman" w:eastAsia="仿宋_GB2312" w:cs="Times New Roman"/>
                <w:color w:val="auto"/>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4A9A8D91">
            <w:pPr>
              <w:spacing w:line="300" w:lineRule="auto"/>
              <w:ind w:firstLine="0" w:firstLineChars="0"/>
              <w:jc w:val="both"/>
              <w:rPr>
                <w:rFonts w:ascii="Times New Roman" w:hAnsi="Times New Roman" w:eastAsia="仿宋_GB2312" w:cs="Times New Roman"/>
                <w:color w:val="auto"/>
                <w:highlight w:val="none"/>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20D7586D">
            <w:pPr>
              <w:spacing w:line="300" w:lineRule="auto"/>
              <w:ind w:firstLine="0" w:firstLineChars="0"/>
              <w:jc w:val="both"/>
              <w:rPr>
                <w:rFonts w:ascii="Times New Roman" w:hAnsi="Times New Roman" w:eastAsia="仿宋_GB2312" w:cs="Times New Roman"/>
                <w:color w:val="auto"/>
                <w:highlight w:val="none"/>
              </w:rPr>
            </w:pPr>
          </w:p>
        </w:tc>
      </w:tr>
      <w:tr w14:paraId="4F9B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6C6B43F">
            <w:pPr>
              <w:adjustRightInd w:val="0"/>
              <w:snapToGrid w:val="0"/>
              <w:spacing w:line="400" w:lineRule="exact"/>
              <w:ind w:firstLine="0" w:firstLineChars="0"/>
              <w:jc w:val="center"/>
              <w:rPr>
                <w:rFonts w:ascii="Times New Roman" w:hAnsi="Times New Roman" w:eastAsia="仿宋_GB2312" w:cs="Times New Roman"/>
                <w:b/>
                <w:color w:val="auto"/>
                <w:highlight w:val="none"/>
              </w:rPr>
            </w:pPr>
            <w:r>
              <w:rPr>
                <w:rFonts w:ascii="Times New Roman" w:hAnsi="Times New Roman" w:eastAsia="仿宋_GB2312" w:cs="Times New Roman"/>
                <w:b/>
                <w:color w:val="auto"/>
                <w:highlight w:val="none"/>
              </w:rPr>
              <w:t>参与同类项目经历</w:t>
            </w:r>
          </w:p>
          <w:p w14:paraId="64112728">
            <w:pPr>
              <w:adjustRightInd w:val="0"/>
              <w:snapToGrid w:val="0"/>
              <w:spacing w:line="400" w:lineRule="exact"/>
              <w:ind w:firstLine="0" w:firstLineChars="0"/>
              <w:jc w:val="center"/>
              <w:rPr>
                <w:rFonts w:ascii="Times New Roman" w:hAnsi="Times New Roman" w:eastAsia="仿宋_GB2312" w:cs="Times New Roman"/>
                <w:i/>
                <w:color w:val="auto"/>
                <w:szCs w:val="21"/>
                <w:highlight w:val="none"/>
              </w:rPr>
            </w:pPr>
            <w:r>
              <w:rPr>
                <w:rFonts w:ascii="Times New Roman" w:hAnsi="Times New Roman" w:eastAsia="仿宋_GB2312" w:cs="Times New Roman"/>
                <w:i/>
                <w:color w:val="auto"/>
                <w:szCs w:val="21"/>
                <w:highlight w:val="none"/>
              </w:rPr>
              <w:t>(详细</w:t>
            </w:r>
          </w:p>
          <w:p w14:paraId="3EB40DDB">
            <w:pPr>
              <w:adjustRightInd w:val="0"/>
              <w:snapToGrid w:val="0"/>
              <w:spacing w:line="400" w:lineRule="exact"/>
              <w:ind w:firstLine="0" w:firstLineChars="0"/>
              <w:jc w:val="center"/>
              <w:rPr>
                <w:rFonts w:ascii="Times New Roman" w:hAnsi="Times New Roman" w:eastAsia="仿宋_GB2312" w:cs="Times New Roman"/>
                <w:color w:val="auto"/>
                <w:szCs w:val="21"/>
                <w:highlight w:val="none"/>
              </w:rPr>
            </w:pPr>
            <w:r>
              <w:rPr>
                <w:rFonts w:ascii="Times New Roman" w:hAnsi="Times New Roman" w:eastAsia="仿宋_GB2312" w:cs="Times New Roman"/>
                <w:i/>
                <w:color w:val="auto"/>
                <w:szCs w:val="21"/>
                <w:highlight w:val="none"/>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E81EBC3">
            <w:pPr>
              <w:spacing w:line="360" w:lineRule="auto"/>
              <w:ind w:firstLine="0" w:firstLineChars="0"/>
              <w:rPr>
                <w:rFonts w:ascii="Times New Roman" w:hAnsi="Times New Roman" w:eastAsia="仿宋_GB2312" w:cs="Times New Roman"/>
                <w:b/>
                <w:bCs/>
                <w:color w:val="auto"/>
                <w:highlight w:val="none"/>
              </w:rPr>
            </w:pPr>
            <w:r>
              <w:rPr>
                <w:rFonts w:ascii="Times New Roman" w:hAnsi="Times New Roman" w:eastAsia="仿宋_GB2312" w:cs="Times New Roman"/>
                <w:b/>
                <w:bCs/>
                <w:color w:val="auto"/>
                <w:highlight w:val="none"/>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92DC3C8">
            <w:pPr>
              <w:spacing w:line="360" w:lineRule="auto"/>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ACF74AA">
            <w:pPr>
              <w:spacing w:line="360" w:lineRule="auto"/>
              <w:ind w:firstLine="0" w:firstLineChars="0"/>
              <w:jc w:val="both"/>
              <w:rPr>
                <w:rFonts w:ascii="Times New Roman" w:hAnsi="Times New Roman" w:eastAsia="仿宋_GB2312" w:cs="Times New Roman"/>
                <w:color w:val="auto"/>
                <w:highlight w:val="none"/>
              </w:rPr>
            </w:pPr>
            <w:r>
              <w:rPr>
                <w:rFonts w:ascii="Times New Roman" w:hAnsi="Times New Roman" w:eastAsia="仿宋_GB2312" w:cs="Times New Roman"/>
                <w:b/>
                <w:bCs/>
                <w:color w:val="auto"/>
                <w:highlight w:val="none"/>
              </w:rPr>
              <w:t>参与同类项目</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F5739CB">
            <w:pPr>
              <w:spacing w:line="360" w:lineRule="auto"/>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（个）</w:t>
            </w:r>
          </w:p>
        </w:tc>
      </w:tr>
      <w:tr w14:paraId="3AA0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7D03DF0">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4C13190">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7EE27B4">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5EB3B1F">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承担</w:t>
            </w:r>
          </w:p>
          <w:p w14:paraId="74C4897A">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B46C237">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B8068C2">
            <w:pPr>
              <w:spacing w:line="360" w:lineRule="auto"/>
              <w:ind w:firstLine="0" w:firstLineChars="0"/>
              <w:jc w:val="center"/>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rPr>
              <w:t>项目单位证明人及联系电话</w:t>
            </w:r>
          </w:p>
        </w:tc>
      </w:tr>
      <w:tr w14:paraId="0B6D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05BAAE5">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F3AE354">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D4EB621">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66AD07F">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372E2D9">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65B4548">
            <w:pPr>
              <w:spacing w:line="360" w:lineRule="auto"/>
              <w:ind w:firstLine="0" w:firstLineChars="0"/>
              <w:rPr>
                <w:rFonts w:ascii="Times New Roman" w:hAnsi="Times New Roman" w:cs="Times New Roman"/>
                <w:color w:val="auto"/>
                <w:highlight w:val="none"/>
              </w:rPr>
            </w:pPr>
          </w:p>
        </w:tc>
      </w:tr>
      <w:tr w14:paraId="0FB4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72008B4">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B523DC3">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30AA480">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15FD821">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6366247">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0B8F52D">
            <w:pPr>
              <w:spacing w:line="360" w:lineRule="auto"/>
              <w:ind w:firstLine="0" w:firstLineChars="0"/>
              <w:rPr>
                <w:rFonts w:ascii="Times New Roman" w:hAnsi="Times New Roman" w:cs="Times New Roman"/>
                <w:color w:val="auto"/>
                <w:highlight w:val="none"/>
              </w:rPr>
            </w:pPr>
          </w:p>
        </w:tc>
      </w:tr>
      <w:tr w14:paraId="37C9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AC4D198">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BE95FA7">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B50A90E">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78895378">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9458C11">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5943427">
            <w:pPr>
              <w:spacing w:line="360" w:lineRule="auto"/>
              <w:ind w:firstLine="0" w:firstLineChars="0"/>
              <w:rPr>
                <w:rFonts w:ascii="Times New Roman" w:hAnsi="Times New Roman" w:cs="Times New Roman"/>
                <w:color w:val="auto"/>
                <w:highlight w:val="none"/>
              </w:rPr>
            </w:pPr>
          </w:p>
        </w:tc>
      </w:tr>
      <w:tr w14:paraId="7912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973000D">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2D6187">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1E0481C">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1CF6FCC8">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E6592BF">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A8F7B27">
            <w:pPr>
              <w:spacing w:line="360" w:lineRule="auto"/>
              <w:ind w:firstLine="0" w:firstLineChars="0"/>
              <w:rPr>
                <w:rFonts w:ascii="Times New Roman" w:hAnsi="Times New Roman" w:cs="Times New Roman"/>
                <w:color w:val="auto"/>
                <w:highlight w:val="none"/>
              </w:rPr>
            </w:pPr>
          </w:p>
        </w:tc>
      </w:tr>
      <w:tr w14:paraId="4C49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F89BC8D">
            <w:pPr>
              <w:rPr>
                <w:color w:val="auto"/>
                <w:highlight w:val="none"/>
              </w:rPr>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9ECC42F">
            <w:pPr>
              <w:spacing w:line="360" w:lineRule="auto"/>
              <w:ind w:firstLine="0" w:firstLineChars="0"/>
              <w:rPr>
                <w:rFonts w:ascii="Times New Roman" w:hAnsi="Times New Roman" w:cs="Times New Roman"/>
                <w:color w:val="auto"/>
                <w:highlight w:val="none"/>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528D612">
            <w:pPr>
              <w:spacing w:line="360" w:lineRule="auto"/>
              <w:ind w:firstLine="0" w:firstLineChars="0"/>
              <w:rPr>
                <w:rFonts w:ascii="Times New Roman" w:hAnsi="Times New Roman" w:cs="Times New Roman"/>
                <w:color w:val="auto"/>
                <w:highlight w:val="none"/>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710BCA3C">
            <w:pPr>
              <w:spacing w:line="360" w:lineRule="auto"/>
              <w:ind w:firstLine="0" w:firstLineChars="0"/>
              <w:rPr>
                <w:rFonts w:ascii="Times New Roman" w:hAnsi="Times New Roman" w:cs="Times New Roman"/>
                <w:color w:val="auto"/>
                <w:highlight w:val="none"/>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7218EA1">
            <w:pPr>
              <w:spacing w:line="360" w:lineRule="auto"/>
              <w:ind w:firstLine="0" w:firstLineChars="0"/>
              <w:rPr>
                <w:rFonts w:ascii="Times New Roman" w:hAnsi="Times New Roman" w:cs="Times New Roman"/>
                <w:color w:val="auto"/>
                <w:highlight w:val="none"/>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1282345">
            <w:pPr>
              <w:spacing w:line="360" w:lineRule="auto"/>
              <w:ind w:firstLine="0" w:firstLineChars="0"/>
              <w:rPr>
                <w:rFonts w:ascii="Times New Roman" w:hAnsi="Times New Roman" w:cs="Times New Roman"/>
                <w:color w:val="auto"/>
                <w:highlight w:val="none"/>
              </w:rPr>
            </w:pPr>
          </w:p>
        </w:tc>
      </w:tr>
    </w:tbl>
    <w:p w14:paraId="59F573A6">
      <w:pPr>
        <w:rPr>
          <w:rFonts w:ascii="Times New Roman" w:hAnsi="Times New Roman" w:cs="Times New Roman"/>
          <w:color w:val="auto"/>
          <w:highlight w:val="none"/>
        </w:rPr>
      </w:pPr>
      <w:bookmarkStart w:id="838" w:name="_Toc16425"/>
      <w:bookmarkStart w:id="839" w:name="_Toc26618"/>
      <w:bookmarkStart w:id="840" w:name="_Toc13964"/>
      <w:r>
        <w:rPr>
          <w:rFonts w:ascii="Times New Roman" w:hAnsi="Times New Roman" w:cs="Times New Roman"/>
          <w:color w:val="auto"/>
          <w:highlight w:val="none"/>
        </w:rPr>
        <w:t>注：以上模板仅供参考，可以根据实际情况进行调整。</w:t>
      </w:r>
      <w:bookmarkEnd w:id="838"/>
      <w:bookmarkEnd w:id="839"/>
      <w:bookmarkEnd w:id="840"/>
      <w:r>
        <w:rPr>
          <w:rFonts w:ascii="Times New Roman" w:hAnsi="Times New Roman" w:cs="Times New Roman"/>
          <w:color w:val="auto"/>
          <w:highlight w:val="none"/>
        </w:rPr>
        <w:br w:type="page"/>
      </w:r>
    </w:p>
    <w:p w14:paraId="1CD6153D">
      <w:pPr>
        <w:autoSpaceDE/>
        <w:autoSpaceDN/>
        <w:ind w:firstLine="0" w:firstLineChars="0"/>
        <w:jc w:val="center"/>
        <w:outlineLvl w:val="2"/>
        <w:rPr>
          <w:rFonts w:ascii="Times New Roman" w:hAnsi="Times New Roman" w:cs="Times New Roman"/>
          <w:color w:val="auto"/>
          <w:highlight w:val="none"/>
        </w:rPr>
      </w:pPr>
      <w:bookmarkStart w:id="841" w:name="_Toc25088"/>
      <w:bookmarkStart w:id="842" w:name="_Toc8537"/>
      <w:bookmarkStart w:id="843" w:name="_Toc3932"/>
      <w:bookmarkStart w:id="844" w:name="_Toc9072"/>
      <w:bookmarkStart w:id="845" w:name="_Toc32596"/>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四</w:t>
      </w:r>
      <w:r>
        <w:rPr>
          <w:rFonts w:ascii="Times New Roman" w:hAnsi="Times New Roman" w:cs="Times New Roman"/>
          <w:color w:val="auto"/>
          <w:highlight w:val="none"/>
        </w:rPr>
        <w:t>）售后服务</w:t>
      </w:r>
      <w:r>
        <w:rPr>
          <w:rFonts w:hint="eastAsia" w:cs="Times New Roman"/>
          <w:color w:val="auto"/>
          <w:highlight w:val="none"/>
          <w:lang w:val="en-US" w:eastAsia="zh-CN"/>
        </w:rPr>
        <w:t>和培训</w:t>
      </w:r>
      <w:r>
        <w:rPr>
          <w:rFonts w:ascii="Times New Roman" w:hAnsi="Times New Roman" w:cs="Times New Roman"/>
          <w:color w:val="auto"/>
          <w:highlight w:val="none"/>
        </w:rPr>
        <w:t>方案</w:t>
      </w:r>
      <w:bookmarkEnd w:id="841"/>
      <w:bookmarkEnd w:id="842"/>
      <w:bookmarkEnd w:id="843"/>
      <w:bookmarkEnd w:id="844"/>
      <w:bookmarkEnd w:id="845"/>
    </w:p>
    <w:p w14:paraId="6E3DB3BA">
      <w:pPr>
        <w:autoSpaceDE/>
        <w:autoSpaceDN/>
        <w:ind w:firstLine="0" w:firstLineChars="0"/>
        <w:jc w:val="left"/>
        <w:outlineLvl w:val="9"/>
        <w:rPr>
          <w:rFonts w:ascii="Times New Roman" w:hAnsi="Times New Roman" w:cs="Times New Roman"/>
          <w:color w:val="auto"/>
          <w:highlight w:val="none"/>
        </w:rPr>
      </w:pPr>
      <w:r>
        <w:rPr>
          <w:rFonts w:ascii="Times New Roman" w:hAnsi="Times New Roman" w:cs="Times New Roman"/>
          <w:color w:val="auto"/>
          <w:highlight w:val="none"/>
        </w:rPr>
        <w:br w:type="page"/>
      </w:r>
    </w:p>
    <w:p w14:paraId="1E56C121">
      <w:pPr>
        <w:autoSpaceDE/>
        <w:autoSpaceDN/>
        <w:ind w:firstLine="0" w:firstLineChars="0"/>
        <w:jc w:val="center"/>
        <w:outlineLvl w:val="2"/>
        <w:rPr>
          <w:rFonts w:ascii="Times New Roman" w:hAnsi="Times New Roman" w:cs="Times New Roman"/>
          <w:color w:val="auto"/>
          <w:highlight w:val="none"/>
        </w:rPr>
      </w:pPr>
      <w:bookmarkStart w:id="846" w:name="_Toc2173"/>
      <w:bookmarkStart w:id="847" w:name="_Toc159"/>
      <w:bookmarkStart w:id="848" w:name="_Toc19072"/>
      <w:bookmarkStart w:id="849" w:name="_Toc10745"/>
      <w:bookmarkStart w:id="850" w:name="_Toc22449"/>
      <w:r>
        <w:rPr>
          <w:rFonts w:ascii="Times New Roman" w:hAnsi="Times New Roman" w:cs="Times New Roman"/>
          <w:color w:val="auto"/>
          <w:highlight w:val="none"/>
        </w:rPr>
        <w:t>（</w:t>
      </w:r>
      <w:r>
        <w:rPr>
          <w:rFonts w:hint="eastAsia" w:cs="Times New Roman"/>
          <w:color w:val="auto"/>
          <w:highlight w:val="none"/>
          <w:lang w:val="en-US" w:eastAsia="zh-CN"/>
        </w:rPr>
        <w:t>五</w:t>
      </w:r>
      <w:r>
        <w:rPr>
          <w:rFonts w:ascii="Times New Roman" w:hAnsi="Times New Roman" w:cs="Times New Roman"/>
          <w:color w:val="auto"/>
          <w:highlight w:val="none"/>
        </w:rPr>
        <w:t>）服务连续性预案</w:t>
      </w:r>
      <w:bookmarkEnd w:id="846"/>
      <w:bookmarkEnd w:id="847"/>
      <w:bookmarkEnd w:id="848"/>
      <w:bookmarkEnd w:id="849"/>
      <w:bookmarkEnd w:id="850"/>
    </w:p>
    <w:p w14:paraId="34A4AB20">
      <w:pPr>
        <w:autoSpaceDE/>
        <w:autoSpaceDN/>
        <w:ind w:firstLine="0" w:firstLineChars="0"/>
        <w:jc w:val="center"/>
        <w:outlineLvl w:val="9"/>
        <w:rPr>
          <w:rFonts w:ascii="Times New Roman" w:hAnsi="Times New Roman" w:cs="Times New Roman"/>
          <w:color w:val="auto"/>
          <w:highlight w:val="none"/>
        </w:rPr>
      </w:pPr>
      <w:r>
        <w:rPr>
          <w:rFonts w:hint="eastAsia"/>
          <w:color w:val="auto"/>
          <w:highlight w:val="none"/>
        </w:rPr>
        <w:t>（应考虑供应链风险产生的影响）</w:t>
      </w:r>
    </w:p>
    <w:p w14:paraId="3F7AF19B">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CCFE7E5">
      <w:pPr>
        <w:numPr>
          <w:ilvl w:val="0"/>
          <w:numId w:val="0"/>
        </w:numPr>
        <w:autoSpaceDE/>
        <w:autoSpaceDN/>
        <w:ind w:firstLine="0" w:firstLineChars="0"/>
        <w:jc w:val="center"/>
        <w:outlineLvl w:val="2"/>
        <w:rPr>
          <w:rFonts w:ascii="Times New Roman" w:hAnsi="Times New Roman" w:cs="Times New Roman"/>
          <w:color w:val="auto"/>
          <w:highlight w:val="none"/>
        </w:rPr>
      </w:pPr>
      <w:bookmarkStart w:id="851" w:name="_Toc22484"/>
      <w:bookmarkStart w:id="852" w:name="_Toc32490"/>
      <w:bookmarkStart w:id="853" w:name="_Toc26270"/>
      <w:bookmarkStart w:id="854" w:name="_Toc24025"/>
      <w:bookmarkStart w:id="855" w:name="_Toc11223"/>
      <w:r>
        <w:rPr>
          <w:rFonts w:hint="eastAsia" w:ascii="Times New Roman" w:hAnsi="Times New Roman" w:eastAsia="宋体" w:cs="Times New Roman"/>
          <w:color w:val="auto"/>
          <w:kern w:val="2"/>
          <w:sz w:val="21"/>
          <w:szCs w:val="20"/>
          <w:highlight w:val="none"/>
          <w:lang w:val="en-US" w:eastAsia="zh-CN" w:bidi="ar-SA"/>
        </w:rPr>
        <w:t>（</w:t>
      </w:r>
      <w:r>
        <w:rPr>
          <w:rFonts w:hint="eastAsia" w:cs="Times New Roman"/>
          <w:color w:val="auto"/>
          <w:kern w:val="2"/>
          <w:sz w:val="21"/>
          <w:szCs w:val="20"/>
          <w:highlight w:val="none"/>
          <w:lang w:val="en-US" w:eastAsia="zh-CN" w:bidi="ar-SA"/>
        </w:rPr>
        <w:t>六</w:t>
      </w:r>
      <w:r>
        <w:rPr>
          <w:rFonts w:hint="eastAsia" w:ascii="Times New Roman" w:hAnsi="Times New Roman" w:eastAsia="宋体" w:cs="Times New Roman"/>
          <w:color w:val="auto"/>
          <w:kern w:val="2"/>
          <w:sz w:val="21"/>
          <w:szCs w:val="20"/>
          <w:highlight w:val="none"/>
          <w:lang w:val="en-US" w:eastAsia="zh-CN" w:bidi="ar-SA"/>
        </w:rPr>
        <w:t>）</w:t>
      </w:r>
      <w:r>
        <w:rPr>
          <w:rFonts w:ascii="Times New Roman" w:hAnsi="Times New Roman" w:cs="Times New Roman"/>
          <w:color w:val="auto"/>
          <w:highlight w:val="none"/>
        </w:rPr>
        <w:t>项目实施方案</w:t>
      </w:r>
      <w:bookmarkEnd w:id="851"/>
      <w:bookmarkEnd w:id="852"/>
      <w:bookmarkEnd w:id="853"/>
      <w:bookmarkEnd w:id="854"/>
      <w:bookmarkEnd w:id="855"/>
    </w:p>
    <w:p w14:paraId="4E5928AC">
      <w:pPr>
        <w:numPr>
          <w:ilvl w:val="-1"/>
          <w:numId w:val="0"/>
        </w:numPr>
        <w:autoSpaceDE/>
        <w:autoSpaceDN/>
        <w:ind w:firstLine="0" w:firstLineChars="0"/>
        <w:jc w:val="center"/>
        <w:outlineLvl w:val="9"/>
        <w:rPr>
          <w:rFonts w:ascii="Times New Roman" w:hAnsi="Times New Roman" w:cs="Times New Roman"/>
          <w:color w:val="auto"/>
          <w:highlight w:val="none"/>
        </w:rPr>
      </w:pPr>
      <w:bookmarkStart w:id="856" w:name="_Toc29599"/>
      <w:bookmarkStart w:id="857" w:name="_Toc25363"/>
      <w:bookmarkStart w:id="858" w:name="_Toc7177"/>
      <w:r>
        <w:rPr>
          <w:rFonts w:hint="eastAsia" w:ascii="Times New Roman" w:hAnsi="Times New Roman"/>
          <w:color w:val="auto"/>
          <w:highlight w:val="none"/>
          <w:lang w:eastAsia="zh-CN"/>
        </w:rPr>
        <w:t>（</w:t>
      </w:r>
      <w:r>
        <w:rPr>
          <w:rFonts w:hint="eastAsia" w:ascii="Times New Roman" w:hAnsi="Times New Roman"/>
          <w:color w:val="auto"/>
          <w:highlight w:val="none"/>
        </w:rPr>
        <w:t>方案应包括包括履行合同的时间计划、提交资料、人员安排等内容</w:t>
      </w:r>
      <w:r>
        <w:rPr>
          <w:rFonts w:hint="eastAsia" w:ascii="Times New Roman" w:hAnsi="Times New Roman"/>
          <w:color w:val="auto"/>
          <w:highlight w:val="none"/>
          <w:lang w:eastAsia="zh-CN"/>
        </w:rPr>
        <w:t>）</w:t>
      </w:r>
      <w:bookmarkEnd w:id="856"/>
      <w:bookmarkEnd w:id="857"/>
      <w:bookmarkEnd w:id="858"/>
    </w:p>
    <w:p w14:paraId="0AF4B917">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0CDE5FA6">
      <w:pPr>
        <w:numPr>
          <w:ilvl w:val="0"/>
          <w:numId w:val="0"/>
        </w:numPr>
        <w:autoSpaceDE/>
        <w:autoSpaceDN/>
        <w:ind w:firstLine="0" w:firstLineChars="0"/>
        <w:jc w:val="center"/>
        <w:outlineLvl w:val="2"/>
        <w:rPr>
          <w:rFonts w:hint="eastAsia" w:ascii="Times New Roman" w:hAnsi="Times New Roman" w:eastAsia="宋体" w:cs="Times New Roman"/>
          <w:color w:val="auto"/>
          <w:highlight w:val="none"/>
          <w:lang w:eastAsia="zh-CN"/>
        </w:rPr>
      </w:pPr>
      <w:bookmarkStart w:id="859" w:name="_Toc19412"/>
      <w:bookmarkStart w:id="860" w:name="_Toc13136"/>
      <w:bookmarkStart w:id="861" w:name="_Toc30282"/>
      <w:r>
        <w:rPr>
          <w:rFonts w:hint="eastAsia" w:ascii="Times New Roman" w:hAnsi="Times New Roman" w:eastAsia="宋体" w:cs="Times New Roman"/>
          <w:color w:val="auto"/>
          <w:kern w:val="2"/>
          <w:sz w:val="21"/>
          <w:szCs w:val="20"/>
          <w:highlight w:val="none"/>
          <w:lang w:val="en-US" w:eastAsia="zh-CN" w:bidi="ar-SA"/>
        </w:rPr>
        <w:t>（</w:t>
      </w:r>
      <w:r>
        <w:rPr>
          <w:rFonts w:hint="eastAsia" w:cs="Times New Roman"/>
          <w:color w:val="auto"/>
          <w:kern w:val="2"/>
          <w:sz w:val="21"/>
          <w:szCs w:val="20"/>
          <w:highlight w:val="none"/>
          <w:lang w:val="en-US" w:eastAsia="zh-CN" w:bidi="ar-SA"/>
        </w:rPr>
        <w:t>七</w:t>
      </w:r>
      <w:r>
        <w:rPr>
          <w:rFonts w:hint="eastAsia" w:ascii="Times New Roman" w:hAnsi="Times New Roman" w:eastAsia="宋体" w:cs="Times New Roman"/>
          <w:color w:val="auto"/>
          <w:kern w:val="2"/>
          <w:sz w:val="21"/>
          <w:szCs w:val="20"/>
          <w:highlight w:val="none"/>
          <w:lang w:val="en-US" w:eastAsia="zh-CN" w:bidi="ar-SA"/>
        </w:rPr>
        <w:t>）</w:t>
      </w:r>
      <w:r>
        <w:rPr>
          <w:rFonts w:hint="eastAsia" w:ascii="Times New Roman" w:hAnsi="Times New Roman" w:cs="Times New Roman"/>
          <w:color w:val="auto"/>
          <w:highlight w:val="none"/>
          <w:lang w:val="en-US" w:eastAsia="zh-CN"/>
        </w:rPr>
        <w:t>其他（如有）</w:t>
      </w:r>
    </w:p>
    <w:p w14:paraId="5855C1CB">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D05FBD6">
      <w:pPr>
        <w:pStyle w:val="31"/>
        <w:rPr>
          <w:rFonts w:ascii="Times New Roman" w:hAnsi="Times New Roman"/>
          <w:color w:val="auto"/>
          <w:highlight w:val="none"/>
        </w:rPr>
      </w:pPr>
      <w:r>
        <w:rPr>
          <w:rFonts w:ascii="Times New Roman" w:hAnsi="Times New Roman"/>
          <w:color w:val="auto"/>
          <w:highlight w:val="none"/>
        </w:rPr>
        <w:t>五、参选保证金</w:t>
      </w:r>
      <w:bookmarkEnd w:id="859"/>
      <w:bookmarkEnd w:id="860"/>
      <w:bookmarkEnd w:id="861"/>
    </w:p>
    <w:p w14:paraId="1218C7D9">
      <w:pPr>
        <w:spacing w:line="360" w:lineRule="auto"/>
        <w:rPr>
          <w:rFonts w:ascii="Times New Roman" w:hAnsi="Times New Roman" w:cs="等线 Light"/>
          <w:color w:val="auto"/>
          <w:highlight w:val="none"/>
        </w:rPr>
      </w:pPr>
    </w:p>
    <w:p w14:paraId="368760B8">
      <w:pPr>
        <w:spacing w:line="360" w:lineRule="auto"/>
        <w:rPr>
          <w:rFonts w:ascii="Times New Roman" w:hAnsi="Times New Roman" w:cs="等线 Light"/>
          <w:color w:val="auto"/>
          <w:highlight w:val="none"/>
        </w:rPr>
      </w:pPr>
    </w:p>
    <w:p w14:paraId="1C845C6A">
      <w:pPr>
        <w:spacing w:line="360" w:lineRule="auto"/>
        <w:rPr>
          <w:rFonts w:ascii="Times New Roman" w:hAnsi="Times New Roman" w:cs="等线 Light"/>
          <w:color w:val="auto"/>
          <w:highlight w:val="none"/>
        </w:rPr>
      </w:pPr>
    </w:p>
    <w:p w14:paraId="0CD92B5C">
      <w:pPr>
        <w:spacing w:line="360" w:lineRule="auto"/>
        <w:rPr>
          <w:rFonts w:ascii="Times New Roman" w:hAnsi="Times New Roman" w:cs="等线 Light"/>
          <w:color w:val="auto"/>
          <w:highlight w:val="none"/>
        </w:rPr>
      </w:pPr>
    </w:p>
    <w:p w14:paraId="2455358F">
      <w:pPr>
        <w:spacing w:line="360" w:lineRule="auto"/>
        <w:rPr>
          <w:rFonts w:ascii="Times New Roman" w:hAnsi="Times New Roman" w:cs="等线 Light"/>
          <w:color w:val="auto"/>
          <w:highlight w:val="none"/>
        </w:rPr>
      </w:pPr>
    </w:p>
    <w:p w14:paraId="1A4FEE0C">
      <w:pPr>
        <w:spacing w:line="360" w:lineRule="auto"/>
        <w:rPr>
          <w:rFonts w:ascii="Times New Roman" w:hAnsi="Times New Roman" w:cs="等线 Light"/>
          <w:color w:val="auto"/>
          <w:highlight w:val="none"/>
        </w:rPr>
      </w:pPr>
    </w:p>
    <w:p w14:paraId="45B65451">
      <w:pPr>
        <w:spacing w:line="360" w:lineRule="auto"/>
        <w:rPr>
          <w:rFonts w:ascii="Times New Roman" w:hAnsi="Times New Roman" w:cs="等线 Light"/>
          <w:color w:val="auto"/>
          <w:highlight w:val="none"/>
        </w:rPr>
      </w:pPr>
    </w:p>
    <w:p w14:paraId="20C33A81">
      <w:pPr>
        <w:spacing w:line="360" w:lineRule="auto"/>
        <w:rPr>
          <w:rFonts w:ascii="Times New Roman" w:hAnsi="Times New Roman" w:cs="等线 Light"/>
          <w:color w:val="auto"/>
          <w:highlight w:val="none"/>
        </w:rPr>
      </w:pPr>
    </w:p>
    <w:p w14:paraId="4A418674">
      <w:pPr>
        <w:spacing w:line="360" w:lineRule="auto"/>
        <w:rPr>
          <w:rFonts w:ascii="Times New Roman" w:hAnsi="Times New Roman" w:cs="等线 Light"/>
          <w:color w:val="auto"/>
          <w:highlight w:val="none"/>
        </w:rPr>
      </w:pPr>
    </w:p>
    <w:p w14:paraId="4B2B8921">
      <w:pPr>
        <w:spacing w:line="360" w:lineRule="auto"/>
        <w:rPr>
          <w:rFonts w:ascii="Times New Roman" w:hAnsi="Times New Roman" w:cs="等线 Light"/>
          <w:color w:val="auto"/>
          <w:highlight w:val="none"/>
        </w:rPr>
      </w:pPr>
    </w:p>
    <w:p w14:paraId="1ABAFE3D">
      <w:pPr>
        <w:spacing w:line="360" w:lineRule="auto"/>
        <w:rPr>
          <w:rFonts w:ascii="Times New Roman" w:hAnsi="Times New Roman" w:cs="等线 Light"/>
          <w:color w:val="auto"/>
          <w:highlight w:val="none"/>
        </w:rPr>
      </w:pPr>
    </w:p>
    <w:p w14:paraId="378BE1AF">
      <w:pPr>
        <w:spacing w:line="360" w:lineRule="auto"/>
        <w:rPr>
          <w:rFonts w:ascii="Times New Roman" w:hAnsi="Times New Roman" w:cs="等线 Light"/>
          <w:color w:val="auto"/>
          <w:highlight w:val="none"/>
        </w:rPr>
      </w:pPr>
    </w:p>
    <w:p w14:paraId="5943621F">
      <w:pPr>
        <w:spacing w:line="360" w:lineRule="auto"/>
        <w:rPr>
          <w:rFonts w:ascii="Times New Roman" w:hAnsi="Times New Roman" w:cs="等线 Light"/>
          <w:color w:val="auto"/>
          <w:highlight w:val="none"/>
        </w:rPr>
      </w:pPr>
    </w:p>
    <w:p w14:paraId="5EE0AD5D">
      <w:pPr>
        <w:spacing w:line="360" w:lineRule="auto"/>
        <w:rPr>
          <w:rFonts w:ascii="Times New Roman" w:hAnsi="Times New Roman" w:cs="等线 Light"/>
          <w:color w:val="auto"/>
          <w:highlight w:val="none"/>
        </w:rPr>
      </w:pPr>
    </w:p>
    <w:p w14:paraId="5688A5B5">
      <w:pPr>
        <w:spacing w:line="360" w:lineRule="auto"/>
        <w:rPr>
          <w:rFonts w:ascii="Times New Roman" w:hAnsi="Times New Roman" w:cs="等线 Light"/>
          <w:color w:val="auto"/>
          <w:highlight w:val="none"/>
        </w:rPr>
      </w:pPr>
    </w:p>
    <w:p w14:paraId="4B155D9E">
      <w:pPr>
        <w:spacing w:line="360" w:lineRule="auto"/>
        <w:rPr>
          <w:rFonts w:ascii="Times New Roman" w:hAnsi="Times New Roman" w:cs="等线 Light"/>
          <w:color w:val="auto"/>
          <w:highlight w:val="none"/>
        </w:rPr>
      </w:pPr>
    </w:p>
    <w:p w14:paraId="73617234">
      <w:pPr>
        <w:spacing w:line="360" w:lineRule="auto"/>
        <w:rPr>
          <w:rFonts w:ascii="Times New Roman" w:hAnsi="Times New Roman" w:cs="等线 Light"/>
          <w:color w:val="auto"/>
          <w:highlight w:val="none"/>
        </w:rPr>
      </w:pPr>
    </w:p>
    <w:p w14:paraId="7A3E1DB8">
      <w:pPr>
        <w:spacing w:line="360" w:lineRule="auto"/>
        <w:rPr>
          <w:rFonts w:ascii="Times New Roman" w:hAnsi="Times New Roman" w:cs="等线 Light"/>
          <w:color w:val="auto"/>
          <w:highlight w:val="none"/>
        </w:rPr>
      </w:pPr>
    </w:p>
    <w:p w14:paraId="4F6D70A5">
      <w:pPr>
        <w:adjustRightInd w:val="0"/>
        <w:snapToGrid w:val="0"/>
        <w:spacing w:line="360" w:lineRule="auto"/>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14:paraId="6A1EA910">
      <w:pPr>
        <w:tabs>
          <w:tab w:val="left" w:pos="6300"/>
        </w:tabs>
        <w:snapToGrid w:val="0"/>
        <w:spacing w:line="360" w:lineRule="auto"/>
        <w:outlineLvl w:val="9"/>
        <w:rPr>
          <w:rFonts w:ascii="Times New Roman" w:hAnsi="Times New Roman"/>
          <w:snapToGrid w:val="0"/>
          <w:color w:val="auto"/>
          <w:kern w:val="0"/>
          <w:highlight w:val="none"/>
        </w:rPr>
      </w:pPr>
      <w:bookmarkStart w:id="862" w:name="_Toc15784"/>
      <w:bookmarkStart w:id="863" w:name="_Toc11315"/>
      <w:bookmarkStart w:id="864" w:name="_Toc17798"/>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bookmarkEnd w:id="862"/>
      <w:bookmarkEnd w:id="863"/>
      <w:bookmarkEnd w:id="864"/>
    </w:p>
    <w:p w14:paraId="32CBC850">
      <w:pPr>
        <w:spacing w:line="360" w:lineRule="auto"/>
        <w:rPr>
          <w:rFonts w:ascii="Times New Roman" w:hAnsi="Times New Roman" w:cs="等线 Light"/>
          <w:color w:val="auto"/>
          <w:sz w:val="21"/>
          <w:szCs w:val="21"/>
          <w:highlight w:val="none"/>
        </w:rPr>
      </w:pPr>
    </w:p>
    <w:p w14:paraId="63A230E2">
      <w:pPr>
        <w:spacing w:line="360" w:lineRule="auto"/>
        <w:rPr>
          <w:rFonts w:ascii="Times New Roman" w:hAnsi="Times New Roman" w:cs="等线 Light"/>
          <w:color w:val="auto"/>
          <w:szCs w:val="21"/>
          <w:highlight w:val="none"/>
        </w:rPr>
        <w:sectPr>
          <w:pgSz w:w="11906" w:h="16838"/>
          <w:pgMar w:top="1440" w:right="1800" w:bottom="1440" w:left="1800" w:header="851" w:footer="992" w:gutter="0"/>
          <w:cols w:space="720" w:num="1"/>
          <w:docGrid w:type="lines" w:linePitch="312" w:charSpace="0"/>
        </w:sectPr>
      </w:pPr>
    </w:p>
    <w:p w14:paraId="7D891C7F">
      <w:pPr>
        <w:pStyle w:val="31"/>
        <w:rPr>
          <w:rFonts w:ascii="Times New Roman" w:hAnsi="Times New Roman"/>
          <w:color w:val="auto"/>
          <w:highlight w:val="none"/>
        </w:rPr>
      </w:pPr>
      <w:bookmarkStart w:id="865" w:name="_Toc11501"/>
      <w:bookmarkStart w:id="866" w:name="_Toc575"/>
      <w:bookmarkStart w:id="867" w:name="_Toc7429"/>
      <w:r>
        <w:rPr>
          <w:rFonts w:ascii="Times New Roman" w:hAnsi="Times New Roman"/>
          <w:color w:val="auto"/>
          <w:highlight w:val="none"/>
        </w:rPr>
        <w:t>六、服务水平协议（SLA）</w:t>
      </w:r>
      <w:bookmarkEnd w:id="865"/>
      <w:bookmarkEnd w:id="866"/>
      <w:bookmarkEnd w:id="867"/>
    </w:p>
    <w:tbl>
      <w:tblPr>
        <w:tblStyle w:val="24"/>
        <w:tblW w:w="9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701"/>
        <w:gridCol w:w="1559"/>
        <w:gridCol w:w="1843"/>
        <w:gridCol w:w="1701"/>
      </w:tblGrid>
      <w:tr w14:paraId="2A0D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432FA">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77328">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9324F">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19A19">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服务标准</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388EA">
            <w:pPr>
              <w:widowControl/>
              <w:ind w:firstLine="0" w:firstLineChars="0"/>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指标计算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52E1D">
            <w:pPr>
              <w:widowControl/>
              <w:ind w:firstLine="0" w:firstLineChars="0"/>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服务水平要求</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294A0">
            <w:pPr>
              <w:widowControl/>
              <w:ind w:firstLine="0" w:firstLineChars="0"/>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违约金标准</w:t>
            </w:r>
          </w:p>
        </w:tc>
      </w:tr>
      <w:tr w14:paraId="114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E621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9321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68A7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8EF4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乙方在收到甲方任务后2个工作日内，向甲方反馈确认任务的实施方案、计划和工作量等</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502A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C0F3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乙方不得违反承诺响应时间</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332F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如违反承诺的响应时间要求，每次扣除1000元违约金</w:t>
            </w:r>
          </w:p>
        </w:tc>
      </w:tr>
      <w:tr w14:paraId="384A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7E23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FA52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项目延期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021F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衡量乙方对项目整体实施进度的控制能力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9045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乙方原因导致的项目进度偏差</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6FF8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按项目计划为基准计算进度偏差天数（进度偏差率≤20%）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EB59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进度偏差率=进度偏差天数/项目计划中进度天数（进度偏差率≤20%）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D00B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20%＜进度偏差率≤30%，每偏差一天按合同总金额的0.1%计违约金，进度偏差率＞30%并且延期3个月以上，违约金为合同总金额的10%</w:t>
            </w:r>
          </w:p>
        </w:tc>
      </w:tr>
      <w:tr w14:paraId="2065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D0C4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3A8E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06A0D">
            <w:pPr>
              <w:widowControl/>
              <w:snapToGrid w:val="0"/>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A40B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乙方应当在双方确认的时间内完成任务</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0CF93">
            <w:pPr>
              <w:widowControl/>
              <w:spacing w:line="300" w:lineRule="exact"/>
              <w:ind w:firstLine="0" w:firstLineChars="0"/>
              <w:rPr>
                <w:rFonts w:ascii="Times New Roman" w:hAnsi="Times New Roman" w:cs="Times New Roman"/>
                <w:color w:val="auto"/>
                <w:sz w:val="21"/>
                <w:szCs w:val="21"/>
                <w:highlight w:val="none"/>
              </w:rPr>
            </w:pPr>
          </w:p>
          <w:p w14:paraId="154226F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甲方标识出每一项任务完成的具体时间，对比乙方给出的任务完成计划时间</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0E92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1.需求分析说明、概要设计、详细设计100%完成；</w:t>
            </w:r>
          </w:p>
          <w:p w14:paraId="6B871DA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2.软件编码100%完成；</w:t>
            </w:r>
          </w:p>
          <w:p w14:paraId="5B882B6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3.测试案例需求覆盖率100%，且测试案例执行率100%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A7C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以上三个指标之一低于90%甲方有权终止合同，追回支付款项，要求赔偿损失</w:t>
            </w:r>
          </w:p>
        </w:tc>
      </w:tr>
      <w:tr w14:paraId="2009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9E2F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52BB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上线后重大质量缺陷</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1EB5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衡量乙方在系统上线运行后的稳定性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D19A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系统上线后不能发生较大运营中断事件和重大质量缺陷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316C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甲方根据系统生产缺陷程度和数量判定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D054D">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1、应用软件未出现III级(含)以上的运营中断事件；</w:t>
            </w:r>
          </w:p>
          <w:p w14:paraId="6E594CC4">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2、应用软件未出现严重缺陷和致命缺陷；</w:t>
            </w:r>
          </w:p>
          <w:p w14:paraId="3B783CC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3、一般和微小缺陷逃逸率≤4.5%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61B3C">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不满足该项任一标准扣除2万元违约金并要求乙方赔偿损失</w:t>
            </w:r>
          </w:p>
        </w:tc>
      </w:tr>
      <w:tr w14:paraId="1FA5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E6BB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DDD4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上线后重大问题处理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FD2E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衡量乙方在系统上线运行后及时处理重大问题的能力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C03E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上线后遗留问题或生产缺陷解决的及时性</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71AD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甲方根据系统上线运行后的重大问题处理情况判定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40DC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生产缺陷解决及时率=100%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91CD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重大生产缺陷、问题不能得到及时解决，每次按合同总金额的5%计违约金</w:t>
            </w:r>
          </w:p>
        </w:tc>
      </w:tr>
      <w:tr w14:paraId="641E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14E9A">
            <w:pPr>
              <w:widowControl/>
              <w:snapToGrid w:val="0"/>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544B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FD19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9C84F">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投入人员情况符合投标文件或合同要求，乙方项目组人员变动比例不得高于30%</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34EE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甲方按合同要求判定乙方人员投入及变动情况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B43D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人员数量差异=承诺人数-实际人数</w:t>
            </w:r>
          </w:p>
          <w:p w14:paraId="2F05976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人员变动率=人员变动人数/原项目组人员总人数</w:t>
            </w:r>
          </w:p>
          <w:p w14:paraId="393613A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（人员数量差异≤2；技术骨干及项目经理不得变动；技术人员变动率≤30%）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A4A5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技术骨干及项目经理变动扣除技术骨干人月单价（至少不低于3万元），技术人员变动超过30%，扣除合同总金额10%</w:t>
            </w:r>
          </w:p>
        </w:tc>
      </w:tr>
      <w:tr w14:paraId="7CF0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6A93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FC87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测试人员配置</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7770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衡量乙方投入系统测试人员的符合度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2C73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投入系统测试人员情况符合投标文件或合同要求</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FB90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甲方按照合同或标书要求判定乙方测试人员投入情况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02A3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人员重合率=测试人员/开发人员（人员重合率=0）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482D7">
            <w:pPr>
              <w:widowControl/>
              <w:spacing w:line="300" w:lineRule="exact"/>
              <w:ind w:firstLine="0" w:firstLineChars="0"/>
              <w:rPr>
                <w:rFonts w:ascii="Times New Roman" w:hAnsi="Times New Roman" w:cs="Times New Roman"/>
                <w:color w:val="auto"/>
                <w:sz w:val="21"/>
                <w:szCs w:val="21"/>
                <w:highlight w:val="none"/>
              </w:rPr>
            </w:pPr>
          </w:p>
        </w:tc>
      </w:tr>
      <w:tr w14:paraId="5B7A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F101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E0C6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30CFF">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6419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未经甲方同意，乙方人员辞职和离职或无计划的调离项目组</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6743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甲方根据乙方人员退出的具体时间和原因测算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2761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人员异常退出次数=0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CC9A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每次人员异常退出扣除乙方金额人民币1000元</w:t>
            </w:r>
          </w:p>
        </w:tc>
      </w:tr>
      <w:tr w14:paraId="2D9A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DDCF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AFA0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616E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5D97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乙方人员不得违反甲方的各项规章制度和操作规范</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6211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甲方根据自身检查及其他管理部门的检查结果为依据统计乙方人员违规次数。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D7D1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人员违规次数=0次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4AE57">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乙方人员违反甲方规章制度或操作规范，每次扣除乙方金额人民币500元</w:t>
            </w:r>
          </w:p>
        </w:tc>
      </w:tr>
      <w:tr w14:paraId="6E1E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4D51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10</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4FC5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安全管理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0255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衡量乙方网络和信息安全服务的管理能力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30982">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针对发现的安全漏洞及安全缺陷（包括源代码、第三方SDK或第三方小程序、第三方软件产品及开源组件等），须按甲方要求完成整改。</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7792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甲方根据整改情况统计整改及时性及整改通过率。</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023B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互联网或电子银行类系统：</w:t>
            </w:r>
          </w:p>
          <w:p w14:paraId="6D8B22D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1.安全漏洞及安全缺陷整改及时率=100%</w:t>
            </w:r>
          </w:p>
          <w:p w14:paraId="306E6A00">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2.安全漏洞及安全缺陷整改通过率=100%</w:t>
            </w:r>
          </w:p>
          <w:p w14:paraId="539CEEA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非互联网或电子银行类系统：</w:t>
            </w:r>
          </w:p>
          <w:p w14:paraId="69DA70F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1.中高危安全漏洞及安全缺陷整改及时率=100%</w:t>
            </w:r>
          </w:p>
          <w:p w14:paraId="1BE68E17">
            <w:pPr>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2.中高危安全漏洞及安全缺陷整改通过率=100%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5A49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不满足该项任一标准扣除2万元违约金并要求乙方赔偿损失</w:t>
            </w:r>
          </w:p>
        </w:tc>
      </w:tr>
      <w:tr w14:paraId="4DA8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73BC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3596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C8B7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FE7C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不得因乙方原因（含乙方合作的第三方）导致甲方发生网络安全事件</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65C53">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甲方根据监管和要求及事件危害程度判定。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DA84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网络安全事件=0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362A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每发生一次网络安全事件扣除乙方合同金额不低于3%,并要求乙方赔偿实际损失。</w:t>
            </w:r>
          </w:p>
        </w:tc>
      </w:tr>
      <w:tr w14:paraId="2027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6C03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1985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F1BBF">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C176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乙方不得出现危害甲方生产运行安全、数据安全等并造成后果的外包安全事件。</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B5B6F">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DDDF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外包安全事件=0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7549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每次事件扣罚乙方金额不低于人民币1000元，并要求乙方赔偿实际损失。</w:t>
            </w:r>
          </w:p>
        </w:tc>
      </w:tr>
      <w:tr w14:paraId="73E9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4E6D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E2C6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A7DF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AE10B">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交付文档数量及质量满足甲方要求</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18F1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F12A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文档实际交付数量不少于甲方要求数量（文档实际交付数量是指文档交付甲方后甲方确认文档质量并实际接收的文档数量）</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2B1B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文档每缺少一个扣除合同金额2000元；每有一个文档质量不合格扣除合同金额2000元</w:t>
            </w:r>
          </w:p>
        </w:tc>
      </w:tr>
      <w:tr w14:paraId="792D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E6A8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3926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服务满意度</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71DDC">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衡量甲方内部人员对乙方所提供服务的满意情况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DFF38">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服务满意度指标</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D17F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服务满意度评级判定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01965">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客户满意度级别为：1级（非常不满意）；2级（不满意）；3级（一般满意）；4级（满意）；5级（非常满意）（服务满意不低于3级）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1DF1A">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w:t>
            </w:r>
          </w:p>
        </w:tc>
      </w:tr>
      <w:tr w14:paraId="0787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79CD1">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2C5C0">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4D71E">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53B34">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衡量乙方达到要求的SLA占全部SLA的百分比。</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80846">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31FDD">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SLA满足率＝（满足SLA的个数/总体SLA的个数）×100%（SLA满足率≥70%）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89749">
            <w:pPr>
              <w:widowControl/>
              <w:spacing w:line="300" w:lineRule="exact"/>
              <w:ind w:firstLine="0" w:firstLineChars="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SLA满足率每低于标准5%，扣除合同总金额的1%</w:t>
            </w:r>
          </w:p>
        </w:tc>
      </w:tr>
    </w:tbl>
    <w:p w14:paraId="4184E64E">
      <w:pPr>
        <w:rPr>
          <w:rFonts w:ascii="Times New Roman" w:hAnsi="Times New Roman"/>
          <w:color w:val="auto"/>
          <w:highlight w:val="none"/>
        </w:rPr>
      </w:pPr>
    </w:p>
    <w:p w14:paraId="2B25FA29">
      <w:pPr>
        <w:rPr>
          <w:rFonts w:ascii="Times New Roman" w:hAnsi="Times New Roman"/>
          <w:color w:val="auto"/>
          <w:highlight w:val="none"/>
        </w:rPr>
      </w:pPr>
    </w:p>
    <w:p w14:paraId="4283368C">
      <w:pPr>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484826AF">
      <w:pPr>
        <w:pStyle w:val="31"/>
        <w:rPr>
          <w:rFonts w:ascii="Times New Roman" w:hAnsi="Times New Roman"/>
          <w:color w:val="auto"/>
          <w:highlight w:val="none"/>
        </w:rPr>
      </w:pPr>
      <w:bookmarkStart w:id="868" w:name="_Toc19633"/>
      <w:bookmarkStart w:id="869" w:name="_Toc20405"/>
      <w:bookmarkStart w:id="870" w:name="_Toc3671"/>
      <w:r>
        <w:rPr>
          <w:rFonts w:ascii="Times New Roman" w:hAnsi="Times New Roman"/>
          <w:color w:val="auto"/>
          <w:highlight w:val="none"/>
        </w:rPr>
        <w:t>七、其他（如有）</w:t>
      </w:r>
      <w:bookmarkEnd w:id="868"/>
      <w:bookmarkEnd w:id="869"/>
      <w:bookmarkEnd w:id="870"/>
    </w:p>
    <w:p w14:paraId="6B2264B2">
      <w:pPr>
        <w:rPr>
          <w:rFonts w:ascii="Times New Roman" w:hAnsi="Times New Roman"/>
          <w:color w:val="auto"/>
          <w:highlight w:val="none"/>
        </w:rPr>
      </w:pPr>
    </w:p>
    <w:p w14:paraId="3F8DFAF6">
      <w:pPr>
        <w:rPr>
          <w:rFonts w:ascii="Times New Roman" w:hAnsi="Times New Roman"/>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339C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8100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A1EE">
    <w:pPr>
      <w:pStyle w:val="1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4640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446684" cy="381000"/>
                      </a:xfrm>
                      <a:prstGeom prst="rect">
                        <a:avLst/>
                      </a:prstGeom>
                      <a:noFill/>
                      <a:ln w="6350" cap="flat" cmpd="sng">
                        <a:noFill/>
                        <a:prstDash val="solid"/>
                        <a:round/>
                      </a:ln>
                    </wps:spPr>
                    <wps:txbx>
                      <w:txbxContent>
                        <w:p w14:paraId="691A1820">
                          <w:pPr>
                            <w:pStyle w:val="17"/>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35.15pt;mso-position-horizontal:center;mso-position-horizontal-relative:margin;mso-wrap-style:none;z-index:251659264;mso-width-relative:page;mso-height-relative:page;" filled="f" stroked="f" coordsize="21600,21600" o:gfxdata="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XfuL7WAAAAAwEAAA8AAAAAAAAAAQAgAAAAIgAAAGRycy9k&#10;b3ducmV2LnhtbFBLAQIUABQAAAAIAIdO4kCIqobPBAIAAPQDAAAOAAAAAAAAAAEAIAAAACUBAABk&#10;cnMvZTJvRG9jLnhtbFBLBQYAAAAABgAGAFkBAACbBQAAAAA=&#10;">
              <v:fill on="f" focussize="0,0"/>
              <v:stroke on="f" weight="0.5pt" joinstyle="round"/>
              <v:imagedata o:title=""/>
              <o:lock v:ext="edit" aspectratio="f"/>
              <v:textbox inset="0mm,0mm,0mm,0mm" style="mso-fit-shape-to-text:t;">
                <w:txbxContent>
                  <w:p w14:paraId="691A1820">
                    <w:pPr>
                      <w:pStyle w:val="17"/>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C3633"/>
    <w:multiLevelType w:val="singleLevel"/>
    <w:tmpl w:val="A48C3633"/>
    <w:lvl w:ilvl="0" w:tentative="0">
      <w:start w:val="7"/>
      <w:numFmt w:val="decimal"/>
      <w:suff w:val="space"/>
      <w:lvlText w:val="%1."/>
      <w:lvlJc w:val="left"/>
    </w:lvl>
  </w:abstractNum>
  <w:abstractNum w:abstractNumId="1">
    <w:nsid w:val="E9D411CA"/>
    <w:multiLevelType w:val="singleLevel"/>
    <w:tmpl w:val="E9D411CA"/>
    <w:lvl w:ilvl="0" w:tentative="0">
      <w:start w:val="4"/>
      <w:numFmt w:val="chineseCounting"/>
      <w:suff w:val="nothing"/>
      <w:lvlText w:val="%1、"/>
      <w:lvlJc w:val="left"/>
      <w:rPr>
        <w:rFonts w:hint="eastAsia"/>
      </w:rPr>
    </w:lvl>
  </w:abstractNum>
  <w:abstractNum w:abstractNumId="2">
    <w:nsid w:val="FFFFFFFE"/>
    <w:multiLevelType w:val="singleLevel"/>
    <w:tmpl w:val="FFFFFFFE"/>
    <w:lvl w:ilvl="0" w:tentative="0">
      <w:start w:val="0"/>
      <w:numFmt w:val="decimal"/>
      <w:lvlText w:val="*"/>
      <w:lvlJc w:val="left"/>
      <w:pPr>
        <w:tabs>
          <w:tab w:val="left" w:pos="0"/>
        </w:tabs>
        <w:ind w:left="0" w:firstLine="0"/>
      </w:pPr>
    </w:lvl>
  </w:abstractNum>
  <w:abstractNum w:abstractNumId="3">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6">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7">
    <w:nsid w:val="1CA91B18"/>
    <w:multiLevelType w:val="singleLevel"/>
    <w:tmpl w:val="1CA91B18"/>
    <w:lvl w:ilvl="0" w:tentative="0">
      <w:start w:val="6"/>
      <w:numFmt w:val="chineseCounting"/>
      <w:suff w:val="nothing"/>
      <w:lvlText w:val="（%1）"/>
      <w:lvlJc w:val="left"/>
      <w:rPr>
        <w:rFonts w:hint="eastAsia"/>
      </w:rPr>
    </w:lvl>
  </w:abstractNum>
  <w:abstractNum w:abstractNumId="8">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9">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0"/>
  </w:num>
  <w:num w:numId="2">
    <w:abstractNumId w:val="6"/>
  </w:num>
  <w:num w:numId="3">
    <w:abstractNumId w:val="4"/>
  </w:num>
  <w:num w:numId="4">
    <w:abstractNumId w:val="3"/>
  </w:num>
  <w:num w:numId="5">
    <w:abstractNumId w:val="5"/>
  </w:num>
  <w:num w:numId="6">
    <w:abstractNumId w:val="9"/>
  </w:num>
  <w:num w:numId="7">
    <w:abstractNumId w:val="8"/>
  </w:num>
  <w:num w:numId="8">
    <w:abstractNumId w:val="2"/>
    <w:lvlOverride w:ilvl="0">
      <w:lvl w:ilvl="0" w:tentative="1">
        <w:start w:val="1"/>
        <w:numFmt w:val="bullet"/>
        <w:lvlText w:val=""/>
        <w:legacy w:legacy="1" w:legacySpace="0" w:legacyIndent="360"/>
        <w:lvlJc w:val="left"/>
        <w:pPr>
          <w:ind w:left="1080" w:hanging="360"/>
        </w:pPr>
        <w:rPr>
          <w:rFonts w:hint="default" w:ascii="Symbol" w:hAnsi="Symbol"/>
        </w:rPr>
      </w:lvl>
    </w:lvlOverride>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hmYmM2ZGU3Mjk4MzA4ZDkyYTRlNDQ1NGZiYzU0MzIifQ=="/>
  </w:docVars>
  <w:rsids>
    <w:rsidRoot w:val="00000000"/>
    <w:rsid w:val="00AD558A"/>
    <w:rsid w:val="00BF1A5B"/>
    <w:rsid w:val="039E740C"/>
    <w:rsid w:val="03B273E2"/>
    <w:rsid w:val="03F5179C"/>
    <w:rsid w:val="044E5D8A"/>
    <w:rsid w:val="04571784"/>
    <w:rsid w:val="045E1925"/>
    <w:rsid w:val="04BB4DCD"/>
    <w:rsid w:val="054134AD"/>
    <w:rsid w:val="059D4833"/>
    <w:rsid w:val="060E3656"/>
    <w:rsid w:val="06361B7E"/>
    <w:rsid w:val="06DF3FC3"/>
    <w:rsid w:val="07FA43EF"/>
    <w:rsid w:val="07FF3263"/>
    <w:rsid w:val="0ABB67A3"/>
    <w:rsid w:val="0B9730BE"/>
    <w:rsid w:val="0CDB522D"/>
    <w:rsid w:val="0D7C07BE"/>
    <w:rsid w:val="0DF7F84F"/>
    <w:rsid w:val="0E875C95"/>
    <w:rsid w:val="0F656030"/>
    <w:rsid w:val="0FB6424A"/>
    <w:rsid w:val="0FDF3F17"/>
    <w:rsid w:val="0FE73EE9"/>
    <w:rsid w:val="0FFFCED5"/>
    <w:rsid w:val="106F5BDF"/>
    <w:rsid w:val="10EE42C3"/>
    <w:rsid w:val="129F84AB"/>
    <w:rsid w:val="12FEFC1A"/>
    <w:rsid w:val="130D5033"/>
    <w:rsid w:val="14321BD6"/>
    <w:rsid w:val="159D8A94"/>
    <w:rsid w:val="177D9CA5"/>
    <w:rsid w:val="17B63EBF"/>
    <w:rsid w:val="17EE2324"/>
    <w:rsid w:val="17FFC632"/>
    <w:rsid w:val="18E436BB"/>
    <w:rsid w:val="18EDEAE0"/>
    <w:rsid w:val="194D74B2"/>
    <w:rsid w:val="198D4A90"/>
    <w:rsid w:val="199B021E"/>
    <w:rsid w:val="1A085187"/>
    <w:rsid w:val="1A160AC1"/>
    <w:rsid w:val="1A6B4094"/>
    <w:rsid w:val="1BCC6EA6"/>
    <w:rsid w:val="1BF767CA"/>
    <w:rsid w:val="1BFDACED"/>
    <w:rsid w:val="1C6B1261"/>
    <w:rsid w:val="1CA641C9"/>
    <w:rsid w:val="1CB9741D"/>
    <w:rsid w:val="1CEF792E"/>
    <w:rsid w:val="1CF5287D"/>
    <w:rsid w:val="1EBF675C"/>
    <w:rsid w:val="1EEFEBDD"/>
    <w:rsid w:val="1EF6992C"/>
    <w:rsid w:val="1EFE9920"/>
    <w:rsid w:val="1F301408"/>
    <w:rsid w:val="1F4924CA"/>
    <w:rsid w:val="1F5C3FAB"/>
    <w:rsid w:val="1FBF8771"/>
    <w:rsid w:val="1FFF83D1"/>
    <w:rsid w:val="20AB232C"/>
    <w:rsid w:val="213C3F39"/>
    <w:rsid w:val="213D605E"/>
    <w:rsid w:val="215B338C"/>
    <w:rsid w:val="22A85759"/>
    <w:rsid w:val="238E53B9"/>
    <w:rsid w:val="23D3C277"/>
    <w:rsid w:val="23F9FDEA"/>
    <w:rsid w:val="25187F60"/>
    <w:rsid w:val="256439E3"/>
    <w:rsid w:val="25A07F85"/>
    <w:rsid w:val="25F83AD3"/>
    <w:rsid w:val="25FE520A"/>
    <w:rsid w:val="26306192"/>
    <w:rsid w:val="263C181E"/>
    <w:rsid w:val="268D0EEE"/>
    <w:rsid w:val="273660C5"/>
    <w:rsid w:val="27C6AC74"/>
    <w:rsid w:val="27EF9DEC"/>
    <w:rsid w:val="27F59A5C"/>
    <w:rsid w:val="27F5B60D"/>
    <w:rsid w:val="29EEB02C"/>
    <w:rsid w:val="2A7F3DEF"/>
    <w:rsid w:val="2ADC0696"/>
    <w:rsid w:val="2B487ADA"/>
    <w:rsid w:val="2BFB45B0"/>
    <w:rsid w:val="2C5B67E3"/>
    <w:rsid w:val="2C8900F5"/>
    <w:rsid w:val="2CFFCA38"/>
    <w:rsid w:val="2D477EFE"/>
    <w:rsid w:val="2DCD25BB"/>
    <w:rsid w:val="2DCF9EA4"/>
    <w:rsid w:val="2E5A36C7"/>
    <w:rsid w:val="2E7B2E8D"/>
    <w:rsid w:val="2EBF2B0E"/>
    <w:rsid w:val="2F3CE5C9"/>
    <w:rsid w:val="2FAFAAEE"/>
    <w:rsid w:val="2FB60F7E"/>
    <w:rsid w:val="2FB6F038"/>
    <w:rsid w:val="2FBD7101"/>
    <w:rsid w:val="2FBE3303"/>
    <w:rsid w:val="2FDDB8CB"/>
    <w:rsid w:val="31BB1005"/>
    <w:rsid w:val="31C63B8E"/>
    <w:rsid w:val="31FF4197"/>
    <w:rsid w:val="32A9E004"/>
    <w:rsid w:val="32C738E5"/>
    <w:rsid w:val="32CB52DE"/>
    <w:rsid w:val="33125279"/>
    <w:rsid w:val="33485AA1"/>
    <w:rsid w:val="33578CD9"/>
    <w:rsid w:val="33A502DC"/>
    <w:rsid w:val="33AEEF91"/>
    <w:rsid w:val="33BFA586"/>
    <w:rsid w:val="33D76B6E"/>
    <w:rsid w:val="33E71CF5"/>
    <w:rsid w:val="33FB8E0A"/>
    <w:rsid w:val="341E74F2"/>
    <w:rsid w:val="342B2844"/>
    <w:rsid w:val="34602004"/>
    <w:rsid w:val="34ECAF1F"/>
    <w:rsid w:val="34FF7FD3"/>
    <w:rsid w:val="356406A8"/>
    <w:rsid w:val="356B1A24"/>
    <w:rsid w:val="356E2791"/>
    <w:rsid w:val="35BCA92E"/>
    <w:rsid w:val="35BF19F5"/>
    <w:rsid w:val="35EF10B2"/>
    <w:rsid w:val="35F63E83"/>
    <w:rsid w:val="36F70079"/>
    <w:rsid w:val="36FD3FFD"/>
    <w:rsid w:val="36FF9BDA"/>
    <w:rsid w:val="373F3835"/>
    <w:rsid w:val="37BDA9E2"/>
    <w:rsid w:val="37D77085"/>
    <w:rsid w:val="37EDD25E"/>
    <w:rsid w:val="37EE69BD"/>
    <w:rsid w:val="37FE3380"/>
    <w:rsid w:val="37FF73A8"/>
    <w:rsid w:val="3810197F"/>
    <w:rsid w:val="3828316D"/>
    <w:rsid w:val="382A0C93"/>
    <w:rsid w:val="38B656C3"/>
    <w:rsid w:val="395681E2"/>
    <w:rsid w:val="39BEB653"/>
    <w:rsid w:val="39BFE8A7"/>
    <w:rsid w:val="3A87378B"/>
    <w:rsid w:val="3A8E3775"/>
    <w:rsid w:val="3AFBFCFC"/>
    <w:rsid w:val="3B2F2020"/>
    <w:rsid w:val="3B9F58F1"/>
    <w:rsid w:val="3B9FF67F"/>
    <w:rsid w:val="3BAB4D4D"/>
    <w:rsid w:val="3BDC0282"/>
    <w:rsid w:val="3BDD7D48"/>
    <w:rsid w:val="3BF12242"/>
    <w:rsid w:val="3BF7E7B9"/>
    <w:rsid w:val="3BFF1307"/>
    <w:rsid w:val="3C2459F9"/>
    <w:rsid w:val="3CB42E7E"/>
    <w:rsid w:val="3CDE01D9"/>
    <w:rsid w:val="3D7D1F13"/>
    <w:rsid w:val="3D7D63D1"/>
    <w:rsid w:val="3DF16D4A"/>
    <w:rsid w:val="3DF2C8E5"/>
    <w:rsid w:val="3DF6822C"/>
    <w:rsid w:val="3DFDAE16"/>
    <w:rsid w:val="3E1D31DF"/>
    <w:rsid w:val="3E4744CC"/>
    <w:rsid w:val="3E4F828A"/>
    <w:rsid w:val="3E7DA6AB"/>
    <w:rsid w:val="3E8158FA"/>
    <w:rsid w:val="3E8A2F74"/>
    <w:rsid w:val="3ED744A3"/>
    <w:rsid w:val="3EDD9BE2"/>
    <w:rsid w:val="3EEF6BA9"/>
    <w:rsid w:val="3EF5144A"/>
    <w:rsid w:val="3EF54E6A"/>
    <w:rsid w:val="3EFDBCE0"/>
    <w:rsid w:val="3EFFF2EF"/>
    <w:rsid w:val="3F0F7254"/>
    <w:rsid w:val="3F3F0FD0"/>
    <w:rsid w:val="3F57172B"/>
    <w:rsid w:val="3F6B9E00"/>
    <w:rsid w:val="3F6F746B"/>
    <w:rsid w:val="3F6FE4C0"/>
    <w:rsid w:val="3F71AF36"/>
    <w:rsid w:val="3F7E6BBC"/>
    <w:rsid w:val="3F7F26C8"/>
    <w:rsid w:val="3F7F9E85"/>
    <w:rsid w:val="3F7FBB85"/>
    <w:rsid w:val="3FAFFD7D"/>
    <w:rsid w:val="3FB7617C"/>
    <w:rsid w:val="3FB9EA0A"/>
    <w:rsid w:val="3FCC77A1"/>
    <w:rsid w:val="3FCFCE0A"/>
    <w:rsid w:val="3FDF69C1"/>
    <w:rsid w:val="3FDFC4E3"/>
    <w:rsid w:val="3FECDEFE"/>
    <w:rsid w:val="3FEEFDC7"/>
    <w:rsid w:val="3FF6D1D2"/>
    <w:rsid w:val="3FFBC0AF"/>
    <w:rsid w:val="3FFEC83D"/>
    <w:rsid w:val="3FFF6FBE"/>
    <w:rsid w:val="415D5C35"/>
    <w:rsid w:val="417E7959"/>
    <w:rsid w:val="418036D2"/>
    <w:rsid w:val="41857D6A"/>
    <w:rsid w:val="41B6544C"/>
    <w:rsid w:val="41DA77E1"/>
    <w:rsid w:val="420D3F19"/>
    <w:rsid w:val="423821FE"/>
    <w:rsid w:val="42426BD9"/>
    <w:rsid w:val="43BF2D78"/>
    <w:rsid w:val="44BF09B5"/>
    <w:rsid w:val="44C0107D"/>
    <w:rsid w:val="44FF215F"/>
    <w:rsid w:val="45986DBD"/>
    <w:rsid w:val="46EDD0B8"/>
    <w:rsid w:val="479D1E1A"/>
    <w:rsid w:val="47C85DD2"/>
    <w:rsid w:val="47EA13E5"/>
    <w:rsid w:val="47FDFD95"/>
    <w:rsid w:val="498E6432"/>
    <w:rsid w:val="49F7F3AE"/>
    <w:rsid w:val="4B2B8F27"/>
    <w:rsid w:val="4BA33E2E"/>
    <w:rsid w:val="4BFCBEE3"/>
    <w:rsid w:val="4BFEACB3"/>
    <w:rsid w:val="4CA136C0"/>
    <w:rsid w:val="4CFF5EB3"/>
    <w:rsid w:val="4DDFFDA4"/>
    <w:rsid w:val="4DFB8041"/>
    <w:rsid w:val="4DFFF810"/>
    <w:rsid w:val="4E61452D"/>
    <w:rsid w:val="4E850579"/>
    <w:rsid w:val="4E9FEDDD"/>
    <w:rsid w:val="4EFEF91E"/>
    <w:rsid w:val="4F6F8C17"/>
    <w:rsid w:val="4F77C199"/>
    <w:rsid w:val="4F7F73B0"/>
    <w:rsid w:val="4F9F1175"/>
    <w:rsid w:val="4FD7659D"/>
    <w:rsid w:val="4FF7AA28"/>
    <w:rsid w:val="4FFF663C"/>
    <w:rsid w:val="50243731"/>
    <w:rsid w:val="50575F45"/>
    <w:rsid w:val="50C11611"/>
    <w:rsid w:val="5155331B"/>
    <w:rsid w:val="51F75D4B"/>
    <w:rsid w:val="51FFDBDC"/>
    <w:rsid w:val="52546BE0"/>
    <w:rsid w:val="52B07704"/>
    <w:rsid w:val="531B46D8"/>
    <w:rsid w:val="537F4823"/>
    <w:rsid w:val="53D578AD"/>
    <w:rsid w:val="53DD60A1"/>
    <w:rsid w:val="53EE6CC6"/>
    <w:rsid w:val="53FD761B"/>
    <w:rsid w:val="540006A2"/>
    <w:rsid w:val="54077C82"/>
    <w:rsid w:val="542D76E9"/>
    <w:rsid w:val="55326F81"/>
    <w:rsid w:val="559C4BB9"/>
    <w:rsid w:val="55EE560B"/>
    <w:rsid w:val="565FF867"/>
    <w:rsid w:val="566D7661"/>
    <w:rsid w:val="571D23FA"/>
    <w:rsid w:val="572BD59C"/>
    <w:rsid w:val="576E1C64"/>
    <w:rsid w:val="577B2E3E"/>
    <w:rsid w:val="577D7BD1"/>
    <w:rsid w:val="57FB1DDF"/>
    <w:rsid w:val="57FE54B0"/>
    <w:rsid w:val="57FFC098"/>
    <w:rsid w:val="582B1C5A"/>
    <w:rsid w:val="5848184B"/>
    <w:rsid w:val="587753D7"/>
    <w:rsid w:val="58D3053D"/>
    <w:rsid w:val="59AF70D2"/>
    <w:rsid w:val="59FF57DB"/>
    <w:rsid w:val="5A0A5DD6"/>
    <w:rsid w:val="5A0F1ABB"/>
    <w:rsid w:val="5A862593"/>
    <w:rsid w:val="5AEF499A"/>
    <w:rsid w:val="5AF435FF"/>
    <w:rsid w:val="5B5D279A"/>
    <w:rsid w:val="5B67ADFB"/>
    <w:rsid w:val="5B7B1BA6"/>
    <w:rsid w:val="5B7E6802"/>
    <w:rsid w:val="5B9D91DD"/>
    <w:rsid w:val="5BA39712"/>
    <w:rsid w:val="5BBF4D6D"/>
    <w:rsid w:val="5BCFFCEC"/>
    <w:rsid w:val="5BF18FCE"/>
    <w:rsid w:val="5BF73358"/>
    <w:rsid w:val="5C892A34"/>
    <w:rsid w:val="5CBC395E"/>
    <w:rsid w:val="5CDB0011"/>
    <w:rsid w:val="5CDF4144"/>
    <w:rsid w:val="5D7BC1BC"/>
    <w:rsid w:val="5DFB5462"/>
    <w:rsid w:val="5DFDEB41"/>
    <w:rsid w:val="5DFF31F7"/>
    <w:rsid w:val="5E5E8CD2"/>
    <w:rsid w:val="5E6D5522"/>
    <w:rsid w:val="5E9B0CD3"/>
    <w:rsid w:val="5EBE5D4F"/>
    <w:rsid w:val="5EBFBB6A"/>
    <w:rsid w:val="5ECBA172"/>
    <w:rsid w:val="5ED58997"/>
    <w:rsid w:val="5EF52274"/>
    <w:rsid w:val="5EFA033B"/>
    <w:rsid w:val="5EFB7271"/>
    <w:rsid w:val="5EFD5A02"/>
    <w:rsid w:val="5EFF86E1"/>
    <w:rsid w:val="5F0AD0A6"/>
    <w:rsid w:val="5F6E336C"/>
    <w:rsid w:val="5F6E5F23"/>
    <w:rsid w:val="5F7CFFF1"/>
    <w:rsid w:val="5F7E529D"/>
    <w:rsid w:val="5F7E645D"/>
    <w:rsid w:val="5F83406F"/>
    <w:rsid w:val="5FB71B4F"/>
    <w:rsid w:val="5FB78367"/>
    <w:rsid w:val="5FBB202C"/>
    <w:rsid w:val="5FC9F81C"/>
    <w:rsid w:val="5FD3014F"/>
    <w:rsid w:val="5FD65DD9"/>
    <w:rsid w:val="5FDE4664"/>
    <w:rsid w:val="5FE80B7C"/>
    <w:rsid w:val="5FED686F"/>
    <w:rsid w:val="5FEDDB37"/>
    <w:rsid w:val="5FEFFFF4"/>
    <w:rsid w:val="5FF7BF83"/>
    <w:rsid w:val="5FF7F77D"/>
    <w:rsid w:val="5FFB4A12"/>
    <w:rsid w:val="5FFB8D4B"/>
    <w:rsid w:val="5FFC4B08"/>
    <w:rsid w:val="5FFD951A"/>
    <w:rsid w:val="5FFE8F64"/>
    <w:rsid w:val="5FFF6805"/>
    <w:rsid w:val="5FFFA5C1"/>
    <w:rsid w:val="60C7316A"/>
    <w:rsid w:val="61065782"/>
    <w:rsid w:val="6266385B"/>
    <w:rsid w:val="62E89851"/>
    <w:rsid w:val="62EEC976"/>
    <w:rsid w:val="62FFD135"/>
    <w:rsid w:val="632F6030"/>
    <w:rsid w:val="63380C09"/>
    <w:rsid w:val="6364034A"/>
    <w:rsid w:val="63822E81"/>
    <w:rsid w:val="6388493C"/>
    <w:rsid w:val="63F61231"/>
    <w:rsid w:val="64406FC4"/>
    <w:rsid w:val="645A2260"/>
    <w:rsid w:val="64973E31"/>
    <w:rsid w:val="64CFB732"/>
    <w:rsid w:val="64D9B04C"/>
    <w:rsid w:val="64EF1B57"/>
    <w:rsid w:val="65474F82"/>
    <w:rsid w:val="65B512EC"/>
    <w:rsid w:val="65ECD6D1"/>
    <w:rsid w:val="65ED3050"/>
    <w:rsid w:val="65FF87CC"/>
    <w:rsid w:val="664E34EF"/>
    <w:rsid w:val="66D659BE"/>
    <w:rsid w:val="671EFE57"/>
    <w:rsid w:val="67FD1E53"/>
    <w:rsid w:val="67FF4D0C"/>
    <w:rsid w:val="67FF7D9F"/>
    <w:rsid w:val="684150B9"/>
    <w:rsid w:val="68B97345"/>
    <w:rsid w:val="68F0088D"/>
    <w:rsid w:val="68FB4594"/>
    <w:rsid w:val="697ABD49"/>
    <w:rsid w:val="697B120D"/>
    <w:rsid w:val="69EC9E49"/>
    <w:rsid w:val="69EEA2FE"/>
    <w:rsid w:val="69F7EF8E"/>
    <w:rsid w:val="6A257FD5"/>
    <w:rsid w:val="6AFF8687"/>
    <w:rsid w:val="6B347157"/>
    <w:rsid w:val="6B3783ED"/>
    <w:rsid w:val="6B97B99D"/>
    <w:rsid w:val="6BDD64F9"/>
    <w:rsid w:val="6BF7345E"/>
    <w:rsid w:val="6BFD5B0F"/>
    <w:rsid w:val="6BFF2B20"/>
    <w:rsid w:val="6C0407D9"/>
    <w:rsid w:val="6C206234"/>
    <w:rsid w:val="6CD721BA"/>
    <w:rsid w:val="6D090D5D"/>
    <w:rsid w:val="6D351BC9"/>
    <w:rsid w:val="6D5E459D"/>
    <w:rsid w:val="6D6C2929"/>
    <w:rsid w:val="6D733816"/>
    <w:rsid w:val="6D7467B7"/>
    <w:rsid w:val="6D93C2C8"/>
    <w:rsid w:val="6DCD8EF7"/>
    <w:rsid w:val="6DD644F6"/>
    <w:rsid w:val="6DDF975C"/>
    <w:rsid w:val="6DFED252"/>
    <w:rsid w:val="6E79660B"/>
    <w:rsid w:val="6E97A4F9"/>
    <w:rsid w:val="6EB73767"/>
    <w:rsid w:val="6EBB05C9"/>
    <w:rsid w:val="6EBF0AEB"/>
    <w:rsid w:val="6EBF82BD"/>
    <w:rsid w:val="6EF7755A"/>
    <w:rsid w:val="6EFFEA7F"/>
    <w:rsid w:val="6F3FC32E"/>
    <w:rsid w:val="6F615DEC"/>
    <w:rsid w:val="6F63625D"/>
    <w:rsid w:val="6F7FC917"/>
    <w:rsid w:val="6F8A37EA"/>
    <w:rsid w:val="6FB72478"/>
    <w:rsid w:val="6FE6CDC5"/>
    <w:rsid w:val="6FE7216B"/>
    <w:rsid w:val="6FEA2BAD"/>
    <w:rsid w:val="6FEB5AAE"/>
    <w:rsid w:val="6FEF7C82"/>
    <w:rsid w:val="6FF1927F"/>
    <w:rsid w:val="6FFB251B"/>
    <w:rsid w:val="6FFBE41A"/>
    <w:rsid w:val="6FFE0FB5"/>
    <w:rsid w:val="6FFF0C77"/>
    <w:rsid w:val="6FFF37B8"/>
    <w:rsid w:val="6FFF7B2A"/>
    <w:rsid w:val="6FFFB3B5"/>
    <w:rsid w:val="70E707C8"/>
    <w:rsid w:val="71B68C6C"/>
    <w:rsid w:val="71DF9944"/>
    <w:rsid w:val="71FF30B3"/>
    <w:rsid w:val="71FF46F0"/>
    <w:rsid w:val="723FFE9B"/>
    <w:rsid w:val="729A1F96"/>
    <w:rsid w:val="72BBA438"/>
    <w:rsid w:val="72BE9BEE"/>
    <w:rsid w:val="72E6F0F3"/>
    <w:rsid w:val="72FB85EC"/>
    <w:rsid w:val="732E057D"/>
    <w:rsid w:val="737DD192"/>
    <w:rsid w:val="73BD4455"/>
    <w:rsid w:val="73DF17BB"/>
    <w:rsid w:val="73DF4A0E"/>
    <w:rsid w:val="73F9C6A8"/>
    <w:rsid w:val="747E1443"/>
    <w:rsid w:val="749F881E"/>
    <w:rsid w:val="74B86703"/>
    <w:rsid w:val="74EFCE4A"/>
    <w:rsid w:val="74FF2425"/>
    <w:rsid w:val="74FFD173"/>
    <w:rsid w:val="752F5FD3"/>
    <w:rsid w:val="757F6118"/>
    <w:rsid w:val="757FE3E7"/>
    <w:rsid w:val="757FE482"/>
    <w:rsid w:val="75AA2E37"/>
    <w:rsid w:val="75C734BC"/>
    <w:rsid w:val="75DFC7A5"/>
    <w:rsid w:val="75F565E3"/>
    <w:rsid w:val="75F77C61"/>
    <w:rsid w:val="75FE4AE1"/>
    <w:rsid w:val="75FF4271"/>
    <w:rsid w:val="76427692"/>
    <w:rsid w:val="764BEC09"/>
    <w:rsid w:val="765E5955"/>
    <w:rsid w:val="767F60B6"/>
    <w:rsid w:val="76DBA685"/>
    <w:rsid w:val="76DF8C70"/>
    <w:rsid w:val="76E3311C"/>
    <w:rsid w:val="76E7A583"/>
    <w:rsid w:val="76FE443A"/>
    <w:rsid w:val="771F5560"/>
    <w:rsid w:val="7747B298"/>
    <w:rsid w:val="774BBA69"/>
    <w:rsid w:val="7773ED6F"/>
    <w:rsid w:val="7775E64E"/>
    <w:rsid w:val="777A91EB"/>
    <w:rsid w:val="777EC326"/>
    <w:rsid w:val="778B6833"/>
    <w:rsid w:val="77AFF47C"/>
    <w:rsid w:val="77BB0E81"/>
    <w:rsid w:val="77CF72C2"/>
    <w:rsid w:val="77DB2E5F"/>
    <w:rsid w:val="77DBA172"/>
    <w:rsid w:val="77EAD899"/>
    <w:rsid w:val="77EF766A"/>
    <w:rsid w:val="77F903C1"/>
    <w:rsid w:val="77FA6575"/>
    <w:rsid w:val="77FB2073"/>
    <w:rsid w:val="77FD83A7"/>
    <w:rsid w:val="77FDD3AD"/>
    <w:rsid w:val="77FE2543"/>
    <w:rsid w:val="77FE2E9C"/>
    <w:rsid w:val="77FF149C"/>
    <w:rsid w:val="77FF6655"/>
    <w:rsid w:val="77FFA05C"/>
    <w:rsid w:val="78717574"/>
    <w:rsid w:val="795B8C73"/>
    <w:rsid w:val="797641FD"/>
    <w:rsid w:val="7977527F"/>
    <w:rsid w:val="799A0ACD"/>
    <w:rsid w:val="79EF220B"/>
    <w:rsid w:val="7A480198"/>
    <w:rsid w:val="7A6DAEE5"/>
    <w:rsid w:val="7AA7D136"/>
    <w:rsid w:val="7ABC96B5"/>
    <w:rsid w:val="7AE63022"/>
    <w:rsid w:val="7AF9557C"/>
    <w:rsid w:val="7AFCD0EB"/>
    <w:rsid w:val="7AFF3EC2"/>
    <w:rsid w:val="7AFF7019"/>
    <w:rsid w:val="7B1FADA1"/>
    <w:rsid w:val="7B7D7399"/>
    <w:rsid w:val="7B8E9F97"/>
    <w:rsid w:val="7B9B37C8"/>
    <w:rsid w:val="7B9E11A4"/>
    <w:rsid w:val="7BB65505"/>
    <w:rsid w:val="7BBD6EBD"/>
    <w:rsid w:val="7BBF2C39"/>
    <w:rsid w:val="7BBFB73A"/>
    <w:rsid w:val="7BCEC555"/>
    <w:rsid w:val="7BD9C2A7"/>
    <w:rsid w:val="7BDF5F34"/>
    <w:rsid w:val="7BE781DB"/>
    <w:rsid w:val="7BEFCD93"/>
    <w:rsid w:val="7BF13134"/>
    <w:rsid w:val="7BF74425"/>
    <w:rsid w:val="7BFD2754"/>
    <w:rsid w:val="7BFD3307"/>
    <w:rsid w:val="7BFF3349"/>
    <w:rsid w:val="7C0641F8"/>
    <w:rsid w:val="7C6C632A"/>
    <w:rsid w:val="7C7F3BAB"/>
    <w:rsid w:val="7CC5DCAF"/>
    <w:rsid w:val="7CD4D330"/>
    <w:rsid w:val="7CDDF3B1"/>
    <w:rsid w:val="7CFFB5EF"/>
    <w:rsid w:val="7CFFEA41"/>
    <w:rsid w:val="7D07172C"/>
    <w:rsid w:val="7D523594"/>
    <w:rsid w:val="7D57FB29"/>
    <w:rsid w:val="7D58C63A"/>
    <w:rsid w:val="7D5FFE24"/>
    <w:rsid w:val="7D7471A2"/>
    <w:rsid w:val="7D76BA6F"/>
    <w:rsid w:val="7D77A91B"/>
    <w:rsid w:val="7D7E802D"/>
    <w:rsid w:val="7D7F7DE4"/>
    <w:rsid w:val="7D7FEC8D"/>
    <w:rsid w:val="7D8E5BD9"/>
    <w:rsid w:val="7D97E7E9"/>
    <w:rsid w:val="7D9E7F91"/>
    <w:rsid w:val="7DBF5347"/>
    <w:rsid w:val="7DDF693B"/>
    <w:rsid w:val="7DDFEE27"/>
    <w:rsid w:val="7DF701BD"/>
    <w:rsid w:val="7DFD7EDF"/>
    <w:rsid w:val="7DFF48EF"/>
    <w:rsid w:val="7DFF89BD"/>
    <w:rsid w:val="7DFFA923"/>
    <w:rsid w:val="7E2B2A1F"/>
    <w:rsid w:val="7E4B37BC"/>
    <w:rsid w:val="7E5F22E5"/>
    <w:rsid w:val="7E7310FC"/>
    <w:rsid w:val="7E9DD340"/>
    <w:rsid w:val="7EBD3867"/>
    <w:rsid w:val="7EDBBD70"/>
    <w:rsid w:val="7EDF14BC"/>
    <w:rsid w:val="7EEC686B"/>
    <w:rsid w:val="7EED7D8F"/>
    <w:rsid w:val="7EED9817"/>
    <w:rsid w:val="7EF1FBCD"/>
    <w:rsid w:val="7EF77F19"/>
    <w:rsid w:val="7EFBFBC8"/>
    <w:rsid w:val="7EFD1359"/>
    <w:rsid w:val="7EFE622C"/>
    <w:rsid w:val="7EFF1479"/>
    <w:rsid w:val="7EFF3D5A"/>
    <w:rsid w:val="7EFF8CC7"/>
    <w:rsid w:val="7EFF8E2C"/>
    <w:rsid w:val="7F026F6D"/>
    <w:rsid w:val="7F3B117E"/>
    <w:rsid w:val="7F5E8CE6"/>
    <w:rsid w:val="7F6818F7"/>
    <w:rsid w:val="7F6E7EA8"/>
    <w:rsid w:val="7F6F7BA4"/>
    <w:rsid w:val="7F76F361"/>
    <w:rsid w:val="7F79729C"/>
    <w:rsid w:val="7F7BBD5E"/>
    <w:rsid w:val="7F7C544B"/>
    <w:rsid w:val="7F7D2D90"/>
    <w:rsid w:val="7F7EAC3F"/>
    <w:rsid w:val="7F7EB4CE"/>
    <w:rsid w:val="7F820A3E"/>
    <w:rsid w:val="7F89308C"/>
    <w:rsid w:val="7F937875"/>
    <w:rsid w:val="7F9EFB76"/>
    <w:rsid w:val="7FAC4A36"/>
    <w:rsid w:val="7FB7A88F"/>
    <w:rsid w:val="7FB93CE9"/>
    <w:rsid w:val="7FBA33A3"/>
    <w:rsid w:val="7FBBAD1C"/>
    <w:rsid w:val="7FBD9DBF"/>
    <w:rsid w:val="7FBED335"/>
    <w:rsid w:val="7FD0C41C"/>
    <w:rsid w:val="7FDECCBB"/>
    <w:rsid w:val="7FDF06C4"/>
    <w:rsid w:val="7FDFD8B9"/>
    <w:rsid w:val="7FE213C1"/>
    <w:rsid w:val="7FE7356B"/>
    <w:rsid w:val="7FE9E793"/>
    <w:rsid w:val="7FEA1941"/>
    <w:rsid w:val="7FED7ED6"/>
    <w:rsid w:val="7FEE47B7"/>
    <w:rsid w:val="7FF1FBBC"/>
    <w:rsid w:val="7FF35E8D"/>
    <w:rsid w:val="7FF38B63"/>
    <w:rsid w:val="7FF3A666"/>
    <w:rsid w:val="7FF6F06B"/>
    <w:rsid w:val="7FF71260"/>
    <w:rsid w:val="7FF729DF"/>
    <w:rsid w:val="7FF7AADC"/>
    <w:rsid w:val="7FF7DDEE"/>
    <w:rsid w:val="7FF9128A"/>
    <w:rsid w:val="7FF9252A"/>
    <w:rsid w:val="7FF9D55A"/>
    <w:rsid w:val="7FFB0620"/>
    <w:rsid w:val="7FFB367D"/>
    <w:rsid w:val="7FFBF1F6"/>
    <w:rsid w:val="7FFBF62A"/>
    <w:rsid w:val="7FFD4847"/>
    <w:rsid w:val="7FFD9A92"/>
    <w:rsid w:val="7FFE2A0E"/>
    <w:rsid w:val="7FFEC368"/>
    <w:rsid w:val="7FFF1A5D"/>
    <w:rsid w:val="7FFF2D7C"/>
    <w:rsid w:val="7FFF4B04"/>
    <w:rsid w:val="7FFF6E39"/>
    <w:rsid w:val="7FFF973A"/>
    <w:rsid w:val="7FFFBB09"/>
    <w:rsid w:val="7FFFDCBA"/>
    <w:rsid w:val="7FFFDD42"/>
    <w:rsid w:val="878A717C"/>
    <w:rsid w:val="8AD7B351"/>
    <w:rsid w:val="8BBF6FFA"/>
    <w:rsid w:val="8DFBDEDD"/>
    <w:rsid w:val="8FAE77AF"/>
    <w:rsid w:val="8FF713FE"/>
    <w:rsid w:val="926786F2"/>
    <w:rsid w:val="9757C4E1"/>
    <w:rsid w:val="977FC686"/>
    <w:rsid w:val="97BF3C63"/>
    <w:rsid w:val="97DEF405"/>
    <w:rsid w:val="97FB0641"/>
    <w:rsid w:val="99EEE885"/>
    <w:rsid w:val="99F7DF85"/>
    <w:rsid w:val="99FE050D"/>
    <w:rsid w:val="9B9F952C"/>
    <w:rsid w:val="9BF657CA"/>
    <w:rsid w:val="9C77B661"/>
    <w:rsid w:val="9D9F5EC4"/>
    <w:rsid w:val="9DBFCCAD"/>
    <w:rsid w:val="9F1BACE7"/>
    <w:rsid w:val="9F67E0E0"/>
    <w:rsid w:val="9F7F5FD1"/>
    <w:rsid w:val="9FBF3477"/>
    <w:rsid w:val="9FE55197"/>
    <w:rsid w:val="9FFE97F6"/>
    <w:rsid w:val="9FFF62D1"/>
    <w:rsid w:val="A56F2397"/>
    <w:rsid w:val="A5EDA82F"/>
    <w:rsid w:val="A5FB2C61"/>
    <w:rsid w:val="A6F62E7B"/>
    <w:rsid w:val="AAEFCFC9"/>
    <w:rsid w:val="AB94DDC8"/>
    <w:rsid w:val="ADD570A2"/>
    <w:rsid w:val="ADE7A8EA"/>
    <w:rsid w:val="AE9E932A"/>
    <w:rsid w:val="AF3F2BA2"/>
    <w:rsid w:val="AFB6E331"/>
    <w:rsid w:val="AFBF834A"/>
    <w:rsid w:val="AFD7EF1A"/>
    <w:rsid w:val="AFF7A119"/>
    <w:rsid w:val="AFFDA6A9"/>
    <w:rsid w:val="AFFF233D"/>
    <w:rsid w:val="B2D91EB7"/>
    <w:rsid w:val="B2F39A1F"/>
    <w:rsid w:val="B3AFDE2A"/>
    <w:rsid w:val="B53F292E"/>
    <w:rsid w:val="B57E92FF"/>
    <w:rsid w:val="B5B8F41D"/>
    <w:rsid w:val="B5E357A7"/>
    <w:rsid w:val="B64DB326"/>
    <w:rsid w:val="B6BBB86F"/>
    <w:rsid w:val="B735CFA6"/>
    <w:rsid w:val="B75E9205"/>
    <w:rsid w:val="B7638176"/>
    <w:rsid w:val="B76E42AE"/>
    <w:rsid w:val="B76F2BB9"/>
    <w:rsid w:val="B77DDD4F"/>
    <w:rsid w:val="B7AEAAC5"/>
    <w:rsid w:val="B7BB89B0"/>
    <w:rsid w:val="B7C7C493"/>
    <w:rsid w:val="B7F75D9C"/>
    <w:rsid w:val="B85F85B6"/>
    <w:rsid w:val="B8FD68A7"/>
    <w:rsid w:val="B9BDAC19"/>
    <w:rsid w:val="B9C24F23"/>
    <w:rsid w:val="B9DF5FE1"/>
    <w:rsid w:val="B9FF512A"/>
    <w:rsid w:val="BA6F4B4C"/>
    <w:rsid w:val="BAFA45F8"/>
    <w:rsid w:val="BB583982"/>
    <w:rsid w:val="BB7856B5"/>
    <w:rsid w:val="BB7A276A"/>
    <w:rsid w:val="BBA31BFA"/>
    <w:rsid w:val="BBB52D95"/>
    <w:rsid w:val="BBDF9B0A"/>
    <w:rsid w:val="BBFA5BC4"/>
    <w:rsid w:val="BCD7D9C3"/>
    <w:rsid w:val="BD371B4A"/>
    <w:rsid w:val="BD37F53A"/>
    <w:rsid w:val="BD609840"/>
    <w:rsid w:val="BDE761B1"/>
    <w:rsid w:val="BDF7FA60"/>
    <w:rsid w:val="BDFBF6DF"/>
    <w:rsid w:val="BDFD1760"/>
    <w:rsid w:val="BDFF1C40"/>
    <w:rsid w:val="BEA10970"/>
    <w:rsid w:val="BEAF8E56"/>
    <w:rsid w:val="BEB55B01"/>
    <w:rsid w:val="BF774A1C"/>
    <w:rsid w:val="BF7AB2EC"/>
    <w:rsid w:val="BF7F251D"/>
    <w:rsid w:val="BF9DE9BE"/>
    <w:rsid w:val="BFB79169"/>
    <w:rsid w:val="BFBF65E9"/>
    <w:rsid w:val="BFCB00E8"/>
    <w:rsid w:val="BFD5BB48"/>
    <w:rsid w:val="BFD66226"/>
    <w:rsid w:val="BFD9C1CD"/>
    <w:rsid w:val="BFDDCD78"/>
    <w:rsid w:val="BFDF68F9"/>
    <w:rsid w:val="BFDFB816"/>
    <w:rsid w:val="BFDFC3B5"/>
    <w:rsid w:val="BFE5C468"/>
    <w:rsid w:val="BFEB8D64"/>
    <w:rsid w:val="BFED21CF"/>
    <w:rsid w:val="BFED4B96"/>
    <w:rsid w:val="BFF4BE5C"/>
    <w:rsid w:val="BFF90A46"/>
    <w:rsid w:val="BFFCFB07"/>
    <w:rsid w:val="BFFFB5F4"/>
    <w:rsid w:val="C67FD541"/>
    <w:rsid w:val="C6ECF5DE"/>
    <w:rsid w:val="C7793640"/>
    <w:rsid w:val="C78BF23E"/>
    <w:rsid w:val="C7B1DECA"/>
    <w:rsid w:val="C7BB2F94"/>
    <w:rsid w:val="C7DFF909"/>
    <w:rsid w:val="C8AB1601"/>
    <w:rsid w:val="C9FE2854"/>
    <w:rsid w:val="CADBBE2E"/>
    <w:rsid w:val="CB075AD9"/>
    <w:rsid w:val="CBCF32DB"/>
    <w:rsid w:val="CBEE6248"/>
    <w:rsid w:val="CBFAF614"/>
    <w:rsid w:val="CD37BB15"/>
    <w:rsid w:val="CDE9F118"/>
    <w:rsid w:val="CDEFCA84"/>
    <w:rsid w:val="CEEFF16A"/>
    <w:rsid w:val="CEFB2560"/>
    <w:rsid w:val="CEFB30F6"/>
    <w:rsid w:val="CF6F59C8"/>
    <w:rsid w:val="CFB7A85A"/>
    <w:rsid w:val="CFDFBFC3"/>
    <w:rsid w:val="CFE7A663"/>
    <w:rsid w:val="D2777C2D"/>
    <w:rsid w:val="D36EC91A"/>
    <w:rsid w:val="D36F6D22"/>
    <w:rsid w:val="D3CE8D39"/>
    <w:rsid w:val="D3F9C4F1"/>
    <w:rsid w:val="D5F7120F"/>
    <w:rsid w:val="D6776CE3"/>
    <w:rsid w:val="D67FCC5C"/>
    <w:rsid w:val="D6E7D7DC"/>
    <w:rsid w:val="D6F79BFC"/>
    <w:rsid w:val="D6FDAB10"/>
    <w:rsid w:val="D6FEAC4B"/>
    <w:rsid w:val="D73ECA04"/>
    <w:rsid w:val="D763D51E"/>
    <w:rsid w:val="D7DF960B"/>
    <w:rsid w:val="D7F3640E"/>
    <w:rsid w:val="D7F749DF"/>
    <w:rsid w:val="D7F7A034"/>
    <w:rsid w:val="D7FF02E8"/>
    <w:rsid w:val="D7FF6E8B"/>
    <w:rsid w:val="D9BFD6B0"/>
    <w:rsid w:val="D9D77D88"/>
    <w:rsid w:val="D9F64821"/>
    <w:rsid w:val="D9FD619E"/>
    <w:rsid w:val="DA73C920"/>
    <w:rsid w:val="DA799DA9"/>
    <w:rsid w:val="DA7FEE3F"/>
    <w:rsid w:val="DB9F823A"/>
    <w:rsid w:val="DBBB7856"/>
    <w:rsid w:val="DBF8366B"/>
    <w:rsid w:val="DCD3296C"/>
    <w:rsid w:val="DCF5582B"/>
    <w:rsid w:val="DD331B62"/>
    <w:rsid w:val="DD6DD5F9"/>
    <w:rsid w:val="DDBFFB9C"/>
    <w:rsid w:val="DDE7C0BD"/>
    <w:rsid w:val="DDEF816A"/>
    <w:rsid w:val="DDFD3B88"/>
    <w:rsid w:val="DDFD5BA5"/>
    <w:rsid w:val="DDFFBEE9"/>
    <w:rsid w:val="DE77CB7A"/>
    <w:rsid w:val="DE77EC50"/>
    <w:rsid w:val="DE7E3FEF"/>
    <w:rsid w:val="DEF433D0"/>
    <w:rsid w:val="DEFE4E80"/>
    <w:rsid w:val="DEFFC658"/>
    <w:rsid w:val="DEFFF431"/>
    <w:rsid w:val="DF2BE3D1"/>
    <w:rsid w:val="DF3E511F"/>
    <w:rsid w:val="DF6B07F6"/>
    <w:rsid w:val="DF6FC9B6"/>
    <w:rsid w:val="DF70E1AB"/>
    <w:rsid w:val="DF77044B"/>
    <w:rsid w:val="DF8F5987"/>
    <w:rsid w:val="DF9151BF"/>
    <w:rsid w:val="DFAF4215"/>
    <w:rsid w:val="DFBB6AB9"/>
    <w:rsid w:val="DFBE1F50"/>
    <w:rsid w:val="DFBF0903"/>
    <w:rsid w:val="DFCF82EA"/>
    <w:rsid w:val="DFFBA556"/>
    <w:rsid w:val="DFFD178E"/>
    <w:rsid w:val="DFFEEB2D"/>
    <w:rsid w:val="DFFF0799"/>
    <w:rsid w:val="DFFFB245"/>
    <w:rsid w:val="E1F31F48"/>
    <w:rsid w:val="E1FB6140"/>
    <w:rsid w:val="E2DFF259"/>
    <w:rsid w:val="E2FEE7DF"/>
    <w:rsid w:val="E36F5CCA"/>
    <w:rsid w:val="E3DFA24D"/>
    <w:rsid w:val="E5FB4AE4"/>
    <w:rsid w:val="E5FDE387"/>
    <w:rsid w:val="E6E8D47A"/>
    <w:rsid w:val="E75B868D"/>
    <w:rsid w:val="E77B7447"/>
    <w:rsid w:val="E77FB3B7"/>
    <w:rsid w:val="E7AB48B3"/>
    <w:rsid w:val="E7AF3031"/>
    <w:rsid w:val="E7BAFFFA"/>
    <w:rsid w:val="E7E67EC0"/>
    <w:rsid w:val="E7FF71FA"/>
    <w:rsid w:val="E80B050A"/>
    <w:rsid w:val="E9BD5427"/>
    <w:rsid w:val="E9D35C21"/>
    <w:rsid w:val="E9EC4081"/>
    <w:rsid w:val="E9F39351"/>
    <w:rsid w:val="EABF3E6F"/>
    <w:rsid w:val="EB1D7A4B"/>
    <w:rsid w:val="EBDF16E6"/>
    <w:rsid w:val="EBF7DA6E"/>
    <w:rsid w:val="EBFC9F4A"/>
    <w:rsid w:val="EBFDF287"/>
    <w:rsid w:val="EBFE6CD6"/>
    <w:rsid w:val="EBFF8DAA"/>
    <w:rsid w:val="EC41E704"/>
    <w:rsid w:val="ECE9F4B5"/>
    <w:rsid w:val="ED7A5696"/>
    <w:rsid w:val="EDB2A83B"/>
    <w:rsid w:val="EDDBB81E"/>
    <w:rsid w:val="EDF5BB49"/>
    <w:rsid w:val="EE3FBD6B"/>
    <w:rsid w:val="EE5DB93E"/>
    <w:rsid w:val="EE5DCD2A"/>
    <w:rsid w:val="EE7FE170"/>
    <w:rsid w:val="EEAF78FF"/>
    <w:rsid w:val="EEB9360C"/>
    <w:rsid w:val="EEBE1CAE"/>
    <w:rsid w:val="EED7EEC8"/>
    <w:rsid w:val="EEF51DC9"/>
    <w:rsid w:val="EEFF1401"/>
    <w:rsid w:val="EEFFF1F8"/>
    <w:rsid w:val="EF375298"/>
    <w:rsid w:val="EF5BEEDD"/>
    <w:rsid w:val="EF5DEB25"/>
    <w:rsid w:val="EF64AE10"/>
    <w:rsid w:val="EF7CF936"/>
    <w:rsid w:val="EF7DBC55"/>
    <w:rsid w:val="EF7E7485"/>
    <w:rsid w:val="EF8824DE"/>
    <w:rsid w:val="EF9B683A"/>
    <w:rsid w:val="EF9FFABD"/>
    <w:rsid w:val="EFA3B93E"/>
    <w:rsid w:val="EFBE5ED8"/>
    <w:rsid w:val="EFBF7FBA"/>
    <w:rsid w:val="EFC602C5"/>
    <w:rsid w:val="EFDF8E91"/>
    <w:rsid w:val="EFE27107"/>
    <w:rsid w:val="EFEA3237"/>
    <w:rsid w:val="EFEBB923"/>
    <w:rsid w:val="EFEF3E89"/>
    <w:rsid w:val="EFEFBDBD"/>
    <w:rsid w:val="EFF552A3"/>
    <w:rsid w:val="EFF5BA5E"/>
    <w:rsid w:val="EFFDDB84"/>
    <w:rsid w:val="EFFEFAF8"/>
    <w:rsid w:val="EFFF7D91"/>
    <w:rsid w:val="EFFFD7D0"/>
    <w:rsid w:val="F23236E7"/>
    <w:rsid w:val="F28B205C"/>
    <w:rsid w:val="F2A53656"/>
    <w:rsid w:val="F2EA7661"/>
    <w:rsid w:val="F2EDA0E7"/>
    <w:rsid w:val="F2FDB316"/>
    <w:rsid w:val="F37F6A35"/>
    <w:rsid w:val="F3BD7543"/>
    <w:rsid w:val="F3BFD00F"/>
    <w:rsid w:val="F3CF156E"/>
    <w:rsid w:val="F3DF04E7"/>
    <w:rsid w:val="F3EE264D"/>
    <w:rsid w:val="F3F765AE"/>
    <w:rsid w:val="F4DFDA76"/>
    <w:rsid w:val="F4FDE3F4"/>
    <w:rsid w:val="F5BF9BAA"/>
    <w:rsid w:val="F5D2F3BC"/>
    <w:rsid w:val="F5EBD729"/>
    <w:rsid w:val="F5F7D380"/>
    <w:rsid w:val="F5FD58F3"/>
    <w:rsid w:val="F5FDA9A2"/>
    <w:rsid w:val="F5FE62BF"/>
    <w:rsid w:val="F62FB134"/>
    <w:rsid w:val="F67B2E2D"/>
    <w:rsid w:val="F67BDEED"/>
    <w:rsid w:val="F6AF9BAD"/>
    <w:rsid w:val="F6DF6491"/>
    <w:rsid w:val="F6E9364F"/>
    <w:rsid w:val="F6EF430B"/>
    <w:rsid w:val="F6F64B3A"/>
    <w:rsid w:val="F6FD074B"/>
    <w:rsid w:val="F6FFD7BA"/>
    <w:rsid w:val="F74FDF43"/>
    <w:rsid w:val="F76F8B80"/>
    <w:rsid w:val="F76FE055"/>
    <w:rsid w:val="F7763BCB"/>
    <w:rsid w:val="F77D1199"/>
    <w:rsid w:val="F7BF525F"/>
    <w:rsid w:val="F7F4B16D"/>
    <w:rsid w:val="F7F651C3"/>
    <w:rsid w:val="F7F77D30"/>
    <w:rsid w:val="F7F78B75"/>
    <w:rsid w:val="F7FD9A89"/>
    <w:rsid w:val="F7FDE026"/>
    <w:rsid w:val="F7FEADF9"/>
    <w:rsid w:val="F7FF154F"/>
    <w:rsid w:val="F7FF7E06"/>
    <w:rsid w:val="F8BF0D38"/>
    <w:rsid w:val="F92B2511"/>
    <w:rsid w:val="F97501E6"/>
    <w:rsid w:val="F97F21C7"/>
    <w:rsid w:val="F9BF2059"/>
    <w:rsid w:val="F9DD75B5"/>
    <w:rsid w:val="F9FBD14C"/>
    <w:rsid w:val="F9FE975D"/>
    <w:rsid w:val="F9FF3F31"/>
    <w:rsid w:val="FA36982D"/>
    <w:rsid w:val="FA5FD95B"/>
    <w:rsid w:val="FA679574"/>
    <w:rsid w:val="FA7C0EF8"/>
    <w:rsid w:val="FABF1F76"/>
    <w:rsid w:val="FAC26AC6"/>
    <w:rsid w:val="FACEEF83"/>
    <w:rsid w:val="FB5ED74F"/>
    <w:rsid w:val="FB6727B9"/>
    <w:rsid w:val="FB6D5968"/>
    <w:rsid w:val="FBBEDB37"/>
    <w:rsid w:val="FBD99132"/>
    <w:rsid w:val="FBDF5793"/>
    <w:rsid w:val="FBE7340B"/>
    <w:rsid w:val="FBEF72A6"/>
    <w:rsid w:val="FBF69711"/>
    <w:rsid w:val="FBFF677A"/>
    <w:rsid w:val="FC7AC243"/>
    <w:rsid w:val="FC7DFABA"/>
    <w:rsid w:val="FC923771"/>
    <w:rsid w:val="FCBD6792"/>
    <w:rsid w:val="FCD30646"/>
    <w:rsid w:val="FCFDCEF6"/>
    <w:rsid w:val="FCFF629F"/>
    <w:rsid w:val="FD4B68A3"/>
    <w:rsid w:val="FD5F6A73"/>
    <w:rsid w:val="FD6F5848"/>
    <w:rsid w:val="FD6FEC51"/>
    <w:rsid w:val="FD717D98"/>
    <w:rsid w:val="FD77AB6A"/>
    <w:rsid w:val="FD7FCF77"/>
    <w:rsid w:val="FD93C072"/>
    <w:rsid w:val="FDB78C57"/>
    <w:rsid w:val="FDBA6B75"/>
    <w:rsid w:val="FDBD1EB5"/>
    <w:rsid w:val="FDBE8004"/>
    <w:rsid w:val="FDBF50D9"/>
    <w:rsid w:val="FDBFB157"/>
    <w:rsid w:val="FDD78101"/>
    <w:rsid w:val="FDDA2AEB"/>
    <w:rsid w:val="FDDBF7EB"/>
    <w:rsid w:val="FDDF2103"/>
    <w:rsid w:val="FDDF3432"/>
    <w:rsid w:val="FDE68C54"/>
    <w:rsid w:val="FDE7B97D"/>
    <w:rsid w:val="FDEFB2B9"/>
    <w:rsid w:val="FDF66283"/>
    <w:rsid w:val="FDF9A827"/>
    <w:rsid w:val="FDFA3C4C"/>
    <w:rsid w:val="FDFAB494"/>
    <w:rsid w:val="FDFCADB6"/>
    <w:rsid w:val="FDFF32ED"/>
    <w:rsid w:val="FDFFB81A"/>
    <w:rsid w:val="FDFFD721"/>
    <w:rsid w:val="FE3F0FC6"/>
    <w:rsid w:val="FE478372"/>
    <w:rsid w:val="FE4FB10D"/>
    <w:rsid w:val="FE55D8E6"/>
    <w:rsid w:val="FE6D7252"/>
    <w:rsid w:val="FE6D8E76"/>
    <w:rsid w:val="FE7BCA36"/>
    <w:rsid w:val="FE7EEA89"/>
    <w:rsid w:val="FE7F72DB"/>
    <w:rsid w:val="FE8B58D6"/>
    <w:rsid w:val="FEACF051"/>
    <w:rsid w:val="FEC3CADE"/>
    <w:rsid w:val="FECAB1B8"/>
    <w:rsid w:val="FECE7853"/>
    <w:rsid w:val="FEDD14C4"/>
    <w:rsid w:val="FEDD9273"/>
    <w:rsid w:val="FEDF11CC"/>
    <w:rsid w:val="FEF76600"/>
    <w:rsid w:val="FEFA8DC5"/>
    <w:rsid w:val="FEFE73CA"/>
    <w:rsid w:val="FEFE73E2"/>
    <w:rsid w:val="FEFF3220"/>
    <w:rsid w:val="FF1D88A7"/>
    <w:rsid w:val="FF1F9211"/>
    <w:rsid w:val="FF2FD0F9"/>
    <w:rsid w:val="FF3B2F0B"/>
    <w:rsid w:val="FF3B5393"/>
    <w:rsid w:val="FF3F0DDB"/>
    <w:rsid w:val="FF578B72"/>
    <w:rsid w:val="FF5E1663"/>
    <w:rsid w:val="FF67EB9A"/>
    <w:rsid w:val="FF6FBA19"/>
    <w:rsid w:val="FF6FBF11"/>
    <w:rsid w:val="FF7C10B9"/>
    <w:rsid w:val="FF7C45FB"/>
    <w:rsid w:val="FF7C52BB"/>
    <w:rsid w:val="FF7F7A43"/>
    <w:rsid w:val="FF8E89A0"/>
    <w:rsid w:val="FF93B608"/>
    <w:rsid w:val="FFB1D060"/>
    <w:rsid w:val="FFBBC243"/>
    <w:rsid w:val="FFBDD8F2"/>
    <w:rsid w:val="FFBF8BE1"/>
    <w:rsid w:val="FFBF8C71"/>
    <w:rsid w:val="FFBFE41C"/>
    <w:rsid w:val="FFC7F290"/>
    <w:rsid w:val="FFD3BDE4"/>
    <w:rsid w:val="FFD533EF"/>
    <w:rsid w:val="FFD719F7"/>
    <w:rsid w:val="FFD7A9A6"/>
    <w:rsid w:val="FFD7D928"/>
    <w:rsid w:val="FFDF0A1B"/>
    <w:rsid w:val="FFDFCA10"/>
    <w:rsid w:val="FFE27DC8"/>
    <w:rsid w:val="FFEBD86F"/>
    <w:rsid w:val="FFEC2BC9"/>
    <w:rsid w:val="FFEFED6A"/>
    <w:rsid w:val="FFF01310"/>
    <w:rsid w:val="FFF2A96B"/>
    <w:rsid w:val="FFF54EFB"/>
    <w:rsid w:val="FFF60CBF"/>
    <w:rsid w:val="FFF9BD72"/>
    <w:rsid w:val="FFFB215A"/>
    <w:rsid w:val="FFFBC5E3"/>
    <w:rsid w:val="FFFBD0DB"/>
    <w:rsid w:val="FFFC3EB7"/>
    <w:rsid w:val="FFFD1EF7"/>
    <w:rsid w:val="FFFDE493"/>
    <w:rsid w:val="FFFDE825"/>
    <w:rsid w:val="FFFE865A"/>
    <w:rsid w:val="FFFE88A3"/>
    <w:rsid w:val="FFFEB130"/>
    <w:rsid w:val="FFFEDACD"/>
    <w:rsid w:val="FFFF1120"/>
    <w:rsid w:val="FFFF9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2"/>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3"/>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4"/>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1"/>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45"/>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5">
    <w:name w:val="Default Paragraph Font"/>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next w:val="1"/>
    <w:qFormat/>
    <w:uiPriority w:val="0"/>
    <w:pPr>
      <w:spacing w:after="120" w:afterLines="0" w:afterAutospacing="0"/>
    </w:pPr>
  </w:style>
  <w:style w:type="paragraph" w:styleId="11">
    <w:name w:val="Body Text Indent"/>
    <w:basedOn w:val="1"/>
    <w:qFormat/>
    <w:uiPriority w:val="0"/>
    <w:pPr>
      <w:spacing w:after="120" w:afterLines="0" w:afterAutospacing="0"/>
      <w:ind w:left="420" w:left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after="120" w:afterLines="0" w:afterAutospacing="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1">
    <w:name w:val="toc 6"/>
    <w:basedOn w:val="1"/>
    <w:next w:val="1"/>
    <w:qFormat/>
    <w:uiPriority w:val="0"/>
    <w:pPr>
      <w:ind w:left="2100" w:leftChars="1000"/>
    </w:pPr>
  </w:style>
  <w:style w:type="paragraph" w:styleId="22">
    <w:name w:val="toc 2"/>
    <w:basedOn w:val="1"/>
    <w:next w:val="1"/>
    <w:qFormat/>
    <w:uiPriority w:val="0"/>
    <w:pPr>
      <w:ind w:left="420" w:leftChars="200"/>
    </w:pPr>
  </w:style>
  <w:style w:type="paragraph" w:styleId="23">
    <w:name w:val="annotation subject"/>
    <w:basedOn w:val="9"/>
    <w:next w:val="9"/>
    <w:qFormat/>
    <w:uiPriority w:val="0"/>
    <w:rPr>
      <w:b/>
    </w:rPr>
  </w:style>
  <w:style w:type="character" w:styleId="26">
    <w:name w:val="Strong"/>
    <w:basedOn w:val="25"/>
    <w:qFormat/>
    <w:uiPriority w:val="0"/>
    <w:rPr>
      <w:b/>
    </w:rPr>
  </w:style>
  <w:style w:type="character" w:styleId="27">
    <w:name w:val="page number"/>
    <w:basedOn w:val="25"/>
    <w:qFormat/>
    <w:uiPriority w:val="0"/>
  </w:style>
  <w:style w:type="character" w:styleId="28">
    <w:name w:val="annotation reference"/>
    <w:basedOn w:val="25"/>
    <w:qFormat/>
    <w:uiPriority w:val="0"/>
    <w:rPr>
      <w:sz w:val="21"/>
    </w:rPr>
  </w:style>
  <w:style w:type="character" w:customStyle="1" w:styleId="29">
    <w:name w:val="heading 4 Char"/>
    <w:link w:val="5"/>
    <w:qFormat/>
    <w:uiPriority w:val="0"/>
    <w:rPr>
      <w:rFonts w:cs="Times New Roman"/>
      <w:bCs/>
      <w:szCs w:val="28"/>
    </w:rPr>
  </w:style>
  <w:style w:type="character" w:customStyle="1" w:styleId="30">
    <w:name w:val="heading 5 Char"/>
    <w:link w:val="6"/>
    <w:qFormat/>
    <w:uiPriority w:val="0"/>
    <w:rPr>
      <w:rFonts w:ascii="Times New Roman" w:hAnsi="Times New Roman" w:eastAsia="宋体"/>
      <w:b/>
      <w:sz w:val="28"/>
    </w:rPr>
  </w:style>
  <w:style w:type="paragraph" w:customStyle="1" w:styleId="31">
    <w:name w:val="参选文件格式1"/>
    <w:basedOn w:val="1"/>
    <w:next w:val="1"/>
    <w:link w:val="32"/>
    <w:qFormat/>
    <w:uiPriority w:val="0"/>
    <w:pPr>
      <w:spacing w:line="360" w:lineRule="auto"/>
      <w:ind w:firstLine="0" w:firstLineChars="0"/>
      <w:jc w:val="center"/>
      <w:outlineLvl w:val="1"/>
    </w:pPr>
    <w:rPr>
      <w:rFonts w:hint="eastAsia" w:eastAsia="宋体"/>
      <w:b/>
      <w:sz w:val="28"/>
    </w:rPr>
  </w:style>
  <w:style w:type="character" w:customStyle="1" w:styleId="32">
    <w:name w:val="参选文件格式1 Char"/>
    <w:link w:val="31"/>
    <w:qFormat/>
    <w:uiPriority w:val="0"/>
    <w:rPr>
      <w:rFonts w:hint="eastAsia" w:eastAsia="宋体"/>
      <w:b/>
      <w:sz w:val="28"/>
    </w:rPr>
  </w:style>
  <w:style w:type="paragraph" w:customStyle="1" w:styleId="33">
    <w:name w:val="参选文件格式2"/>
    <w:basedOn w:val="1"/>
    <w:next w:val="1"/>
    <w:link w:val="46"/>
    <w:qFormat/>
    <w:uiPriority w:val="0"/>
    <w:pPr>
      <w:ind w:firstLine="0" w:firstLineChars="0"/>
      <w:jc w:val="center"/>
      <w:outlineLvl w:val="2"/>
    </w:pPr>
    <w:rPr>
      <w:rFonts w:eastAsia="宋体"/>
      <w:bCs/>
      <w:szCs w:val="32"/>
    </w:rPr>
  </w:style>
  <w:style w:type="paragraph" w:customStyle="1" w:styleId="34">
    <w:name w:val="参选文件格式3"/>
    <w:basedOn w:val="1"/>
    <w:link w:val="35"/>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5">
    <w:name w:val="参选文件格式3 Char"/>
    <w:link w:val="34"/>
    <w:qFormat/>
    <w:uiPriority w:val="0"/>
    <w:rPr>
      <w:rFonts w:hint="eastAsia" w:ascii="宋体" w:hAnsi="宋体" w:eastAsia="宋体"/>
      <w:b/>
      <w:snapToGrid w:val="0"/>
      <w:kern w:val="0"/>
      <w:u w:val="none"/>
    </w:rPr>
  </w:style>
  <w:style w:type="character" w:customStyle="1" w:styleId="36">
    <w:name w:val="font11"/>
    <w:basedOn w:val="25"/>
    <w:qFormat/>
    <w:uiPriority w:val="0"/>
    <w:rPr>
      <w:rFonts w:ascii="宋体" w:hAnsi="宋体" w:eastAsia="宋体" w:cs="宋体"/>
      <w:b/>
      <w:bCs/>
      <w:color w:val="000000"/>
      <w:sz w:val="21"/>
      <w:szCs w:val="21"/>
      <w:u w:val="none"/>
    </w:rPr>
  </w:style>
  <w:style w:type="character" w:customStyle="1" w:styleId="37">
    <w:name w:val="font21"/>
    <w:basedOn w:val="25"/>
    <w:qFormat/>
    <w:uiPriority w:val="0"/>
    <w:rPr>
      <w:rFonts w:ascii="宋体" w:hAnsi="宋体" w:eastAsia="宋体" w:cs="宋体"/>
      <w:color w:val="000000"/>
      <w:sz w:val="21"/>
      <w:szCs w:val="21"/>
      <w:u w:val="none"/>
    </w:rPr>
  </w:style>
  <w:style w:type="character" w:customStyle="1" w:styleId="38">
    <w:name w:val="font31"/>
    <w:basedOn w:val="25"/>
    <w:qFormat/>
    <w:uiPriority w:val="0"/>
    <w:rPr>
      <w:rFonts w:ascii="宋体" w:hAnsi="宋体" w:eastAsia="宋体" w:cs="宋体"/>
      <w:color w:val="FF0000"/>
      <w:sz w:val="21"/>
      <w:szCs w:val="21"/>
      <w:u w:val="none"/>
    </w:rPr>
  </w:style>
  <w:style w:type="paragraph" w:styleId="39">
    <w:name w:val="List Paragraph"/>
    <w:basedOn w:val="1"/>
    <w:next w:val="19"/>
    <w:qFormat/>
    <w:uiPriority w:val="0"/>
    <w:pPr>
      <w:widowControl w:val="0"/>
      <w:autoSpaceDE w:val="0"/>
      <w:autoSpaceDN w:val="0"/>
      <w:spacing w:line="600" w:lineRule="exact"/>
      <w:ind w:firstLine="200" w:firstLineChars="200"/>
      <w:jc w:val="both"/>
    </w:pPr>
    <w:rPr>
      <w:rFonts w:ascii="Calibri" w:hAnsi="Calibri" w:eastAsia="宋体" w:cs="Cambria Math"/>
      <w:kern w:val="2"/>
      <w:sz w:val="24"/>
      <w:szCs w:val="22"/>
      <w:lang w:val="en-US" w:eastAsia="zh-CN" w:bidi="ar-SA"/>
    </w:rPr>
  </w:style>
  <w:style w:type="character" w:customStyle="1" w:styleId="40">
    <w:name w:val="font_text_1"/>
    <w:qFormat/>
    <w:uiPriority w:val="0"/>
    <w:rPr>
      <w:rFonts w:ascii="Cambria Math" w:hAnsi="Cambria Math" w:eastAsia="宋体" w:cs="Cambria Math"/>
      <w:color w:val="auto"/>
      <w:kern w:val="2"/>
      <w:sz w:val="24"/>
      <w:szCs w:val="20"/>
      <w:lang w:val="en-US" w:eastAsia="zh-CN" w:bidi="ar-SA"/>
    </w:rPr>
  </w:style>
  <w:style w:type="character" w:customStyle="1" w:styleId="41">
    <w:name w:val="标题 4 Char"/>
    <w:link w:val="5"/>
    <w:qFormat/>
    <w:uiPriority w:val="0"/>
    <w:rPr>
      <w:rFonts w:cs="Times New Roman"/>
      <w:bCs/>
      <w:szCs w:val="28"/>
    </w:rPr>
  </w:style>
  <w:style w:type="character" w:customStyle="1" w:styleId="42">
    <w:name w:val="标题 1 Char"/>
    <w:basedOn w:val="25"/>
    <w:link w:val="2"/>
    <w:qFormat/>
    <w:uiPriority w:val="0"/>
    <w:rPr>
      <w:rFonts w:ascii="Times New Roman" w:hAnsi="Times New Roman" w:eastAsia="宋体" w:cs="等线 Light"/>
      <w:b/>
      <w:snapToGrid w:val="0"/>
      <w:kern w:val="0"/>
      <w:sz w:val="44"/>
      <w:szCs w:val="44"/>
    </w:rPr>
  </w:style>
  <w:style w:type="character" w:customStyle="1" w:styleId="43">
    <w:name w:val="标题 2 Char"/>
    <w:basedOn w:val="25"/>
    <w:link w:val="3"/>
    <w:qFormat/>
    <w:uiPriority w:val="9"/>
    <w:rPr>
      <w:rFonts w:ascii="Times New Roman" w:hAnsi="Times New Roman" w:eastAsia="宋体" w:cstheme="majorBidi"/>
      <w:b/>
      <w:bCs/>
      <w:snapToGrid w:val="0"/>
      <w:szCs w:val="24"/>
    </w:rPr>
  </w:style>
  <w:style w:type="character" w:customStyle="1" w:styleId="44">
    <w:name w:val="标题 3 Char"/>
    <w:basedOn w:val="25"/>
    <w:link w:val="4"/>
    <w:qFormat/>
    <w:uiPriority w:val="9"/>
    <w:rPr>
      <w:b/>
      <w:bCs/>
      <w:szCs w:val="32"/>
    </w:rPr>
  </w:style>
  <w:style w:type="character" w:customStyle="1" w:styleId="45">
    <w:name w:val="标题 5 Char"/>
    <w:link w:val="6"/>
    <w:qFormat/>
    <w:uiPriority w:val="0"/>
    <w:rPr>
      <w:rFonts w:ascii="Times New Roman" w:hAnsi="Times New Roman" w:eastAsia="宋体"/>
      <w:b/>
      <w:sz w:val="28"/>
    </w:rPr>
  </w:style>
  <w:style w:type="character" w:customStyle="1" w:styleId="46">
    <w:name w:val="参选文件格式2 Char"/>
    <w:link w:val="33"/>
    <w:qFormat/>
    <w:uiPriority w:val="0"/>
    <w:rPr>
      <w:rFonts w:eastAsia="宋体"/>
      <w:bCs/>
      <w:szCs w:val="32"/>
    </w:rPr>
  </w:style>
  <w:style w:type="paragraph" w:customStyle="1" w:styleId="47">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48">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49">
    <w:name w:val="标题2（无级别）"/>
    <w:basedOn w:val="1"/>
    <w:next w:val="1"/>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0">
    <w:name w:val="标题3（无级别）"/>
    <w:basedOn w:val="1"/>
    <w:next w:val="1"/>
    <w:qFormat/>
    <w:uiPriority w:val="0"/>
    <w:pPr>
      <w:outlineLvl w:val="9"/>
    </w:pPr>
    <w:rPr>
      <w:rFonts w:hint="eastAsia" w:ascii="Times New Roman" w:hAnsi="Times New Roman"/>
      <w:b/>
      <w:bCs/>
      <w:sz w:val="21"/>
      <w:szCs w:val="32"/>
    </w:rPr>
  </w:style>
  <w:style w:type="paragraph" w:customStyle="1" w:styleId="51">
    <w:name w:val="无间隔1"/>
    <w:basedOn w:val="1"/>
    <w:qFormat/>
    <w:uiPriority w:val="0"/>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109</Pages>
  <Words>10266</Words>
  <Characters>11048</Characters>
  <Lines>0</Lines>
  <Paragraphs>1394</Paragraphs>
  <TotalTime>3</TotalTime>
  <ScaleCrop>false</ScaleCrop>
  <LinksUpToDate>false</LinksUpToDate>
  <CharactersWithSpaces>11321</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2024-01-18T14:16:00Z</dcterms:created>
  <dc:creator>admin</dc:creator>
  <cp:lastModifiedBy>张婷</cp:lastModifiedBy>
  <cp:lastPrinted>2024-01-21T17:29:00Z</cp:lastPrinted>
  <dcterms:modified xsi:type="dcterms:W3CDTF">2024-12-10T08:31:36Z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6A02E0BFBD1D43459CEEF0B5D62E5836_13</vt:lpwstr>
  </property>
</Properties>
</file>