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7F21E">
      <w:pPr>
        <w:spacing w:before="156" w:line="360" w:lineRule="auto"/>
        <w:ind w:right="240" w:rightChars="100" w:firstLine="0" w:firstLineChars="0"/>
        <w:jc w:val="center"/>
        <w:rPr>
          <w:rFonts w:ascii="Times New Roman" w:hAnsi="Times New Roman" w:cs="Times New Roman"/>
          <w:b/>
          <w:snapToGrid w:val="0"/>
          <w:kern w:val="0"/>
          <w:sz w:val="48"/>
          <w:szCs w:val="84"/>
          <w:highlight w:val="none"/>
        </w:rPr>
      </w:pPr>
    </w:p>
    <w:p w14:paraId="42B0340D">
      <w:pPr>
        <w:spacing w:before="156" w:line="360" w:lineRule="auto"/>
        <w:ind w:right="240" w:rightChars="100"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7CC9B7AD">
      <w:pPr>
        <w:spacing w:before="156" w:line="360" w:lineRule="auto"/>
        <w:ind w:right="240" w:rightChars="100" w:firstLine="0" w:firstLineChars="0"/>
        <w:jc w:val="center"/>
        <w:rPr>
          <w:rFonts w:ascii="Times New Roman" w:hAnsi="Times New Roman" w:cs="Times New Roman"/>
          <w:b/>
          <w:snapToGrid w:val="0"/>
          <w:kern w:val="0"/>
          <w:sz w:val="48"/>
          <w:szCs w:val="84"/>
          <w:highlight w:val="none"/>
        </w:rPr>
      </w:pPr>
      <w:r>
        <w:rPr>
          <w:rFonts w:ascii="Times New Roman" w:hAnsi="Times New Roman" w:cs="Times New Roman"/>
          <w:b/>
          <w:snapToGrid w:val="0"/>
          <w:kern w:val="0"/>
          <w:sz w:val="48"/>
          <w:szCs w:val="84"/>
          <w:highlight w:val="none"/>
        </w:rPr>
        <w:t>2025-2028年度数据中心运维耗材采购项目</w:t>
      </w:r>
    </w:p>
    <w:p w14:paraId="619869B2">
      <w:pPr>
        <w:spacing w:before="156" w:line="360" w:lineRule="auto"/>
        <w:ind w:right="240" w:rightChars="100" w:firstLine="0" w:firstLineChars="0"/>
        <w:jc w:val="center"/>
        <w:rPr>
          <w:rFonts w:ascii="Times New Roman" w:hAnsi="Times New Roman" w:cs="Times New Roman"/>
          <w:snapToGrid w:val="0"/>
          <w:kern w:val="0"/>
          <w:sz w:val="20"/>
          <w:highlight w:val="none"/>
        </w:rPr>
      </w:pPr>
    </w:p>
    <w:p w14:paraId="2F1BC9A0">
      <w:pPr>
        <w:spacing w:before="156" w:line="360" w:lineRule="auto"/>
        <w:ind w:right="240" w:rightChars="100" w:firstLine="0" w:firstLineChars="0"/>
        <w:jc w:val="left"/>
        <w:rPr>
          <w:rFonts w:ascii="Times New Roman" w:hAnsi="Times New Roman" w:cs="Times New Roman"/>
          <w:snapToGrid w:val="0"/>
          <w:kern w:val="0"/>
          <w:sz w:val="20"/>
          <w:highlight w:val="none"/>
        </w:rPr>
      </w:pPr>
    </w:p>
    <w:p w14:paraId="5812D18C">
      <w:pPr>
        <w:spacing w:before="156" w:line="360" w:lineRule="auto"/>
        <w:ind w:right="240" w:rightChars="100" w:firstLine="0" w:firstLineChars="0"/>
        <w:jc w:val="left"/>
        <w:rPr>
          <w:rFonts w:ascii="Times New Roman" w:hAnsi="Times New Roman" w:cs="Times New Roman"/>
          <w:snapToGrid w:val="0"/>
          <w:kern w:val="0"/>
          <w:sz w:val="20"/>
          <w:highlight w:val="none"/>
        </w:rPr>
      </w:pPr>
    </w:p>
    <w:p w14:paraId="64FDBA34">
      <w:pPr>
        <w:spacing w:before="156" w:line="360" w:lineRule="auto"/>
        <w:ind w:right="240" w:rightChars="100" w:firstLine="0" w:firstLineChars="0"/>
        <w:jc w:val="left"/>
        <w:rPr>
          <w:rFonts w:ascii="Times New Roman" w:hAnsi="Times New Roman" w:cs="Times New Roman"/>
          <w:snapToGrid w:val="0"/>
          <w:kern w:val="0"/>
          <w:sz w:val="20"/>
          <w:highlight w:val="none"/>
        </w:rPr>
      </w:pPr>
    </w:p>
    <w:p w14:paraId="74DD4EA1">
      <w:pPr>
        <w:spacing w:before="156" w:line="360" w:lineRule="auto"/>
        <w:ind w:right="240" w:rightChars="100" w:firstLine="0" w:firstLineChars="0"/>
        <w:jc w:val="left"/>
        <w:rPr>
          <w:rFonts w:ascii="Times New Roman" w:hAnsi="Times New Roman" w:cs="Times New Roman"/>
          <w:snapToGrid w:val="0"/>
          <w:kern w:val="0"/>
          <w:sz w:val="20"/>
          <w:highlight w:val="none"/>
        </w:rPr>
      </w:pPr>
    </w:p>
    <w:p w14:paraId="691E6C59">
      <w:pPr>
        <w:spacing w:before="156" w:line="360" w:lineRule="auto"/>
        <w:ind w:right="240" w:rightChars="100" w:firstLine="0" w:firstLineChars="0"/>
        <w:jc w:val="left"/>
        <w:rPr>
          <w:rFonts w:ascii="Times New Roman" w:hAnsi="Times New Roman" w:cs="Times New Roman"/>
          <w:snapToGrid w:val="0"/>
          <w:kern w:val="0"/>
          <w:sz w:val="20"/>
          <w:highlight w:val="none"/>
        </w:rPr>
      </w:pPr>
    </w:p>
    <w:p w14:paraId="4F2F87E5">
      <w:pPr>
        <w:spacing w:before="156" w:line="360" w:lineRule="auto"/>
        <w:ind w:right="240" w:rightChars="100"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6D7D35CE">
      <w:pPr>
        <w:spacing w:before="156"/>
        <w:ind w:right="240" w:rightChars="100" w:firstLine="480"/>
        <w:rPr>
          <w:rFonts w:ascii="Times New Roman" w:hAnsi="Times New Roman"/>
          <w:highlight w:val="none"/>
        </w:rPr>
      </w:pPr>
    </w:p>
    <w:p w14:paraId="778602F7">
      <w:pPr>
        <w:spacing w:before="156"/>
        <w:ind w:right="240" w:rightChars="100" w:firstLine="480"/>
        <w:rPr>
          <w:rFonts w:ascii="Times New Roman" w:hAnsi="Times New Roman"/>
          <w:highlight w:val="none"/>
        </w:rPr>
      </w:pPr>
    </w:p>
    <w:p w14:paraId="6B2CA38E">
      <w:pPr>
        <w:spacing w:before="156"/>
        <w:ind w:right="240" w:rightChars="100" w:firstLine="480"/>
        <w:rPr>
          <w:rFonts w:ascii="Times New Roman" w:hAnsi="Times New Roman"/>
          <w:highlight w:val="none"/>
        </w:rPr>
      </w:pPr>
    </w:p>
    <w:p w14:paraId="2A8B7918">
      <w:pPr>
        <w:spacing w:before="156"/>
        <w:ind w:right="240" w:rightChars="100" w:firstLine="480"/>
        <w:rPr>
          <w:rFonts w:ascii="Times New Roman" w:hAnsi="Times New Roman"/>
          <w:highlight w:val="none"/>
        </w:rPr>
      </w:pPr>
    </w:p>
    <w:p w14:paraId="43B166F5">
      <w:pPr>
        <w:spacing w:before="156"/>
        <w:ind w:right="240" w:rightChars="100" w:firstLine="480"/>
        <w:rPr>
          <w:rFonts w:ascii="Times New Roman" w:hAnsi="Times New Roman"/>
          <w:highlight w:val="none"/>
        </w:rPr>
      </w:pPr>
    </w:p>
    <w:tbl>
      <w:tblPr>
        <w:tblStyle w:val="18"/>
        <w:tblW w:w="8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4536"/>
        <w:gridCol w:w="2268"/>
      </w:tblGrid>
      <w:tr w14:paraId="312D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27" w:type="dxa"/>
            <w:tcBorders>
              <w:tl2br w:val="nil"/>
              <w:tr2bl w:val="nil"/>
            </w:tcBorders>
            <w:vAlign w:val="center"/>
          </w:tcPr>
          <w:p w14:paraId="07C7ABA9">
            <w:pPr>
              <w:spacing w:before="156" w:line="360" w:lineRule="auto"/>
              <w:ind w:left="240" w:right="240"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536" w:type="dxa"/>
            <w:tcBorders>
              <w:tl2br w:val="nil"/>
              <w:tr2bl w:val="nil"/>
            </w:tcBorders>
            <w:vAlign w:val="center"/>
          </w:tcPr>
          <w:p w14:paraId="12112007">
            <w:pPr>
              <w:spacing w:before="156" w:line="360" w:lineRule="auto"/>
              <w:ind w:left="240" w:right="240"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268" w:type="dxa"/>
            <w:vMerge w:val="restart"/>
            <w:tcBorders>
              <w:tl2br w:val="nil"/>
              <w:tr2bl w:val="nil"/>
            </w:tcBorders>
            <w:vAlign w:val="center"/>
          </w:tcPr>
          <w:p w14:paraId="360677C6">
            <w:pPr>
              <w:spacing w:before="156" w:line="360" w:lineRule="auto"/>
              <w:ind w:left="240" w:right="240" w:firstLine="0" w:firstLineChars="0"/>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（盖单位公章）</w:t>
            </w:r>
          </w:p>
        </w:tc>
      </w:tr>
      <w:tr w14:paraId="3ECD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27" w:type="dxa"/>
            <w:tcBorders>
              <w:tl2br w:val="nil"/>
              <w:tr2bl w:val="nil"/>
            </w:tcBorders>
            <w:vAlign w:val="center"/>
          </w:tcPr>
          <w:p w14:paraId="3FA5C124">
            <w:pPr>
              <w:spacing w:before="156" w:line="360" w:lineRule="auto"/>
              <w:ind w:left="240" w:right="240"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536" w:type="dxa"/>
            <w:tcBorders>
              <w:tl2br w:val="nil"/>
              <w:tr2bl w:val="nil"/>
            </w:tcBorders>
            <w:vAlign w:val="center"/>
          </w:tcPr>
          <w:p w14:paraId="54EF53F9">
            <w:pPr>
              <w:spacing w:before="156" w:line="360" w:lineRule="auto"/>
              <w:ind w:left="240" w:right="240"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2024</w:t>
            </w: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lang w:val="en-US" w:eastAsia="zh-CN"/>
              </w:rPr>
              <w:t>12</w:t>
            </w:r>
            <w:r>
              <w:rPr>
                <w:rFonts w:ascii="Times New Roman" w:hAnsi="Times New Roman" w:cs="Times New Roman"/>
                <w:b/>
                <w:snapToGrid w:val="0"/>
                <w:kern w:val="0"/>
                <w:sz w:val="30"/>
                <w:szCs w:val="30"/>
                <w:highlight w:val="none"/>
              </w:rPr>
              <w:t>月</w:t>
            </w:r>
          </w:p>
        </w:tc>
        <w:tc>
          <w:tcPr>
            <w:tcW w:w="2268" w:type="dxa"/>
            <w:vMerge w:val="continue"/>
            <w:tcBorders>
              <w:tl2br w:val="nil"/>
              <w:tr2bl w:val="nil"/>
            </w:tcBorders>
            <w:vAlign w:val="center"/>
          </w:tcPr>
          <w:p w14:paraId="7C7565C0">
            <w:pPr>
              <w:spacing w:before="156" w:line="360" w:lineRule="auto"/>
              <w:ind w:left="240" w:right="240" w:firstLine="0" w:firstLineChars="0"/>
              <w:jc w:val="center"/>
              <w:rPr>
                <w:rFonts w:ascii="Times New Roman" w:hAnsi="Times New Roman" w:cs="Times New Roman"/>
                <w:b/>
                <w:snapToGrid w:val="0"/>
                <w:kern w:val="0"/>
                <w:sz w:val="30"/>
                <w:szCs w:val="30"/>
                <w:highlight w:val="none"/>
              </w:rPr>
            </w:pPr>
          </w:p>
        </w:tc>
      </w:tr>
    </w:tbl>
    <w:p w14:paraId="67C169C5">
      <w:pPr>
        <w:spacing w:before="156"/>
        <w:ind w:right="240" w:rightChars="100" w:firstLine="480"/>
        <w:rPr>
          <w:rFonts w:ascii="Times New Roman" w:hAnsi="Times New Roman"/>
          <w:highlight w:val="none"/>
        </w:rPr>
      </w:pPr>
    </w:p>
    <w:p w14:paraId="02039951">
      <w:pPr>
        <w:snapToGrid w:val="0"/>
        <w:spacing w:before="156" w:line="360" w:lineRule="auto"/>
        <w:ind w:left="240" w:right="240"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5F1D575F">
      <w:pPr>
        <w:pStyle w:val="13"/>
        <w:tabs>
          <w:tab w:val="right" w:leader="dot" w:pos="8306"/>
        </w:tabs>
        <w:ind w:firstLine="480"/>
        <w:rPr>
          <w:highlight w:val="none"/>
        </w:rPr>
      </w:pPr>
      <w:r>
        <w:rPr>
          <w:rFonts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_Toc12446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rPr>
          <w:highlight w:val="none"/>
        </w:rPr>
        <w:tab/>
      </w:r>
      <w:r>
        <w:rPr>
          <w:highlight w:val="none"/>
        </w:rPr>
        <w:fldChar w:fldCharType="begin"/>
      </w:r>
      <w:r>
        <w:rPr>
          <w:highlight w:val="none"/>
        </w:rPr>
        <w:instrText xml:space="preserve"> PAGEREF _Toc12446 \h </w:instrText>
      </w:r>
      <w:r>
        <w:rPr>
          <w:highlight w:val="none"/>
        </w:rPr>
        <w:fldChar w:fldCharType="separate"/>
      </w:r>
      <w:r>
        <w:rPr>
          <w:highlight w:val="none"/>
        </w:rPr>
        <w:t>1</w:t>
      </w:r>
      <w:r>
        <w:rPr>
          <w:highlight w:val="none"/>
        </w:rPr>
        <w:fldChar w:fldCharType="end"/>
      </w:r>
      <w:r>
        <w:rPr>
          <w:rFonts w:ascii="Times New Roman" w:hAnsi="Times New Roman"/>
          <w:snapToGrid w:val="0"/>
          <w:kern w:val="0"/>
          <w:szCs w:val="24"/>
          <w:highlight w:val="none"/>
        </w:rPr>
        <w:fldChar w:fldCharType="end"/>
      </w:r>
    </w:p>
    <w:p w14:paraId="03ADB208">
      <w:pPr>
        <w:pStyle w:val="13"/>
        <w:tabs>
          <w:tab w:val="right" w:leader="dot" w:pos="8306"/>
        </w:tabs>
        <w:ind w:firstLine="480"/>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_Toc18598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rPr>
          <w:highlight w:val="none"/>
        </w:rPr>
        <w:tab/>
      </w:r>
      <w:r>
        <w:rPr>
          <w:highlight w:val="none"/>
        </w:rPr>
        <w:fldChar w:fldCharType="begin"/>
      </w:r>
      <w:r>
        <w:rPr>
          <w:highlight w:val="none"/>
        </w:rPr>
        <w:instrText xml:space="preserve"> PAGEREF _Toc18598 \h </w:instrText>
      </w:r>
      <w:r>
        <w:rPr>
          <w:highlight w:val="none"/>
        </w:rPr>
        <w:fldChar w:fldCharType="separate"/>
      </w:r>
      <w:r>
        <w:rPr>
          <w:highlight w:val="none"/>
        </w:rPr>
        <w:t>9</w:t>
      </w:r>
      <w:r>
        <w:rPr>
          <w:highlight w:val="none"/>
        </w:rPr>
        <w:fldChar w:fldCharType="end"/>
      </w:r>
      <w:r>
        <w:rPr>
          <w:rFonts w:ascii="Times New Roman" w:hAnsi="Times New Roman"/>
          <w:snapToGrid w:val="0"/>
          <w:kern w:val="0"/>
          <w:szCs w:val="24"/>
          <w:highlight w:val="none"/>
        </w:rPr>
        <w:fldChar w:fldCharType="end"/>
      </w:r>
    </w:p>
    <w:p w14:paraId="39939135">
      <w:pPr>
        <w:pStyle w:val="13"/>
        <w:tabs>
          <w:tab w:val="right" w:leader="dot" w:pos="8306"/>
        </w:tabs>
        <w:ind w:firstLine="480"/>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_Toc890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rPr>
          <w:highlight w:val="none"/>
        </w:rPr>
        <w:tab/>
      </w:r>
      <w:r>
        <w:rPr>
          <w:highlight w:val="none"/>
        </w:rPr>
        <w:fldChar w:fldCharType="begin"/>
      </w:r>
      <w:r>
        <w:rPr>
          <w:highlight w:val="none"/>
        </w:rPr>
        <w:instrText xml:space="preserve"> PAGEREF _Toc890 \h </w:instrText>
      </w:r>
      <w:r>
        <w:rPr>
          <w:highlight w:val="none"/>
        </w:rPr>
        <w:fldChar w:fldCharType="separate"/>
      </w:r>
      <w:r>
        <w:rPr>
          <w:highlight w:val="none"/>
        </w:rPr>
        <w:t>20</w:t>
      </w:r>
      <w:r>
        <w:rPr>
          <w:highlight w:val="none"/>
        </w:rPr>
        <w:fldChar w:fldCharType="end"/>
      </w:r>
      <w:r>
        <w:rPr>
          <w:rFonts w:ascii="Times New Roman" w:hAnsi="Times New Roman"/>
          <w:snapToGrid w:val="0"/>
          <w:kern w:val="0"/>
          <w:szCs w:val="24"/>
          <w:highlight w:val="none"/>
        </w:rPr>
        <w:fldChar w:fldCharType="end"/>
      </w:r>
    </w:p>
    <w:p w14:paraId="6D366FD9">
      <w:pPr>
        <w:pStyle w:val="13"/>
        <w:tabs>
          <w:tab w:val="right" w:leader="dot" w:pos="8306"/>
        </w:tabs>
        <w:ind w:firstLine="480"/>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_Toc31974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w:t>
      </w:r>
      <w:r>
        <w:rPr>
          <w:highlight w:val="none"/>
        </w:rPr>
        <w:tab/>
      </w:r>
      <w:r>
        <w:rPr>
          <w:highlight w:val="none"/>
        </w:rPr>
        <w:fldChar w:fldCharType="begin"/>
      </w:r>
      <w:r>
        <w:rPr>
          <w:highlight w:val="none"/>
        </w:rPr>
        <w:instrText xml:space="preserve"> PAGEREF _Toc31974 \h </w:instrText>
      </w:r>
      <w:r>
        <w:rPr>
          <w:highlight w:val="none"/>
        </w:rPr>
        <w:fldChar w:fldCharType="separate"/>
      </w:r>
      <w:r>
        <w:rPr>
          <w:highlight w:val="none"/>
        </w:rPr>
        <w:t>33</w:t>
      </w:r>
      <w:r>
        <w:rPr>
          <w:highlight w:val="none"/>
        </w:rPr>
        <w:fldChar w:fldCharType="end"/>
      </w:r>
      <w:r>
        <w:rPr>
          <w:rFonts w:ascii="Times New Roman" w:hAnsi="Times New Roman"/>
          <w:snapToGrid w:val="0"/>
          <w:kern w:val="0"/>
          <w:szCs w:val="24"/>
          <w:highlight w:val="none"/>
        </w:rPr>
        <w:fldChar w:fldCharType="end"/>
      </w:r>
    </w:p>
    <w:p w14:paraId="5C6DD09D">
      <w:pPr>
        <w:pStyle w:val="13"/>
        <w:tabs>
          <w:tab w:val="right" w:leader="dot" w:pos="8306"/>
        </w:tabs>
        <w:ind w:firstLine="480"/>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_Toc15064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rPr>
          <w:highlight w:val="none"/>
        </w:rPr>
        <w:tab/>
      </w:r>
      <w:r>
        <w:rPr>
          <w:highlight w:val="none"/>
        </w:rPr>
        <w:fldChar w:fldCharType="begin"/>
      </w:r>
      <w:r>
        <w:rPr>
          <w:highlight w:val="none"/>
        </w:rPr>
        <w:instrText xml:space="preserve"> PAGEREF _Toc15064 \h </w:instrText>
      </w:r>
      <w:r>
        <w:rPr>
          <w:highlight w:val="none"/>
        </w:rPr>
        <w:fldChar w:fldCharType="separate"/>
      </w:r>
      <w:r>
        <w:rPr>
          <w:highlight w:val="none"/>
        </w:rPr>
        <w:t>40</w:t>
      </w:r>
      <w:r>
        <w:rPr>
          <w:highlight w:val="none"/>
        </w:rPr>
        <w:fldChar w:fldCharType="end"/>
      </w:r>
      <w:r>
        <w:rPr>
          <w:rFonts w:ascii="Times New Roman" w:hAnsi="Times New Roman"/>
          <w:snapToGrid w:val="0"/>
          <w:kern w:val="0"/>
          <w:szCs w:val="24"/>
          <w:highlight w:val="none"/>
        </w:rPr>
        <w:fldChar w:fldCharType="end"/>
      </w:r>
    </w:p>
    <w:p w14:paraId="7BE90FBE">
      <w:pPr>
        <w:pStyle w:val="13"/>
        <w:tabs>
          <w:tab w:val="right" w:leader="dot" w:pos="8306"/>
        </w:tabs>
        <w:ind w:firstLine="480"/>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_Toc19094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rPr>
          <w:highlight w:val="none"/>
        </w:rPr>
        <w:tab/>
      </w:r>
      <w:r>
        <w:rPr>
          <w:highlight w:val="none"/>
        </w:rPr>
        <w:fldChar w:fldCharType="begin"/>
      </w:r>
      <w:r>
        <w:rPr>
          <w:highlight w:val="none"/>
        </w:rPr>
        <w:instrText xml:space="preserve"> PAGEREF _Toc19094 \h </w:instrText>
      </w:r>
      <w:r>
        <w:rPr>
          <w:highlight w:val="none"/>
        </w:rPr>
        <w:fldChar w:fldCharType="separate"/>
      </w:r>
      <w:r>
        <w:rPr>
          <w:highlight w:val="none"/>
        </w:rPr>
        <w:t>59</w:t>
      </w:r>
      <w:r>
        <w:rPr>
          <w:highlight w:val="none"/>
        </w:rPr>
        <w:fldChar w:fldCharType="end"/>
      </w:r>
      <w:r>
        <w:rPr>
          <w:rFonts w:ascii="Times New Roman" w:hAnsi="Times New Roman"/>
          <w:snapToGrid w:val="0"/>
          <w:kern w:val="0"/>
          <w:szCs w:val="24"/>
          <w:highlight w:val="none"/>
        </w:rPr>
        <w:fldChar w:fldCharType="end"/>
      </w:r>
    </w:p>
    <w:p w14:paraId="370DDDC4">
      <w:pPr>
        <w:widowControl/>
        <w:spacing w:before="156"/>
        <w:ind w:left="240" w:right="240" w:firstLine="480"/>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11F6859B">
      <w:pPr>
        <w:widowControl/>
        <w:spacing w:before="156"/>
        <w:ind w:left="240" w:right="240" w:firstLine="480"/>
        <w:jc w:val="left"/>
        <w:rPr>
          <w:rFonts w:ascii="Times New Roman" w:hAnsi="Times New Roman"/>
          <w:snapToGrid w:val="0"/>
          <w:kern w:val="0"/>
          <w:szCs w:val="24"/>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155FC342">
      <w:pPr>
        <w:pStyle w:val="2"/>
        <w:spacing w:before="156"/>
        <w:ind w:left="240" w:right="240"/>
        <w:rPr>
          <w:rFonts w:ascii="Times New Roman" w:hAnsi="Times New Roman"/>
          <w:highlight w:val="none"/>
        </w:rPr>
      </w:pPr>
      <w:bookmarkStart w:id="0" w:name="_Toc440628903"/>
      <w:bookmarkStart w:id="1" w:name="_Toc469574661"/>
      <w:bookmarkStart w:id="2" w:name="_Toc182213440"/>
      <w:bookmarkStart w:id="3" w:name="_Toc6745"/>
      <w:bookmarkStart w:id="4" w:name="_Toc12446"/>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bookmarkEnd w:id="4"/>
    </w:p>
    <w:p w14:paraId="15D28562">
      <w:pPr>
        <w:spacing w:before="156"/>
        <w:ind w:right="240" w:firstLine="480"/>
        <w:rPr>
          <w:rFonts w:ascii="Times New Roman" w:hAnsi="Times New Roman"/>
          <w:highlight w:val="none"/>
        </w:rPr>
      </w:pPr>
      <w:bookmarkStart w:id="5" w:name="_Toc89675127"/>
      <w:bookmarkStart w:id="6" w:name="_Toc55379218"/>
      <w:r>
        <w:rPr>
          <w:rFonts w:ascii="Times New Roman" w:hAnsi="Times New Roman"/>
          <w:highlight w:val="none"/>
        </w:rPr>
        <w:t>为满足重庆三峡银行数据中心日常运维及未来扩展需求，确保各类</w:t>
      </w:r>
      <w:r>
        <w:rPr>
          <w:rFonts w:hint="eastAsia" w:ascii="Times New Roman" w:hAnsi="Times New Roman"/>
          <w:highlight w:val="none"/>
        </w:rPr>
        <w:t>数据中心</w:t>
      </w:r>
      <w:r>
        <w:rPr>
          <w:rFonts w:ascii="Times New Roman" w:hAnsi="Times New Roman"/>
          <w:highlight w:val="none"/>
        </w:rPr>
        <w:t>运维耗材的稳定供应，</w:t>
      </w:r>
      <w:r>
        <w:rPr>
          <w:rFonts w:hint="eastAsia" w:ascii="Times New Roman" w:hAnsi="Times New Roman"/>
          <w:highlight w:val="none"/>
        </w:rPr>
        <w:t>本项</w:t>
      </w:r>
      <w:r>
        <w:rPr>
          <w:rFonts w:hint="eastAsia" w:ascii="Times New Roman" w:hAnsi="Times New Roman"/>
          <w:color w:val="auto"/>
          <w:highlight w:val="none"/>
        </w:rPr>
        <w:t>目拟选定</w:t>
      </w:r>
      <w:r>
        <w:rPr>
          <w:rFonts w:ascii="Times New Roman" w:hAnsi="Times New Roman"/>
          <w:color w:val="auto"/>
          <w:highlight w:val="none"/>
        </w:rPr>
        <w:t>一家合格</w:t>
      </w:r>
      <w:r>
        <w:rPr>
          <w:rFonts w:ascii="Times New Roman" w:hAnsi="Times New Roman"/>
          <w:highlight w:val="none"/>
        </w:rPr>
        <w:t>的运维耗材供应商，按</w:t>
      </w:r>
      <w:r>
        <w:rPr>
          <w:rFonts w:hint="eastAsia" w:ascii="Times New Roman" w:hAnsi="Times New Roman"/>
          <w:highlight w:val="none"/>
        </w:rPr>
        <w:t>比选人</w:t>
      </w:r>
      <w:r>
        <w:rPr>
          <w:rFonts w:ascii="Times New Roman" w:hAnsi="Times New Roman"/>
          <w:highlight w:val="none"/>
        </w:rPr>
        <w:t>需</w:t>
      </w:r>
      <w:r>
        <w:rPr>
          <w:rFonts w:hint="eastAsia" w:ascii="Times New Roman" w:hAnsi="Times New Roman"/>
          <w:highlight w:val="none"/>
        </w:rPr>
        <w:t>求供应</w:t>
      </w:r>
      <w:r>
        <w:rPr>
          <w:rFonts w:ascii="Times New Roman" w:hAnsi="Times New Roman"/>
          <w:highlight w:val="none"/>
        </w:rPr>
        <w:t>数据中心</w:t>
      </w:r>
      <w:r>
        <w:rPr>
          <w:rFonts w:hint="eastAsia" w:ascii="Times New Roman" w:hAnsi="Times New Roman"/>
          <w:highlight w:val="none"/>
        </w:rPr>
        <w:t>运维</w:t>
      </w:r>
      <w:r>
        <w:rPr>
          <w:rFonts w:ascii="Times New Roman" w:hAnsi="Times New Roman"/>
          <w:highlight w:val="none"/>
        </w:rPr>
        <w:t>所需的各类耗材。</w:t>
      </w:r>
      <w:r>
        <w:rPr>
          <w:rFonts w:hint="eastAsia" w:ascii="Times New Roman" w:hAnsi="Times New Roman"/>
          <w:highlight w:val="none"/>
        </w:rPr>
        <w:t>现对</w:t>
      </w:r>
      <w:r>
        <w:rPr>
          <w:rFonts w:ascii="Times New Roman" w:hAnsi="Times New Roman" w:cs="Cambria"/>
          <w:snapToGrid w:val="0"/>
          <w:kern w:val="0"/>
          <w:szCs w:val="24"/>
          <w:highlight w:val="none"/>
        </w:rPr>
        <w:t>重庆三峡银行2025-2028年度数据中心运维耗材采购项目</w:t>
      </w:r>
      <w:r>
        <w:rPr>
          <w:rFonts w:hint="eastAsia" w:ascii="Times New Roman" w:hAnsi="Times New Roman"/>
          <w:highlight w:val="none"/>
        </w:rPr>
        <w:t>进行公开比选，</w:t>
      </w:r>
      <w:r>
        <w:rPr>
          <w:rFonts w:ascii="Times New Roman" w:hAnsi="Times New Roman"/>
          <w:highlight w:val="none"/>
        </w:rPr>
        <w:t>特邀请有</w:t>
      </w:r>
      <w:bookmarkStart w:id="7" w:name="_Hlk59455120"/>
      <w:r>
        <w:rPr>
          <w:rFonts w:ascii="Times New Roman" w:hAnsi="Times New Roman"/>
          <w:highlight w:val="none"/>
        </w:rPr>
        <w:t>意向</w:t>
      </w:r>
      <w:bookmarkEnd w:id="7"/>
      <w:r>
        <w:rPr>
          <w:rFonts w:ascii="Times New Roman" w:hAnsi="Times New Roman"/>
          <w:highlight w:val="none"/>
        </w:rPr>
        <w:t>的潜在</w:t>
      </w:r>
      <w:r>
        <w:rPr>
          <w:rFonts w:hint="eastAsia" w:ascii="Times New Roman" w:hAnsi="Times New Roman"/>
          <w:highlight w:val="none"/>
        </w:rPr>
        <w:t>参选</w:t>
      </w:r>
      <w:r>
        <w:rPr>
          <w:rFonts w:ascii="Times New Roman" w:hAnsi="Times New Roman"/>
          <w:highlight w:val="none"/>
        </w:rPr>
        <w:t>人进行</w:t>
      </w:r>
      <w:r>
        <w:rPr>
          <w:rFonts w:hint="eastAsia" w:ascii="Times New Roman" w:hAnsi="Times New Roman"/>
          <w:highlight w:val="none"/>
        </w:rPr>
        <w:t>参选</w:t>
      </w:r>
      <w:r>
        <w:rPr>
          <w:rFonts w:ascii="Times New Roman" w:hAnsi="Times New Roman"/>
          <w:highlight w:val="none"/>
        </w:rPr>
        <w:t>。</w:t>
      </w:r>
    </w:p>
    <w:p w14:paraId="4853C23D">
      <w:pPr>
        <w:pStyle w:val="3"/>
        <w:numPr>
          <w:ilvl w:val="0"/>
          <w:numId w:val="1"/>
        </w:numPr>
        <w:spacing w:before="156"/>
        <w:ind w:right="240"/>
        <w:rPr>
          <w:rFonts w:ascii="Times New Roman" w:hAnsi="Times New Roman"/>
          <w:highlight w:val="none"/>
        </w:rPr>
      </w:pPr>
      <w:r>
        <w:rPr>
          <w:rFonts w:hint="eastAsia" w:ascii="Times New Roman" w:hAnsi="Times New Roman"/>
          <w:highlight w:val="none"/>
        </w:rPr>
        <w:t>比选项目内容</w:t>
      </w:r>
      <w:bookmarkEnd w:id="5"/>
      <w:bookmarkEnd w:id="6"/>
    </w:p>
    <w:p w14:paraId="504F7C7F">
      <w:pPr>
        <w:spacing w:before="156"/>
        <w:ind w:firstLine="480"/>
        <w:rPr>
          <w:highlight w:val="none"/>
        </w:rPr>
      </w:pPr>
      <w:r>
        <w:rPr>
          <w:rFonts w:hint="eastAsia"/>
          <w:highlight w:val="none"/>
        </w:rPr>
        <w:t>1.1</w:t>
      </w:r>
      <w:r>
        <w:rPr>
          <w:rFonts w:hint="eastAsia"/>
          <w:b/>
          <w:bCs/>
          <w:highlight w:val="none"/>
        </w:rPr>
        <w:t xml:space="preserve"> 项目名称：</w:t>
      </w:r>
      <w:r>
        <w:rPr>
          <w:rFonts w:hint="eastAsia"/>
          <w:highlight w:val="none"/>
        </w:rPr>
        <w:t>重庆三峡银行2025-2028年度数据中心运维耗材采购项目</w:t>
      </w:r>
    </w:p>
    <w:p w14:paraId="1467E1EA">
      <w:pPr>
        <w:spacing w:before="156"/>
        <w:ind w:firstLine="480"/>
        <w:rPr>
          <w:highlight w:val="none"/>
        </w:rPr>
      </w:pPr>
      <w:r>
        <w:rPr>
          <w:rFonts w:hint="eastAsia"/>
          <w:highlight w:val="none"/>
        </w:rPr>
        <w:t>1.2</w:t>
      </w:r>
      <w:r>
        <w:rPr>
          <w:rFonts w:hint="eastAsia"/>
          <w:b/>
          <w:bCs/>
          <w:highlight w:val="none"/>
        </w:rPr>
        <w:t xml:space="preserve"> 中选人数量：</w:t>
      </w:r>
      <w:r>
        <w:rPr>
          <w:rFonts w:hint="eastAsia"/>
          <w:highlight w:val="none"/>
        </w:rPr>
        <w:t>1个</w:t>
      </w:r>
    </w:p>
    <w:p w14:paraId="70529650">
      <w:pPr>
        <w:spacing w:before="156"/>
        <w:ind w:firstLine="480"/>
        <w:rPr>
          <w:highlight w:val="none"/>
        </w:rPr>
      </w:pPr>
      <w:r>
        <w:rPr>
          <w:rFonts w:hint="eastAsia"/>
          <w:highlight w:val="none"/>
        </w:rPr>
        <w:t>1.3</w:t>
      </w:r>
      <w:r>
        <w:rPr>
          <w:rFonts w:hint="eastAsia"/>
          <w:b/>
          <w:bCs/>
          <w:highlight w:val="none"/>
        </w:rPr>
        <w:t xml:space="preserve"> 采购清单和最高限价：</w:t>
      </w:r>
    </w:p>
    <w:p w14:paraId="2B5D5FC5">
      <w:pPr>
        <w:spacing w:before="156"/>
        <w:ind w:firstLine="480"/>
        <w:rPr>
          <w:rFonts w:ascii="Times New Roman" w:hAnsi="Times New Roman" w:cs="Cambria"/>
          <w:snapToGrid w:val="0"/>
          <w:kern w:val="0"/>
          <w:szCs w:val="24"/>
          <w:highlight w:val="none"/>
        </w:rPr>
      </w:pPr>
      <w:r>
        <w:rPr>
          <w:rFonts w:hint="eastAsia" w:ascii="Times New Roman" w:hAnsi="Times New Roman" w:cs="Cambria"/>
          <w:snapToGrid w:val="0"/>
          <w:kern w:val="0"/>
          <w:szCs w:val="24"/>
          <w:highlight w:val="none"/>
        </w:rPr>
        <w:t>本项目对每个产品设定了单价最高限价，参选人的每项产品单价报价不得超过其对应的限价，具体限价详见下表：</w:t>
      </w:r>
    </w:p>
    <w:tbl>
      <w:tblPr>
        <w:tblStyle w:val="17"/>
        <w:tblW w:w="9263"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3118"/>
        <w:gridCol w:w="2186"/>
        <w:gridCol w:w="675"/>
        <w:gridCol w:w="1350"/>
        <w:gridCol w:w="1350"/>
      </w:tblGrid>
      <w:tr w14:paraId="10DA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382FC0D7">
            <w:pPr>
              <w:widowControl/>
              <w:autoSpaceDE/>
              <w:autoSpaceDN/>
              <w:spacing w:before="156"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序号</w:t>
            </w:r>
          </w:p>
        </w:tc>
        <w:tc>
          <w:tcPr>
            <w:tcW w:w="3118" w:type="dxa"/>
            <w:shd w:val="clear" w:color="auto" w:fill="auto"/>
            <w:noWrap/>
            <w:vAlign w:val="center"/>
          </w:tcPr>
          <w:p w14:paraId="1B05BB65">
            <w:pPr>
              <w:widowControl/>
              <w:autoSpaceDE/>
              <w:autoSpaceDN/>
              <w:spacing w:before="156"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产品名称</w:t>
            </w:r>
          </w:p>
        </w:tc>
        <w:tc>
          <w:tcPr>
            <w:tcW w:w="2186" w:type="dxa"/>
            <w:shd w:val="clear" w:color="auto" w:fill="auto"/>
            <w:noWrap/>
            <w:vAlign w:val="center"/>
          </w:tcPr>
          <w:p w14:paraId="45F2C983">
            <w:pPr>
              <w:widowControl/>
              <w:autoSpaceDE/>
              <w:autoSpaceDN/>
              <w:spacing w:before="156"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规格</w:t>
            </w:r>
          </w:p>
        </w:tc>
        <w:tc>
          <w:tcPr>
            <w:tcW w:w="675" w:type="dxa"/>
            <w:shd w:val="clear" w:color="auto" w:fill="auto"/>
            <w:noWrap/>
            <w:vAlign w:val="center"/>
          </w:tcPr>
          <w:p w14:paraId="0E298CCC">
            <w:pPr>
              <w:widowControl/>
              <w:autoSpaceDE/>
              <w:autoSpaceDN/>
              <w:spacing w:before="156" w:line="240" w:lineRule="auto"/>
              <w:ind w:firstLine="0" w:firstLineChars="0"/>
              <w:jc w:val="left"/>
              <w:rPr>
                <w:rFonts w:ascii="宋体" w:hAnsi="宋体" w:cs="宋体"/>
                <w:b/>
                <w:bCs/>
                <w:kern w:val="0"/>
                <w:sz w:val="21"/>
                <w:szCs w:val="21"/>
                <w:highlight w:val="none"/>
              </w:rPr>
            </w:pPr>
            <w:r>
              <w:rPr>
                <w:rFonts w:hint="eastAsia" w:ascii="宋体" w:hAnsi="宋体" w:cs="宋体"/>
                <w:b/>
                <w:bCs/>
                <w:kern w:val="0"/>
                <w:sz w:val="21"/>
                <w:szCs w:val="21"/>
                <w:highlight w:val="none"/>
              </w:rPr>
              <w:t>单位</w:t>
            </w:r>
          </w:p>
        </w:tc>
        <w:tc>
          <w:tcPr>
            <w:tcW w:w="1350" w:type="dxa"/>
            <w:vAlign w:val="center"/>
          </w:tcPr>
          <w:p w14:paraId="6B0B184B">
            <w:pPr>
              <w:widowControl/>
              <w:autoSpaceDE/>
              <w:autoSpaceDN/>
              <w:spacing w:before="156" w:line="240" w:lineRule="auto"/>
              <w:ind w:firstLine="211" w:firstLineChars="100"/>
              <w:jc w:val="left"/>
              <w:rPr>
                <w:rFonts w:ascii="宋体" w:hAnsi="宋体" w:cs="宋体"/>
                <w:b/>
                <w:bCs/>
                <w:kern w:val="0"/>
                <w:sz w:val="21"/>
                <w:szCs w:val="21"/>
                <w:highlight w:val="none"/>
              </w:rPr>
            </w:pPr>
            <w:r>
              <w:rPr>
                <w:rFonts w:hint="eastAsia" w:ascii="宋体" w:hAnsi="宋体" w:cs="宋体"/>
                <w:b/>
                <w:bCs/>
                <w:kern w:val="0"/>
                <w:sz w:val="21"/>
                <w:szCs w:val="21"/>
                <w:highlight w:val="none"/>
              </w:rPr>
              <w:t>最高限价</w:t>
            </w:r>
          </w:p>
          <w:p w14:paraId="23AFD934">
            <w:pPr>
              <w:widowControl/>
              <w:autoSpaceDE/>
              <w:autoSpaceDN/>
              <w:spacing w:before="156" w:line="240" w:lineRule="auto"/>
              <w:ind w:firstLine="211" w:firstLineChars="100"/>
              <w:jc w:val="left"/>
              <w:rPr>
                <w:rFonts w:ascii="宋体" w:hAnsi="宋体" w:cs="宋体"/>
                <w:b/>
                <w:bCs/>
                <w:kern w:val="0"/>
                <w:sz w:val="21"/>
                <w:szCs w:val="21"/>
                <w:highlight w:val="none"/>
              </w:rPr>
            </w:pPr>
            <w:r>
              <w:rPr>
                <w:rFonts w:hint="eastAsia" w:ascii="宋体" w:hAnsi="宋体" w:cs="宋体"/>
                <w:b/>
                <w:bCs/>
                <w:kern w:val="0"/>
                <w:sz w:val="21"/>
                <w:szCs w:val="21"/>
                <w:highlight w:val="none"/>
              </w:rPr>
              <w:t>单位：元</w:t>
            </w:r>
          </w:p>
        </w:tc>
        <w:tc>
          <w:tcPr>
            <w:tcW w:w="1350" w:type="dxa"/>
            <w:vAlign w:val="center"/>
          </w:tcPr>
          <w:p w14:paraId="11151ACC">
            <w:pPr>
              <w:widowControl/>
              <w:autoSpaceDE/>
              <w:autoSpaceDN/>
              <w:spacing w:before="156" w:line="240" w:lineRule="auto"/>
              <w:ind w:firstLine="211" w:firstLineChars="100"/>
              <w:jc w:val="left"/>
              <w:rPr>
                <w:rFonts w:hint="eastAsia" w:ascii="宋体" w:hAnsi="宋体" w:eastAsia="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权重</w:t>
            </w:r>
          </w:p>
        </w:tc>
      </w:tr>
      <w:tr w14:paraId="17BC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3D52FA2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w:t>
            </w:r>
          </w:p>
        </w:tc>
        <w:tc>
          <w:tcPr>
            <w:tcW w:w="3118" w:type="dxa"/>
            <w:shd w:val="clear" w:color="auto" w:fill="auto"/>
            <w:vAlign w:val="center"/>
          </w:tcPr>
          <w:p w14:paraId="3352963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LC尾纤（含熔接）</w:t>
            </w:r>
          </w:p>
        </w:tc>
        <w:tc>
          <w:tcPr>
            <w:tcW w:w="2186" w:type="dxa"/>
            <w:shd w:val="clear" w:color="auto" w:fill="auto"/>
            <w:noWrap/>
            <w:vAlign w:val="center"/>
          </w:tcPr>
          <w:p w14:paraId="02586CE2">
            <w:pPr>
              <w:widowControl/>
              <w:autoSpaceDE/>
              <w:autoSpaceDN/>
              <w:spacing w:before="156" w:line="240" w:lineRule="auto"/>
              <w:ind w:firstLine="0" w:firstLineChars="0"/>
              <w:jc w:val="left"/>
              <w:rPr>
                <w:rFonts w:ascii="宋体" w:hAnsi="宋体" w:cs="宋体"/>
                <w:kern w:val="0"/>
                <w:sz w:val="21"/>
                <w:szCs w:val="21"/>
                <w:highlight w:val="none"/>
              </w:rPr>
            </w:pPr>
            <w:r>
              <w:rPr>
                <w:rFonts w:hint="eastAsia" w:ascii="宋体" w:hAnsi="宋体" w:cs="宋体"/>
                <w:kern w:val="0"/>
                <w:sz w:val="21"/>
                <w:szCs w:val="21"/>
                <w:highlight w:val="none"/>
              </w:rPr>
              <w:t>长度1米</w:t>
            </w:r>
          </w:p>
        </w:tc>
        <w:tc>
          <w:tcPr>
            <w:tcW w:w="675" w:type="dxa"/>
            <w:shd w:val="clear" w:color="auto" w:fill="auto"/>
            <w:noWrap/>
            <w:vAlign w:val="center"/>
          </w:tcPr>
          <w:p w14:paraId="1555CB7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76BFC1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¥44.00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8A03D42">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0.4%</w:t>
            </w:r>
          </w:p>
        </w:tc>
      </w:tr>
      <w:tr w14:paraId="727B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518B921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w:t>
            </w:r>
          </w:p>
        </w:tc>
        <w:tc>
          <w:tcPr>
            <w:tcW w:w="3118" w:type="dxa"/>
            <w:shd w:val="clear" w:color="auto" w:fill="auto"/>
            <w:vAlign w:val="center"/>
          </w:tcPr>
          <w:p w14:paraId="72711EA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通风地板(含底座)</w:t>
            </w:r>
          </w:p>
        </w:tc>
        <w:tc>
          <w:tcPr>
            <w:tcW w:w="2186" w:type="dxa"/>
            <w:shd w:val="clear" w:color="auto" w:fill="auto"/>
            <w:noWrap/>
            <w:vAlign w:val="center"/>
          </w:tcPr>
          <w:p w14:paraId="78B0D3E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尺寸：600mm x 600mm</w:t>
            </w:r>
          </w:p>
        </w:tc>
        <w:tc>
          <w:tcPr>
            <w:tcW w:w="675" w:type="dxa"/>
            <w:shd w:val="clear" w:color="auto" w:fill="auto"/>
            <w:noWrap/>
            <w:vAlign w:val="center"/>
          </w:tcPr>
          <w:p w14:paraId="32BD9DB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块</w:t>
            </w:r>
          </w:p>
        </w:tc>
        <w:tc>
          <w:tcPr>
            <w:tcW w:w="1350" w:type="dxa"/>
            <w:tcBorders>
              <w:top w:val="nil"/>
              <w:left w:val="single" w:color="auto" w:sz="4" w:space="0"/>
              <w:bottom w:val="single" w:color="auto" w:sz="4" w:space="0"/>
              <w:right w:val="single" w:color="auto" w:sz="4" w:space="0"/>
            </w:tcBorders>
            <w:shd w:val="clear" w:color="auto" w:fill="auto"/>
            <w:vAlign w:val="center"/>
          </w:tcPr>
          <w:p w14:paraId="2F58E8E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¥338.00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34B28C5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2341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CC4521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w:t>
            </w:r>
          </w:p>
        </w:tc>
        <w:tc>
          <w:tcPr>
            <w:tcW w:w="3118" w:type="dxa"/>
            <w:shd w:val="clear" w:color="auto" w:fill="auto"/>
            <w:vAlign w:val="center"/>
          </w:tcPr>
          <w:p w14:paraId="628F17D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静电地板(含底座)</w:t>
            </w:r>
          </w:p>
        </w:tc>
        <w:tc>
          <w:tcPr>
            <w:tcW w:w="2186" w:type="dxa"/>
            <w:shd w:val="clear" w:color="auto" w:fill="auto"/>
            <w:noWrap/>
            <w:vAlign w:val="center"/>
          </w:tcPr>
          <w:p w14:paraId="2693BC9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尺寸：600mm x 600mm</w:t>
            </w:r>
          </w:p>
        </w:tc>
        <w:tc>
          <w:tcPr>
            <w:tcW w:w="675" w:type="dxa"/>
            <w:shd w:val="clear" w:color="auto" w:fill="auto"/>
            <w:noWrap/>
            <w:vAlign w:val="center"/>
          </w:tcPr>
          <w:p w14:paraId="0CB69E5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块</w:t>
            </w:r>
          </w:p>
        </w:tc>
        <w:tc>
          <w:tcPr>
            <w:tcW w:w="1350" w:type="dxa"/>
            <w:tcBorders>
              <w:top w:val="nil"/>
              <w:left w:val="single" w:color="auto" w:sz="4" w:space="0"/>
              <w:bottom w:val="single" w:color="auto" w:sz="4" w:space="0"/>
              <w:right w:val="single" w:color="auto" w:sz="4" w:space="0"/>
            </w:tcBorders>
            <w:shd w:val="clear" w:color="auto" w:fill="auto"/>
            <w:vAlign w:val="center"/>
          </w:tcPr>
          <w:p w14:paraId="54E4120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¥338.00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51919185">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65DF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C034FC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w:t>
            </w:r>
          </w:p>
        </w:tc>
        <w:tc>
          <w:tcPr>
            <w:tcW w:w="3118" w:type="dxa"/>
            <w:shd w:val="clear" w:color="auto" w:fill="auto"/>
            <w:vAlign w:val="center"/>
          </w:tcPr>
          <w:p w14:paraId="7618B02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w:t>
            </w:r>
          </w:p>
        </w:tc>
        <w:tc>
          <w:tcPr>
            <w:tcW w:w="2186" w:type="dxa"/>
            <w:shd w:val="clear" w:color="auto" w:fill="auto"/>
            <w:noWrap/>
            <w:vAlign w:val="center"/>
          </w:tcPr>
          <w:p w14:paraId="2C29C13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300米/箱</w:t>
            </w:r>
          </w:p>
        </w:tc>
        <w:tc>
          <w:tcPr>
            <w:tcW w:w="675" w:type="dxa"/>
            <w:shd w:val="clear" w:color="auto" w:fill="auto"/>
            <w:noWrap/>
            <w:vAlign w:val="center"/>
          </w:tcPr>
          <w:p w14:paraId="58E67C7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箱</w:t>
            </w:r>
          </w:p>
        </w:tc>
        <w:tc>
          <w:tcPr>
            <w:tcW w:w="1350" w:type="dxa"/>
            <w:tcBorders>
              <w:top w:val="nil"/>
              <w:left w:val="single" w:color="auto" w:sz="4" w:space="0"/>
              <w:bottom w:val="single" w:color="auto" w:sz="4" w:space="0"/>
              <w:right w:val="single" w:color="auto" w:sz="4" w:space="0"/>
            </w:tcBorders>
            <w:shd w:val="clear" w:color="auto" w:fill="auto"/>
            <w:vAlign w:val="center"/>
          </w:tcPr>
          <w:p w14:paraId="1D41325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¥1,370.00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32FD48A5">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133B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1E01D58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5</w:t>
            </w:r>
          </w:p>
        </w:tc>
        <w:tc>
          <w:tcPr>
            <w:tcW w:w="3118" w:type="dxa"/>
            <w:shd w:val="clear" w:color="auto" w:fill="auto"/>
            <w:vAlign w:val="center"/>
          </w:tcPr>
          <w:p w14:paraId="476A30E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186" w:type="dxa"/>
            <w:shd w:val="clear" w:color="auto" w:fill="auto"/>
            <w:noWrap/>
            <w:vAlign w:val="center"/>
          </w:tcPr>
          <w:p w14:paraId="4FE2EDF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675" w:type="dxa"/>
            <w:shd w:val="clear" w:color="auto" w:fill="auto"/>
            <w:noWrap/>
            <w:vAlign w:val="center"/>
          </w:tcPr>
          <w:p w14:paraId="4FD0646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08A9131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¥71.00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2C82BED9">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28B1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533865B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6</w:t>
            </w:r>
          </w:p>
        </w:tc>
        <w:tc>
          <w:tcPr>
            <w:tcW w:w="3118" w:type="dxa"/>
            <w:shd w:val="clear" w:color="auto" w:fill="auto"/>
            <w:vAlign w:val="center"/>
          </w:tcPr>
          <w:p w14:paraId="35A2ACD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186" w:type="dxa"/>
            <w:shd w:val="clear" w:color="auto" w:fill="auto"/>
            <w:noWrap/>
            <w:vAlign w:val="center"/>
          </w:tcPr>
          <w:p w14:paraId="3CCD970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675" w:type="dxa"/>
            <w:shd w:val="clear" w:color="auto" w:fill="auto"/>
            <w:noWrap/>
            <w:vAlign w:val="center"/>
          </w:tcPr>
          <w:p w14:paraId="36271EF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15DAB6A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¥60.00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762A7E29">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6.6%</w:t>
            </w:r>
          </w:p>
        </w:tc>
      </w:tr>
      <w:tr w14:paraId="6A5F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1875AE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7</w:t>
            </w:r>
          </w:p>
        </w:tc>
        <w:tc>
          <w:tcPr>
            <w:tcW w:w="3118" w:type="dxa"/>
            <w:shd w:val="clear" w:color="auto" w:fill="auto"/>
            <w:vAlign w:val="center"/>
          </w:tcPr>
          <w:p w14:paraId="40B7B5B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186" w:type="dxa"/>
            <w:shd w:val="clear" w:color="auto" w:fill="auto"/>
            <w:noWrap/>
            <w:vAlign w:val="center"/>
          </w:tcPr>
          <w:p w14:paraId="62C36E9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675" w:type="dxa"/>
            <w:shd w:val="clear" w:color="auto" w:fill="auto"/>
            <w:noWrap/>
            <w:vAlign w:val="center"/>
          </w:tcPr>
          <w:p w14:paraId="7E757AC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7BF416C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¥83.00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3849BC6D">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9.3%</w:t>
            </w:r>
          </w:p>
        </w:tc>
      </w:tr>
      <w:tr w14:paraId="284F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48E245A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8</w:t>
            </w:r>
          </w:p>
        </w:tc>
        <w:tc>
          <w:tcPr>
            <w:tcW w:w="3118" w:type="dxa"/>
            <w:shd w:val="clear" w:color="auto" w:fill="auto"/>
            <w:vAlign w:val="center"/>
          </w:tcPr>
          <w:p w14:paraId="2B97B4D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186" w:type="dxa"/>
            <w:shd w:val="clear" w:color="auto" w:fill="auto"/>
            <w:noWrap/>
            <w:vAlign w:val="center"/>
          </w:tcPr>
          <w:p w14:paraId="7601A8B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675" w:type="dxa"/>
            <w:shd w:val="clear" w:color="auto" w:fill="auto"/>
            <w:noWrap/>
            <w:vAlign w:val="center"/>
          </w:tcPr>
          <w:p w14:paraId="38B37EE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591843C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¥108.00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75C38FEE">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4.3%</w:t>
            </w:r>
          </w:p>
        </w:tc>
      </w:tr>
      <w:tr w14:paraId="5D35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3345B7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9</w:t>
            </w:r>
          </w:p>
        </w:tc>
        <w:tc>
          <w:tcPr>
            <w:tcW w:w="3118" w:type="dxa"/>
            <w:shd w:val="clear" w:color="auto" w:fill="auto"/>
            <w:vAlign w:val="center"/>
          </w:tcPr>
          <w:p w14:paraId="0AA5109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186" w:type="dxa"/>
            <w:shd w:val="clear" w:color="auto" w:fill="auto"/>
            <w:noWrap/>
            <w:vAlign w:val="center"/>
          </w:tcPr>
          <w:p w14:paraId="797B159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长度20米</w:t>
            </w:r>
          </w:p>
        </w:tc>
        <w:tc>
          <w:tcPr>
            <w:tcW w:w="675" w:type="dxa"/>
            <w:shd w:val="clear" w:color="auto" w:fill="auto"/>
            <w:noWrap/>
            <w:vAlign w:val="center"/>
          </w:tcPr>
          <w:p w14:paraId="01F8991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3916D8E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¥138.00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473E1CF2">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0.4%</w:t>
            </w:r>
          </w:p>
        </w:tc>
      </w:tr>
      <w:tr w14:paraId="7741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66E5D8A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10</w:t>
            </w:r>
          </w:p>
        </w:tc>
        <w:tc>
          <w:tcPr>
            <w:tcW w:w="3118" w:type="dxa"/>
            <w:shd w:val="clear" w:color="auto" w:fill="auto"/>
            <w:vAlign w:val="center"/>
          </w:tcPr>
          <w:p w14:paraId="1AB5E83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理线器</w:t>
            </w:r>
          </w:p>
        </w:tc>
        <w:tc>
          <w:tcPr>
            <w:tcW w:w="2186" w:type="dxa"/>
            <w:shd w:val="clear" w:color="auto" w:fill="auto"/>
            <w:noWrap/>
            <w:vAlign w:val="center"/>
          </w:tcPr>
          <w:p w14:paraId="4F9A8CD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675" w:type="dxa"/>
            <w:shd w:val="clear" w:color="auto" w:fill="auto"/>
            <w:noWrap/>
            <w:vAlign w:val="center"/>
          </w:tcPr>
          <w:p w14:paraId="771A5F3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个</w:t>
            </w:r>
          </w:p>
        </w:tc>
        <w:tc>
          <w:tcPr>
            <w:tcW w:w="1350" w:type="dxa"/>
            <w:tcBorders>
              <w:top w:val="nil"/>
              <w:left w:val="single" w:color="auto" w:sz="4" w:space="0"/>
              <w:bottom w:val="single" w:color="auto" w:sz="4" w:space="0"/>
              <w:right w:val="single" w:color="auto" w:sz="4" w:space="0"/>
            </w:tcBorders>
            <w:shd w:val="clear" w:color="auto" w:fill="auto"/>
            <w:vAlign w:val="center"/>
          </w:tcPr>
          <w:p w14:paraId="49C46B0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¥130.00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331A69E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137C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5CC963A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11</w:t>
            </w:r>
          </w:p>
        </w:tc>
        <w:tc>
          <w:tcPr>
            <w:tcW w:w="3118" w:type="dxa"/>
            <w:shd w:val="clear" w:color="auto" w:fill="auto"/>
            <w:vAlign w:val="center"/>
          </w:tcPr>
          <w:p w14:paraId="3500C8F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双层网格桥架</w:t>
            </w:r>
          </w:p>
        </w:tc>
        <w:tc>
          <w:tcPr>
            <w:tcW w:w="2186" w:type="dxa"/>
            <w:shd w:val="clear" w:color="auto" w:fill="auto"/>
            <w:noWrap/>
            <w:vAlign w:val="center"/>
          </w:tcPr>
          <w:p w14:paraId="7A2AC0F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675" w:type="dxa"/>
            <w:shd w:val="clear" w:color="auto" w:fill="auto"/>
            <w:noWrap/>
            <w:vAlign w:val="center"/>
          </w:tcPr>
          <w:p w14:paraId="553A7D2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米</w:t>
            </w:r>
          </w:p>
        </w:tc>
        <w:tc>
          <w:tcPr>
            <w:tcW w:w="1350" w:type="dxa"/>
            <w:tcBorders>
              <w:top w:val="nil"/>
              <w:left w:val="single" w:color="auto" w:sz="4" w:space="0"/>
              <w:bottom w:val="single" w:color="auto" w:sz="4" w:space="0"/>
              <w:right w:val="single" w:color="auto" w:sz="4" w:space="0"/>
            </w:tcBorders>
            <w:shd w:val="clear" w:color="auto" w:fill="auto"/>
            <w:vAlign w:val="center"/>
          </w:tcPr>
          <w:p w14:paraId="3FE039E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¥275.00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60A9B3EE">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3953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1A8AA66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12</w:t>
            </w:r>
          </w:p>
        </w:tc>
        <w:tc>
          <w:tcPr>
            <w:tcW w:w="3118" w:type="dxa"/>
            <w:shd w:val="clear" w:color="auto" w:fill="auto"/>
            <w:vAlign w:val="center"/>
          </w:tcPr>
          <w:p w14:paraId="541E662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机柜挡板</w:t>
            </w:r>
          </w:p>
        </w:tc>
        <w:tc>
          <w:tcPr>
            <w:tcW w:w="2186" w:type="dxa"/>
            <w:shd w:val="clear" w:color="auto" w:fill="auto"/>
            <w:noWrap/>
            <w:vAlign w:val="center"/>
          </w:tcPr>
          <w:p w14:paraId="2D42C55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675" w:type="dxa"/>
            <w:shd w:val="clear" w:color="auto" w:fill="auto"/>
            <w:noWrap/>
            <w:vAlign w:val="center"/>
          </w:tcPr>
          <w:p w14:paraId="759A1B4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块</w:t>
            </w:r>
          </w:p>
        </w:tc>
        <w:tc>
          <w:tcPr>
            <w:tcW w:w="1350" w:type="dxa"/>
            <w:tcBorders>
              <w:top w:val="nil"/>
              <w:left w:val="single" w:color="auto" w:sz="4" w:space="0"/>
              <w:bottom w:val="single" w:color="auto" w:sz="4" w:space="0"/>
              <w:right w:val="single" w:color="auto" w:sz="4" w:space="0"/>
            </w:tcBorders>
            <w:shd w:val="clear" w:color="auto" w:fill="auto"/>
            <w:vAlign w:val="center"/>
          </w:tcPr>
          <w:p w14:paraId="34168B1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¥461.00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5394B51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0.4%</w:t>
            </w:r>
          </w:p>
        </w:tc>
      </w:tr>
      <w:tr w14:paraId="18CA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7FC254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w:t>
            </w:r>
          </w:p>
        </w:tc>
        <w:tc>
          <w:tcPr>
            <w:tcW w:w="3118" w:type="dxa"/>
            <w:shd w:val="clear" w:color="auto" w:fill="auto"/>
            <w:vAlign w:val="center"/>
          </w:tcPr>
          <w:p w14:paraId="6F2E326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电缆</w:t>
            </w:r>
          </w:p>
        </w:tc>
        <w:tc>
          <w:tcPr>
            <w:tcW w:w="2186" w:type="dxa"/>
            <w:shd w:val="clear" w:color="auto" w:fill="auto"/>
            <w:noWrap/>
            <w:vAlign w:val="center"/>
          </w:tcPr>
          <w:p w14:paraId="5A50D36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ZR-YJV3*6mm²</w:t>
            </w:r>
          </w:p>
        </w:tc>
        <w:tc>
          <w:tcPr>
            <w:tcW w:w="675" w:type="dxa"/>
            <w:shd w:val="clear" w:color="auto" w:fill="auto"/>
            <w:noWrap/>
            <w:vAlign w:val="center"/>
          </w:tcPr>
          <w:p w14:paraId="69CA76D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米</w:t>
            </w:r>
          </w:p>
        </w:tc>
        <w:tc>
          <w:tcPr>
            <w:tcW w:w="1350" w:type="dxa"/>
            <w:tcBorders>
              <w:top w:val="nil"/>
              <w:left w:val="single" w:color="auto" w:sz="4" w:space="0"/>
              <w:bottom w:val="single" w:color="auto" w:sz="4" w:space="0"/>
              <w:right w:val="single" w:color="auto" w:sz="4" w:space="0"/>
            </w:tcBorders>
            <w:shd w:val="clear" w:color="auto" w:fill="auto"/>
            <w:vAlign w:val="center"/>
          </w:tcPr>
          <w:p w14:paraId="173F372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¥34.00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5BF3D6CD">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5.8%</w:t>
            </w:r>
          </w:p>
        </w:tc>
      </w:tr>
      <w:tr w14:paraId="25BB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3251F46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14</w:t>
            </w:r>
          </w:p>
        </w:tc>
        <w:tc>
          <w:tcPr>
            <w:tcW w:w="3118" w:type="dxa"/>
            <w:shd w:val="clear" w:color="auto" w:fill="auto"/>
            <w:vAlign w:val="center"/>
          </w:tcPr>
          <w:p w14:paraId="0D1A20D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电缆</w:t>
            </w:r>
          </w:p>
        </w:tc>
        <w:tc>
          <w:tcPr>
            <w:tcW w:w="2186" w:type="dxa"/>
            <w:shd w:val="clear" w:color="auto" w:fill="auto"/>
            <w:noWrap/>
            <w:vAlign w:val="center"/>
          </w:tcPr>
          <w:p w14:paraId="3E6975A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ZR-YJV3*10mm²</w:t>
            </w:r>
          </w:p>
        </w:tc>
        <w:tc>
          <w:tcPr>
            <w:tcW w:w="675" w:type="dxa"/>
            <w:shd w:val="clear" w:color="auto" w:fill="auto"/>
            <w:noWrap/>
            <w:vAlign w:val="center"/>
          </w:tcPr>
          <w:p w14:paraId="6ED4247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米</w:t>
            </w:r>
          </w:p>
        </w:tc>
        <w:tc>
          <w:tcPr>
            <w:tcW w:w="1350" w:type="dxa"/>
            <w:tcBorders>
              <w:top w:val="nil"/>
              <w:left w:val="single" w:color="auto" w:sz="4" w:space="0"/>
              <w:bottom w:val="single" w:color="auto" w:sz="4" w:space="0"/>
              <w:right w:val="single" w:color="auto" w:sz="4" w:space="0"/>
            </w:tcBorders>
            <w:shd w:val="clear" w:color="auto" w:fill="auto"/>
            <w:vAlign w:val="center"/>
          </w:tcPr>
          <w:p w14:paraId="5B87F96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¥53.00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1772A7AB">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5.8%</w:t>
            </w:r>
          </w:p>
        </w:tc>
      </w:tr>
      <w:tr w14:paraId="71F4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2048E2B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15</w:t>
            </w:r>
          </w:p>
        </w:tc>
        <w:tc>
          <w:tcPr>
            <w:tcW w:w="3118" w:type="dxa"/>
            <w:shd w:val="clear" w:color="auto" w:fill="auto"/>
            <w:vAlign w:val="center"/>
          </w:tcPr>
          <w:p w14:paraId="272F3DF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PDU</w:t>
            </w:r>
          </w:p>
        </w:tc>
        <w:tc>
          <w:tcPr>
            <w:tcW w:w="2186" w:type="dxa"/>
            <w:shd w:val="clear" w:color="auto" w:fill="auto"/>
            <w:noWrap/>
            <w:vAlign w:val="center"/>
          </w:tcPr>
          <w:p w14:paraId="5A68BCE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12位10A插座+4位16A插座</w:t>
            </w:r>
          </w:p>
        </w:tc>
        <w:tc>
          <w:tcPr>
            <w:tcW w:w="675" w:type="dxa"/>
            <w:shd w:val="clear" w:color="auto" w:fill="auto"/>
            <w:noWrap/>
            <w:vAlign w:val="center"/>
          </w:tcPr>
          <w:p w14:paraId="7F243FD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个</w:t>
            </w:r>
          </w:p>
        </w:tc>
        <w:tc>
          <w:tcPr>
            <w:tcW w:w="1350" w:type="dxa"/>
            <w:tcBorders>
              <w:top w:val="nil"/>
              <w:left w:val="single" w:color="auto" w:sz="4" w:space="0"/>
              <w:bottom w:val="single" w:color="auto" w:sz="4" w:space="0"/>
              <w:right w:val="single" w:color="auto" w:sz="4" w:space="0"/>
            </w:tcBorders>
            <w:shd w:val="clear" w:color="auto" w:fill="auto"/>
            <w:vAlign w:val="center"/>
          </w:tcPr>
          <w:p w14:paraId="2CB1E4F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¥918.00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4C87CFF5">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1B2E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9622DE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16</w:t>
            </w:r>
          </w:p>
        </w:tc>
        <w:tc>
          <w:tcPr>
            <w:tcW w:w="3118" w:type="dxa"/>
            <w:shd w:val="clear" w:color="auto" w:fill="auto"/>
            <w:vAlign w:val="center"/>
          </w:tcPr>
          <w:p w14:paraId="16882CE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MPO-LC 扇形多模光纤跳线</w:t>
            </w:r>
          </w:p>
        </w:tc>
        <w:tc>
          <w:tcPr>
            <w:tcW w:w="2186" w:type="dxa"/>
            <w:shd w:val="clear" w:color="auto" w:fill="auto"/>
            <w:noWrap/>
            <w:vAlign w:val="center"/>
          </w:tcPr>
          <w:p w14:paraId="0130151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675" w:type="dxa"/>
            <w:shd w:val="clear" w:color="auto" w:fill="auto"/>
            <w:noWrap/>
            <w:vAlign w:val="center"/>
          </w:tcPr>
          <w:p w14:paraId="2CA574B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627B38C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¥1,520.00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2964DF9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1FDC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795163B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17</w:t>
            </w:r>
          </w:p>
        </w:tc>
        <w:tc>
          <w:tcPr>
            <w:tcW w:w="3118" w:type="dxa"/>
            <w:shd w:val="clear" w:color="auto" w:fill="auto"/>
            <w:vAlign w:val="center"/>
          </w:tcPr>
          <w:p w14:paraId="426B375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MPO-LC 扇形多模光纤跳线</w:t>
            </w:r>
          </w:p>
        </w:tc>
        <w:tc>
          <w:tcPr>
            <w:tcW w:w="2186" w:type="dxa"/>
            <w:shd w:val="clear" w:color="auto" w:fill="auto"/>
            <w:noWrap/>
            <w:vAlign w:val="center"/>
          </w:tcPr>
          <w:p w14:paraId="26364EE2">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675" w:type="dxa"/>
            <w:shd w:val="clear" w:color="auto" w:fill="auto"/>
            <w:noWrap/>
            <w:vAlign w:val="center"/>
          </w:tcPr>
          <w:p w14:paraId="0C7D04E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3330D7D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¥2,268.00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014FF07E">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1059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213E0C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18</w:t>
            </w:r>
          </w:p>
        </w:tc>
        <w:tc>
          <w:tcPr>
            <w:tcW w:w="3118" w:type="dxa"/>
            <w:shd w:val="clear" w:color="auto" w:fill="auto"/>
            <w:vAlign w:val="center"/>
          </w:tcPr>
          <w:p w14:paraId="4FA2DBE1">
            <w:pPr>
              <w:widowControl/>
              <w:autoSpaceDE/>
              <w:autoSpaceDN/>
              <w:spacing w:before="156" w:line="240" w:lineRule="auto"/>
              <w:ind w:firstLine="0" w:firstLineChars="0"/>
              <w:rPr>
                <w:rFonts w:ascii="宋体" w:hAnsi="宋体" w:cs="宋体"/>
                <w:kern w:val="0"/>
                <w:sz w:val="21"/>
                <w:szCs w:val="21"/>
                <w:highlight w:val="none"/>
              </w:rPr>
            </w:pPr>
            <w:bookmarkStart w:id="8" w:name="_Hlk181886817"/>
            <w:r>
              <w:rPr>
                <w:rFonts w:hint="eastAsia" w:ascii="宋体" w:hAnsi="宋体" w:cs="宋体"/>
                <w:kern w:val="0"/>
                <w:sz w:val="21"/>
                <w:szCs w:val="21"/>
                <w:highlight w:val="none"/>
              </w:rPr>
              <w:t>OM4 MPO 多模光纤跳线</w:t>
            </w:r>
            <w:bookmarkEnd w:id="8"/>
          </w:p>
        </w:tc>
        <w:tc>
          <w:tcPr>
            <w:tcW w:w="2186" w:type="dxa"/>
            <w:shd w:val="clear" w:color="auto" w:fill="auto"/>
            <w:noWrap/>
            <w:vAlign w:val="center"/>
          </w:tcPr>
          <w:p w14:paraId="35DA195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长度15米，母头-母头</w:t>
            </w:r>
          </w:p>
        </w:tc>
        <w:tc>
          <w:tcPr>
            <w:tcW w:w="675" w:type="dxa"/>
            <w:shd w:val="clear" w:color="auto" w:fill="auto"/>
            <w:noWrap/>
            <w:vAlign w:val="center"/>
          </w:tcPr>
          <w:p w14:paraId="0B09E2F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1555BDF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¥1,035.00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4EF4E9B9">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0.9%</w:t>
            </w:r>
          </w:p>
        </w:tc>
      </w:tr>
      <w:tr w14:paraId="003B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89706F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19</w:t>
            </w:r>
          </w:p>
        </w:tc>
        <w:tc>
          <w:tcPr>
            <w:tcW w:w="3118" w:type="dxa"/>
            <w:shd w:val="clear" w:color="auto" w:fill="auto"/>
            <w:vAlign w:val="center"/>
          </w:tcPr>
          <w:p w14:paraId="24F3BA6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186" w:type="dxa"/>
            <w:shd w:val="clear" w:color="auto" w:fill="auto"/>
            <w:noWrap/>
            <w:vAlign w:val="center"/>
          </w:tcPr>
          <w:p w14:paraId="3541E3F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长度25米，母头-母头</w:t>
            </w:r>
          </w:p>
        </w:tc>
        <w:tc>
          <w:tcPr>
            <w:tcW w:w="675" w:type="dxa"/>
            <w:shd w:val="clear" w:color="auto" w:fill="auto"/>
            <w:noWrap/>
            <w:vAlign w:val="center"/>
          </w:tcPr>
          <w:p w14:paraId="3BD46F6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5FC36E8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¥1,455.00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67EE496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0FC5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4A089FE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20</w:t>
            </w:r>
          </w:p>
        </w:tc>
        <w:tc>
          <w:tcPr>
            <w:tcW w:w="3118" w:type="dxa"/>
            <w:shd w:val="clear" w:color="auto" w:fill="auto"/>
            <w:vAlign w:val="center"/>
          </w:tcPr>
          <w:p w14:paraId="47EAF1D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186" w:type="dxa"/>
            <w:shd w:val="clear" w:color="auto" w:fill="auto"/>
            <w:noWrap/>
            <w:vAlign w:val="center"/>
          </w:tcPr>
          <w:p w14:paraId="1B4D13F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长度30米，母头-母头</w:t>
            </w:r>
          </w:p>
        </w:tc>
        <w:tc>
          <w:tcPr>
            <w:tcW w:w="675" w:type="dxa"/>
            <w:shd w:val="clear" w:color="auto" w:fill="auto"/>
            <w:noWrap/>
            <w:vAlign w:val="center"/>
          </w:tcPr>
          <w:p w14:paraId="7704719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00861C1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¥1,671.00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79DC319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1.3%</w:t>
            </w:r>
          </w:p>
        </w:tc>
      </w:tr>
      <w:tr w14:paraId="0BDA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367A668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21</w:t>
            </w:r>
          </w:p>
        </w:tc>
        <w:tc>
          <w:tcPr>
            <w:tcW w:w="3118" w:type="dxa"/>
            <w:shd w:val="clear" w:color="auto" w:fill="auto"/>
            <w:vAlign w:val="center"/>
          </w:tcPr>
          <w:p w14:paraId="10BB844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186" w:type="dxa"/>
            <w:shd w:val="clear" w:color="auto" w:fill="auto"/>
            <w:noWrap/>
            <w:vAlign w:val="center"/>
          </w:tcPr>
          <w:p w14:paraId="04CF2B8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长度35米，母头-母头</w:t>
            </w:r>
          </w:p>
        </w:tc>
        <w:tc>
          <w:tcPr>
            <w:tcW w:w="675" w:type="dxa"/>
            <w:shd w:val="clear" w:color="auto" w:fill="auto"/>
            <w:noWrap/>
            <w:vAlign w:val="center"/>
          </w:tcPr>
          <w:p w14:paraId="1AC5C4A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301699C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¥1,875.00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0CF1917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0.9%</w:t>
            </w:r>
          </w:p>
        </w:tc>
      </w:tr>
      <w:tr w14:paraId="6D9E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E9E7C7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22</w:t>
            </w:r>
          </w:p>
        </w:tc>
        <w:tc>
          <w:tcPr>
            <w:tcW w:w="3118" w:type="dxa"/>
            <w:shd w:val="clear" w:color="auto" w:fill="auto"/>
            <w:vAlign w:val="center"/>
          </w:tcPr>
          <w:p w14:paraId="71188AD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186" w:type="dxa"/>
            <w:shd w:val="clear" w:color="auto" w:fill="auto"/>
            <w:noWrap/>
            <w:vAlign w:val="center"/>
          </w:tcPr>
          <w:p w14:paraId="5594004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长度1米，公头-公头</w:t>
            </w:r>
          </w:p>
        </w:tc>
        <w:tc>
          <w:tcPr>
            <w:tcW w:w="675" w:type="dxa"/>
            <w:shd w:val="clear" w:color="auto" w:fill="auto"/>
            <w:noWrap/>
            <w:vAlign w:val="center"/>
          </w:tcPr>
          <w:p w14:paraId="29DB5C1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5F67BB7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¥450.00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451B8E0F">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0.1%</w:t>
            </w:r>
          </w:p>
        </w:tc>
      </w:tr>
      <w:tr w14:paraId="526C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096E4E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23</w:t>
            </w:r>
          </w:p>
        </w:tc>
        <w:tc>
          <w:tcPr>
            <w:tcW w:w="3118" w:type="dxa"/>
            <w:shd w:val="clear" w:color="auto" w:fill="auto"/>
            <w:vAlign w:val="center"/>
          </w:tcPr>
          <w:p w14:paraId="37D928A5">
            <w:pPr>
              <w:widowControl/>
              <w:autoSpaceDE/>
              <w:autoSpaceDN/>
              <w:spacing w:before="156" w:line="240" w:lineRule="auto"/>
              <w:ind w:firstLine="0" w:firstLineChars="0"/>
              <w:rPr>
                <w:rFonts w:ascii="宋体" w:hAnsi="宋体" w:cs="宋体"/>
                <w:kern w:val="0"/>
                <w:sz w:val="21"/>
                <w:szCs w:val="21"/>
                <w:highlight w:val="none"/>
              </w:rPr>
            </w:pPr>
            <w:bookmarkStart w:id="9" w:name="_Hlk181887022"/>
            <w:r>
              <w:rPr>
                <w:rFonts w:hint="eastAsia" w:ascii="宋体" w:hAnsi="宋体" w:cs="宋体"/>
                <w:kern w:val="0"/>
                <w:sz w:val="21"/>
                <w:szCs w:val="21"/>
                <w:highlight w:val="none"/>
              </w:rPr>
              <w:t xml:space="preserve">OM4 </w:t>
            </w:r>
            <w:bookmarkStart w:id="10" w:name="_Hlk181886870"/>
            <w:r>
              <w:rPr>
                <w:rFonts w:hint="eastAsia" w:ascii="宋体" w:hAnsi="宋体" w:cs="宋体"/>
                <w:kern w:val="0"/>
                <w:sz w:val="21"/>
                <w:szCs w:val="21"/>
                <w:highlight w:val="none"/>
              </w:rPr>
              <w:t>LC-LC 多模双工光纤跳线</w:t>
            </w:r>
            <w:bookmarkEnd w:id="9"/>
            <w:bookmarkEnd w:id="10"/>
          </w:p>
        </w:tc>
        <w:tc>
          <w:tcPr>
            <w:tcW w:w="2186" w:type="dxa"/>
            <w:shd w:val="clear" w:color="auto" w:fill="auto"/>
            <w:noWrap/>
            <w:vAlign w:val="center"/>
          </w:tcPr>
          <w:p w14:paraId="20F925E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675" w:type="dxa"/>
            <w:shd w:val="clear" w:color="auto" w:fill="auto"/>
            <w:noWrap/>
            <w:vAlign w:val="center"/>
          </w:tcPr>
          <w:p w14:paraId="112FB35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6DFFA85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¥162.00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6FB7018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4.3%</w:t>
            </w:r>
          </w:p>
        </w:tc>
      </w:tr>
      <w:tr w14:paraId="54F7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5A4EF6D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w:t>
            </w:r>
          </w:p>
        </w:tc>
        <w:tc>
          <w:tcPr>
            <w:tcW w:w="3118" w:type="dxa"/>
            <w:shd w:val="clear" w:color="auto" w:fill="auto"/>
            <w:vAlign w:val="center"/>
          </w:tcPr>
          <w:p w14:paraId="225F8CF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186" w:type="dxa"/>
            <w:shd w:val="clear" w:color="auto" w:fill="auto"/>
            <w:noWrap/>
            <w:vAlign w:val="center"/>
          </w:tcPr>
          <w:p w14:paraId="46B0905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675" w:type="dxa"/>
            <w:shd w:val="clear" w:color="auto" w:fill="auto"/>
            <w:noWrap/>
            <w:vAlign w:val="center"/>
          </w:tcPr>
          <w:p w14:paraId="7E9D350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7009852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¥195.00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5167B89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8.2%</w:t>
            </w:r>
          </w:p>
        </w:tc>
      </w:tr>
      <w:tr w14:paraId="21F8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69628C6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25</w:t>
            </w:r>
          </w:p>
        </w:tc>
        <w:tc>
          <w:tcPr>
            <w:tcW w:w="3118" w:type="dxa"/>
            <w:shd w:val="clear" w:color="auto" w:fill="auto"/>
            <w:vAlign w:val="center"/>
          </w:tcPr>
          <w:p w14:paraId="04B04CC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186" w:type="dxa"/>
            <w:shd w:val="clear" w:color="auto" w:fill="auto"/>
            <w:noWrap/>
            <w:vAlign w:val="center"/>
          </w:tcPr>
          <w:p w14:paraId="7A7EBC4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675" w:type="dxa"/>
            <w:shd w:val="clear" w:color="auto" w:fill="auto"/>
            <w:noWrap/>
            <w:vAlign w:val="center"/>
          </w:tcPr>
          <w:p w14:paraId="6B09899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67EF6C1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¥285.00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4E14E9C8">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9.8%</w:t>
            </w:r>
          </w:p>
        </w:tc>
      </w:tr>
      <w:tr w14:paraId="7DAB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578DBE4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26</w:t>
            </w:r>
          </w:p>
        </w:tc>
        <w:tc>
          <w:tcPr>
            <w:tcW w:w="3118" w:type="dxa"/>
            <w:shd w:val="clear" w:color="auto" w:fill="auto"/>
            <w:vAlign w:val="center"/>
          </w:tcPr>
          <w:p w14:paraId="73C9375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186" w:type="dxa"/>
            <w:shd w:val="clear" w:color="auto" w:fill="auto"/>
            <w:noWrap/>
            <w:vAlign w:val="center"/>
          </w:tcPr>
          <w:p w14:paraId="095D732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675" w:type="dxa"/>
            <w:shd w:val="clear" w:color="auto" w:fill="auto"/>
            <w:noWrap/>
            <w:vAlign w:val="center"/>
          </w:tcPr>
          <w:p w14:paraId="61186C5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01026F5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¥375.00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6689B9B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3.7%</w:t>
            </w:r>
          </w:p>
        </w:tc>
      </w:tr>
      <w:tr w14:paraId="112F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3F0BBB3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27</w:t>
            </w:r>
          </w:p>
        </w:tc>
        <w:tc>
          <w:tcPr>
            <w:tcW w:w="3118" w:type="dxa"/>
            <w:shd w:val="clear" w:color="auto" w:fill="auto"/>
            <w:vAlign w:val="center"/>
          </w:tcPr>
          <w:p w14:paraId="401A714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186" w:type="dxa"/>
            <w:shd w:val="clear" w:color="auto" w:fill="auto"/>
            <w:noWrap/>
            <w:vAlign w:val="center"/>
          </w:tcPr>
          <w:p w14:paraId="5179203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675" w:type="dxa"/>
            <w:shd w:val="clear" w:color="auto" w:fill="auto"/>
            <w:noWrap/>
            <w:vAlign w:val="center"/>
          </w:tcPr>
          <w:p w14:paraId="2ED4B86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31B29DD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¥157.00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529FEE34">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7F70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26D3DF7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28</w:t>
            </w:r>
          </w:p>
        </w:tc>
        <w:tc>
          <w:tcPr>
            <w:tcW w:w="3118" w:type="dxa"/>
            <w:shd w:val="clear" w:color="auto" w:fill="auto"/>
            <w:vAlign w:val="center"/>
          </w:tcPr>
          <w:p w14:paraId="2930EE3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186" w:type="dxa"/>
            <w:shd w:val="clear" w:color="auto" w:fill="auto"/>
            <w:noWrap/>
            <w:vAlign w:val="center"/>
          </w:tcPr>
          <w:p w14:paraId="5530665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675" w:type="dxa"/>
            <w:shd w:val="clear" w:color="auto" w:fill="auto"/>
            <w:noWrap/>
            <w:vAlign w:val="center"/>
          </w:tcPr>
          <w:p w14:paraId="3CD3CD3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247458C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¥223.00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24564CDE">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24AF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7535E58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29</w:t>
            </w:r>
          </w:p>
        </w:tc>
        <w:tc>
          <w:tcPr>
            <w:tcW w:w="3118" w:type="dxa"/>
            <w:shd w:val="clear" w:color="auto" w:fill="auto"/>
            <w:vAlign w:val="center"/>
          </w:tcPr>
          <w:p w14:paraId="2FB3C80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186" w:type="dxa"/>
            <w:shd w:val="clear" w:color="auto" w:fill="auto"/>
            <w:noWrap/>
            <w:vAlign w:val="center"/>
          </w:tcPr>
          <w:p w14:paraId="1F0DC02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长度20米</w:t>
            </w:r>
          </w:p>
        </w:tc>
        <w:tc>
          <w:tcPr>
            <w:tcW w:w="675" w:type="dxa"/>
            <w:shd w:val="clear" w:color="auto" w:fill="auto"/>
            <w:noWrap/>
            <w:vAlign w:val="center"/>
          </w:tcPr>
          <w:p w14:paraId="6D90C16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6558593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¥267.00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30366D76">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54D6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4D20779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30</w:t>
            </w:r>
          </w:p>
        </w:tc>
        <w:tc>
          <w:tcPr>
            <w:tcW w:w="3118" w:type="dxa"/>
            <w:shd w:val="clear" w:color="auto" w:fill="auto"/>
            <w:vAlign w:val="center"/>
          </w:tcPr>
          <w:p w14:paraId="7198B17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MPO光纤适配器</w:t>
            </w:r>
          </w:p>
        </w:tc>
        <w:tc>
          <w:tcPr>
            <w:tcW w:w="2186" w:type="dxa"/>
            <w:shd w:val="clear" w:color="auto" w:fill="auto"/>
            <w:noWrap/>
            <w:vAlign w:val="center"/>
          </w:tcPr>
          <w:p w14:paraId="09DE469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B型，4口</w:t>
            </w:r>
          </w:p>
        </w:tc>
        <w:tc>
          <w:tcPr>
            <w:tcW w:w="675" w:type="dxa"/>
            <w:shd w:val="clear" w:color="auto" w:fill="auto"/>
            <w:noWrap/>
            <w:vAlign w:val="center"/>
          </w:tcPr>
          <w:p w14:paraId="2F4675E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个</w:t>
            </w:r>
          </w:p>
        </w:tc>
        <w:tc>
          <w:tcPr>
            <w:tcW w:w="1350" w:type="dxa"/>
            <w:tcBorders>
              <w:top w:val="nil"/>
              <w:left w:val="single" w:color="auto" w:sz="4" w:space="0"/>
              <w:bottom w:val="single" w:color="auto" w:sz="4" w:space="0"/>
              <w:right w:val="single" w:color="auto" w:sz="4" w:space="0"/>
            </w:tcBorders>
            <w:shd w:val="clear" w:color="auto" w:fill="auto"/>
            <w:vAlign w:val="center"/>
          </w:tcPr>
          <w:p w14:paraId="3D260C7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¥468.00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036AEE4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7DC4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E60E07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31</w:t>
            </w:r>
          </w:p>
        </w:tc>
        <w:tc>
          <w:tcPr>
            <w:tcW w:w="3118" w:type="dxa"/>
            <w:shd w:val="clear" w:color="auto" w:fill="auto"/>
            <w:vAlign w:val="center"/>
          </w:tcPr>
          <w:p w14:paraId="358F0CB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c14转c13欧标电源线</w:t>
            </w:r>
          </w:p>
        </w:tc>
        <w:tc>
          <w:tcPr>
            <w:tcW w:w="2186" w:type="dxa"/>
            <w:shd w:val="clear" w:color="auto" w:fill="auto"/>
            <w:noWrap/>
            <w:vAlign w:val="center"/>
          </w:tcPr>
          <w:p w14:paraId="4BE7B52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675" w:type="dxa"/>
            <w:shd w:val="clear" w:color="auto" w:fill="auto"/>
            <w:noWrap/>
            <w:vAlign w:val="center"/>
          </w:tcPr>
          <w:p w14:paraId="131C750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45C15BD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101D2E04">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19.5%</w:t>
            </w:r>
          </w:p>
        </w:tc>
      </w:tr>
      <w:tr w14:paraId="3E8C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6DB1FB42">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w:t>
            </w:r>
          </w:p>
        </w:tc>
        <w:tc>
          <w:tcPr>
            <w:tcW w:w="3118" w:type="dxa"/>
            <w:shd w:val="clear" w:color="auto" w:fill="auto"/>
            <w:vAlign w:val="center"/>
          </w:tcPr>
          <w:p w14:paraId="60010C6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c20转c13欧标电源线</w:t>
            </w:r>
          </w:p>
        </w:tc>
        <w:tc>
          <w:tcPr>
            <w:tcW w:w="2186" w:type="dxa"/>
            <w:shd w:val="clear" w:color="auto" w:fill="auto"/>
            <w:noWrap/>
            <w:vAlign w:val="center"/>
          </w:tcPr>
          <w:p w14:paraId="2346E91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675" w:type="dxa"/>
            <w:shd w:val="clear" w:color="auto" w:fill="auto"/>
            <w:noWrap/>
            <w:vAlign w:val="center"/>
          </w:tcPr>
          <w:p w14:paraId="726937B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根</w:t>
            </w:r>
          </w:p>
        </w:tc>
        <w:tc>
          <w:tcPr>
            <w:tcW w:w="1350" w:type="dxa"/>
            <w:tcBorders>
              <w:top w:val="nil"/>
              <w:left w:val="single" w:color="auto" w:sz="4" w:space="0"/>
              <w:bottom w:val="single" w:color="auto" w:sz="4" w:space="0"/>
              <w:right w:val="single" w:color="auto" w:sz="4" w:space="0"/>
            </w:tcBorders>
            <w:shd w:val="clear" w:color="auto" w:fill="auto"/>
            <w:vAlign w:val="center"/>
          </w:tcPr>
          <w:p w14:paraId="498AC32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26B41B1D">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2.3%</w:t>
            </w:r>
          </w:p>
        </w:tc>
      </w:tr>
      <w:tr w14:paraId="0DBD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5264B04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33</w:t>
            </w:r>
          </w:p>
        </w:tc>
        <w:tc>
          <w:tcPr>
            <w:tcW w:w="3118" w:type="dxa"/>
            <w:shd w:val="clear" w:color="auto" w:fill="auto"/>
            <w:vAlign w:val="center"/>
          </w:tcPr>
          <w:p w14:paraId="7BCA66C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48芯光纤配线架</w:t>
            </w:r>
          </w:p>
        </w:tc>
        <w:tc>
          <w:tcPr>
            <w:tcW w:w="2186" w:type="dxa"/>
            <w:shd w:val="clear" w:color="auto" w:fill="auto"/>
            <w:noWrap/>
            <w:vAlign w:val="center"/>
          </w:tcPr>
          <w:p w14:paraId="1ED5F73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675" w:type="dxa"/>
            <w:shd w:val="clear" w:color="auto" w:fill="auto"/>
            <w:noWrap/>
            <w:vAlign w:val="center"/>
          </w:tcPr>
          <w:p w14:paraId="117932C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个</w:t>
            </w:r>
          </w:p>
        </w:tc>
        <w:tc>
          <w:tcPr>
            <w:tcW w:w="1350" w:type="dxa"/>
            <w:tcBorders>
              <w:top w:val="nil"/>
              <w:left w:val="single" w:color="auto" w:sz="4" w:space="0"/>
              <w:bottom w:val="single" w:color="auto" w:sz="4" w:space="0"/>
              <w:right w:val="single" w:color="auto" w:sz="4" w:space="0"/>
            </w:tcBorders>
            <w:shd w:val="clear" w:color="auto" w:fill="auto"/>
            <w:vAlign w:val="center"/>
          </w:tcPr>
          <w:p w14:paraId="719DA83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¥1,365.00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3439423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0.1%</w:t>
            </w:r>
          </w:p>
        </w:tc>
      </w:tr>
      <w:tr w14:paraId="2F0B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709B38A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34</w:t>
            </w:r>
          </w:p>
        </w:tc>
        <w:tc>
          <w:tcPr>
            <w:tcW w:w="3118" w:type="dxa"/>
            <w:shd w:val="clear" w:color="000000" w:fill="FFFFFF"/>
            <w:vAlign w:val="center"/>
          </w:tcPr>
          <w:p w14:paraId="0DD9CDD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服务器机柜</w:t>
            </w:r>
          </w:p>
        </w:tc>
        <w:tc>
          <w:tcPr>
            <w:tcW w:w="2186" w:type="dxa"/>
            <w:shd w:val="clear" w:color="auto" w:fill="auto"/>
            <w:noWrap/>
            <w:vAlign w:val="center"/>
          </w:tcPr>
          <w:p w14:paraId="77BA832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800mm x 1200mm x 2000mm</w:t>
            </w:r>
          </w:p>
        </w:tc>
        <w:tc>
          <w:tcPr>
            <w:tcW w:w="675" w:type="dxa"/>
            <w:shd w:val="clear" w:color="auto" w:fill="auto"/>
            <w:noWrap/>
            <w:vAlign w:val="center"/>
          </w:tcPr>
          <w:p w14:paraId="4946450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个</w:t>
            </w:r>
          </w:p>
        </w:tc>
        <w:tc>
          <w:tcPr>
            <w:tcW w:w="1350" w:type="dxa"/>
            <w:tcBorders>
              <w:top w:val="nil"/>
              <w:left w:val="single" w:color="auto" w:sz="4" w:space="0"/>
              <w:bottom w:val="single" w:color="auto" w:sz="4" w:space="0"/>
              <w:right w:val="single" w:color="auto" w:sz="4" w:space="0"/>
            </w:tcBorders>
            <w:shd w:val="clear" w:color="auto" w:fill="auto"/>
            <w:vAlign w:val="center"/>
          </w:tcPr>
          <w:p w14:paraId="27D34A6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¥9,432.00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5158EA65">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0.1%</w:t>
            </w:r>
          </w:p>
        </w:tc>
      </w:tr>
      <w:tr w14:paraId="5AB2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1FFC71A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35</w:t>
            </w:r>
          </w:p>
        </w:tc>
        <w:tc>
          <w:tcPr>
            <w:tcW w:w="3118" w:type="dxa"/>
            <w:shd w:val="clear" w:color="auto" w:fill="auto"/>
            <w:vAlign w:val="center"/>
          </w:tcPr>
          <w:p w14:paraId="32A1C14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空开</w:t>
            </w:r>
          </w:p>
        </w:tc>
        <w:tc>
          <w:tcPr>
            <w:tcW w:w="2186" w:type="dxa"/>
            <w:shd w:val="clear" w:color="auto" w:fill="auto"/>
            <w:noWrap/>
            <w:vAlign w:val="center"/>
          </w:tcPr>
          <w:p w14:paraId="027FB86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32A/1P</w:t>
            </w:r>
          </w:p>
        </w:tc>
        <w:tc>
          <w:tcPr>
            <w:tcW w:w="675" w:type="dxa"/>
            <w:shd w:val="clear" w:color="auto" w:fill="auto"/>
            <w:noWrap/>
            <w:vAlign w:val="center"/>
          </w:tcPr>
          <w:p w14:paraId="78D2F0F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个</w:t>
            </w:r>
          </w:p>
        </w:tc>
        <w:tc>
          <w:tcPr>
            <w:tcW w:w="1350" w:type="dxa"/>
            <w:tcBorders>
              <w:top w:val="nil"/>
              <w:left w:val="single" w:color="auto" w:sz="4" w:space="0"/>
              <w:bottom w:val="single" w:color="auto" w:sz="4" w:space="0"/>
              <w:right w:val="single" w:color="auto" w:sz="4" w:space="0"/>
            </w:tcBorders>
            <w:shd w:val="clear" w:color="auto" w:fill="auto"/>
            <w:vAlign w:val="center"/>
          </w:tcPr>
          <w:p w14:paraId="4F72CC2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¥54.00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2871D25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3BE7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17733C2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36</w:t>
            </w:r>
          </w:p>
        </w:tc>
        <w:tc>
          <w:tcPr>
            <w:tcW w:w="3118" w:type="dxa"/>
            <w:shd w:val="clear" w:color="auto" w:fill="auto"/>
            <w:vAlign w:val="center"/>
          </w:tcPr>
          <w:p w14:paraId="3AD674C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工业连接器</w:t>
            </w:r>
          </w:p>
        </w:tc>
        <w:tc>
          <w:tcPr>
            <w:tcW w:w="2186" w:type="dxa"/>
            <w:shd w:val="clear" w:color="auto" w:fill="auto"/>
            <w:noWrap/>
            <w:vAlign w:val="center"/>
          </w:tcPr>
          <w:p w14:paraId="504A453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32A/1P</w:t>
            </w:r>
          </w:p>
        </w:tc>
        <w:tc>
          <w:tcPr>
            <w:tcW w:w="675" w:type="dxa"/>
            <w:shd w:val="clear" w:color="auto" w:fill="auto"/>
            <w:noWrap/>
            <w:vAlign w:val="center"/>
          </w:tcPr>
          <w:p w14:paraId="4C4E29C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个</w:t>
            </w:r>
          </w:p>
        </w:tc>
        <w:tc>
          <w:tcPr>
            <w:tcW w:w="1350" w:type="dxa"/>
            <w:tcBorders>
              <w:top w:val="nil"/>
              <w:left w:val="single" w:color="auto" w:sz="4" w:space="0"/>
              <w:bottom w:val="single" w:color="auto" w:sz="4" w:space="0"/>
              <w:right w:val="single" w:color="auto" w:sz="4" w:space="0"/>
            </w:tcBorders>
            <w:shd w:val="clear" w:color="auto" w:fill="auto"/>
            <w:vAlign w:val="center"/>
          </w:tcPr>
          <w:p w14:paraId="6DA6304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¥255.00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0B8080A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723A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0B8E2A7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37</w:t>
            </w:r>
          </w:p>
        </w:tc>
        <w:tc>
          <w:tcPr>
            <w:tcW w:w="3118" w:type="dxa"/>
            <w:shd w:val="clear" w:color="auto" w:fill="auto"/>
            <w:vAlign w:val="center"/>
          </w:tcPr>
          <w:p w14:paraId="6800CFA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24芯多模光纤</w:t>
            </w:r>
          </w:p>
        </w:tc>
        <w:tc>
          <w:tcPr>
            <w:tcW w:w="2186" w:type="dxa"/>
            <w:shd w:val="clear" w:color="auto" w:fill="auto"/>
            <w:vAlign w:val="center"/>
          </w:tcPr>
          <w:p w14:paraId="022C30F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定制长度</w:t>
            </w:r>
          </w:p>
        </w:tc>
        <w:tc>
          <w:tcPr>
            <w:tcW w:w="675" w:type="dxa"/>
            <w:shd w:val="clear" w:color="auto" w:fill="auto"/>
            <w:noWrap/>
            <w:vAlign w:val="center"/>
          </w:tcPr>
          <w:p w14:paraId="7460072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米</w:t>
            </w:r>
          </w:p>
        </w:tc>
        <w:tc>
          <w:tcPr>
            <w:tcW w:w="1350" w:type="dxa"/>
            <w:tcBorders>
              <w:top w:val="nil"/>
              <w:left w:val="single" w:color="auto" w:sz="4" w:space="0"/>
              <w:bottom w:val="single" w:color="auto" w:sz="4" w:space="0"/>
              <w:right w:val="single" w:color="auto" w:sz="4" w:space="0"/>
            </w:tcBorders>
            <w:shd w:val="clear" w:color="auto" w:fill="auto"/>
            <w:vAlign w:val="center"/>
          </w:tcPr>
          <w:p w14:paraId="22FFCB6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¥47.00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0522498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1.9%</w:t>
            </w:r>
          </w:p>
        </w:tc>
      </w:tr>
      <w:tr w14:paraId="6873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44D04E0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38</w:t>
            </w:r>
          </w:p>
        </w:tc>
        <w:tc>
          <w:tcPr>
            <w:tcW w:w="3118" w:type="dxa"/>
            <w:shd w:val="clear" w:color="auto" w:fill="auto"/>
            <w:vAlign w:val="center"/>
          </w:tcPr>
          <w:p w14:paraId="064D3A5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24口网络配线架</w:t>
            </w:r>
          </w:p>
        </w:tc>
        <w:tc>
          <w:tcPr>
            <w:tcW w:w="2186" w:type="dxa"/>
            <w:shd w:val="clear" w:color="auto" w:fill="auto"/>
            <w:noWrap/>
            <w:vAlign w:val="center"/>
          </w:tcPr>
          <w:p w14:paraId="5BC38AA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675" w:type="dxa"/>
            <w:shd w:val="clear" w:color="auto" w:fill="auto"/>
            <w:noWrap/>
            <w:vAlign w:val="center"/>
          </w:tcPr>
          <w:p w14:paraId="77ABC05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个</w:t>
            </w:r>
          </w:p>
        </w:tc>
        <w:tc>
          <w:tcPr>
            <w:tcW w:w="1350" w:type="dxa"/>
            <w:tcBorders>
              <w:top w:val="nil"/>
              <w:left w:val="single" w:color="auto" w:sz="4" w:space="0"/>
              <w:bottom w:val="single" w:color="auto" w:sz="4" w:space="0"/>
              <w:right w:val="single" w:color="auto" w:sz="4" w:space="0"/>
            </w:tcBorders>
            <w:shd w:val="clear" w:color="auto" w:fill="auto"/>
            <w:vAlign w:val="center"/>
          </w:tcPr>
          <w:p w14:paraId="12FFFF3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¥936.00</w:t>
            </w:r>
          </w:p>
        </w:tc>
        <w:tc>
          <w:tcPr>
            <w:tcW w:w="1350" w:type="dxa"/>
            <w:tcBorders>
              <w:top w:val="nil"/>
              <w:left w:val="single" w:color="auto" w:sz="4" w:space="0"/>
              <w:bottom w:val="single" w:color="auto" w:sz="4" w:space="0"/>
              <w:right w:val="single" w:color="auto" w:sz="4" w:space="0"/>
            </w:tcBorders>
            <w:shd w:val="clear" w:color="auto" w:fill="auto"/>
            <w:vAlign w:val="center"/>
          </w:tcPr>
          <w:p w14:paraId="21225D52">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0742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dxa"/>
            <w:shd w:val="clear" w:color="auto" w:fill="auto"/>
            <w:noWrap/>
            <w:vAlign w:val="center"/>
          </w:tcPr>
          <w:p w14:paraId="1501B9F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39</w:t>
            </w:r>
          </w:p>
        </w:tc>
        <w:tc>
          <w:tcPr>
            <w:tcW w:w="3118" w:type="dxa"/>
            <w:shd w:val="clear" w:color="auto" w:fill="auto"/>
            <w:vAlign w:val="center"/>
          </w:tcPr>
          <w:p w14:paraId="7E4779D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通用服务器L型支架</w:t>
            </w:r>
          </w:p>
        </w:tc>
        <w:tc>
          <w:tcPr>
            <w:tcW w:w="2186" w:type="dxa"/>
            <w:shd w:val="clear" w:color="auto" w:fill="auto"/>
            <w:noWrap/>
            <w:vAlign w:val="center"/>
          </w:tcPr>
          <w:p w14:paraId="171B1B4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带滑轨</w:t>
            </w:r>
          </w:p>
        </w:tc>
        <w:tc>
          <w:tcPr>
            <w:tcW w:w="675" w:type="dxa"/>
            <w:shd w:val="clear" w:color="auto" w:fill="auto"/>
            <w:noWrap/>
            <w:vAlign w:val="center"/>
          </w:tcPr>
          <w:p w14:paraId="05F266B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个</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F5B078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¥283.00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3B15164">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2.9%</w:t>
            </w:r>
          </w:p>
        </w:tc>
      </w:tr>
      <w:tr w14:paraId="1A57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263" w:type="dxa"/>
            <w:gridSpan w:val="6"/>
            <w:tcBorders>
              <w:right w:val="single" w:color="auto" w:sz="4" w:space="0"/>
            </w:tcBorders>
            <w:shd w:val="clear" w:color="auto" w:fill="auto"/>
            <w:noWrap/>
            <w:vAlign w:val="center"/>
          </w:tcPr>
          <w:p w14:paraId="1CA4448D">
            <w:pPr>
              <w:widowControl/>
              <w:autoSpaceDE/>
              <w:autoSpaceDN/>
              <w:spacing w:line="240" w:lineRule="auto"/>
              <w:ind w:firstLine="0" w:firstLineChars="0"/>
              <w:jc w:val="center"/>
              <w:rPr>
                <w:rFonts w:hint="eastAsia" w:ascii="宋体" w:hAnsi="宋体" w:cs="宋体"/>
                <w:kern w:val="0"/>
                <w:sz w:val="21"/>
                <w:szCs w:val="21"/>
                <w:highlight w:val="none"/>
              </w:rPr>
            </w:pPr>
            <w:bookmarkStart w:id="11" w:name="_Toc288224935"/>
            <w:bookmarkStart w:id="12" w:name="_Toc55379219"/>
            <w:bookmarkStart w:id="13" w:name="_Toc89675128"/>
            <w:bookmarkStart w:id="14" w:name="_Toc469574664"/>
            <w:bookmarkStart w:id="15" w:name="_Toc297817088"/>
            <w:r>
              <w:rPr>
                <w:rFonts w:hint="eastAsia" w:ascii="宋体" w:hAnsi="宋体" w:cs="宋体"/>
                <w:b/>
                <w:bCs/>
                <w:kern w:val="0"/>
                <w:sz w:val="21"/>
                <w:szCs w:val="21"/>
                <w:highlight w:val="none"/>
                <w:lang w:val="en-US" w:eastAsia="zh-CN"/>
              </w:rPr>
              <w:t>加权平均价：205.76元</w:t>
            </w:r>
          </w:p>
        </w:tc>
      </w:tr>
    </w:tbl>
    <w:p w14:paraId="572239B0">
      <w:pPr>
        <w:pStyle w:val="3"/>
        <w:spacing w:before="156"/>
        <w:ind w:left="240" w:right="240"/>
        <w:rPr>
          <w:rFonts w:ascii="Times New Roman" w:hAnsi="Times New Roman"/>
          <w:highlight w:val="none"/>
        </w:rPr>
      </w:pPr>
      <w:r>
        <w:rPr>
          <w:rFonts w:hint="eastAsia" w:ascii="Times New Roman" w:hAnsi="Times New Roman"/>
          <w:highlight w:val="none"/>
        </w:rPr>
        <w:t>2. 参选人资格要求</w:t>
      </w:r>
      <w:bookmarkEnd w:id="11"/>
      <w:bookmarkEnd w:id="12"/>
      <w:bookmarkEnd w:id="13"/>
      <w:bookmarkEnd w:id="14"/>
      <w:bookmarkEnd w:id="15"/>
    </w:p>
    <w:p w14:paraId="570BEFF9">
      <w:pPr>
        <w:spacing w:before="156"/>
        <w:ind w:right="240" w:firstLine="480"/>
        <w:rPr>
          <w:rFonts w:ascii="Times New Roman" w:hAnsi="Times New Roman"/>
          <w:highlight w:val="none"/>
        </w:rPr>
      </w:pPr>
      <w:bookmarkStart w:id="16" w:name="_Hlk55488870"/>
      <w:r>
        <w:rPr>
          <w:rFonts w:hint="eastAsia" w:ascii="Times New Roman" w:hAnsi="Times New Roman"/>
          <w:highlight w:val="none"/>
        </w:rPr>
        <w:t>2.1 具有独立承担民事责任的能力</w:t>
      </w:r>
    </w:p>
    <w:p w14:paraId="000217E6">
      <w:pPr>
        <w:spacing w:before="156"/>
        <w:ind w:right="240" w:firstLine="480"/>
        <w:rPr>
          <w:rFonts w:ascii="Times New Roman" w:hAnsi="Times New Roman"/>
          <w:highlight w:val="none"/>
        </w:rPr>
      </w:pPr>
      <w:r>
        <w:rPr>
          <w:rFonts w:hint="eastAsia" w:ascii="Times New Roman" w:hAnsi="Times New Roman"/>
          <w:highlight w:val="none"/>
        </w:rPr>
        <w:t>【提供参选人有效营业执照（副本）或事业单位法人证书（副本）或个体工商户营业执照或有效的自然人身份证明；参选人法定代表人身份证明和法定代表人授权代表委托书。】</w:t>
      </w:r>
    </w:p>
    <w:p w14:paraId="6B5B905E">
      <w:pPr>
        <w:spacing w:before="156"/>
        <w:ind w:right="240" w:firstLine="480"/>
        <w:rPr>
          <w:rFonts w:ascii="Times New Roman" w:hAnsi="Times New Roman"/>
          <w:highlight w:val="none"/>
        </w:rPr>
      </w:pPr>
      <w:r>
        <w:rPr>
          <w:rFonts w:hint="eastAsia" w:ascii="Times New Roman" w:hAnsi="Times New Roman"/>
          <w:highlight w:val="none"/>
        </w:rPr>
        <w:t>注：若为法定代表人办理并签署参选文件的，不提供授权代表委托书。</w:t>
      </w:r>
    </w:p>
    <w:p w14:paraId="32BE60BC">
      <w:pPr>
        <w:spacing w:before="156"/>
        <w:ind w:right="240" w:firstLine="480"/>
        <w:rPr>
          <w:rFonts w:ascii="Times New Roman" w:hAnsi="Times New Roman"/>
          <w:highlight w:val="none"/>
        </w:rPr>
      </w:pPr>
      <w:r>
        <w:rPr>
          <w:rFonts w:hint="eastAsia" w:ascii="Times New Roman" w:hAnsi="Times New Roman"/>
          <w:highlight w:val="none"/>
        </w:rPr>
        <w:t>2.2 具有良好的商业信誉和健全的财务会计制度【提供书面声明】；</w:t>
      </w:r>
    </w:p>
    <w:p w14:paraId="4C91D401">
      <w:pPr>
        <w:spacing w:before="156"/>
        <w:ind w:right="240" w:firstLine="480"/>
        <w:rPr>
          <w:rFonts w:ascii="Times New Roman" w:hAnsi="Times New Roman"/>
          <w:highlight w:val="none"/>
        </w:rPr>
      </w:pPr>
      <w:r>
        <w:rPr>
          <w:rFonts w:hint="eastAsia" w:ascii="Times New Roman" w:hAnsi="Times New Roman"/>
          <w:highlight w:val="none"/>
        </w:rPr>
        <w:t>2.3 具有履行合同所必需的设备和专业技术能力【提供书面声明】；</w:t>
      </w:r>
    </w:p>
    <w:p w14:paraId="117EFDB0">
      <w:pPr>
        <w:spacing w:before="156"/>
        <w:ind w:right="240" w:firstLine="480"/>
        <w:rPr>
          <w:rFonts w:ascii="Times New Roman" w:hAnsi="Times New Roman"/>
          <w:highlight w:val="none"/>
        </w:rPr>
      </w:pPr>
      <w:r>
        <w:rPr>
          <w:rFonts w:hint="eastAsia" w:ascii="Times New Roman" w:hAnsi="Times New Roman"/>
          <w:highlight w:val="none"/>
        </w:rPr>
        <w:t>2.4 有依法缴纳税收和社会保障金的良好记录【提供书面声明】；</w:t>
      </w:r>
    </w:p>
    <w:p w14:paraId="4FD6FBD0">
      <w:pPr>
        <w:spacing w:before="156"/>
        <w:ind w:right="240" w:firstLine="480"/>
        <w:rPr>
          <w:rFonts w:ascii="Times New Roman" w:hAnsi="Times New Roman"/>
          <w:highlight w:val="none"/>
        </w:rPr>
      </w:pPr>
      <w:r>
        <w:rPr>
          <w:rFonts w:hint="eastAsia" w:ascii="Times New Roman" w:hAnsi="Times New Roman"/>
          <w:highlight w:val="none"/>
        </w:rPr>
        <w:t>2.5 三年内在经营活动中没有重大违法记录【提供书面声明】；</w:t>
      </w:r>
    </w:p>
    <w:p w14:paraId="05874138">
      <w:pPr>
        <w:spacing w:before="156"/>
        <w:ind w:right="240" w:firstLine="480"/>
        <w:rPr>
          <w:rFonts w:ascii="Times New Roman" w:hAnsi="Times New Roman"/>
          <w:highlight w:val="none"/>
        </w:rPr>
      </w:pPr>
      <w:r>
        <w:rPr>
          <w:rFonts w:hint="eastAsia" w:ascii="Times New Roman" w:hAnsi="Times New Roman"/>
          <w:highlight w:val="none"/>
        </w:rPr>
        <w:t>2.6 法人及法定代表人没有被人民法院列为失信被执行人名单【提供中国执行信息公开网截图并加盖单位鲜章】；</w:t>
      </w:r>
    </w:p>
    <w:p w14:paraId="30DDAEFA">
      <w:pPr>
        <w:spacing w:before="156"/>
        <w:ind w:right="240" w:firstLine="480"/>
        <w:rPr>
          <w:rFonts w:ascii="Times New Roman" w:hAnsi="Times New Roman"/>
          <w:highlight w:val="none"/>
        </w:rPr>
      </w:pPr>
      <w:r>
        <w:rPr>
          <w:rFonts w:hint="eastAsia" w:ascii="Times New Roman" w:hAnsi="Times New Roman"/>
          <w:highlight w:val="none"/>
        </w:rPr>
        <w:t>2.7 本项目不允许任何形式的转包【提供书面声明】。</w:t>
      </w:r>
    </w:p>
    <w:p w14:paraId="438E780C">
      <w:pPr>
        <w:spacing w:before="156"/>
        <w:ind w:right="240" w:firstLine="480"/>
        <w:rPr>
          <w:rFonts w:ascii="Times New Roman" w:hAnsi="Times New Roman"/>
          <w:highlight w:val="none"/>
        </w:rPr>
      </w:pPr>
      <w:r>
        <w:rPr>
          <w:rFonts w:hint="eastAsia" w:ascii="Times New Roman" w:hAnsi="Times New Roman"/>
          <w:highlight w:val="none"/>
        </w:rPr>
        <w:t>2.8 本次比选不接受联合体参选。</w:t>
      </w:r>
    </w:p>
    <w:p w14:paraId="4BA04C49">
      <w:pPr>
        <w:spacing w:before="156"/>
        <w:ind w:right="240" w:firstLine="480"/>
        <w:rPr>
          <w:rFonts w:ascii="Times New Roman" w:hAnsi="Times New Roman"/>
          <w:highlight w:val="none"/>
        </w:rPr>
      </w:pPr>
      <w:r>
        <w:rPr>
          <w:rFonts w:hint="eastAsia" w:ascii="Times New Roman" w:hAnsi="Times New Roman"/>
          <w:highlight w:val="none"/>
        </w:rPr>
        <w:t>2.9 参选人需具备近5年（自2019年12月1日至今，以合同签订时间为准）数据中心运维耗材采购项目案例或含材料供应的综合布线类项目案例不少于2个，单个案例金额不少于20万元。【案例须同时提供合同关键页复印件、</w:t>
      </w:r>
      <w:r>
        <w:rPr>
          <w:rFonts w:hint="eastAsia" w:ascii="Times New Roman" w:hAnsi="Times New Roman"/>
          <w:color w:val="auto"/>
          <w:highlight w:val="none"/>
        </w:rPr>
        <w:t>项目简介、合同对应的发票之一和网上税务系统查询该发票截图。合同关键页以下信息不可隐藏：甲乙双方名称、双方印章、项目/产品的名称、合同/中标通知书签订时间、服务范围等；</w:t>
      </w:r>
      <w:r>
        <w:rPr>
          <w:rFonts w:hint="eastAsia" w:ascii="Times New Roman" w:hAnsi="Times New Roman"/>
          <w:highlight w:val="none"/>
        </w:rPr>
        <w:t>发票开具日期须晚于合同签订日期、发票购买方须与合同买方一致、发票销售方须与合同卖方（参选人）一致】</w:t>
      </w:r>
    </w:p>
    <w:p w14:paraId="5F9B63E2">
      <w:pPr>
        <w:spacing w:before="156"/>
        <w:ind w:right="240" w:firstLine="480"/>
        <w:rPr>
          <w:rFonts w:ascii="Times New Roman" w:hAnsi="Times New Roman"/>
          <w:highlight w:val="none"/>
        </w:rPr>
      </w:pPr>
      <w:r>
        <w:rPr>
          <w:rFonts w:hint="eastAsia" w:ascii="Times New Roman" w:hAnsi="Times New Roman"/>
          <w:highlight w:val="none"/>
        </w:rPr>
        <w:t>2.10 获得</w:t>
      </w:r>
      <w:r>
        <w:rPr>
          <w:rFonts w:ascii="Times New Roman" w:hAnsi="Times New Roman"/>
          <w:highlight w:val="none"/>
        </w:rPr>
        <w:t>网络布线产品（包括跳线、双绞线、光纤、配线架、理线器、光纤适配器）</w:t>
      </w:r>
      <w:r>
        <w:rPr>
          <w:rFonts w:hint="eastAsia" w:ascii="Times New Roman" w:hAnsi="Times New Roman"/>
          <w:highlight w:val="none"/>
        </w:rPr>
        <w:t>制造商对本项目的授权。【提供</w:t>
      </w:r>
      <w:r>
        <w:rPr>
          <w:rFonts w:ascii="Times New Roman" w:hAnsi="Times New Roman"/>
          <w:highlight w:val="none"/>
        </w:rPr>
        <w:t>网络布线产品</w:t>
      </w:r>
      <w:r>
        <w:rPr>
          <w:rFonts w:hint="eastAsia" w:ascii="Times New Roman" w:hAnsi="Times New Roman"/>
          <w:highlight w:val="none"/>
        </w:rPr>
        <w:t>制造商出具的授权文件】</w:t>
      </w:r>
    </w:p>
    <w:p w14:paraId="6753CD5C">
      <w:pPr>
        <w:spacing w:before="156"/>
        <w:ind w:right="240" w:firstLine="480"/>
        <w:rPr>
          <w:rFonts w:ascii="Times New Roman" w:hAnsi="Times New Roman"/>
          <w:highlight w:val="none"/>
        </w:rPr>
      </w:pPr>
      <w:r>
        <w:rPr>
          <w:rFonts w:hint="eastAsia" w:ascii="Times New Roman" w:hAnsi="Times New Roman"/>
          <w:highlight w:val="none"/>
        </w:rPr>
        <w:t xml:space="preserve">2.11 </w:t>
      </w:r>
      <w:r>
        <w:rPr>
          <w:rFonts w:ascii="Times New Roman" w:hAnsi="Times New Roman"/>
          <w:highlight w:val="none"/>
        </w:rPr>
        <w:t>各类网络布线产品（包括跳线、双绞线、光纤、配线架、理线器、光纤适配器）须由产品制造商针对本项目提供质保承诺</w:t>
      </w:r>
      <w:r>
        <w:rPr>
          <w:rFonts w:hint="eastAsia" w:ascii="Times New Roman" w:hAnsi="Times New Roman"/>
          <w:highlight w:val="none"/>
        </w:rPr>
        <w:t>，产品质保期为自比选人签收之日起的25年。【</w:t>
      </w:r>
      <w:r>
        <w:rPr>
          <w:rFonts w:ascii="Times New Roman" w:hAnsi="Times New Roman"/>
          <w:highlight w:val="none"/>
        </w:rPr>
        <w:t>提</w:t>
      </w:r>
      <w:r>
        <w:rPr>
          <w:rFonts w:hint="eastAsia" w:ascii="Times New Roman" w:hAnsi="Times New Roman"/>
          <w:highlight w:val="none"/>
        </w:rPr>
        <w:t>供</w:t>
      </w:r>
      <w:r>
        <w:rPr>
          <w:rFonts w:ascii="Times New Roman" w:hAnsi="Times New Roman"/>
          <w:highlight w:val="none"/>
        </w:rPr>
        <w:t>网络布线产品制造商出具的售后服务质保承诺函</w:t>
      </w:r>
      <w:r>
        <w:rPr>
          <w:rFonts w:hint="eastAsia" w:ascii="Times New Roman" w:hAnsi="Times New Roman"/>
          <w:highlight w:val="none"/>
        </w:rPr>
        <w:t>】</w:t>
      </w:r>
    </w:p>
    <w:p w14:paraId="14FA30B8">
      <w:pPr>
        <w:spacing w:before="156"/>
        <w:ind w:right="240" w:firstLine="480"/>
        <w:rPr>
          <w:rFonts w:ascii="Times New Roman" w:hAnsi="Times New Roman"/>
          <w:highlight w:val="none"/>
        </w:rPr>
      </w:pPr>
      <w:r>
        <w:rPr>
          <w:rFonts w:hint="eastAsia" w:ascii="Times New Roman" w:hAnsi="Times New Roman"/>
          <w:highlight w:val="none"/>
        </w:rPr>
        <w:t>2.12 参选人需提供以下参选产品的测试报告：</w:t>
      </w:r>
    </w:p>
    <w:p w14:paraId="5D2BC4B4">
      <w:pPr>
        <w:spacing w:before="156"/>
        <w:ind w:right="240" w:rightChars="100" w:firstLine="480"/>
        <w:rPr>
          <w:rFonts w:ascii="Times New Roman" w:hAnsi="Times New Roman"/>
          <w:highlight w:val="none"/>
        </w:rPr>
      </w:pPr>
      <w:r>
        <w:rPr>
          <w:rFonts w:hint="eastAsia" w:ascii="Times New Roman" w:hAnsi="Times New Roman"/>
          <w:highlight w:val="none"/>
        </w:rPr>
        <w:t>1）六类非屏蔽双绞线需提供由CNAS认证的第三方权威机构出具的满足</w:t>
      </w:r>
      <w:r>
        <w:rPr>
          <w:rFonts w:ascii="Times New Roman" w:hAnsi="Times New Roman"/>
          <w:highlight w:val="none"/>
        </w:rPr>
        <w:t>ANSI/TIA-568</w:t>
      </w:r>
      <w:r>
        <w:rPr>
          <w:rFonts w:hint="eastAsia" w:ascii="Times New Roman" w:hAnsi="Times New Roman"/>
          <w:highlight w:val="none"/>
        </w:rPr>
        <w:t>或ISO/IEC 11801或GB/T 50312标准的六类非屏蔽链路测试报告复印件，并加盖制造商公章。</w:t>
      </w:r>
    </w:p>
    <w:p w14:paraId="732620A1">
      <w:pPr>
        <w:spacing w:before="156"/>
        <w:ind w:right="240" w:rightChars="100" w:firstLine="480"/>
        <w:rPr>
          <w:rFonts w:ascii="Times New Roman" w:hAnsi="Times New Roman"/>
          <w:highlight w:val="none"/>
        </w:rPr>
      </w:pPr>
      <w:r>
        <w:rPr>
          <w:rFonts w:hint="eastAsia" w:ascii="Times New Roman" w:hAnsi="Times New Roman"/>
          <w:highlight w:val="none"/>
        </w:rPr>
        <w:t>2）六类非屏蔽双绞线跳线、24口网络配线架需提供由CNAS认证的第三方权威机构出具的，满足ISO/IEC 11801标准的六类非屏蔽信道测试报告复印件，并加盖制造商公章。</w:t>
      </w:r>
    </w:p>
    <w:p w14:paraId="18BEA844">
      <w:pPr>
        <w:spacing w:before="156"/>
        <w:ind w:right="240" w:rightChars="100" w:firstLine="480"/>
        <w:rPr>
          <w:rFonts w:ascii="Times New Roman" w:hAnsi="Times New Roman"/>
          <w:highlight w:val="none"/>
        </w:rPr>
      </w:pPr>
      <w:r>
        <w:rPr>
          <w:rFonts w:hint="eastAsia" w:ascii="Times New Roman" w:hAnsi="Times New Roman"/>
          <w:highlight w:val="none"/>
        </w:rPr>
        <w:t>3） LC-LC 多模双工光纤跳线（包括OM4与OM3）需提供由CNAS认证的第三方权威机构出具的，满足ISO-IEC 11801标准的光纤信道测试报告复印件，并加盖制造商公章。</w:t>
      </w:r>
    </w:p>
    <w:p w14:paraId="654A0235">
      <w:pPr>
        <w:spacing w:before="156"/>
        <w:ind w:right="240" w:rightChars="100" w:firstLine="480"/>
        <w:rPr>
          <w:rFonts w:ascii="Times New Roman" w:hAnsi="Times New Roman"/>
          <w:highlight w:val="none"/>
        </w:rPr>
      </w:pPr>
      <w:r>
        <w:rPr>
          <w:rFonts w:hint="eastAsia" w:ascii="Times New Roman" w:hAnsi="Times New Roman"/>
          <w:highlight w:val="none"/>
        </w:rPr>
        <w:t>【提供以上参选产品测试报告并加盖制造商公章】</w:t>
      </w:r>
    </w:p>
    <w:p w14:paraId="63438C5C">
      <w:pPr>
        <w:spacing w:before="156"/>
        <w:ind w:right="240" w:rightChars="100" w:firstLine="480"/>
        <w:rPr>
          <w:rFonts w:ascii="Times New Roman" w:hAnsi="Times New Roman"/>
          <w:highlight w:val="none"/>
        </w:rPr>
      </w:pPr>
      <w:r>
        <w:rPr>
          <w:rFonts w:hint="eastAsia" w:ascii="Times New Roman" w:hAnsi="Times New Roman"/>
          <w:highlight w:val="none"/>
        </w:rPr>
        <w:t>注:以上证明文件若比选人存疑，参选人需提供原件备查，参选文件中须附相关证明文件复印件并逐页加盖公章。</w:t>
      </w:r>
    </w:p>
    <w:p w14:paraId="316C8ED9">
      <w:pPr>
        <w:spacing w:before="156"/>
        <w:ind w:right="240" w:rightChars="100" w:firstLine="480"/>
        <w:rPr>
          <w:rFonts w:ascii="Times New Roman" w:hAnsi="Times New Roman"/>
          <w:highlight w:val="none"/>
        </w:rPr>
      </w:pPr>
      <w:r>
        <w:rPr>
          <w:rFonts w:hint="eastAsia" w:ascii="Times New Roman" w:hAnsi="Times New Roman"/>
          <w:highlight w:val="none"/>
        </w:rPr>
        <w:t>本次</w:t>
      </w:r>
      <w:r>
        <w:rPr>
          <w:rFonts w:ascii="Times New Roman" w:hAnsi="Times New Roman"/>
          <w:highlight w:val="none"/>
        </w:rPr>
        <w:t>比选</w:t>
      </w:r>
      <w:r>
        <w:rPr>
          <w:rFonts w:hint="eastAsia" w:ascii="Times New Roman" w:hAnsi="Times New Roman"/>
          <w:highlight w:val="none"/>
        </w:rPr>
        <w:t>不接受曾因参选人的违约行为与比选人发生过纠纷的参选人；</w:t>
      </w:r>
      <w:r>
        <w:rPr>
          <w:rFonts w:ascii="Times New Roman" w:hAnsi="Times New Roman"/>
          <w:highlight w:val="none"/>
        </w:rPr>
        <w:t>不接受</w:t>
      </w:r>
      <w:r>
        <w:rPr>
          <w:rFonts w:hint="eastAsia" w:ascii="Times New Roman" w:hAnsi="Times New Roman"/>
          <w:highlight w:val="none"/>
        </w:rPr>
        <w:t>与比选人合作过程中不遵守比选文件及合同约定的</w:t>
      </w:r>
      <w:r>
        <w:rPr>
          <w:rFonts w:ascii="Times New Roman" w:hAnsi="Times New Roman"/>
          <w:highlight w:val="none"/>
        </w:rPr>
        <w:t>参选人</w:t>
      </w:r>
      <w:r>
        <w:rPr>
          <w:rFonts w:hint="eastAsia" w:ascii="Times New Roman" w:hAnsi="Times New Roman"/>
          <w:highlight w:val="none"/>
        </w:rPr>
        <w:t>；</w:t>
      </w:r>
      <w:r>
        <w:rPr>
          <w:rFonts w:ascii="Times New Roman" w:hAnsi="Times New Roman"/>
          <w:highlight w:val="none"/>
        </w:rPr>
        <w:t>不接受</w:t>
      </w:r>
      <w:r>
        <w:rPr>
          <w:rFonts w:hint="eastAsia" w:ascii="Times New Roman" w:hAnsi="Times New Roman"/>
          <w:highlight w:val="none"/>
        </w:rPr>
        <w:t>曾在</w:t>
      </w:r>
      <w:r>
        <w:rPr>
          <w:rFonts w:ascii="Times New Roman" w:hAnsi="Times New Roman"/>
          <w:highlight w:val="none"/>
        </w:rPr>
        <w:t>比选人</w:t>
      </w:r>
      <w:r>
        <w:rPr>
          <w:rFonts w:hint="eastAsia" w:ascii="Times New Roman" w:hAnsi="Times New Roman"/>
          <w:highlight w:val="none"/>
        </w:rPr>
        <w:t>项目</w:t>
      </w:r>
      <w:r>
        <w:rPr>
          <w:rFonts w:ascii="Times New Roman" w:hAnsi="Times New Roman"/>
          <w:highlight w:val="none"/>
        </w:rPr>
        <w:t>中存在</w:t>
      </w:r>
      <w:r>
        <w:rPr>
          <w:rFonts w:hint="eastAsia" w:ascii="Times New Roman" w:hAnsi="Times New Roman"/>
          <w:highlight w:val="none"/>
        </w:rPr>
        <w:t>弄虚作假行为的</w:t>
      </w:r>
      <w:r>
        <w:rPr>
          <w:rFonts w:ascii="Times New Roman" w:hAnsi="Times New Roman"/>
          <w:highlight w:val="none"/>
        </w:rPr>
        <w:t>参选人。若</w:t>
      </w:r>
      <w:r>
        <w:rPr>
          <w:rFonts w:hint="eastAsia" w:ascii="Times New Roman" w:hAnsi="Times New Roman"/>
          <w:highlight w:val="none"/>
        </w:rPr>
        <w:t>参选人</w:t>
      </w:r>
      <w:r>
        <w:rPr>
          <w:rFonts w:ascii="Times New Roman" w:hAnsi="Times New Roman"/>
          <w:highlight w:val="none"/>
        </w:rPr>
        <w:t>存在上述情况，比选人</w:t>
      </w:r>
      <w:r>
        <w:rPr>
          <w:rFonts w:hint="eastAsia" w:ascii="Times New Roman" w:hAnsi="Times New Roman"/>
          <w:highlight w:val="none"/>
        </w:rPr>
        <w:t>将</w:t>
      </w:r>
      <w:r>
        <w:rPr>
          <w:rFonts w:ascii="Times New Roman" w:hAnsi="Times New Roman"/>
          <w:highlight w:val="none"/>
        </w:rPr>
        <w:t>有权</w:t>
      </w:r>
      <w:r>
        <w:rPr>
          <w:rFonts w:hint="eastAsia" w:ascii="Times New Roman" w:hAnsi="Times New Roman"/>
          <w:highlight w:val="none"/>
        </w:rPr>
        <w:t>随时</w:t>
      </w:r>
      <w:r>
        <w:rPr>
          <w:rFonts w:ascii="Times New Roman" w:hAnsi="Times New Roman"/>
          <w:highlight w:val="none"/>
        </w:rPr>
        <w:t>取消其参选资格或</w:t>
      </w:r>
      <w:r>
        <w:rPr>
          <w:rFonts w:hint="eastAsia" w:ascii="Times New Roman" w:hAnsi="Times New Roman"/>
          <w:highlight w:val="none"/>
        </w:rPr>
        <w:t>中选</w:t>
      </w:r>
      <w:r>
        <w:rPr>
          <w:rFonts w:ascii="Times New Roman" w:hAnsi="Times New Roman"/>
          <w:highlight w:val="none"/>
        </w:rPr>
        <w:t>资格（</w:t>
      </w:r>
      <w:r>
        <w:rPr>
          <w:rFonts w:hint="eastAsia" w:ascii="Times New Roman" w:hAnsi="Times New Roman"/>
          <w:highlight w:val="none"/>
        </w:rPr>
        <w:t>若</w:t>
      </w:r>
      <w:r>
        <w:rPr>
          <w:rFonts w:ascii="Times New Roman" w:hAnsi="Times New Roman"/>
          <w:highlight w:val="none"/>
        </w:rPr>
        <w:t>签署合同后发现的则有权解除合同）</w:t>
      </w:r>
      <w:r>
        <w:rPr>
          <w:rFonts w:hint="eastAsia" w:ascii="Times New Roman" w:hAnsi="Times New Roman"/>
          <w:highlight w:val="none"/>
        </w:rPr>
        <w:t>，没收</w:t>
      </w:r>
      <w:r>
        <w:rPr>
          <w:rFonts w:ascii="Times New Roman" w:hAnsi="Times New Roman"/>
          <w:highlight w:val="none"/>
        </w:rPr>
        <w:t>其</w:t>
      </w:r>
      <w:r>
        <w:rPr>
          <w:rFonts w:hint="eastAsia" w:ascii="Times New Roman" w:hAnsi="Times New Roman"/>
          <w:highlight w:val="none"/>
        </w:rPr>
        <w:t>参选</w:t>
      </w:r>
      <w:r>
        <w:rPr>
          <w:rFonts w:ascii="Times New Roman" w:hAnsi="Times New Roman"/>
          <w:highlight w:val="none"/>
        </w:rPr>
        <w:t>保证金，并追究其相应的法律责任。</w:t>
      </w:r>
      <w:r>
        <w:rPr>
          <w:rFonts w:hint="eastAsia" w:ascii="Times New Roman" w:hAnsi="Times New Roman"/>
          <w:highlight w:val="none"/>
        </w:rPr>
        <w:t>截止</w:t>
      </w:r>
      <w:r>
        <w:rPr>
          <w:rFonts w:ascii="Times New Roman" w:hAnsi="Times New Roman"/>
          <w:highlight w:val="none"/>
        </w:rPr>
        <w:t>挂网日，</w:t>
      </w:r>
      <w:r>
        <w:rPr>
          <w:rFonts w:hint="eastAsia" w:ascii="Times New Roman" w:hAnsi="Times New Roman"/>
          <w:highlight w:val="none"/>
        </w:rPr>
        <w:t>存在</w:t>
      </w:r>
      <w:r>
        <w:rPr>
          <w:rFonts w:ascii="Times New Roman" w:hAnsi="Times New Roman"/>
          <w:highlight w:val="none"/>
        </w:rPr>
        <w:t>上述情况的公司</w:t>
      </w:r>
      <w:r>
        <w:rPr>
          <w:rFonts w:hint="eastAsia" w:ascii="Times New Roman" w:hAnsi="Times New Roman"/>
          <w:highlight w:val="none"/>
        </w:rPr>
        <w:t>已纳入</w:t>
      </w:r>
      <w:r>
        <w:rPr>
          <w:rFonts w:ascii="Times New Roman" w:hAnsi="Times New Roman"/>
          <w:highlight w:val="none"/>
        </w:rPr>
        <w:t>下列清单</w:t>
      </w:r>
      <w:r>
        <w:rPr>
          <w:rFonts w:hint="eastAsia" w:ascii="Times New Roman" w:hAnsi="Times New Roman"/>
          <w:highlight w:val="none"/>
        </w:rPr>
        <w:t>。</w:t>
      </w: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6F2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CB0E41D">
            <w:pPr>
              <w:spacing w:before="156" w:line="360" w:lineRule="auto"/>
              <w:ind w:left="240" w:right="240" w:firstLine="0" w:firstLineChars="0"/>
              <w:jc w:val="center"/>
              <w:rPr>
                <w:rFonts w:ascii="Times New Roman" w:hAnsi="Times New Roman" w:cs="宋体"/>
                <w:b/>
                <w:bCs/>
                <w:sz w:val="21"/>
                <w:szCs w:val="21"/>
                <w:highlight w:val="none"/>
              </w:rPr>
            </w:pPr>
            <w:r>
              <w:rPr>
                <w:rFonts w:hint="eastAsia" w:ascii="Times New Roman" w:hAnsi="Times New Roman" w:cs="宋体"/>
                <w:b/>
                <w:bCs/>
                <w:sz w:val="21"/>
                <w:szCs w:val="21"/>
                <w:highlight w:val="none"/>
              </w:rPr>
              <w:t>序号</w:t>
            </w:r>
          </w:p>
        </w:tc>
        <w:tc>
          <w:tcPr>
            <w:tcW w:w="4933" w:type="dxa"/>
          </w:tcPr>
          <w:p w14:paraId="192BF8BD">
            <w:pPr>
              <w:spacing w:before="156" w:line="360" w:lineRule="auto"/>
              <w:ind w:left="240" w:right="240" w:firstLine="0" w:firstLineChars="0"/>
              <w:jc w:val="center"/>
              <w:rPr>
                <w:rFonts w:ascii="Times New Roman" w:hAnsi="Times New Roman" w:cs="宋体"/>
                <w:b/>
                <w:bCs/>
                <w:sz w:val="21"/>
                <w:szCs w:val="21"/>
                <w:highlight w:val="none"/>
              </w:rPr>
            </w:pPr>
            <w:r>
              <w:rPr>
                <w:rFonts w:hint="eastAsia" w:ascii="Times New Roman" w:hAnsi="Times New Roman" w:cs="宋体"/>
                <w:b/>
                <w:bCs/>
                <w:sz w:val="21"/>
                <w:szCs w:val="21"/>
                <w:highlight w:val="none"/>
              </w:rPr>
              <w:t>公司</w:t>
            </w:r>
          </w:p>
        </w:tc>
      </w:tr>
      <w:tr w14:paraId="297D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5AB2626">
            <w:pPr>
              <w:spacing w:before="156" w:line="360" w:lineRule="auto"/>
              <w:ind w:left="240" w:right="240"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1</w:t>
            </w:r>
          </w:p>
        </w:tc>
        <w:tc>
          <w:tcPr>
            <w:tcW w:w="4933" w:type="dxa"/>
          </w:tcPr>
          <w:p w14:paraId="21E35693">
            <w:pPr>
              <w:spacing w:before="156" w:line="360" w:lineRule="auto"/>
              <w:ind w:left="240" w:right="240"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依米康软件技术（深圳）有限责任公司</w:t>
            </w:r>
          </w:p>
        </w:tc>
      </w:tr>
    </w:tbl>
    <w:p w14:paraId="3C58CAE8">
      <w:pPr>
        <w:spacing w:before="156"/>
        <w:ind w:left="240" w:right="240" w:firstLine="480"/>
        <w:rPr>
          <w:rFonts w:ascii="Times New Roman" w:hAnsi="Times New Roman"/>
          <w:highlight w:val="none"/>
        </w:rPr>
      </w:pPr>
    </w:p>
    <w:bookmarkEnd w:id="16"/>
    <w:p w14:paraId="356D0B83">
      <w:pPr>
        <w:pStyle w:val="3"/>
        <w:spacing w:before="156"/>
        <w:ind w:left="240" w:right="240"/>
        <w:rPr>
          <w:rFonts w:ascii="Times New Roman" w:hAnsi="Times New Roman"/>
          <w:highlight w:val="none"/>
        </w:rPr>
      </w:pPr>
      <w:bookmarkStart w:id="17" w:name="_Toc55379220"/>
      <w:bookmarkStart w:id="18" w:name="_Toc469574667"/>
      <w:bookmarkStart w:id="19" w:name="_Toc297817090"/>
      <w:bookmarkStart w:id="20" w:name="_Toc89675130"/>
      <w:r>
        <w:rPr>
          <w:rFonts w:hint="eastAsia" w:ascii="Times New Roman" w:hAnsi="Times New Roman"/>
          <w:highlight w:val="none"/>
        </w:rPr>
        <w:t>3. 比选文件的获取</w:t>
      </w:r>
      <w:bookmarkEnd w:id="17"/>
    </w:p>
    <w:p w14:paraId="335F6347">
      <w:pPr>
        <w:ind w:firstLine="480"/>
        <w:rPr>
          <w:highlight w:val="none"/>
        </w:rPr>
      </w:pPr>
      <w:r>
        <w:rPr>
          <w:rFonts w:hint="eastAsia"/>
          <w:highlight w:val="none"/>
        </w:rPr>
        <w:t>3.1 参选截止时间：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1</w:t>
      </w:r>
      <w:r>
        <w:rPr>
          <w:rFonts w:hint="eastAsia"/>
          <w:highlight w:val="none"/>
        </w:rPr>
        <w:t>月</w:t>
      </w:r>
      <w:r>
        <w:rPr>
          <w:rFonts w:hint="eastAsia"/>
          <w:highlight w:val="none"/>
          <w:u w:val="single"/>
          <w:lang w:val="en-US" w:eastAsia="zh-CN"/>
        </w:rPr>
        <w:t>13</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6D706798">
      <w:pPr>
        <w:ind w:firstLine="480"/>
        <w:rPr>
          <w:highlight w:val="none"/>
        </w:rPr>
      </w:pPr>
      <w:r>
        <w:rPr>
          <w:rFonts w:hint="eastAsia"/>
          <w:highlight w:val="none"/>
        </w:rPr>
        <w:t>3.2 获取时间和方式：从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27</w:t>
      </w:r>
      <w:r>
        <w:rPr>
          <w:rFonts w:hint="eastAsia"/>
          <w:highlight w:val="none"/>
        </w:rPr>
        <w:t>日到</w:t>
      </w:r>
      <w:r>
        <w:rPr>
          <w:rFonts w:hint="eastAsia"/>
          <w:highlight w:val="none"/>
          <w:u w:val="single"/>
        </w:rPr>
        <w:t>参选截止时间</w:t>
      </w:r>
      <w:r>
        <w:rPr>
          <w:rFonts w:hint="eastAsia"/>
          <w:highlight w:val="none"/>
        </w:rPr>
        <w:t>，在重庆市公共资源交易网（www.cqggzy.com）下载比选文件。</w:t>
      </w:r>
    </w:p>
    <w:p w14:paraId="0C431308">
      <w:pPr>
        <w:spacing w:before="156"/>
        <w:ind w:right="240" w:rightChars="100" w:firstLine="480"/>
        <w:rPr>
          <w:rFonts w:ascii="Times New Roman" w:hAnsi="Times New Roman"/>
          <w:highlight w:val="none"/>
        </w:rPr>
      </w:pPr>
      <w:r>
        <w:rPr>
          <w:rFonts w:hint="eastAsia" w:ascii="Times New Roman" w:hAnsi="Times New Roman"/>
          <w:highlight w:val="none"/>
        </w:rPr>
        <w:t>3.3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highlight w:val="none"/>
          <w:lang w:val="en-US" w:eastAsia="zh-CN"/>
        </w:rPr>
        <w:t>2024</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30</w:t>
      </w:r>
      <w:r>
        <w:rPr>
          <w:rFonts w:hint="eastAsia" w:ascii="Times New Roman" w:hAnsi="Times New Roman"/>
          <w:highlight w:val="none"/>
        </w:rPr>
        <w:t>日</w:t>
      </w:r>
      <w:r>
        <w:rPr>
          <w:rFonts w:hint="eastAsia" w:ascii="Times New Roman" w:hAnsi="Times New Roman"/>
          <w:highlight w:val="none"/>
          <w:lang w:val="en-US" w:eastAsia="zh-CN"/>
        </w:rPr>
        <w:t>17</w:t>
      </w:r>
      <w:r>
        <w:rPr>
          <w:rFonts w:hint="eastAsia" w:ascii="Times New Roman" w:hAnsi="Times New Roman"/>
          <w:highlight w:val="none"/>
        </w:rPr>
        <w:t>时</w:t>
      </w:r>
      <w:r>
        <w:rPr>
          <w:rFonts w:hint="eastAsia" w:ascii="Times New Roman" w:hAnsi="Times New Roman"/>
          <w:highlight w:val="none"/>
          <w:lang w:val="en-US" w:eastAsia="zh-CN"/>
        </w:rPr>
        <w:t>00</w:t>
      </w:r>
      <w:r>
        <w:rPr>
          <w:rFonts w:hint="eastAsia" w:ascii="Times New Roman" w:hAnsi="Times New Roman"/>
          <w:highlight w:val="none"/>
        </w:rPr>
        <w:t>分（北京时间）前自行在重庆市公共资源交易网（http://www.cqggzy.com/）比选公告的“我要提问”栏目匿名提出。参选人未提出，则视为参选人已全面确认比选文件内容。</w:t>
      </w:r>
    </w:p>
    <w:p w14:paraId="043DC119">
      <w:pPr>
        <w:spacing w:before="156"/>
        <w:ind w:right="240" w:rightChars="100" w:firstLine="480"/>
        <w:rPr>
          <w:rFonts w:ascii="Times New Roman" w:hAnsi="Times New Roman"/>
          <w:highlight w:val="none"/>
        </w:rPr>
      </w:pPr>
      <w:r>
        <w:rPr>
          <w:rFonts w:hint="eastAsia" w:ascii="Times New Roman" w:hAnsi="Times New Roman"/>
          <w:highlight w:val="none"/>
        </w:rPr>
        <w:t>3.4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0258F7B">
      <w:pPr>
        <w:pStyle w:val="3"/>
        <w:spacing w:before="156"/>
        <w:ind w:left="240" w:right="240"/>
        <w:rPr>
          <w:rFonts w:ascii="Times New Roman" w:hAnsi="Times New Roman"/>
          <w:highlight w:val="none"/>
        </w:rPr>
      </w:pPr>
      <w:bookmarkStart w:id="21" w:name="_Toc55379221"/>
      <w:r>
        <w:rPr>
          <w:rFonts w:hint="eastAsia" w:ascii="Times New Roman" w:hAnsi="Times New Roman"/>
          <w:highlight w:val="none"/>
        </w:rPr>
        <w:t>4. 参选保证金的递交</w:t>
      </w:r>
      <w:bookmarkEnd w:id="18"/>
      <w:bookmarkEnd w:id="19"/>
      <w:bookmarkEnd w:id="20"/>
      <w:bookmarkEnd w:id="21"/>
    </w:p>
    <w:p w14:paraId="4BFE52C0">
      <w:pPr>
        <w:spacing w:before="156"/>
        <w:ind w:right="240" w:firstLine="480"/>
        <w:rPr>
          <w:rFonts w:ascii="Times New Roman" w:hAnsi="Times New Roman"/>
          <w:highlight w:val="none"/>
        </w:rPr>
      </w:pPr>
      <w:bookmarkStart w:id="22" w:name="_Toc297817091"/>
      <w:bookmarkStart w:id="23" w:name="_Toc89675131"/>
      <w:bookmarkStart w:id="24" w:name="_Toc55379222"/>
      <w:bookmarkStart w:id="25" w:name="_Toc469574668"/>
      <w:r>
        <w:rPr>
          <w:rFonts w:hint="eastAsia" w:ascii="Times New Roman" w:hAnsi="Times New Roman"/>
          <w:highlight w:val="none"/>
        </w:rPr>
        <w:t>4.1 参选保证金的金额：</w:t>
      </w:r>
      <w:r>
        <w:rPr>
          <w:rFonts w:hint="eastAsia" w:ascii="Times New Roman" w:hAnsi="Times New Roman"/>
          <w:highlight w:val="none"/>
          <w:u w:val="single"/>
        </w:rPr>
        <w:t>8000</w:t>
      </w:r>
      <w:r>
        <w:rPr>
          <w:rFonts w:hint="eastAsia" w:ascii="Times New Roman" w:hAnsi="Times New Roman"/>
          <w:b/>
          <w:bCs/>
          <w:highlight w:val="none"/>
        </w:rPr>
        <w:t>元整（大写：</w:t>
      </w:r>
      <w:r>
        <w:rPr>
          <w:rFonts w:hint="eastAsia" w:ascii="Times New Roman" w:hAnsi="Times New Roman"/>
          <w:b/>
          <w:bCs/>
          <w:highlight w:val="none"/>
          <w:u w:val="single"/>
        </w:rPr>
        <w:t>捌仟元整</w:t>
      </w:r>
      <w:r>
        <w:rPr>
          <w:rFonts w:hint="eastAsia" w:ascii="Times New Roman" w:hAnsi="Times New Roman"/>
          <w:b/>
          <w:bCs/>
          <w:highlight w:val="none"/>
        </w:rPr>
        <w:t>）</w:t>
      </w:r>
      <w:r>
        <w:rPr>
          <w:rFonts w:hint="eastAsia" w:ascii="Times New Roman" w:hAnsi="Times New Roman"/>
          <w:highlight w:val="none"/>
        </w:rPr>
        <w:t>。</w:t>
      </w:r>
    </w:p>
    <w:p w14:paraId="76B96D42">
      <w:pPr>
        <w:spacing w:before="156"/>
        <w:ind w:right="240" w:firstLine="480"/>
        <w:rPr>
          <w:rFonts w:ascii="Times New Roman" w:hAnsi="Times New Roman"/>
          <w:highlight w:val="none"/>
        </w:rPr>
      </w:pPr>
      <w:r>
        <w:rPr>
          <w:rFonts w:hint="eastAsia" w:ascii="Times New Roman" w:hAnsi="Times New Roman"/>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42A17131">
      <w:pPr>
        <w:spacing w:before="156"/>
        <w:ind w:right="240" w:rightChars="100" w:firstLine="482"/>
        <w:rPr>
          <w:rFonts w:ascii="Times New Roman" w:hAnsi="Times New Roman"/>
          <w:highlight w:val="none"/>
        </w:rPr>
      </w:pPr>
      <w:r>
        <w:rPr>
          <w:rFonts w:hint="eastAsia" w:ascii="Times New Roman" w:hAnsi="Times New Roman"/>
          <w:b/>
          <w:bCs/>
          <w:highlight w:val="none"/>
        </w:rPr>
        <w:t>参选人必须在付款凭证备注栏中注明项目简称。可简写成：</w:t>
      </w:r>
      <w:r>
        <w:rPr>
          <w:rFonts w:hint="eastAsia" w:ascii="Times New Roman" w:hAnsi="Times New Roman"/>
          <w:b/>
          <w:bCs/>
          <w:highlight w:val="none"/>
          <w:u w:val="single"/>
        </w:rPr>
        <w:t>运维耗材采购项目</w:t>
      </w:r>
      <w:r>
        <w:rPr>
          <w:rFonts w:hint="eastAsia" w:ascii="Times New Roman" w:hAnsi="Times New Roman"/>
          <w:b/>
          <w:bCs/>
          <w:highlight w:val="none"/>
        </w:rPr>
        <w:t>。</w:t>
      </w:r>
    </w:p>
    <w:p w14:paraId="46803426">
      <w:pPr>
        <w:spacing w:before="156"/>
        <w:ind w:right="240" w:rightChars="100" w:firstLine="480"/>
        <w:rPr>
          <w:rFonts w:ascii="Times New Roman" w:hAnsi="Times New Roman"/>
          <w:highlight w:val="none"/>
        </w:rPr>
      </w:pPr>
      <w:r>
        <w:rPr>
          <w:rFonts w:hint="eastAsia" w:ascii="Times New Roman" w:hAnsi="Times New Roman"/>
          <w:highlight w:val="none"/>
        </w:rPr>
        <w:t>4.3 参选保证金递交的截止时间为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1</w:t>
      </w:r>
      <w:r>
        <w:rPr>
          <w:rFonts w:hint="eastAsia"/>
          <w:highlight w:val="none"/>
        </w:rPr>
        <w:t>月</w:t>
      </w:r>
      <w:r>
        <w:rPr>
          <w:rFonts w:hint="eastAsia"/>
          <w:highlight w:val="none"/>
          <w:u w:val="single"/>
          <w:lang w:val="en-US" w:eastAsia="zh-CN"/>
        </w:rPr>
        <w:t>13</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w:t>
      </w:r>
      <w:r>
        <w:rPr>
          <w:rFonts w:hint="eastAsia" w:ascii="Times New Roman" w:hAnsi="Times New Roman"/>
          <w:highlight w:val="none"/>
        </w:rPr>
        <w:t>（北京时间）。</w:t>
      </w:r>
    </w:p>
    <w:p w14:paraId="3F5D7D5B">
      <w:pPr>
        <w:spacing w:before="156"/>
        <w:ind w:right="240" w:rightChars="100" w:firstLine="480"/>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4</w:t>
      </w:r>
      <w:r>
        <w:rPr>
          <w:rFonts w:hint="eastAsia" w:ascii="Times New Roman" w:hAnsi="Times New Roman"/>
          <w:highlight w:val="none"/>
        </w:rPr>
        <w:t xml:space="preserve"> 参选保证金专用账户如下：</w:t>
      </w:r>
    </w:p>
    <w:p w14:paraId="009EE6F3">
      <w:pPr>
        <w:spacing w:before="156"/>
        <w:ind w:right="240" w:rightChars="100" w:firstLine="480"/>
        <w:rPr>
          <w:rFonts w:ascii="Times New Roman" w:hAnsi="Times New Roman"/>
          <w:highlight w:val="none"/>
        </w:rPr>
      </w:pPr>
      <w:r>
        <w:rPr>
          <w:rFonts w:hint="eastAsia" w:ascii="Times New Roman" w:hAnsi="Times New Roman"/>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6B0EB86A">
      <w:pPr>
        <w:spacing w:before="156"/>
        <w:ind w:right="240" w:rightChars="100" w:firstLine="480"/>
        <w:rPr>
          <w:rFonts w:ascii="Times New Roman" w:hAnsi="Times New Roman"/>
          <w:highlight w:val="none"/>
        </w:rPr>
      </w:pPr>
      <w:r>
        <w:rPr>
          <w:rFonts w:hint="eastAsia" w:ascii="Times New Roman" w:hAnsi="Times New Roman"/>
          <w:highlight w:val="none"/>
        </w:rPr>
        <w:t>参选保证金以重庆市公共资源交易中心比选现场展示的保证金交纳情况为准。</w:t>
      </w:r>
    </w:p>
    <w:bookmarkEnd w:id="22"/>
    <w:bookmarkEnd w:id="23"/>
    <w:bookmarkEnd w:id="24"/>
    <w:bookmarkEnd w:id="25"/>
    <w:p w14:paraId="2EC5A6EE">
      <w:pPr>
        <w:pStyle w:val="3"/>
        <w:spacing w:before="156"/>
        <w:ind w:left="240" w:right="240"/>
        <w:rPr>
          <w:rFonts w:ascii="Times New Roman" w:hAnsi="Times New Roman"/>
          <w:highlight w:val="none"/>
        </w:rPr>
      </w:pPr>
      <w:r>
        <w:rPr>
          <w:rFonts w:hint="eastAsia" w:ascii="Times New Roman" w:hAnsi="Times New Roman"/>
          <w:highlight w:val="none"/>
        </w:rPr>
        <w:t>5. 参选文件的递交</w:t>
      </w:r>
    </w:p>
    <w:p w14:paraId="6FA1D78B">
      <w:pPr>
        <w:spacing w:before="156"/>
        <w:ind w:right="240" w:firstLine="480"/>
        <w:rPr>
          <w:rFonts w:ascii="Times New Roman" w:hAnsi="Times New Roman"/>
          <w:highlight w:val="none"/>
        </w:rPr>
      </w:pPr>
      <w:bookmarkStart w:id="26" w:name="_Toc469574669"/>
      <w:bookmarkStart w:id="27" w:name="_Toc55379223"/>
      <w:bookmarkStart w:id="28" w:name="_Toc89675132"/>
      <w:r>
        <w:rPr>
          <w:rFonts w:hint="eastAsia" w:ascii="Times New Roman" w:hAnsi="Times New Roman"/>
          <w:highlight w:val="none"/>
        </w:rPr>
        <w:t>5.1 参选文件现场递交的开始时间为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1</w:t>
      </w:r>
      <w:r>
        <w:rPr>
          <w:rFonts w:hint="eastAsia"/>
          <w:highlight w:val="none"/>
        </w:rPr>
        <w:t>月</w:t>
      </w:r>
      <w:r>
        <w:rPr>
          <w:rFonts w:hint="eastAsia"/>
          <w:highlight w:val="none"/>
          <w:u w:val="single"/>
          <w:lang w:val="en-US" w:eastAsia="zh-CN"/>
        </w:rPr>
        <w:t>13</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w:t>
      </w:r>
      <w:r>
        <w:rPr>
          <w:rFonts w:hint="eastAsia" w:ascii="Times New Roman" w:hAnsi="Times New Roman"/>
          <w:highlight w:val="none"/>
        </w:rPr>
        <w:t>(北京时间)</w:t>
      </w:r>
      <w:r>
        <w:rPr>
          <w:rFonts w:hint="eastAsia"/>
          <w:highlight w:val="none"/>
        </w:rPr>
        <w:t>至</w:t>
      </w:r>
      <w:bookmarkStart w:id="105" w:name="_GoBack"/>
      <w:r>
        <w:rPr>
          <w:rFonts w:hint="eastAsia"/>
          <w:highlight w:val="none"/>
          <w:u w:val="single"/>
        </w:rPr>
        <w:t>参选截止时间</w:t>
      </w:r>
      <w:bookmarkEnd w:id="105"/>
      <w:r>
        <w:rPr>
          <w:rFonts w:hint="eastAsia" w:ascii="Times New Roman" w:hAnsi="Times New Roman"/>
          <w:highlight w:val="none"/>
        </w:rPr>
        <w:t>。</w:t>
      </w:r>
    </w:p>
    <w:p w14:paraId="2ED6DC98">
      <w:pPr>
        <w:spacing w:before="156"/>
        <w:ind w:right="240" w:firstLine="480"/>
        <w:rPr>
          <w:rFonts w:ascii="Times New Roman" w:hAnsi="Times New Roman"/>
          <w:highlight w:val="none"/>
        </w:rPr>
      </w:pPr>
      <w:r>
        <w:rPr>
          <w:rFonts w:hint="eastAsia" w:ascii="Times New Roman" w:hAnsi="Times New Roman"/>
          <w:highlight w:val="none"/>
        </w:rPr>
        <w:t>5.2 递交地点为</w:t>
      </w:r>
      <w:r>
        <w:rPr>
          <w:rFonts w:hint="eastAsia"/>
          <w:highlight w:val="none"/>
        </w:rPr>
        <w:t>重庆市渝北区青枫北路6号渝兴广场B10栋</w:t>
      </w:r>
      <w:r>
        <w:rPr>
          <w:rFonts w:hint="eastAsia" w:ascii="Times New Roman" w:hAnsi="Times New Roman"/>
          <w:highlight w:val="none"/>
        </w:rPr>
        <w:t>重庆市公共资源交易中心开标区（具体请登陆重庆市公共资源交易网（www.cqggzy.com）查询或递交文件当日见交易中心大厅电子显示屏）。</w:t>
      </w:r>
    </w:p>
    <w:p w14:paraId="03D978AE">
      <w:pPr>
        <w:spacing w:before="156"/>
        <w:ind w:right="240" w:firstLine="480"/>
        <w:rPr>
          <w:rFonts w:ascii="Times New Roman" w:hAnsi="Times New Roman"/>
          <w:highlight w:val="none"/>
        </w:rPr>
      </w:pPr>
      <w:r>
        <w:rPr>
          <w:rFonts w:hint="eastAsia" w:ascii="Times New Roman" w:hAnsi="Times New Roman"/>
          <w:highlight w:val="none"/>
        </w:rPr>
        <w:t>5.3 逾期送达的参选文件，不予接收。</w:t>
      </w:r>
    </w:p>
    <w:p w14:paraId="48F76D4C">
      <w:pPr>
        <w:pStyle w:val="3"/>
        <w:spacing w:before="156"/>
        <w:ind w:left="240" w:right="240"/>
        <w:rPr>
          <w:rFonts w:ascii="Times New Roman" w:hAnsi="Times New Roman"/>
          <w:highlight w:val="none"/>
        </w:rPr>
      </w:pPr>
      <w:r>
        <w:rPr>
          <w:rFonts w:hint="eastAsia" w:ascii="Times New Roman" w:hAnsi="Times New Roman"/>
          <w:highlight w:val="none"/>
        </w:rPr>
        <w:t>6. 履约保证金的递交</w:t>
      </w:r>
    </w:p>
    <w:p w14:paraId="5728DE64">
      <w:pPr>
        <w:spacing w:before="156"/>
        <w:ind w:right="240" w:firstLine="480"/>
        <w:rPr>
          <w:rFonts w:ascii="Times New Roman" w:hAnsi="Times New Roman"/>
          <w:highlight w:val="none"/>
        </w:rPr>
      </w:pPr>
      <w:r>
        <w:rPr>
          <w:rFonts w:ascii="Times New Roman" w:hAnsi="Times New Roman"/>
          <w:highlight w:val="none"/>
        </w:rPr>
        <w:t>中选人在合同签订后10个自然日内，需向比选人缴纳履约保证金1万元（大写：壹万元），以确保合同履行</w:t>
      </w:r>
      <w:r>
        <w:rPr>
          <w:rFonts w:hint="eastAsia" w:ascii="Times New Roman" w:hAnsi="Times New Roman"/>
          <w:highlight w:val="none"/>
        </w:rPr>
        <w:t>，</w:t>
      </w:r>
      <w:r>
        <w:rPr>
          <w:rFonts w:ascii="Times New Roman" w:hAnsi="Times New Roman"/>
          <w:highlight w:val="none"/>
        </w:rPr>
        <w:t>履约保证金的收款账户信息</w:t>
      </w:r>
      <w:r>
        <w:rPr>
          <w:rFonts w:hint="eastAsia" w:ascii="Times New Roman" w:hAnsi="Times New Roman"/>
          <w:highlight w:val="none"/>
        </w:rPr>
        <w:t>在合同中约定</w:t>
      </w:r>
      <w:r>
        <w:rPr>
          <w:rFonts w:ascii="Times New Roman" w:hAnsi="Times New Roman"/>
          <w:highlight w:val="none"/>
        </w:rPr>
        <w:t>。</w:t>
      </w:r>
      <w:r>
        <w:rPr>
          <w:rFonts w:hint="eastAsia" w:ascii="Times New Roman" w:hAnsi="Times New Roman"/>
          <w:highlight w:val="none"/>
        </w:rPr>
        <w:t>比选人的</w:t>
      </w:r>
      <w:r>
        <w:rPr>
          <w:rFonts w:ascii="Times New Roman" w:hAnsi="Times New Roman"/>
          <w:highlight w:val="none"/>
        </w:rPr>
        <w:t>最后一个订单完成验收3年后，中选人可向比选人提交无息退还履约保证金的书面申请，申请中应包含退还事由、缴纳金额、退还金额、收款账号、户名及开户行等信息，并加盖公司公章。经比选人确认中选人无违约行为后，</w:t>
      </w:r>
      <w:r>
        <w:rPr>
          <w:rFonts w:hint="eastAsia" w:ascii="Times New Roman" w:hAnsi="Times New Roman"/>
          <w:highlight w:val="none"/>
        </w:rPr>
        <w:t>在</w:t>
      </w:r>
      <w:r>
        <w:rPr>
          <w:rFonts w:ascii="Times New Roman" w:hAnsi="Times New Roman"/>
          <w:highlight w:val="none"/>
        </w:rPr>
        <w:t>20个工作日内一次性无息退还全部履约保证金；如存在违约行为，则</w:t>
      </w:r>
      <w:r>
        <w:rPr>
          <w:rFonts w:hint="eastAsia" w:ascii="Times New Roman" w:hAnsi="Times New Roman"/>
          <w:highlight w:val="none"/>
        </w:rPr>
        <w:t>将</w:t>
      </w:r>
      <w:r>
        <w:rPr>
          <w:rFonts w:ascii="Times New Roman" w:hAnsi="Times New Roman"/>
          <w:highlight w:val="none"/>
        </w:rPr>
        <w:t>扣除违约金后的余额无息退还。</w:t>
      </w:r>
    </w:p>
    <w:p w14:paraId="55E87DBD">
      <w:pPr>
        <w:pStyle w:val="3"/>
        <w:spacing w:before="156"/>
        <w:ind w:left="240" w:right="240"/>
        <w:rPr>
          <w:rFonts w:ascii="Times New Roman" w:hAnsi="Times New Roman"/>
          <w:highlight w:val="none"/>
        </w:rPr>
      </w:pPr>
      <w:r>
        <w:rPr>
          <w:rFonts w:hint="eastAsia" w:ascii="Times New Roman" w:hAnsi="Times New Roman"/>
          <w:highlight w:val="none"/>
        </w:rPr>
        <w:t>7. 发布公告的媒介</w:t>
      </w:r>
      <w:bookmarkEnd w:id="26"/>
      <w:bookmarkEnd w:id="27"/>
      <w:bookmarkEnd w:id="28"/>
    </w:p>
    <w:p w14:paraId="532CAC94">
      <w:pPr>
        <w:spacing w:before="156"/>
        <w:ind w:right="240" w:firstLine="480"/>
        <w:rPr>
          <w:rFonts w:ascii="Times New Roman" w:hAnsi="Times New Roman"/>
          <w:highlight w:val="none"/>
        </w:rPr>
      </w:pPr>
      <w:bookmarkStart w:id="29" w:name="_Toc89675133"/>
      <w:bookmarkStart w:id="30" w:name="_Toc55379224"/>
      <w:bookmarkStart w:id="31" w:name="_Toc469574670"/>
      <w:bookmarkStart w:id="32" w:name="_Toc250565211"/>
      <w:r>
        <w:rPr>
          <w:rFonts w:hint="eastAsia" w:ascii="Times New Roman" w:hAnsi="Times New Roman"/>
          <w:highlight w:val="none"/>
        </w:rPr>
        <w:t>本次比选公告同时在《重庆市公共资源交易网（www.cqggzy.com）》《重庆三峡银行官网（https://www.ccqtgb.com）》和《中国招标投标公共服务平台（http://www.cebpubservice.com）》上发布。</w:t>
      </w:r>
    </w:p>
    <w:p w14:paraId="73E57956">
      <w:pPr>
        <w:pStyle w:val="3"/>
        <w:numPr>
          <w:ilvl w:val="0"/>
          <w:numId w:val="2"/>
        </w:numPr>
        <w:spacing w:before="156"/>
        <w:ind w:left="240" w:right="240"/>
        <w:rPr>
          <w:rFonts w:ascii="Times New Roman" w:hAnsi="Times New Roman"/>
          <w:highlight w:val="none"/>
        </w:rPr>
      </w:pPr>
      <w:r>
        <w:rPr>
          <w:rFonts w:hint="eastAsia" w:ascii="Times New Roman" w:hAnsi="Times New Roman"/>
          <w:highlight w:val="none"/>
        </w:rPr>
        <w:t>联系方式</w:t>
      </w:r>
      <w:bookmarkEnd w:id="29"/>
      <w:bookmarkEnd w:id="30"/>
      <w:bookmarkEnd w:id="31"/>
      <w:bookmarkEnd w:id="32"/>
    </w:p>
    <w:tbl>
      <w:tblPr>
        <w:tblStyle w:val="17"/>
        <w:tblW w:w="0" w:type="auto"/>
        <w:tblInd w:w="0" w:type="dxa"/>
        <w:tblLayout w:type="fixed"/>
        <w:tblCellMar>
          <w:top w:w="0" w:type="dxa"/>
          <w:left w:w="108" w:type="dxa"/>
          <w:bottom w:w="0" w:type="dxa"/>
          <w:right w:w="108" w:type="dxa"/>
        </w:tblCellMar>
      </w:tblPr>
      <w:tblGrid>
        <w:gridCol w:w="3090"/>
        <w:gridCol w:w="5333"/>
      </w:tblGrid>
      <w:tr w14:paraId="7B28A5A0">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56CD4B3">
            <w:pPr>
              <w:ind w:firstLine="0" w:firstLineChars="0"/>
              <w:jc w:val="left"/>
              <w:rPr>
                <w:highlight w:val="none"/>
              </w:rPr>
            </w:pPr>
            <w:r>
              <w:rPr>
                <w:rFonts w:hint="eastAsia"/>
                <w:highlight w:val="none"/>
              </w:rPr>
              <w:t>8.1 项目需求咨询</w:t>
            </w:r>
          </w:p>
        </w:tc>
      </w:tr>
      <w:tr w14:paraId="4869218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6166D9B8">
            <w:pPr>
              <w:ind w:firstLine="0" w:firstLineChars="0"/>
              <w:jc w:val="left"/>
              <w:rPr>
                <w:rFonts w:cs="宋体"/>
                <w:szCs w:val="21"/>
                <w:highlight w:val="none"/>
              </w:rPr>
            </w:pPr>
            <w:r>
              <w:rPr>
                <w:rFonts w:hint="eastAsia"/>
                <w:highlight w:val="none"/>
              </w:rPr>
              <w:t>项目联系人：蒲立</w:t>
            </w:r>
          </w:p>
        </w:tc>
        <w:tc>
          <w:tcPr>
            <w:tcW w:w="5333" w:type="dxa"/>
            <w:tcBorders>
              <w:top w:val="nil"/>
              <w:left w:val="nil"/>
              <w:bottom w:val="nil"/>
              <w:right w:val="single" w:color="auto" w:sz="4" w:space="0"/>
            </w:tcBorders>
          </w:tcPr>
          <w:p w14:paraId="41BB4594">
            <w:pPr>
              <w:ind w:firstLine="0" w:firstLineChars="0"/>
              <w:jc w:val="left"/>
              <w:rPr>
                <w:rFonts w:cs="宋体"/>
                <w:szCs w:val="21"/>
                <w:highlight w:val="none"/>
              </w:rPr>
            </w:pPr>
            <w:r>
              <w:rPr>
                <w:rFonts w:hint="eastAsia"/>
                <w:highlight w:val="none"/>
              </w:rPr>
              <w:t>联系方式：023-88890341</w:t>
            </w:r>
          </w:p>
        </w:tc>
      </w:tr>
      <w:tr w14:paraId="6CE3868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437D498">
            <w:pPr>
              <w:ind w:firstLine="0" w:firstLineChars="0"/>
              <w:jc w:val="left"/>
              <w:rPr>
                <w:highlight w:val="none"/>
              </w:rPr>
            </w:pPr>
          </w:p>
        </w:tc>
      </w:tr>
      <w:tr w14:paraId="04ABDF3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FAE16C1">
            <w:pPr>
              <w:ind w:firstLine="0" w:firstLineChars="0"/>
              <w:jc w:val="left"/>
              <w:rPr>
                <w:highlight w:val="none"/>
              </w:rPr>
            </w:pPr>
            <w:r>
              <w:rPr>
                <w:rFonts w:hint="eastAsia"/>
                <w:highlight w:val="none"/>
              </w:rPr>
              <w:t>8.2 项目流程咨询</w:t>
            </w:r>
          </w:p>
        </w:tc>
      </w:tr>
      <w:tr w14:paraId="1389FB8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09F8A50">
            <w:pPr>
              <w:ind w:firstLine="0" w:firstLineChars="0"/>
              <w:jc w:val="left"/>
              <w:rPr>
                <w:highlight w:val="none"/>
              </w:rPr>
            </w:pPr>
            <w:r>
              <w:rPr>
                <w:rFonts w:hint="eastAsia"/>
                <w:highlight w:val="none"/>
              </w:rPr>
              <w:t>平台服务机构：重庆联合产权交易所集团股份有限公司</w:t>
            </w:r>
          </w:p>
        </w:tc>
      </w:tr>
      <w:tr w14:paraId="7027873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F832311">
            <w:pPr>
              <w:ind w:firstLine="0" w:firstLineChars="0"/>
              <w:jc w:val="left"/>
              <w:rPr>
                <w:rFonts w:cs="宋体"/>
                <w:szCs w:val="21"/>
                <w:highlight w:val="none"/>
              </w:rPr>
            </w:pPr>
            <w:r>
              <w:rPr>
                <w:rFonts w:hint="eastAsia"/>
                <w:highlight w:val="none"/>
              </w:rPr>
              <w:t>平台联系人：张老师</w:t>
            </w:r>
          </w:p>
        </w:tc>
        <w:tc>
          <w:tcPr>
            <w:tcW w:w="5333" w:type="dxa"/>
            <w:tcBorders>
              <w:top w:val="nil"/>
              <w:left w:val="nil"/>
              <w:bottom w:val="nil"/>
              <w:right w:val="single" w:color="auto" w:sz="4" w:space="0"/>
            </w:tcBorders>
          </w:tcPr>
          <w:p w14:paraId="54E4FF6B">
            <w:pPr>
              <w:ind w:firstLine="0" w:firstLineChars="0"/>
              <w:jc w:val="left"/>
              <w:rPr>
                <w:rFonts w:cs="宋体"/>
                <w:szCs w:val="21"/>
                <w:highlight w:val="none"/>
              </w:rPr>
            </w:pPr>
            <w:r>
              <w:rPr>
                <w:rFonts w:hint="eastAsia"/>
                <w:highlight w:val="none"/>
              </w:rPr>
              <w:t>联系方式：023-63621694</w:t>
            </w:r>
          </w:p>
        </w:tc>
      </w:tr>
      <w:tr w14:paraId="00DE2C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77AE634">
            <w:pPr>
              <w:ind w:firstLine="0" w:firstLineChars="0"/>
              <w:jc w:val="left"/>
              <w:rPr>
                <w:highlight w:val="none"/>
              </w:rPr>
            </w:pPr>
          </w:p>
        </w:tc>
      </w:tr>
      <w:tr w14:paraId="1A42597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6670BF3">
            <w:pPr>
              <w:ind w:firstLine="0" w:firstLineChars="0"/>
              <w:jc w:val="left"/>
              <w:rPr>
                <w:highlight w:val="none"/>
              </w:rPr>
            </w:pPr>
            <w:r>
              <w:rPr>
                <w:rFonts w:hint="eastAsia"/>
                <w:highlight w:val="none"/>
              </w:rPr>
              <w:t>8.3 比选人联系方式</w:t>
            </w:r>
          </w:p>
        </w:tc>
      </w:tr>
      <w:tr w14:paraId="168CA0E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7E6E4C7E">
            <w:pPr>
              <w:ind w:firstLine="0" w:firstLineChars="0"/>
              <w:jc w:val="left"/>
              <w:rPr>
                <w:rFonts w:cs="宋体"/>
                <w:szCs w:val="21"/>
                <w:highlight w:val="none"/>
              </w:rPr>
            </w:pPr>
            <w:r>
              <w:rPr>
                <w:rFonts w:hint="eastAsia"/>
                <w:highlight w:val="none"/>
              </w:rPr>
              <w:t>联系人：敬老师</w:t>
            </w:r>
          </w:p>
        </w:tc>
        <w:tc>
          <w:tcPr>
            <w:tcW w:w="5333" w:type="dxa"/>
            <w:tcBorders>
              <w:top w:val="nil"/>
              <w:left w:val="nil"/>
              <w:bottom w:val="nil"/>
              <w:right w:val="single" w:color="auto" w:sz="4" w:space="0"/>
            </w:tcBorders>
          </w:tcPr>
          <w:p w14:paraId="6879750F">
            <w:pPr>
              <w:ind w:firstLine="0" w:firstLineChars="0"/>
              <w:jc w:val="left"/>
              <w:rPr>
                <w:rFonts w:cs="宋体"/>
                <w:szCs w:val="21"/>
                <w:highlight w:val="none"/>
              </w:rPr>
            </w:pPr>
            <w:r>
              <w:rPr>
                <w:rFonts w:hint="eastAsia"/>
                <w:highlight w:val="none"/>
              </w:rPr>
              <w:t>联系方式：023-88890395</w:t>
            </w:r>
          </w:p>
        </w:tc>
      </w:tr>
      <w:tr w14:paraId="4F8CB95A">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C04CF2D">
            <w:pPr>
              <w:ind w:firstLine="0" w:firstLineChars="0"/>
              <w:jc w:val="left"/>
              <w:rPr>
                <w:highlight w:val="none"/>
              </w:rPr>
            </w:pPr>
            <w:r>
              <w:rPr>
                <w:rFonts w:hint="eastAsia"/>
                <w:highlight w:val="none"/>
              </w:rPr>
              <w:t>比选人地址：重庆市渝北区嘉州路88号中渝国际都会4号写字楼21层</w:t>
            </w:r>
          </w:p>
        </w:tc>
      </w:tr>
    </w:tbl>
    <w:p w14:paraId="64AFA0E3">
      <w:pPr>
        <w:numPr>
          <w:ilvl w:val="255"/>
          <w:numId w:val="0"/>
        </w:numPr>
        <w:rPr>
          <w:highlight w:val="none"/>
        </w:rPr>
      </w:pPr>
    </w:p>
    <w:p w14:paraId="40BC1395">
      <w:pPr>
        <w:spacing w:before="156"/>
        <w:ind w:left="240" w:right="240" w:firstLine="480"/>
        <w:rPr>
          <w:rFonts w:ascii="Times New Roman" w:hAnsi="Times New Roman"/>
          <w:highlight w:val="none"/>
        </w:rPr>
      </w:pPr>
    </w:p>
    <w:p w14:paraId="0A482348">
      <w:pPr>
        <w:spacing w:before="156" w:line="240" w:lineRule="auto"/>
        <w:ind w:right="240" w:firstLine="0" w:firstLineChars="0"/>
        <w:rPr>
          <w:rFonts w:ascii="Times New Roman" w:hAnsi="Times New Roman"/>
          <w:highlight w:val="none"/>
        </w:rPr>
      </w:pPr>
    </w:p>
    <w:p w14:paraId="0C7E4711">
      <w:pPr>
        <w:spacing w:before="156" w:line="240" w:lineRule="auto"/>
        <w:ind w:right="240" w:firstLine="0" w:firstLineChars="0"/>
        <w:rPr>
          <w:rFonts w:ascii="Times New Roman" w:hAnsi="Times New Roman"/>
          <w:highlight w:val="none"/>
        </w:rPr>
      </w:pPr>
    </w:p>
    <w:p w14:paraId="63791CB5">
      <w:pPr>
        <w:spacing w:before="156" w:line="240" w:lineRule="auto"/>
        <w:ind w:firstLine="0" w:firstLineChars="0"/>
        <w:jc w:val="right"/>
        <w:rPr>
          <w:rFonts w:ascii="Times New Roman" w:hAnsi="Times New Roman"/>
          <w:highlight w:val="none"/>
        </w:rPr>
      </w:pPr>
      <w:r>
        <w:rPr>
          <w:rFonts w:hint="eastAsia" w:ascii="Times New Roman" w:hAnsi="Times New Roman"/>
          <w:highlight w:val="none"/>
        </w:rPr>
        <w:t xml:space="preserve"> 重庆三峡银行股份有限公司</w:t>
      </w:r>
    </w:p>
    <w:p w14:paraId="384F3B2C">
      <w:pPr>
        <w:spacing w:before="156"/>
        <w:ind w:left="240" w:firstLine="480"/>
        <w:jc w:val="right"/>
        <w:rPr>
          <w:rFonts w:ascii="Times New Roman" w:hAnsi="Times New Roman"/>
          <w:highlight w:val="none"/>
        </w:rPr>
      </w:pPr>
      <w:r>
        <w:rPr>
          <w:rFonts w:hint="eastAsia" w:ascii="Times New Roman" w:hAnsi="Times New Roman"/>
          <w:highlight w:val="none"/>
        </w:rPr>
        <w:t xml:space="preserve"> 202</w:t>
      </w:r>
      <w:r>
        <w:rPr>
          <w:rFonts w:hint="eastAsia" w:ascii="Times New Roman" w:hAnsi="Times New Roman"/>
          <w:highlight w:val="none"/>
          <w:lang w:val="en-US" w:eastAsia="zh-CN"/>
        </w:rPr>
        <w:t>4</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27</w:t>
      </w:r>
      <w:r>
        <w:rPr>
          <w:rFonts w:hint="eastAsia" w:ascii="Times New Roman" w:hAnsi="Times New Roman"/>
          <w:highlight w:val="none"/>
        </w:rPr>
        <w:t>日</w:t>
      </w:r>
    </w:p>
    <w:p w14:paraId="085E3685">
      <w:pPr>
        <w:spacing w:before="156"/>
        <w:ind w:left="240" w:right="240" w:firstLine="480"/>
        <w:rPr>
          <w:rFonts w:ascii="Times New Roman" w:hAnsi="Times New Roman"/>
          <w:highlight w:val="none"/>
        </w:rPr>
        <w:sectPr>
          <w:footerReference r:id="rId7" w:type="default"/>
          <w:pgSz w:w="11906" w:h="16838"/>
          <w:pgMar w:top="1440" w:right="1800" w:bottom="1440" w:left="1800" w:header="851" w:footer="992" w:gutter="0"/>
          <w:pgNumType w:start="1"/>
          <w:cols w:space="720" w:num="1"/>
          <w:docGrid w:type="lines" w:linePitch="312" w:charSpace="0"/>
        </w:sectPr>
      </w:pPr>
      <w:bookmarkStart w:id="33" w:name="_Toc89675159"/>
      <w:bookmarkStart w:id="34" w:name="_Toc303066033"/>
    </w:p>
    <w:p w14:paraId="0E5969BB">
      <w:pPr>
        <w:pStyle w:val="2"/>
        <w:ind w:left="240" w:right="240"/>
        <w:rPr>
          <w:rFonts w:ascii="Times New Roman" w:hAnsi="Times New Roman"/>
          <w:highlight w:val="none"/>
        </w:rPr>
      </w:pPr>
      <w:bookmarkStart w:id="35" w:name="_Toc182213441"/>
      <w:bookmarkStart w:id="36" w:name="_Toc18598"/>
      <w:r>
        <w:rPr>
          <w:rFonts w:hint="eastAsia" w:ascii="Times New Roman" w:hAnsi="Times New Roman"/>
          <w:highlight w:val="none"/>
        </w:rPr>
        <w:t>第二章 参选人须知</w:t>
      </w:r>
      <w:bookmarkEnd w:id="33"/>
      <w:bookmarkEnd w:id="34"/>
      <w:bookmarkEnd w:id="35"/>
      <w:bookmarkEnd w:id="36"/>
    </w:p>
    <w:p w14:paraId="1739F1F8">
      <w:pPr>
        <w:pStyle w:val="3"/>
        <w:ind w:left="240" w:right="240"/>
        <w:rPr>
          <w:rFonts w:ascii="Times New Roman" w:hAnsi="Times New Roman"/>
          <w:highlight w:val="none"/>
        </w:rPr>
      </w:pPr>
      <w:bookmarkStart w:id="37" w:name="_Toc89675160"/>
      <w:r>
        <w:rPr>
          <w:rFonts w:hint="eastAsia" w:ascii="Times New Roman" w:hAnsi="Times New Roman"/>
          <w:highlight w:val="none"/>
        </w:rPr>
        <w:t>1. 项目信息</w:t>
      </w:r>
    </w:p>
    <w:p w14:paraId="25047210">
      <w:pPr>
        <w:pStyle w:val="4"/>
        <w:ind w:right="240" w:rightChars="100" w:firstLine="482"/>
        <w:rPr>
          <w:rFonts w:ascii="Times New Roman" w:hAnsi="Times New Roman"/>
          <w:highlight w:val="none"/>
        </w:rPr>
      </w:pPr>
      <w:r>
        <w:rPr>
          <w:rFonts w:hint="eastAsia" w:ascii="Times New Roman" w:hAnsi="Times New Roman"/>
          <w:highlight w:val="none"/>
        </w:rPr>
        <w:t>1.1 比选人</w:t>
      </w:r>
    </w:p>
    <w:p w14:paraId="3698A7C7">
      <w:pPr>
        <w:ind w:right="240" w:rightChars="100" w:firstLine="480"/>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19696093">
      <w:pPr>
        <w:pStyle w:val="4"/>
        <w:ind w:right="240" w:rightChars="100" w:firstLine="482"/>
        <w:rPr>
          <w:rFonts w:ascii="Times New Roman" w:hAnsi="Times New Roman"/>
          <w:highlight w:val="none"/>
        </w:rPr>
      </w:pPr>
      <w:r>
        <w:rPr>
          <w:rFonts w:hint="eastAsia" w:ascii="Times New Roman" w:hAnsi="Times New Roman"/>
          <w:highlight w:val="none"/>
        </w:rPr>
        <w:t>1.2 最高限价</w:t>
      </w:r>
    </w:p>
    <w:p w14:paraId="7AAAB4BA">
      <w:pPr>
        <w:ind w:firstLine="480"/>
        <w:rPr>
          <w:rFonts w:ascii="Times New Roman" w:hAnsi="Times New Roman" w:cs="Cambria"/>
          <w:snapToGrid w:val="0"/>
          <w:kern w:val="0"/>
          <w:szCs w:val="24"/>
          <w:highlight w:val="none"/>
        </w:rPr>
      </w:pPr>
      <w:r>
        <w:rPr>
          <w:rFonts w:hint="eastAsia" w:ascii="Times New Roman" w:hAnsi="Times New Roman" w:cs="Cambria"/>
          <w:snapToGrid w:val="0"/>
          <w:kern w:val="0"/>
          <w:szCs w:val="24"/>
          <w:highlight w:val="none"/>
        </w:rPr>
        <w:t>本项目对每个产品设定了单价最高限价，参选人的每项产品单价报价不得超过其对应的限价，具体限价详见下表：</w:t>
      </w:r>
    </w:p>
    <w:tbl>
      <w:tblPr>
        <w:tblStyle w:val="17"/>
        <w:tblW w:w="92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726"/>
        <w:gridCol w:w="1949"/>
        <w:gridCol w:w="1077"/>
        <w:gridCol w:w="1442"/>
        <w:gridCol w:w="1442"/>
      </w:tblGrid>
      <w:tr w14:paraId="698E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01E42ECC">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序号</w:t>
            </w:r>
          </w:p>
        </w:tc>
        <w:tc>
          <w:tcPr>
            <w:tcW w:w="2726" w:type="dxa"/>
            <w:shd w:val="clear" w:color="auto" w:fill="auto"/>
            <w:noWrap/>
            <w:vAlign w:val="center"/>
          </w:tcPr>
          <w:p w14:paraId="29E3F8E4">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产品名称</w:t>
            </w:r>
          </w:p>
        </w:tc>
        <w:tc>
          <w:tcPr>
            <w:tcW w:w="1949" w:type="dxa"/>
            <w:shd w:val="clear" w:color="auto" w:fill="auto"/>
            <w:noWrap/>
            <w:vAlign w:val="center"/>
          </w:tcPr>
          <w:p w14:paraId="29CFFFD3">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规格</w:t>
            </w:r>
          </w:p>
        </w:tc>
        <w:tc>
          <w:tcPr>
            <w:tcW w:w="1077" w:type="dxa"/>
            <w:shd w:val="clear" w:color="auto" w:fill="auto"/>
            <w:noWrap/>
            <w:vAlign w:val="center"/>
          </w:tcPr>
          <w:p w14:paraId="2B960697">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单位</w:t>
            </w:r>
          </w:p>
        </w:tc>
        <w:tc>
          <w:tcPr>
            <w:tcW w:w="1442" w:type="dxa"/>
            <w:vAlign w:val="center"/>
          </w:tcPr>
          <w:p w14:paraId="35878687">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最高限价</w:t>
            </w:r>
          </w:p>
          <w:p w14:paraId="2B40C14F">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单位：元</w:t>
            </w:r>
          </w:p>
        </w:tc>
        <w:tc>
          <w:tcPr>
            <w:tcW w:w="1442" w:type="dxa"/>
            <w:vAlign w:val="center"/>
          </w:tcPr>
          <w:p w14:paraId="3EE318DC">
            <w:pPr>
              <w:widowControl/>
              <w:autoSpaceDE/>
              <w:autoSpaceDN/>
              <w:spacing w:line="240" w:lineRule="auto"/>
              <w:ind w:firstLine="0" w:firstLineChars="0"/>
              <w:jc w:val="center"/>
              <w:rPr>
                <w:rFonts w:hint="eastAsia" w:ascii="宋体" w:hAnsi="宋体" w:eastAsia="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权重</w:t>
            </w:r>
          </w:p>
        </w:tc>
      </w:tr>
      <w:tr w14:paraId="3C65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6065BA9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2726" w:type="dxa"/>
            <w:shd w:val="clear" w:color="auto" w:fill="auto"/>
            <w:vAlign w:val="center"/>
          </w:tcPr>
          <w:p w14:paraId="39B505C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LC尾纤（含熔接）</w:t>
            </w:r>
          </w:p>
        </w:tc>
        <w:tc>
          <w:tcPr>
            <w:tcW w:w="1949" w:type="dxa"/>
            <w:shd w:val="clear" w:color="auto" w:fill="auto"/>
            <w:noWrap/>
            <w:vAlign w:val="center"/>
          </w:tcPr>
          <w:p w14:paraId="70AAAC7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长度1米</w:t>
            </w:r>
          </w:p>
        </w:tc>
        <w:tc>
          <w:tcPr>
            <w:tcW w:w="1077" w:type="dxa"/>
            <w:shd w:val="clear" w:color="auto" w:fill="auto"/>
            <w:noWrap/>
            <w:vAlign w:val="center"/>
          </w:tcPr>
          <w:p w14:paraId="5EA6DB3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4233ED2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¥44.00</w:t>
            </w:r>
          </w:p>
        </w:tc>
        <w:tc>
          <w:tcPr>
            <w:tcW w:w="1442" w:type="dxa"/>
            <w:shd w:val="clear" w:color="auto" w:fill="auto"/>
            <w:vAlign w:val="center"/>
          </w:tcPr>
          <w:p w14:paraId="6AB520F8">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0.4%</w:t>
            </w:r>
          </w:p>
        </w:tc>
      </w:tr>
      <w:tr w14:paraId="5A72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536D94B1">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2726" w:type="dxa"/>
            <w:shd w:val="clear" w:color="auto" w:fill="auto"/>
            <w:vAlign w:val="center"/>
          </w:tcPr>
          <w:p w14:paraId="2DEE373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通风地板(含底座)</w:t>
            </w:r>
          </w:p>
        </w:tc>
        <w:tc>
          <w:tcPr>
            <w:tcW w:w="1949" w:type="dxa"/>
            <w:shd w:val="clear" w:color="auto" w:fill="auto"/>
            <w:noWrap/>
            <w:vAlign w:val="center"/>
          </w:tcPr>
          <w:p w14:paraId="26CA49C6">
            <w:pPr>
              <w:widowControl/>
              <w:autoSpaceDE/>
              <w:autoSpaceDN/>
              <w:spacing w:line="240" w:lineRule="auto"/>
              <w:ind w:firstLine="0" w:firstLineChars="0"/>
              <w:jc w:val="left"/>
              <w:rPr>
                <w:rFonts w:ascii="宋体" w:hAnsi="宋体" w:cs="宋体"/>
                <w:kern w:val="0"/>
                <w:sz w:val="21"/>
                <w:szCs w:val="21"/>
                <w:highlight w:val="none"/>
              </w:rPr>
            </w:pPr>
            <w:r>
              <w:rPr>
                <w:rFonts w:hint="eastAsia" w:ascii="宋体" w:hAnsi="宋体" w:cs="宋体"/>
                <w:kern w:val="0"/>
                <w:sz w:val="21"/>
                <w:szCs w:val="21"/>
                <w:highlight w:val="none"/>
              </w:rPr>
              <w:t>尺寸：600mm x 600mm</w:t>
            </w:r>
          </w:p>
        </w:tc>
        <w:tc>
          <w:tcPr>
            <w:tcW w:w="1077" w:type="dxa"/>
            <w:shd w:val="clear" w:color="auto" w:fill="auto"/>
            <w:noWrap/>
            <w:vAlign w:val="center"/>
          </w:tcPr>
          <w:p w14:paraId="397CFB4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块</w:t>
            </w:r>
          </w:p>
        </w:tc>
        <w:tc>
          <w:tcPr>
            <w:tcW w:w="1442" w:type="dxa"/>
            <w:vAlign w:val="center"/>
          </w:tcPr>
          <w:p w14:paraId="0ABFF40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¥338.00</w:t>
            </w:r>
          </w:p>
        </w:tc>
        <w:tc>
          <w:tcPr>
            <w:tcW w:w="1442" w:type="dxa"/>
            <w:shd w:val="clear" w:color="auto" w:fill="auto"/>
            <w:vAlign w:val="center"/>
          </w:tcPr>
          <w:p w14:paraId="4C073030">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645A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17B27F7A">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2726" w:type="dxa"/>
            <w:shd w:val="clear" w:color="auto" w:fill="auto"/>
            <w:vAlign w:val="center"/>
          </w:tcPr>
          <w:p w14:paraId="35D1372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静电地板(含底座)</w:t>
            </w:r>
          </w:p>
        </w:tc>
        <w:tc>
          <w:tcPr>
            <w:tcW w:w="1949" w:type="dxa"/>
            <w:shd w:val="clear" w:color="auto" w:fill="auto"/>
            <w:noWrap/>
            <w:vAlign w:val="center"/>
          </w:tcPr>
          <w:p w14:paraId="363D8B4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尺寸：600mm x 600mm</w:t>
            </w:r>
          </w:p>
        </w:tc>
        <w:tc>
          <w:tcPr>
            <w:tcW w:w="1077" w:type="dxa"/>
            <w:shd w:val="clear" w:color="auto" w:fill="auto"/>
            <w:noWrap/>
            <w:vAlign w:val="center"/>
          </w:tcPr>
          <w:p w14:paraId="721401B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块</w:t>
            </w:r>
          </w:p>
        </w:tc>
        <w:tc>
          <w:tcPr>
            <w:tcW w:w="1442" w:type="dxa"/>
            <w:vAlign w:val="center"/>
          </w:tcPr>
          <w:p w14:paraId="0491F5A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¥338.00</w:t>
            </w:r>
          </w:p>
        </w:tc>
        <w:tc>
          <w:tcPr>
            <w:tcW w:w="1442" w:type="dxa"/>
            <w:shd w:val="clear" w:color="auto" w:fill="auto"/>
            <w:vAlign w:val="center"/>
          </w:tcPr>
          <w:p w14:paraId="077019FD">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4A37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22286393">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4</w:t>
            </w:r>
          </w:p>
        </w:tc>
        <w:tc>
          <w:tcPr>
            <w:tcW w:w="2726" w:type="dxa"/>
            <w:shd w:val="clear" w:color="auto" w:fill="auto"/>
            <w:vAlign w:val="center"/>
          </w:tcPr>
          <w:p w14:paraId="0280B01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w:t>
            </w:r>
          </w:p>
        </w:tc>
        <w:tc>
          <w:tcPr>
            <w:tcW w:w="1949" w:type="dxa"/>
            <w:shd w:val="clear" w:color="auto" w:fill="auto"/>
            <w:noWrap/>
            <w:vAlign w:val="center"/>
          </w:tcPr>
          <w:p w14:paraId="1DEFD98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300米/箱</w:t>
            </w:r>
          </w:p>
        </w:tc>
        <w:tc>
          <w:tcPr>
            <w:tcW w:w="1077" w:type="dxa"/>
            <w:shd w:val="clear" w:color="auto" w:fill="auto"/>
            <w:noWrap/>
            <w:vAlign w:val="center"/>
          </w:tcPr>
          <w:p w14:paraId="1578662A">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箱</w:t>
            </w:r>
          </w:p>
        </w:tc>
        <w:tc>
          <w:tcPr>
            <w:tcW w:w="1442" w:type="dxa"/>
            <w:vAlign w:val="center"/>
          </w:tcPr>
          <w:p w14:paraId="46F40F2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¥1,370.00</w:t>
            </w:r>
          </w:p>
        </w:tc>
        <w:tc>
          <w:tcPr>
            <w:tcW w:w="1442" w:type="dxa"/>
            <w:shd w:val="clear" w:color="auto" w:fill="auto"/>
            <w:vAlign w:val="center"/>
          </w:tcPr>
          <w:p w14:paraId="7AF3AD5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70D3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2DEA94FC">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5</w:t>
            </w:r>
          </w:p>
        </w:tc>
        <w:tc>
          <w:tcPr>
            <w:tcW w:w="2726" w:type="dxa"/>
            <w:shd w:val="clear" w:color="auto" w:fill="auto"/>
            <w:vAlign w:val="center"/>
          </w:tcPr>
          <w:p w14:paraId="1B6261C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1949" w:type="dxa"/>
            <w:shd w:val="clear" w:color="auto" w:fill="auto"/>
            <w:noWrap/>
            <w:vAlign w:val="center"/>
          </w:tcPr>
          <w:p w14:paraId="284D43F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1077" w:type="dxa"/>
            <w:shd w:val="clear" w:color="auto" w:fill="auto"/>
            <w:noWrap/>
            <w:vAlign w:val="center"/>
          </w:tcPr>
          <w:p w14:paraId="37362C0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34450B8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¥71.00</w:t>
            </w:r>
          </w:p>
        </w:tc>
        <w:tc>
          <w:tcPr>
            <w:tcW w:w="1442" w:type="dxa"/>
            <w:shd w:val="clear" w:color="auto" w:fill="auto"/>
            <w:vAlign w:val="center"/>
          </w:tcPr>
          <w:p w14:paraId="51E840D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76DC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353E2031">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6</w:t>
            </w:r>
          </w:p>
        </w:tc>
        <w:tc>
          <w:tcPr>
            <w:tcW w:w="2726" w:type="dxa"/>
            <w:shd w:val="clear" w:color="auto" w:fill="auto"/>
            <w:vAlign w:val="center"/>
          </w:tcPr>
          <w:p w14:paraId="2B65BBB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1949" w:type="dxa"/>
            <w:shd w:val="clear" w:color="auto" w:fill="auto"/>
            <w:noWrap/>
            <w:vAlign w:val="center"/>
          </w:tcPr>
          <w:p w14:paraId="78DE182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1077" w:type="dxa"/>
            <w:shd w:val="clear" w:color="auto" w:fill="auto"/>
            <w:noWrap/>
            <w:vAlign w:val="center"/>
          </w:tcPr>
          <w:p w14:paraId="7B5108AC">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6EC6A86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¥60.00</w:t>
            </w:r>
          </w:p>
        </w:tc>
        <w:tc>
          <w:tcPr>
            <w:tcW w:w="1442" w:type="dxa"/>
            <w:shd w:val="clear" w:color="auto" w:fill="auto"/>
            <w:vAlign w:val="center"/>
          </w:tcPr>
          <w:p w14:paraId="1B7F94A4">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6.6%</w:t>
            </w:r>
          </w:p>
        </w:tc>
      </w:tr>
      <w:tr w14:paraId="3A61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1503C63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7</w:t>
            </w:r>
          </w:p>
        </w:tc>
        <w:tc>
          <w:tcPr>
            <w:tcW w:w="2726" w:type="dxa"/>
            <w:shd w:val="clear" w:color="auto" w:fill="auto"/>
            <w:vAlign w:val="center"/>
          </w:tcPr>
          <w:p w14:paraId="4CD71DC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1949" w:type="dxa"/>
            <w:shd w:val="clear" w:color="auto" w:fill="auto"/>
            <w:noWrap/>
            <w:vAlign w:val="center"/>
          </w:tcPr>
          <w:p w14:paraId="739DCB7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1077" w:type="dxa"/>
            <w:shd w:val="clear" w:color="auto" w:fill="auto"/>
            <w:noWrap/>
            <w:vAlign w:val="center"/>
          </w:tcPr>
          <w:p w14:paraId="07942160">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58D124B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¥83.00</w:t>
            </w:r>
          </w:p>
        </w:tc>
        <w:tc>
          <w:tcPr>
            <w:tcW w:w="1442" w:type="dxa"/>
            <w:shd w:val="clear" w:color="auto" w:fill="auto"/>
            <w:vAlign w:val="center"/>
          </w:tcPr>
          <w:p w14:paraId="3383AC5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9.3%</w:t>
            </w:r>
          </w:p>
        </w:tc>
      </w:tr>
      <w:tr w14:paraId="28BE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0F3C272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8</w:t>
            </w:r>
          </w:p>
        </w:tc>
        <w:tc>
          <w:tcPr>
            <w:tcW w:w="2726" w:type="dxa"/>
            <w:shd w:val="clear" w:color="auto" w:fill="auto"/>
            <w:vAlign w:val="center"/>
          </w:tcPr>
          <w:p w14:paraId="11B79B6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1949" w:type="dxa"/>
            <w:shd w:val="clear" w:color="auto" w:fill="auto"/>
            <w:noWrap/>
            <w:vAlign w:val="center"/>
          </w:tcPr>
          <w:p w14:paraId="4BD17EC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1077" w:type="dxa"/>
            <w:shd w:val="clear" w:color="auto" w:fill="auto"/>
            <w:noWrap/>
            <w:vAlign w:val="center"/>
          </w:tcPr>
          <w:p w14:paraId="3EF9999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08872FD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¥108.00</w:t>
            </w:r>
          </w:p>
        </w:tc>
        <w:tc>
          <w:tcPr>
            <w:tcW w:w="1442" w:type="dxa"/>
            <w:shd w:val="clear" w:color="auto" w:fill="auto"/>
            <w:vAlign w:val="center"/>
          </w:tcPr>
          <w:p w14:paraId="2ADFDFCE">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4.3%</w:t>
            </w:r>
          </w:p>
        </w:tc>
      </w:tr>
      <w:tr w14:paraId="2EFA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6656211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9</w:t>
            </w:r>
          </w:p>
        </w:tc>
        <w:tc>
          <w:tcPr>
            <w:tcW w:w="2726" w:type="dxa"/>
            <w:shd w:val="clear" w:color="auto" w:fill="auto"/>
            <w:vAlign w:val="center"/>
          </w:tcPr>
          <w:p w14:paraId="114185E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1949" w:type="dxa"/>
            <w:shd w:val="clear" w:color="auto" w:fill="auto"/>
            <w:noWrap/>
            <w:vAlign w:val="center"/>
          </w:tcPr>
          <w:p w14:paraId="19BB522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长度20米</w:t>
            </w:r>
          </w:p>
        </w:tc>
        <w:tc>
          <w:tcPr>
            <w:tcW w:w="1077" w:type="dxa"/>
            <w:shd w:val="clear" w:color="auto" w:fill="auto"/>
            <w:noWrap/>
            <w:vAlign w:val="center"/>
          </w:tcPr>
          <w:p w14:paraId="424C5EF7">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06E402A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¥138.00</w:t>
            </w:r>
          </w:p>
        </w:tc>
        <w:tc>
          <w:tcPr>
            <w:tcW w:w="1442" w:type="dxa"/>
            <w:shd w:val="clear" w:color="auto" w:fill="auto"/>
            <w:vAlign w:val="center"/>
          </w:tcPr>
          <w:p w14:paraId="14B27BB6">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0.4%</w:t>
            </w:r>
          </w:p>
        </w:tc>
      </w:tr>
      <w:tr w14:paraId="2E41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6E1F2DD1">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10</w:t>
            </w:r>
          </w:p>
        </w:tc>
        <w:tc>
          <w:tcPr>
            <w:tcW w:w="2726" w:type="dxa"/>
            <w:shd w:val="clear" w:color="auto" w:fill="auto"/>
            <w:vAlign w:val="center"/>
          </w:tcPr>
          <w:p w14:paraId="3D2D9B1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理线器</w:t>
            </w:r>
          </w:p>
        </w:tc>
        <w:tc>
          <w:tcPr>
            <w:tcW w:w="1949" w:type="dxa"/>
            <w:shd w:val="clear" w:color="auto" w:fill="auto"/>
            <w:noWrap/>
            <w:vAlign w:val="center"/>
          </w:tcPr>
          <w:p w14:paraId="19A3BE6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077" w:type="dxa"/>
            <w:shd w:val="clear" w:color="auto" w:fill="auto"/>
            <w:noWrap/>
            <w:vAlign w:val="center"/>
          </w:tcPr>
          <w:p w14:paraId="39CCA20E">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1442" w:type="dxa"/>
            <w:vAlign w:val="center"/>
          </w:tcPr>
          <w:p w14:paraId="7A71B9B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¥130.00</w:t>
            </w:r>
          </w:p>
        </w:tc>
        <w:tc>
          <w:tcPr>
            <w:tcW w:w="1442" w:type="dxa"/>
            <w:shd w:val="clear" w:color="auto" w:fill="auto"/>
            <w:vAlign w:val="center"/>
          </w:tcPr>
          <w:p w14:paraId="53B578C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109A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3CE2881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11</w:t>
            </w:r>
          </w:p>
        </w:tc>
        <w:tc>
          <w:tcPr>
            <w:tcW w:w="2726" w:type="dxa"/>
            <w:shd w:val="clear" w:color="auto" w:fill="auto"/>
            <w:vAlign w:val="center"/>
          </w:tcPr>
          <w:p w14:paraId="598BF02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双层网格桥架</w:t>
            </w:r>
          </w:p>
        </w:tc>
        <w:tc>
          <w:tcPr>
            <w:tcW w:w="1949" w:type="dxa"/>
            <w:shd w:val="clear" w:color="auto" w:fill="auto"/>
            <w:noWrap/>
            <w:vAlign w:val="center"/>
          </w:tcPr>
          <w:p w14:paraId="68884C6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077" w:type="dxa"/>
            <w:shd w:val="clear" w:color="auto" w:fill="auto"/>
            <w:noWrap/>
            <w:vAlign w:val="center"/>
          </w:tcPr>
          <w:p w14:paraId="4FE6DAA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1442" w:type="dxa"/>
            <w:vAlign w:val="center"/>
          </w:tcPr>
          <w:p w14:paraId="665F72C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¥275.00</w:t>
            </w:r>
          </w:p>
        </w:tc>
        <w:tc>
          <w:tcPr>
            <w:tcW w:w="1442" w:type="dxa"/>
            <w:shd w:val="clear" w:color="auto" w:fill="auto"/>
            <w:vAlign w:val="center"/>
          </w:tcPr>
          <w:p w14:paraId="4CBA3849">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7935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4793947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12</w:t>
            </w:r>
          </w:p>
        </w:tc>
        <w:tc>
          <w:tcPr>
            <w:tcW w:w="2726" w:type="dxa"/>
            <w:shd w:val="clear" w:color="auto" w:fill="auto"/>
            <w:vAlign w:val="center"/>
          </w:tcPr>
          <w:p w14:paraId="03B2BCD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机柜挡板</w:t>
            </w:r>
          </w:p>
        </w:tc>
        <w:tc>
          <w:tcPr>
            <w:tcW w:w="1949" w:type="dxa"/>
            <w:shd w:val="clear" w:color="auto" w:fill="auto"/>
            <w:noWrap/>
            <w:vAlign w:val="center"/>
          </w:tcPr>
          <w:p w14:paraId="7B0385B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077" w:type="dxa"/>
            <w:shd w:val="clear" w:color="auto" w:fill="auto"/>
            <w:noWrap/>
            <w:vAlign w:val="center"/>
          </w:tcPr>
          <w:p w14:paraId="512E39EA">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块</w:t>
            </w:r>
          </w:p>
        </w:tc>
        <w:tc>
          <w:tcPr>
            <w:tcW w:w="1442" w:type="dxa"/>
            <w:vAlign w:val="center"/>
          </w:tcPr>
          <w:p w14:paraId="75709DE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¥461.00</w:t>
            </w:r>
          </w:p>
        </w:tc>
        <w:tc>
          <w:tcPr>
            <w:tcW w:w="1442" w:type="dxa"/>
            <w:shd w:val="clear" w:color="auto" w:fill="auto"/>
            <w:vAlign w:val="center"/>
          </w:tcPr>
          <w:p w14:paraId="4069AD24">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0.4%</w:t>
            </w:r>
          </w:p>
        </w:tc>
      </w:tr>
      <w:tr w14:paraId="06C3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7E058218">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13</w:t>
            </w:r>
          </w:p>
        </w:tc>
        <w:tc>
          <w:tcPr>
            <w:tcW w:w="2726" w:type="dxa"/>
            <w:shd w:val="clear" w:color="auto" w:fill="auto"/>
            <w:vAlign w:val="center"/>
          </w:tcPr>
          <w:p w14:paraId="345CBDA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电缆</w:t>
            </w:r>
          </w:p>
        </w:tc>
        <w:tc>
          <w:tcPr>
            <w:tcW w:w="1949" w:type="dxa"/>
            <w:shd w:val="clear" w:color="auto" w:fill="auto"/>
            <w:noWrap/>
            <w:vAlign w:val="center"/>
          </w:tcPr>
          <w:p w14:paraId="64E41E3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ZR-YJV3*6mm²</w:t>
            </w:r>
          </w:p>
        </w:tc>
        <w:tc>
          <w:tcPr>
            <w:tcW w:w="1077" w:type="dxa"/>
            <w:shd w:val="clear" w:color="auto" w:fill="auto"/>
            <w:noWrap/>
            <w:vAlign w:val="center"/>
          </w:tcPr>
          <w:p w14:paraId="1E67CB18">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1442" w:type="dxa"/>
            <w:vAlign w:val="center"/>
          </w:tcPr>
          <w:p w14:paraId="0EE72A8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¥34.00</w:t>
            </w:r>
          </w:p>
        </w:tc>
        <w:tc>
          <w:tcPr>
            <w:tcW w:w="1442" w:type="dxa"/>
            <w:shd w:val="clear" w:color="auto" w:fill="auto"/>
            <w:vAlign w:val="center"/>
          </w:tcPr>
          <w:p w14:paraId="0B2B108B">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5.8%</w:t>
            </w:r>
          </w:p>
        </w:tc>
      </w:tr>
      <w:tr w14:paraId="26B1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7FC7276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14</w:t>
            </w:r>
          </w:p>
        </w:tc>
        <w:tc>
          <w:tcPr>
            <w:tcW w:w="2726" w:type="dxa"/>
            <w:shd w:val="clear" w:color="auto" w:fill="auto"/>
            <w:vAlign w:val="center"/>
          </w:tcPr>
          <w:p w14:paraId="1640785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电缆</w:t>
            </w:r>
          </w:p>
        </w:tc>
        <w:tc>
          <w:tcPr>
            <w:tcW w:w="1949" w:type="dxa"/>
            <w:shd w:val="clear" w:color="auto" w:fill="auto"/>
            <w:noWrap/>
            <w:vAlign w:val="center"/>
          </w:tcPr>
          <w:p w14:paraId="425538E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ZR-YJV3*10mm²</w:t>
            </w:r>
          </w:p>
        </w:tc>
        <w:tc>
          <w:tcPr>
            <w:tcW w:w="1077" w:type="dxa"/>
            <w:shd w:val="clear" w:color="auto" w:fill="auto"/>
            <w:noWrap/>
            <w:vAlign w:val="center"/>
          </w:tcPr>
          <w:p w14:paraId="5A7508E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1442" w:type="dxa"/>
            <w:vAlign w:val="center"/>
          </w:tcPr>
          <w:p w14:paraId="56E4547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¥53.00</w:t>
            </w:r>
          </w:p>
        </w:tc>
        <w:tc>
          <w:tcPr>
            <w:tcW w:w="1442" w:type="dxa"/>
            <w:shd w:val="clear" w:color="auto" w:fill="auto"/>
            <w:vAlign w:val="center"/>
          </w:tcPr>
          <w:p w14:paraId="1F0763D9">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5.8%</w:t>
            </w:r>
          </w:p>
        </w:tc>
      </w:tr>
      <w:tr w14:paraId="14EF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061DE51B">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15</w:t>
            </w:r>
          </w:p>
        </w:tc>
        <w:tc>
          <w:tcPr>
            <w:tcW w:w="2726" w:type="dxa"/>
            <w:shd w:val="clear" w:color="auto" w:fill="auto"/>
            <w:vAlign w:val="center"/>
          </w:tcPr>
          <w:p w14:paraId="43EAE0A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PDU</w:t>
            </w:r>
          </w:p>
        </w:tc>
        <w:tc>
          <w:tcPr>
            <w:tcW w:w="1949" w:type="dxa"/>
            <w:shd w:val="clear" w:color="auto" w:fill="auto"/>
            <w:noWrap/>
            <w:vAlign w:val="center"/>
          </w:tcPr>
          <w:p w14:paraId="24B82D3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12位10A插座+4位16A插座</w:t>
            </w:r>
          </w:p>
        </w:tc>
        <w:tc>
          <w:tcPr>
            <w:tcW w:w="1077" w:type="dxa"/>
            <w:shd w:val="clear" w:color="auto" w:fill="auto"/>
            <w:noWrap/>
            <w:vAlign w:val="center"/>
          </w:tcPr>
          <w:p w14:paraId="48ABA80B">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1442" w:type="dxa"/>
            <w:vAlign w:val="center"/>
          </w:tcPr>
          <w:p w14:paraId="7C5A7AA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¥918.00</w:t>
            </w:r>
          </w:p>
        </w:tc>
        <w:tc>
          <w:tcPr>
            <w:tcW w:w="1442" w:type="dxa"/>
            <w:shd w:val="clear" w:color="auto" w:fill="auto"/>
            <w:vAlign w:val="center"/>
          </w:tcPr>
          <w:p w14:paraId="78D71116">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3AEC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0573654B">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16</w:t>
            </w:r>
          </w:p>
        </w:tc>
        <w:tc>
          <w:tcPr>
            <w:tcW w:w="2726" w:type="dxa"/>
            <w:shd w:val="clear" w:color="auto" w:fill="auto"/>
            <w:vAlign w:val="center"/>
          </w:tcPr>
          <w:p w14:paraId="3701AED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MPO-LC 扇形多模光纤跳线</w:t>
            </w:r>
          </w:p>
        </w:tc>
        <w:tc>
          <w:tcPr>
            <w:tcW w:w="1949" w:type="dxa"/>
            <w:shd w:val="clear" w:color="auto" w:fill="auto"/>
            <w:noWrap/>
            <w:vAlign w:val="center"/>
          </w:tcPr>
          <w:p w14:paraId="569D113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1077" w:type="dxa"/>
            <w:shd w:val="clear" w:color="auto" w:fill="auto"/>
            <w:noWrap/>
            <w:vAlign w:val="center"/>
          </w:tcPr>
          <w:p w14:paraId="62AB7EFE">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6833BFB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¥1,520.00</w:t>
            </w:r>
          </w:p>
        </w:tc>
        <w:tc>
          <w:tcPr>
            <w:tcW w:w="1442" w:type="dxa"/>
            <w:shd w:val="clear" w:color="auto" w:fill="auto"/>
            <w:vAlign w:val="center"/>
          </w:tcPr>
          <w:p w14:paraId="2C83847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3922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5F4845E6">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17</w:t>
            </w:r>
          </w:p>
        </w:tc>
        <w:tc>
          <w:tcPr>
            <w:tcW w:w="2726" w:type="dxa"/>
            <w:shd w:val="clear" w:color="auto" w:fill="auto"/>
            <w:vAlign w:val="center"/>
          </w:tcPr>
          <w:p w14:paraId="72AE7E5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MPO-LC 扇形多模光纤跳线</w:t>
            </w:r>
          </w:p>
        </w:tc>
        <w:tc>
          <w:tcPr>
            <w:tcW w:w="1949" w:type="dxa"/>
            <w:shd w:val="clear" w:color="auto" w:fill="auto"/>
            <w:noWrap/>
            <w:vAlign w:val="center"/>
          </w:tcPr>
          <w:p w14:paraId="2B31BE2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1077" w:type="dxa"/>
            <w:shd w:val="clear" w:color="auto" w:fill="auto"/>
            <w:noWrap/>
            <w:vAlign w:val="center"/>
          </w:tcPr>
          <w:p w14:paraId="2E57A878">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73E6CB1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¥2,268.00</w:t>
            </w:r>
          </w:p>
        </w:tc>
        <w:tc>
          <w:tcPr>
            <w:tcW w:w="1442" w:type="dxa"/>
            <w:shd w:val="clear" w:color="auto" w:fill="auto"/>
            <w:vAlign w:val="center"/>
          </w:tcPr>
          <w:p w14:paraId="31A42B7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0D6B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1F0104E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18</w:t>
            </w:r>
          </w:p>
        </w:tc>
        <w:tc>
          <w:tcPr>
            <w:tcW w:w="2726" w:type="dxa"/>
            <w:shd w:val="clear" w:color="auto" w:fill="auto"/>
            <w:vAlign w:val="center"/>
          </w:tcPr>
          <w:p w14:paraId="0525650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1949" w:type="dxa"/>
            <w:shd w:val="clear" w:color="auto" w:fill="auto"/>
            <w:noWrap/>
            <w:vAlign w:val="center"/>
          </w:tcPr>
          <w:p w14:paraId="06A1EBA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长度15米，母头-母头</w:t>
            </w:r>
          </w:p>
        </w:tc>
        <w:tc>
          <w:tcPr>
            <w:tcW w:w="1077" w:type="dxa"/>
            <w:shd w:val="clear" w:color="auto" w:fill="auto"/>
            <w:noWrap/>
            <w:vAlign w:val="center"/>
          </w:tcPr>
          <w:p w14:paraId="0CDB2AC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4F0519D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¥1,035.00</w:t>
            </w:r>
          </w:p>
        </w:tc>
        <w:tc>
          <w:tcPr>
            <w:tcW w:w="1442" w:type="dxa"/>
            <w:shd w:val="clear" w:color="auto" w:fill="auto"/>
            <w:vAlign w:val="center"/>
          </w:tcPr>
          <w:p w14:paraId="3E46F984">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0.9%</w:t>
            </w:r>
          </w:p>
        </w:tc>
      </w:tr>
      <w:tr w14:paraId="1B81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7C3BC5D3">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19</w:t>
            </w:r>
          </w:p>
        </w:tc>
        <w:tc>
          <w:tcPr>
            <w:tcW w:w="2726" w:type="dxa"/>
            <w:shd w:val="clear" w:color="auto" w:fill="auto"/>
            <w:vAlign w:val="center"/>
          </w:tcPr>
          <w:p w14:paraId="1C21187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1949" w:type="dxa"/>
            <w:shd w:val="clear" w:color="auto" w:fill="auto"/>
            <w:noWrap/>
            <w:vAlign w:val="center"/>
          </w:tcPr>
          <w:p w14:paraId="3CB4DEA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长度25米，母头-母头</w:t>
            </w:r>
          </w:p>
        </w:tc>
        <w:tc>
          <w:tcPr>
            <w:tcW w:w="1077" w:type="dxa"/>
            <w:shd w:val="clear" w:color="auto" w:fill="auto"/>
            <w:noWrap/>
            <w:vAlign w:val="center"/>
          </w:tcPr>
          <w:p w14:paraId="01CEA0D0">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6EFBED8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¥1,455.00</w:t>
            </w:r>
          </w:p>
        </w:tc>
        <w:tc>
          <w:tcPr>
            <w:tcW w:w="1442" w:type="dxa"/>
            <w:shd w:val="clear" w:color="auto" w:fill="auto"/>
            <w:vAlign w:val="center"/>
          </w:tcPr>
          <w:p w14:paraId="7A8E5F8F">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45B6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33137A6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20</w:t>
            </w:r>
          </w:p>
        </w:tc>
        <w:tc>
          <w:tcPr>
            <w:tcW w:w="2726" w:type="dxa"/>
            <w:shd w:val="clear" w:color="auto" w:fill="auto"/>
            <w:vAlign w:val="center"/>
          </w:tcPr>
          <w:p w14:paraId="0D4B0F8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1949" w:type="dxa"/>
            <w:shd w:val="clear" w:color="auto" w:fill="auto"/>
            <w:noWrap/>
            <w:vAlign w:val="center"/>
          </w:tcPr>
          <w:p w14:paraId="139F15D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长度30米，母头-母头</w:t>
            </w:r>
          </w:p>
        </w:tc>
        <w:tc>
          <w:tcPr>
            <w:tcW w:w="1077" w:type="dxa"/>
            <w:shd w:val="clear" w:color="auto" w:fill="auto"/>
            <w:noWrap/>
            <w:vAlign w:val="center"/>
          </w:tcPr>
          <w:p w14:paraId="5915BF9B">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326489B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¥1,671.00</w:t>
            </w:r>
          </w:p>
        </w:tc>
        <w:tc>
          <w:tcPr>
            <w:tcW w:w="1442" w:type="dxa"/>
            <w:shd w:val="clear" w:color="auto" w:fill="auto"/>
            <w:vAlign w:val="center"/>
          </w:tcPr>
          <w:p w14:paraId="5D10A3B6">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1.3%</w:t>
            </w:r>
          </w:p>
        </w:tc>
      </w:tr>
      <w:tr w14:paraId="7739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0A3DBC9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21</w:t>
            </w:r>
          </w:p>
        </w:tc>
        <w:tc>
          <w:tcPr>
            <w:tcW w:w="2726" w:type="dxa"/>
            <w:shd w:val="clear" w:color="auto" w:fill="auto"/>
            <w:vAlign w:val="center"/>
          </w:tcPr>
          <w:p w14:paraId="7D78F1A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1949" w:type="dxa"/>
            <w:shd w:val="clear" w:color="auto" w:fill="auto"/>
            <w:noWrap/>
            <w:vAlign w:val="center"/>
          </w:tcPr>
          <w:p w14:paraId="23DA823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长度35米，母头-母头</w:t>
            </w:r>
          </w:p>
        </w:tc>
        <w:tc>
          <w:tcPr>
            <w:tcW w:w="1077" w:type="dxa"/>
            <w:shd w:val="clear" w:color="auto" w:fill="auto"/>
            <w:noWrap/>
            <w:vAlign w:val="center"/>
          </w:tcPr>
          <w:p w14:paraId="10C2FC0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234C912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¥1,875.00</w:t>
            </w:r>
          </w:p>
        </w:tc>
        <w:tc>
          <w:tcPr>
            <w:tcW w:w="1442" w:type="dxa"/>
            <w:shd w:val="clear" w:color="auto" w:fill="auto"/>
            <w:vAlign w:val="center"/>
          </w:tcPr>
          <w:p w14:paraId="4F0D5E1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0.9%</w:t>
            </w:r>
          </w:p>
        </w:tc>
      </w:tr>
      <w:tr w14:paraId="0B0E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0742B16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22</w:t>
            </w:r>
          </w:p>
        </w:tc>
        <w:tc>
          <w:tcPr>
            <w:tcW w:w="2726" w:type="dxa"/>
            <w:shd w:val="clear" w:color="auto" w:fill="auto"/>
            <w:vAlign w:val="center"/>
          </w:tcPr>
          <w:p w14:paraId="249BFF8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1949" w:type="dxa"/>
            <w:shd w:val="clear" w:color="auto" w:fill="auto"/>
            <w:noWrap/>
            <w:vAlign w:val="center"/>
          </w:tcPr>
          <w:p w14:paraId="0FA5B7D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长度1米，公头-公头</w:t>
            </w:r>
          </w:p>
        </w:tc>
        <w:tc>
          <w:tcPr>
            <w:tcW w:w="1077" w:type="dxa"/>
            <w:shd w:val="clear" w:color="auto" w:fill="auto"/>
            <w:noWrap/>
            <w:vAlign w:val="center"/>
          </w:tcPr>
          <w:p w14:paraId="638B04AE">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673F62E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¥450.00</w:t>
            </w:r>
          </w:p>
        </w:tc>
        <w:tc>
          <w:tcPr>
            <w:tcW w:w="1442" w:type="dxa"/>
            <w:shd w:val="clear" w:color="auto" w:fill="auto"/>
            <w:vAlign w:val="center"/>
          </w:tcPr>
          <w:p w14:paraId="67A0BB4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0.1%</w:t>
            </w:r>
          </w:p>
        </w:tc>
      </w:tr>
      <w:tr w14:paraId="0E0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1FD1B05A">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23</w:t>
            </w:r>
          </w:p>
        </w:tc>
        <w:tc>
          <w:tcPr>
            <w:tcW w:w="2726" w:type="dxa"/>
            <w:shd w:val="clear" w:color="auto" w:fill="auto"/>
            <w:vAlign w:val="center"/>
          </w:tcPr>
          <w:p w14:paraId="4A671DE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1949" w:type="dxa"/>
            <w:shd w:val="clear" w:color="auto" w:fill="auto"/>
            <w:noWrap/>
            <w:vAlign w:val="center"/>
          </w:tcPr>
          <w:p w14:paraId="70F3CD8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1077" w:type="dxa"/>
            <w:shd w:val="clear" w:color="auto" w:fill="auto"/>
            <w:noWrap/>
            <w:vAlign w:val="center"/>
          </w:tcPr>
          <w:p w14:paraId="5420E2B3">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0CA5D67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¥162.00</w:t>
            </w:r>
          </w:p>
        </w:tc>
        <w:tc>
          <w:tcPr>
            <w:tcW w:w="1442" w:type="dxa"/>
            <w:shd w:val="clear" w:color="auto" w:fill="auto"/>
            <w:vAlign w:val="center"/>
          </w:tcPr>
          <w:p w14:paraId="549038D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4.3%</w:t>
            </w:r>
          </w:p>
        </w:tc>
      </w:tr>
      <w:tr w14:paraId="53A0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76A7A06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24</w:t>
            </w:r>
          </w:p>
        </w:tc>
        <w:tc>
          <w:tcPr>
            <w:tcW w:w="2726" w:type="dxa"/>
            <w:shd w:val="clear" w:color="auto" w:fill="auto"/>
            <w:vAlign w:val="center"/>
          </w:tcPr>
          <w:p w14:paraId="17C2B81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1949" w:type="dxa"/>
            <w:shd w:val="clear" w:color="auto" w:fill="auto"/>
            <w:noWrap/>
            <w:vAlign w:val="center"/>
          </w:tcPr>
          <w:p w14:paraId="241DF8B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1077" w:type="dxa"/>
            <w:shd w:val="clear" w:color="auto" w:fill="auto"/>
            <w:noWrap/>
            <w:vAlign w:val="center"/>
          </w:tcPr>
          <w:p w14:paraId="2CDA751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53C9F40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¥195.00</w:t>
            </w:r>
          </w:p>
        </w:tc>
        <w:tc>
          <w:tcPr>
            <w:tcW w:w="1442" w:type="dxa"/>
            <w:shd w:val="clear" w:color="auto" w:fill="auto"/>
            <w:vAlign w:val="center"/>
          </w:tcPr>
          <w:p w14:paraId="754C52E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8.2%</w:t>
            </w:r>
          </w:p>
        </w:tc>
      </w:tr>
      <w:tr w14:paraId="79D2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12C0DBFE">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25</w:t>
            </w:r>
          </w:p>
        </w:tc>
        <w:tc>
          <w:tcPr>
            <w:tcW w:w="2726" w:type="dxa"/>
            <w:shd w:val="clear" w:color="auto" w:fill="auto"/>
            <w:vAlign w:val="center"/>
          </w:tcPr>
          <w:p w14:paraId="0BC461F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1949" w:type="dxa"/>
            <w:shd w:val="clear" w:color="auto" w:fill="auto"/>
            <w:noWrap/>
            <w:vAlign w:val="center"/>
          </w:tcPr>
          <w:p w14:paraId="07EEE72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1077" w:type="dxa"/>
            <w:shd w:val="clear" w:color="auto" w:fill="auto"/>
            <w:noWrap/>
            <w:vAlign w:val="center"/>
          </w:tcPr>
          <w:p w14:paraId="73273D6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436C728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¥285.00</w:t>
            </w:r>
          </w:p>
        </w:tc>
        <w:tc>
          <w:tcPr>
            <w:tcW w:w="1442" w:type="dxa"/>
            <w:shd w:val="clear" w:color="auto" w:fill="auto"/>
            <w:vAlign w:val="center"/>
          </w:tcPr>
          <w:p w14:paraId="56F5551C">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9.8%</w:t>
            </w:r>
          </w:p>
        </w:tc>
      </w:tr>
      <w:tr w14:paraId="45B0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567B7EA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26</w:t>
            </w:r>
          </w:p>
        </w:tc>
        <w:tc>
          <w:tcPr>
            <w:tcW w:w="2726" w:type="dxa"/>
            <w:shd w:val="clear" w:color="auto" w:fill="auto"/>
            <w:vAlign w:val="center"/>
          </w:tcPr>
          <w:p w14:paraId="5AB5E63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1949" w:type="dxa"/>
            <w:shd w:val="clear" w:color="auto" w:fill="auto"/>
            <w:noWrap/>
            <w:vAlign w:val="center"/>
          </w:tcPr>
          <w:p w14:paraId="0F4EA6C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1077" w:type="dxa"/>
            <w:shd w:val="clear" w:color="auto" w:fill="auto"/>
            <w:noWrap/>
            <w:vAlign w:val="center"/>
          </w:tcPr>
          <w:p w14:paraId="575FDF80">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140E23D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¥375.00</w:t>
            </w:r>
          </w:p>
        </w:tc>
        <w:tc>
          <w:tcPr>
            <w:tcW w:w="1442" w:type="dxa"/>
            <w:shd w:val="clear" w:color="auto" w:fill="auto"/>
            <w:vAlign w:val="center"/>
          </w:tcPr>
          <w:p w14:paraId="2432642F">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3.7%</w:t>
            </w:r>
          </w:p>
        </w:tc>
      </w:tr>
      <w:tr w14:paraId="3273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7814F16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27</w:t>
            </w:r>
          </w:p>
        </w:tc>
        <w:tc>
          <w:tcPr>
            <w:tcW w:w="2726" w:type="dxa"/>
            <w:shd w:val="clear" w:color="auto" w:fill="auto"/>
            <w:vAlign w:val="center"/>
          </w:tcPr>
          <w:p w14:paraId="567EDE9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1949" w:type="dxa"/>
            <w:shd w:val="clear" w:color="auto" w:fill="auto"/>
            <w:noWrap/>
            <w:vAlign w:val="center"/>
          </w:tcPr>
          <w:p w14:paraId="5C2EAB7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1077" w:type="dxa"/>
            <w:shd w:val="clear" w:color="auto" w:fill="auto"/>
            <w:noWrap/>
            <w:vAlign w:val="center"/>
          </w:tcPr>
          <w:p w14:paraId="0574AED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6863B02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¥157.00</w:t>
            </w:r>
          </w:p>
        </w:tc>
        <w:tc>
          <w:tcPr>
            <w:tcW w:w="1442" w:type="dxa"/>
            <w:shd w:val="clear" w:color="auto" w:fill="auto"/>
            <w:vAlign w:val="center"/>
          </w:tcPr>
          <w:p w14:paraId="2851DEC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7249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03FAAD67">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28</w:t>
            </w:r>
          </w:p>
        </w:tc>
        <w:tc>
          <w:tcPr>
            <w:tcW w:w="2726" w:type="dxa"/>
            <w:shd w:val="clear" w:color="auto" w:fill="auto"/>
            <w:vAlign w:val="center"/>
          </w:tcPr>
          <w:p w14:paraId="42DAF88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1949" w:type="dxa"/>
            <w:shd w:val="clear" w:color="auto" w:fill="auto"/>
            <w:noWrap/>
            <w:vAlign w:val="center"/>
          </w:tcPr>
          <w:p w14:paraId="657CF7A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1077" w:type="dxa"/>
            <w:shd w:val="clear" w:color="auto" w:fill="auto"/>
            <w:noWrap/>
            <w:vAlign w:val="center"/>
          </w:tcPr>
          <w:p w14:paraId="0636C79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7E93F5F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¥223.00</w:t>
            </w:r>
          </w:p>
        </w:tc>
        <w:tc>
          <w:tcPr>
            <w:tcW w:w="1442" w:type="dxa"/>
            <w:shd w:val="clear" w:color="auto" w:fill="auto"/>
            <w:vAlign w:val="center"/>
          </w:tcPr>
          <w:p w14:paraId="4EE4B88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57B7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33BF915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29</w:t>
            </w:r>
          </w:p>
        </w:tc>
        <w:tc>
          <w:tcPr>
            <w:tcW w:w="2726" w:type="dxa"/>
            <w:shd w:val="clear" w:color="auto" w:fill="auto"/>
            <w:vAlign w:val="center"/>
          </w:tcPr>
          <w:p w14:paraId="5738AA6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1949" w:type="dxa"/>
            <w:shd w:val="clear" w:color="auto" w:fill="auto"/>
            <w:noWrap/>
            <w:vAlign w:val="center"/>
          </w:tcPr>
          <w:p w14:paraId="33EDF06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长度20米</w:t>
            </w:r>
          </w:p>
        </w:tc>
        <w:tc>
          <w:tcPr>
            <w:tcW w:w="1077" w:type="dxa"/>
            <w:shd w:val="clear" w:color="auto" w:fill="auto"/>
            <w:noWrap/>
            <w:vAlign w:val="center"/>
          </w:tcPr>
          <w:p w14:paraId="4A2DA2F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53D108D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¥267.00</w:t>
            </w:r>
          </w:p>
        </w:tc>
        <w:tc>
          <w:tcPr>
            <w:tcW w:w="1442" w:type="dxa"/>
            <w:shd w:val="clear" w:color="auto" w:fill="auto"/>
            <w:vAlign w:val="center"/>
          </w:tcPr>
          <w:p w14:paraId="6B4BA70F">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437C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4085DF7B">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30</w:t>
            </w:r>
          </w:p>
        </w:tc>
        <w:tc>
          <w:tcPr>
            <w:tcW w:w="2726" w:type="dxa"/>
            <w:shd w:val="clear" w:color="auto" w:fill="auto"/>
            <w:vAlign w:val="center"/>
          </w:tcPr>
          <w:p w14:paraId="6ADB489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MPO光纤适配器</w:t>
            </w:r>
          </w:p>
        </w:tc>
        <w:tc>
          <w:tcPr>
            <w:tcW w:w="1949" w:type="dxa"/>
            <w:shd w:val="clear" w:color="auto" w:fill="auto"/>
            <w:noWrap/>
            <w:vAlign w:val="center"/>
          </w:tcPr>
          <w:p w14:paraId="797D0A6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B型，4口</w:t>
            </w:r>
          </w:p>
        </w:tc>
        <w:tc>
          <w:tcPr>
            <w:tcW w:w="1077" w:type="dxa"/>
            <w:shd w:val="clear" w:color="auto" w:fill="auto"/>
            <w:noWrap/>
            <w:vAlign w:val="center"/>
          </w:tcPr>
          <w:p w14:paraId="4D04A56C">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1442" w:type="dxa"/>
            <w:vAlign w:val="center"/>
          </w:tcPr>
          <w:p w14:paraId="464B0D4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¥468.00</w:t>
            </w:r>
          </w:p>
        </w:tc>
        <w:tc>
          <w:tcPr>
            <w:tcW w:w="1442" w:type="dxa"/>
            <w:shd w:val="clear" w:color="auto" w:fill="auto"/>
            <w:vAlign w:val="center"/>
          </w:tcPr>
          <w:p w14:paraId="79A99AA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0E69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1AE9D0CE">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31</w:t>
            </w:r>
          </w:p>
        </w:tc>
        <w:tc>
          <w:tcPr>
            <w:tcW w:w="2726" w:type="dxa"/>
            <w:shd w:val="clear" w:color="auto" w:fill="auto"/>
            <w:vAlign w:val="center"/>
          </w:tcPr>
          <w:p w14:paraId="16FC29E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c14转c13欧标电源线</w:t>
            </w:r>
          </w:p>
        </w:tc>
        <w:tc>
          <w:tcPr>
            <w:tcW w:w="1949" w:type="dxa"/>
            <w:shd w:val="clear" w:color="auto" w:fill="auto"/>
            <w:noWrap/>
            <w:vAlign w:val="center"/>
          </w:tcPr>
          <w:p w14:paraId="62DF7BA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077" w:type="dxa"/>
            <w:shd w:val="clear" w:color="auto" w:fill="auto"/>
            <w:noWrap/>
            <w:vAlign w:val="center"/>
          </w:tcPr>
          <w:p w14:paraId="329854A5">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18F40BA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¥35.00</w:t>
            </w:r>
          </w:p>
        </w:tc>
        <w:tc>
          <w:tcPr>
            <w:tcW w:w="1442" w:type="dxa"/>
            <w:shd w:val="clear" w:color="auto" w:fill="auto"/>
            <w:vAlign w:val="center"/>
          </w:tcPr>
          <w:p w14:paraId="201F525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19.5%</w:t>
            </w:r>
          </w:p>
        </w:tc>
      </w:tr>
      <w:tr w14:paraId="433B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00B2DE9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32</w:t>
            </w:r>
          </w:p>
        </w:tc>
        <w:tc>
          <w:tcPr>
            <w:tcW w:w="2726" w:type="dxa"/>
            <w:shd w:val="clear" w:color="auto" w:fill="auto"/>
            <w:vAlign w:val="center"/>
          </w:tcPr>
          <w:p w14:paraId="691331A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c20转c13欧标电源线</w:t>
            </w:r>
          </w:p>
        </w:tc>
        <w:tc>
          <w:tcPr>
            <w:tcW w:w="1949" w:type="dxa"/>
            <w:shd w:val="clear" w:color="auto" w:fill="auto"/>
            <w:noWrap/>
            <w:vAlign w:val="center"/>
          </w:tcPr>
          <w:p w14:paraId="2064E73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077" w:type="dxa"/>
            <w:shd w:val="clear" w:color="auto" w:fill="auto"/>
            <w:noWrap/>
            <w:vAlign w:val="center"/>
          </w:tcPr>
          <w:p w14:paraId="5A068DC8">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1442" w:type="dxa"/>
            <w:vAlign w:val="center"/>
          </w:tcPr>
          <w:p w14:paraId="487A0DF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¥35.00</w:t>
            </w:r>
          </w:p>
        </w:tc>
        <w:tc>
          <w:tcPr>
            <w:tcW w:w="1442" w:type="dxa"/>
            <w:shd w:val="clear" w:color="auto" w:fill="auto"/>
            <w:vAlign w:val="center"/>
          </w:tcPr>
          <w:p w14:paraId="0C2DF47E">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2.3%</w:t>
            </w:r>
          </w:p>
        </w:tc>
      </w:tr>
      <w:tr w14:paraId="580B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1DF8FCFC">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33</w:t>
            </w:r>
          </w:p>
        </w:tc>
        <w:tc>
          <w:tcPr>
            <w:tcW w:w="2726" w:type="dxa"/>
            <w:shd w:val="clear" w:color="auto" w:fill="auto"/>
            <w:vAlign w:val="center"/>
          </w:tcPr>
          <w:p w14:paraId="740E03C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48芯光纤配线架</w:t>
            </w:r>
          </w:p>
        </w:tc>
        <w:tc>
          <w:tcPr>
            <w:tcW w:w="1949" w:type="dxa"/>
            <w:shd w:val="clear" w:color="auto" w:fill="auto"/>
            <w:noWrap/>
            <w:vAlign w:val="center"/>
          </w:tcPr>
          <w:p w14:paraId="58B38D8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077" w:type="dxa"/>
            <w:shd w:val="clear" w:color="auto" w:fill="auto"/>
            <w:noWrap/>
            <w:vAlign w:val="center"/>
          </w:tcPr>
          <w:p w14:paraId="7B4A7D7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1442" w:type="dxa"/>
            <w:vAlign w:val="center"/>
          </w:tcPr>
          <w:p w14:paraId="73BD1CB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¥1,365.00</w:t>
            </w:r>
          </w:p>
        </w:tc>
        <w:tc>
          <w:tcPr>
            <w:tcW w:w="1442" w:type="dxa"/>
            <w:shd w:val="clear" w:color="auto" w:fill="auto"/>
            <w:vAlign w:val="center"/>
          </w:tcPr>
          <w:p w14:paraId="4F15490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0.1%</w:t>
            </w:r>
          </w:p>
        </w:tc>
      </w:tr>
      <w:tr w14:paraId="7F76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00A5867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34</w:t>
            </w:r>
          </w:p>
        </w:tc>
        <w:tc>
          <w:tcPr>
            <w:tcW w:w="2726" w:type="dxa"/>
            <w:shd w:val="clear" w:color="000000" w:fill="FFFFFF"/>
            <w:vAlign w:val="center"/>
          </w:tcPr>
          <w:p w14:paraId="6923690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服务器机柜</w:t>
            </w:r>
          </w:p>
        </w:tc>
        <w:tc>
          <w:tcPr>
            <w:tcW w:w="1949" w:type="dxa"/>
            <w:shd w:val="clear" w:color="auto" w:fill="auto"/>
            <w:noWrap/>
            <w:vAlign w:val="center"/>
          </w:tcPr>
          <w:p w14:paraId="0E81126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800mm x 1200mm x 2000mm</w:t>
            </w:r>
          </w:p>
        </w:tc>
        <w:tc>
          <w:tcPr>
            <w:tcW w:w="1077" w:type="dxa"/>
            <w:shd w:val="clear" w:color="auto" w:fill="auto"/>
            <w:noWrap/>
            <w:vAlign w:val="center"/>
          </w:tcPr>
          <w:p w14:paraId="08ACBF96">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1442" w:type="dxa"/>
            <w:vAlign w:val="center"/>
          </w:tcPr>
          <w:p w14:paraId="663E84C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¥9,432.00</w:t>
            </w:r>
          </w:p>
        </w:tc>
        <w:tc>
          <w:tcPr>
            <w:tcW w:w="1442" w:type="dxa"/>
            <w:shd w:val="clear" w:color="auto" w:fill="auto"/>
            <w:vAlign w:val="center"/>
          </w:tcPr>
          <w:p w14:paraId="04570005">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0.1%</w:t>
            </w:r>
          </w:p>
        </w:tc>
      </w:tr>
      <w:tr w14:paraId="10D6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182E0B6B">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35</w:t>
            </w:r>
          </w:p>
        </w:tc>
        <w:tc>
          <w:tcPr>
            <w:tcW w:w="2726" w:type="dxa"/>
            <w:shd w:val="clear" w:color="auto" w:fill="auto"/>
            <w:vAlign w:val="center"/>
          </w:tcPr>
          <w:p w14:paraId="3978BF6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空开</w:t>
            </w:r>
          </w:p>
        </w:tc>
        <w:tc>
          <w:tcPr>
            <w:tcW w:w="1949" w:type="dxa"/>
            <w:shd w:val="clear" w:color="auto" w:fill="auto"/>
            <w:noWrap/>
            <w:vAlign w:val="center"/>
          </w:tcPr>
          <w:p w14:paraId="6853500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32A/1P</w:t>
            </w:r>
          </w:p>
        </w:tc>
        <w:tc>
          <w:tcPr>
            <w:tcW w:w="1077" w:type="dxa"/>
            <w:shd w:val="clear" w:color="auto" w:fill="auto"/>
            <w:noWrap/>
            <w:vAlign w:val="center"/>
          </w:tcPr>
          <w:p w14:paraId="5F31B0D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1442" w:type="dxa"/>
            <w:vAlign w:val="center"/>
          </w:tcPr>
          <w:p w14:paraId="105A574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¥54.00</w:t>
            </w:r>
          </w:p>
        </w:tc>
        <w:tc>
          <w:tcPr>
            <w:tcW w:w="1442" w:type="dxa"/>
            <w:shd w:val="clear" w:color="auto" w:fill="auto"/>
            <w:vAlign w:val="center"/>
          </w:tcPr>
          <w:p w14:paraId="2E04B9C6">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12BD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70C6DF58">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36</w:t>
            </w:r>
          </w:p>
        </w:tc>
        <w:tc>
          <w:tcPr>
            <w:tcW w:w="2726" w:type="dxa"/>
            <w:shd w:val="clear" w:color="auto" w:fill="auto"/>
            <w:vAlign w:val="center"/>
          </w:tcPr>
          <w:p w14:paraId="18732C4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工业连接器</w:t>
            </w:r>
          </w:p>
        </w:tc>
        <w:tc>
          <w:tcPr>
            <w:tcW w:w="1949" w:type="dxa"/>
            <w:shd w:val="clear" w:color="auto" w:fill="auto"/>
            <w:noWrap/>
            <w:vAlign w:val="center"/>
          </w:tcPr>
          <w:p w14:paraId="15767CA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32A/1P</w:t>
            </w:r>
          </w:p>
        </w:tc>
        <w:tc>
          <w:tcPr>
            <w:tcW w:w="1077" w:type="dxa"/>
            <w:shd w:val="clear" w:color="auto" w:fill="auto"/>
            <w:noWrap/>
            <w:vAlign w:val="center"/>
          </w:tcPr>
          <w:p w14:paraId="7D98085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1442" w:type="dxa"/>
            <w:vAlign w:val="center"/>
          </w:tcPr>
          <w:p w14:paraId="4C8532B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¥255.00</w:t>
            </w:r>
          </w:p>
        </w:tc>
        <w:tc>
          <w:tcPr>
            <w:tcW w:w="1442" w:type="dxa"/>
            <w:shd w:val="clear" w:color="auto" w:fill="auto"/>
            <w:vAlign w:val="center"/>
          </w:tcPr>
          <w:p w14:paraId="3A91D87C">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535E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0F625097">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37</w:t>
            </w:r>
          </w:p>
        </w:tc>
        <w:tc>
          <w:tcPr>
            <w:tcW w:w="2726" w:type="dxa"/>
            <w:shd w:val="clear" w:color="auto" w:fill="auto"/>
            <w:vAlign w:val="center"/>
          </w:tcPr>
          <w:p w14:paraId="49BA662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24芯多模光纤</w:t>
            </w:r>
          </w:p>
        </w:tc>
        <w:tc>
          <w:tcPr>
            <w:tcW w:w="1949" w:type="dxa"/>
            <w:shd w:val="clear" w:color="auto" w:fill="auto"/>
            <w:vAlign w:val="center"/>
          </w:tcPr>
          <w:p w14:paraId="0EECDF7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定制长度</w:t>
            </w:r>
          </w:p>
        </w:tc>
        <w:tc>
          <w:tcPr>
            <w:tcW w:w="1077" w:type="dxa"/>
            <w:shd w:val="clear" w:color="auto" w:fill="auto"/>
            <w:noWrap/>
            <w:vAlign w:val="center"/>
          </w:tcPr>
          <w:p w14:paraId="304501F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1442" w:type="dxa"/>
            <w:vAlign w:val="center"/>
          </w:tcPr>
          <w:p w14:paraId="626A1E2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¥47.00</w:t>
            </w:r>
          </w:p>
        </w:tc>
        <w:tc>
          <w:tcPr>
            <w:tcW w:w="1442" w:type="dxa"/>
            <w:shd w:val="clear" w:color="auto" w:fill="auto"/>
            <w:vAlign w:val="center"/>
          </w:tcPr>
          <w:p w14:paraId="40C23FE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1.9%</w:t>
            </w:r>
          </w:p>
        </w:tc>
      </w:tr>
      <w:tr w14:paraId="1F32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10F5897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38</w:t>
            </w:r>
          </w:p>
        </w:tc>
        <w:tc>
          <w:tcPr>
            <w:tcW w:w="2726" w:type="dxa"/>
            <w:shd w:val="clear" w:color="auto" w:fill="auto"/>
            <w:vAlign w:val="center"/>
          </w:tcPr>
          <w:p w14:paraId="36A6E84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24口网络配线架</w:t>
            </w:r>
          </w:p>
        </w:tc>
        <w:tc>
          <w:tcPr>
            <w:tcW w:w="1949" w:type="dxa"/>
            <w:shd w:val="clear" w:color="auto" w:fill="auto"/>
            <w:noWrap/>
            <w:vAlign w:val="center"/>
          </w:tcPr>
          <w:p w14:paraId="3C28D98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077" w:type="dxa"/>
            <w:shd w:val="clear" w:color="auto" w:fill="auto"/>
            <w:noWrap/>
            <w:vAlign w:val="center"/>
          </w:tcPr>
          <w:p w14:paraId="062E2108">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1442" w:type="dxa"/>
            <w:vAlign w:val="center"/>
          </w:tcPr>
          <w:p w14:paraId="32B5F59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¥936.00</w:t>
            </w:r>
          </w:p>
        </w:tc>
        <w:tc>
          <w:tcPr>
            <w:tcW w:w="1442" w:type="dxa"/>
            <w:shd w:val="clear" w:color="auto" w:fill="auto"/>
            <w:vAlign w:val="center"/>
          </w:tcPr>
          <w:p w14:paraId="4C24F6E0">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4027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0" w:type="dxa"/>
            <w:shd w:val="clear" w:color="auto" w:fill="auto"/>
            <w:noWrap/>
            <w:vAlign w:val="center"/>
          </w:tcPr>
          <w:p w14:paraId="2C77F240">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39</w:t>
            </w:r>
          </w:p>
        </w:tc>
        <w:tc>
          <w:tcPr>
            <w:tcW w:w="2726" w:type="dxa"/>
            <w:shd w:val="clear" w:color="auto" w:fill="auto"/>
            <w:vAlign w:val="center"/>
          </w:tcPr>
          <w:p w14:paraId="10955DC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通用服务器L型支架</w:t>
            </w:r>
          </w:p>
        </w:tc>
        <w:tc>
          <w:tcPr>
            <w:tcW w:w="1949" w:type="dxa"/>
            <w:shd w:val="clear" w:color="auto" w:fill="auto"/>
            <w:noWrap/>
            <w:vAlign w:val="center"/>
          </w:tcPr>
          <w:p w14:paraId="4D3BCE5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带滑轨</w:t>
            </w:r>
          </w:p>
        </w:tc>
        <w:tc>
          <w:tcPr>
            <w:tcW w:w="1077" w:type="dxa"/>
            <w:shd w:val="clear" w:color="auto" w:fill="auto"/>
            <w:noWrap/>
            <w:vAlign w:val="center"/>
          </w:tcPr>
          <w:p w14:paraId="0A68F100">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1442" w:type="dxa"/>
            <w:vAlign w:val="center"/>
          </w:tcPr>
          <w:p w14:paraId="76F2425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¥283.00</w:t>
            </w:r>
          </w:p>
        </w:tc>
        <w:tc>
          <w:tcPr>
            <w:tcW w:w="1442" w:type="dxa"/>
            <w:shd w:val="clear" w:color="auto" w:fill="auto"/>
            <w:vAlign w:val="center"/>
          </w:tcPr>
          <w:p w14:paraId="560B5C6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2.9%</w:t>
            </w:r>
          </w:p>
        </w:tc>
      </w:tr>
      <w:tr w14:paraId="5CC7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256" w:type="dxa"/>
            <w:gridSpan w:val="6"/>
            <w:shd w:val="clear" w:color="auto" w:fill="auto"/>
            <w:noWrap/>
            <w:vAlign w:val="center"/>
          </w:tcPr>
          <w:p w14:paraId="4BC08F7B">
            <w:pPr>
              <w:widowControl/>
              <w:autoSpaceDE/>
              <w:autoSpaceDN/>
              <w:spacing w:line="240" w:lineRule="auto"/>
              <w:ind w:firstLine="0" w:firstLineChars="0"/>
              <w:jc w:val="center"/>
              <w:rPr>
                <w:rFonts w:hint="default" w:ascii="宋体" w:hAnsi="宋体" w:cs="宋体"/>
                <w:kern w:val="0"/>
                <w:sz w:val="21"/>
                <w:szCs w:val="21"/>
                <w:highlight w:val="none"/>
                <w:lang w:val="en-US"/>
              </w:rPr>
            </w:pPr>
            <w:r>
              <w:rPr>
                <w:rFonts w:hint="eastAsia" w:ascii="宋体" w:hAnsi="宋体" w:cs="宋体"/>
                <w:b/>
                <w:bCs/>
                <w:kern w:val="0"/>
                <w:sz w:val="21"/>
                <w:szCs w:val="21"/>
                <w:highlight w:val="none"/>
                <w:lang w:val="en-US" w:eastAsia="zh-CN"/>
              </w:rPr>
              <w:t>加权平均价：205.76元</w:t>
            </w:r>
          </w:p>
        </w:tc>
      </w:tr>
    </w:tbl>
    <w:p w14:paraId="453016D0">
      <w:pPr>
        <w:pStyle w:val="4"/>
        <w:ind w:right="240" w:rightChars="100" w:firstLine="482"/>
        <w:rPr>
          <w:rFonts w:ascii="Times New Roman" w:hAnsi="Times New Roman"/>
          <w:highlight w:val="none"/>
        </w:rPr>
      </w:pPr>
      <w:r>
        <w:rPr>
          <w:rFonts w:hint="eastAsia" w:ascii="Times New Roman" w:hAnsi="Times New Roman"/>
          <w:highlight w:val="none"/>
        </w:rPr>
        <w:t>1.3 项目概况</w:t>
      </w:r>
    </w:p>
    <w:bookmarkEnd w:id="37"/>
    <w:p w14:paraId="60E80F63">
      <w:pPr>
        <w:ind w:right="240" w:rightChars="100" w:firstLine="480"/>
        <w:rPr>
          <w:rFonts w:ascii="Times New Roman" w:hAnsi="Times New Roman"/>
          <w:highlight w:val="none"/>
        </w:rPr>
      </w:pPr>
      <w:bookmarkStart w:id="38" w:name="_Toc89675161"/>
      <w:r>
        <w:rPr>
          <w:rFonts w:ascii="Times New Roman" w:hAnsi="Times New Roman"/>
          <w:highlight w:val="none"/>
        </w:rPr>
        <w:t>为保证重庆三峡银行数据中心运维所需各类耗材的稳定供应，满足日常运维及未来扩展需求，拟择优</w:t>
      </w:r>
      <w:r>
        <w:rPr>
          <w:rFonts w:hint="eastAsia" w:ascii="Times New Roman" w:hAnsi="Times New Roman"/>
          <w:highlight w:val="none"/>
        </w:rPr>
        <w:t>选定</w:t>
      </w:r>
      <w:r>
        <w:rPr>
          <w:rFonts w:ascii="Times New Roman" w:hAnsi="Times New Roman"/>
          <w:highlight w:val="none"/>
        </w:rPr>
        <w:t>一家供应商按重庆三峡银行需求供应数据中心运维耗材。</w:t>
      </w:r>
    </w:p>
    <w:p w14:paraId="41A34366">
      <w:pPr>
        <w:pStyle w:val="4"/>
        <w:ind w:right="240" w:rightChars="100" w:firstLine="482"/>
        <w:rPr>
          <w:rFonts w:ascii="Times New Roman" w:hAnsi="Times New Roman"/>
          <w:highlight w:val="none"/>
        </w:rPr>
      </w:pPr>
      <w:r>
        <w:rPr>
          <w:rFonts w:hint="eastAsia" w:ascii="Times New Roman" w:hAnsi="Times New Roman"/>
          <w:highlight w:val="none"/>
        </w:rPr>
        <w:t>1.4 项目目标</w:t>
      </w:r>
    </w:p>
    <w:p w14:paraId="2F5D7241">
      <w:pPr>
        <w:ind w:right="240" w:rightChars="100" w:firstLine="480"/>
        <w:rPr>
          <w:rFonts w:ascii="Times New Roman" w:hAnsi="Times New Roman"/>
          <w:highlight w:val="none"/>
        </w:rPr>
      </w:pPr>
      <w:r>
        <w:rPr>
          <w:rFonts w:ascii="Times New Roman" w:hAnsi="Times New Roman"/>
          <w:highlight w:val="none"/>
        </w:rPr>
        <w:t>本项目旨在通过公开比选</w:t>
      </w:r>
      <w:r>
        <w:rPr>
          <w:rFonts w:hint="eastAsia" w:ascii="Times New Roman" w:hAnsi="Times New Roman"/>
          <w:highlight w:val="none"/>
        </w:rPr>
        <w:t>方式</w:t>
      </w:r>
      <w:r>
        <w:rPr>
          <w:rFonts w:ascii="Times New Roman" w:hAnsi="Times New Roman"/>
          <w:highlight w:val="none"/>
        </w:rPr>
        <w:t>择优选定一家价格合理、服务可靠的供应商，建立三年期的合作关系，以确保数据中心运维耗材的及时</w:t>
      </w:r>
      <w:r>
        <w:rPr>
          <w:rFonts w:hint="eastAsia" w:ascii="Times New Roman" w:hAnsi="Times New Roman"/>
          <w:highlight w:val="none"/>
        </w:rPr>
        <w:t>、</w:t>
      </w:r>
      <w:r>
        <w:rPr>
          <w:rFonts w:ascii="Times New Roman" w:hAnsi="Times New Roman"/>
          <w:highlight w:val="none"/>
        </w:rPr>
        <w:t>稳定供应，满足</w:t>
      </w:r>
      <w:r>
        <w:rPr>
          <w:rFonts w:hint="eastAsia" w:ascii="Times New Roman" w:hAnsi="Times New Roman"/>
          <w:highlight w:val="none"/>
        </w:rPr>
        <w:t>重庆三峡银行</w:t>
      </w:r>
      <w:r>
        <w:rPr>
          <w:rFonts w:ascii="Times New Roman" w:hAnsi="Times New Roman"/>
          <w:highlight w:val="none"/>
        </w:rPr>
        <w:t>数据中心的日常运维及未来扩展需求。</w:t>
      </w:r>
    </w:p>
    <w:p w14:paraId="2EF4E50E">
      <w:pPr>
        <w:pStyle w:val="3"/>
        <w:ind w:right="240" w:rightChars="100"/>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8"/>
    </w:p>
    <w:p w14:paraId="040421D5">
      <w:pPr>
        <w:ind w:right="240" w:rightChars="100" w:firstLine="480"/>
        <w:rPr>
          <w:rFonts w:ascii="Times New Roman" w:hAnsi="Times New Roman"/>
          <w:highlight w:val="none"/>
        </w:rPr>
      </w:pPr>
      <w:r>
        <w:rPr>
          <w:rFonts w:hint="eastAsia" w:ascii="Times New Roman" w:hAnsi="Times New Roman"/>
          <w:highlight w:val="none"/>
        </w:rPr>
        <w:t>2.1 合格参选人条件</w:t>
      </w:r>
    </w:p>
    <w:p w14:paraId="2D929064">
      <w:pPr>
        <w:ind w:right="240" w:rightChars="100" w:firstLine="480"/>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6ABA2604">
      <w:pPr>
        <w:ind w:right="240" w:rightChars="100" w:firstLine="480"/>
        <w:rPr>
          <w:rFonts w:ascii="Times New Roman" w:hAnsi="Times New Roman"/>
          <w:highlight w:val="none"/>
        </w:rPr>
      </w:pPr>
      <w:r>
        <w:rPr>
          <w:rFonts w:hint="eastAsia" w:ascii="Times New Roman" w:hAnsi="Times New Roman"/>
          <w:highlight w:val="none"/>
        </w:rPr>
        <w:t>2.2 参选人的风险</w:t>
      </w:r>
    </w:p>
    <w:p w14:paraId="0251518E">
      <w:pPr>
        <w:ind w:right="240" w:rightChars="100" w:firstLine="480"/>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04B26FDC">
      <w:pPr>
        <w:pStyle w:val="3"/>
        <w:ind w:right="240" w:rightChars="100"/>
        <w:rPr>
          <w:rFonts w:ascii="Times New Roman" w:hAnsi="Times New Roman"/>
          <w:highlight w:val="none"/>
        </w:rPr>
      </w:pPr>
      <w:bookmarkStart w:id="39" w:name="_Toc89675162"/>
      <w:r>
        <w:rPr>
          <w:rFonts w:hint="eastAsia" w:ascii="Times New Roman" w:hAnsi="Times New Roman"/>
          <w:highlight w:val="none"/>
        </w:rPr>
        <w:t>3. 比选文件</w:t>
      </w:r>
      <w:bookmarkEnd w:id="39"/>
    </w:p>
    <w:p w14:paraId="4C79F209">
      <w:pPr>
        <w:ind w:right="240" w:rightChars="100" w:firstLine="480"/>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7D472D0E">
      <w:pPr>
        <w:ind w:right="240" w:rightChars="100" w:firstLine="480"/>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2E987549">
      <w:pPr>
        <w:pStyle w:val="3"/>
        <w:ind w:right="240" w:rightChars="100"/>
        <w:rPr>
          <w:rFonts w:ascii="Times New Roman" w:hAnsi="Times New Roman"/>
          <w:highlight w:val="none"/>
        </w:rPr>
      </w:pPr>
      <w:bookmarkStart w:id="40" w:name="_Toc89675163"/>
      <w:r>
        <w:rPr>
          <w:rFonts w:hint="eastAsia" w:ascii="Times New Roman" w:hAnsi="Times New Roman"/>
          <w:highlight w:val="none"/>
        </w:rPr>
        <w:t xml:space="preserve">4. </w:t>
      </w:r>
      <w:r>
        <w:rPr>
          <w:rFonts w:ascii="Times New Roman" w:hAnsi="Times New Roman"/>
          <w:highlight w:val="none"/>
        </w:rPr>
        <w:t>参选</w:t>
      </w:r>
      <w:bookmarkEnd w:id="40"/>
    </w:p>
    <w:p w14:paraId="29D84D75">
      <w:pPr>
        <w:ind w:right="240" w:rightChars="100" w:firstLine="480"/>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6A205678">
      <w:pPr>
        <w:pStyle w:val="4"/>
        <w:ind w:right="240" w:rightChars="100" w:firstLine="482"/>
        <w:rPr>
          <w:rFonts w:ascii="Times New Roman" w:hAnsi="Times New Roman"/>
          <w:highlight w:val="none"/>
        </w:rPr>
      </w:pPr>
      <w:r>
        <w:rPr>
          <w:rFonts w:hint="eastAsia" w:ascii="Times New Roman" w:hAnsi="Times New Roman"/>
          <w:highlight w:val="none"/>
        </w:rPr>
        <w:t>4.1 参选文件组成</w:t>
      </w:r>
    </w:p>
    <w:p w14:paraId="75A2390B">
      <w:pPr>
        <w:ind w:right="240" w:rightChars="100" w:firstLine="480"/>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6B735A12">
      <w:pPr>
        <w:pStyle w:val="4"/>
        <w:ind w:right="240" w:rightChars="100" w:firstLine="482"/>
        <w:rPr>
          <w:rFonts w:ascii="Times New Roman" w:hAnsi="Times New Roman"/>
          <w:highlight w:val="none"/>
        </w:rPr>
      </w:pPr>
      <w:r>
        <w:rPr>
          <w:rFonts w:hint="eastAsia" w:ascii="Times New Roman" w:hAnsi="Times New Roman"/>
          <w:highlight w:val="none"/>
        </w:rPr>
        <w:t>4.2 联合参选</w:t>
      </w:r>
    </w:p>
    <w:p w14:paraId="43536724">
      <w:pPr>
        <w:ind w:right="240" w:rightChars="100" w:firstLine="480"/>
        <w:rPr>
          <w:rFonts w:ascii="Times New Roman" w:hAnsi="Times New Roman"/>
          <w:highlight w:val="none"/>
        </w:rPr>
      </w:pPr>
      <w:r>
        <w:rPr>
          <w:rFonts w:hint="eastAsia" w:ascii="Times New Roman" w:hAnsi="Times New Roman"/>
          <w:highlight w:val="none"/>
        </w:rPr>
        <w:t>本比选项目不接受联合参选</w:t>
      </w:r>
    </w:p>
    <w:p w14:paraId="71A89AA1">
      <w:pPr>
        <w:pStyle w:val="4"/>
        <w:ind w:right="240" w:rightChars="100" w:firstLine="482"/>
        <w:rPr>
          <w:rFonts w:ascii="Times New Roman" w:hAnsi="Times New Roman"/>
          <w:highlight w:val="none"/>
        </w:rPr>
      </w:pPr>
      <w:r>
        <w:rPr>
          <w:rFonts w:hint="eastAsia" w:ascii="Times New Roman" w:hAnsi="Times New Roman"/>
          <w:highlight w:val="none"/>
        </w:rPr>
        <w:t>4.3 参选有效期</w:t>
      </w:r>
    </w:p>
    <w:p w14:paraId="6C41086C">
      <w:pPr>
        <w:ind w:right="240" w:rightChars="100" w:firstLine="480"/>
        <w:rPr>
          <w:rFonts w:ascii="Times New Roman" w:hAnsi="Times New Roman"/>
          <w:highlight w:val="none"/>
        </w:rPr>
      </w:pPr>
      <w:r>
        <w:rPr>
          <w:rFonts w:hint="eastAsia" w:ascii="Times New Roman" w:hAnsi="Times New Roman"/>
          <w:highlight w:val="none"/>
        </w:rPr>
        <w:t>参选有效期为参选截止日期后90天内。</w:t>
      </w:r>
    </w:p>
    <w:p w14:paraId="15ED13D8">
      <w:pPr>
        <w:pStyle w:val="4"/>
        <w:ind w:right="240" w:rightChars="100" w:firstLine="482"/>
        <w:rPr>
          <w:rFonts w:ascii="Times New Roman" w:hAnsi="Times New Roman"/>
          <w:highlight w:val="none"/>
        </w:rPr>
      </w:pPr>
      <w:r>
        <w:rPr>
          <w:rFonts w:hint="eastAsia" w:ascii="Times New Roman" w:hAnsi="Times New Roman"/>
          <w:highlight w:val="none"/>
        </w:rPr>
        <w:t>4.4 参选保证金</w:t>
      </w:r>
    </w:p>
    <w:p w14:paraId="431EFBA4">
      <w:pPr>
        <w:ind w:right="240" w:rightChars="100" w:firstLine="480"/>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16A8A8EF">
      <w:pPr>
        <w:ind w:right="240" w:rightChars="100" w:firstLine="480"/>
        <w:rPr>
          <w:rFonts w:ascii="Times New Roman" w:hAnsi="Times New Roman"/>
          <w:highlight w:val="none"/>
        </w:rPr>
      </w:pPr>
      <w:r>
        <w:rPr>
          <w:rFonts w:hint="eastAsia" w:ascii="Times New Roman" w:hAnsi="Times New Roman"/>
          <w:highlight w:val="none"/>
        </w:rPr>
        <w:t>4.4.2 参选保证金为参选的有效约束条件。</w:t>
      </w:r>
    </w:p>
    <w:p w14:paraId="5F6590F2">
      <w:pPr>
        <w:ind w:right="240" w:rightChars="100" w:firstLine="480"/>
        <w:rPr>
          <w:rFonts w:ascii="Times New Roman" w:hAnsi="Times New Roman"/>
          <w:highlight w:val="none"/>
        </w:rPr>
      </w:pPr>
      <w:r>
        <w:rPr>
          <w:rFonts w:hint="eastAsia" w:ascii="Times New Roman" w:hAnsi="Times New Roman"/>
          <w:highlight w:val="none"/>
        </w:rPr>
        <w:t>4.4.3 参选保证金有效期与参选文件有效期一致。</w:t>
      </w:r>
    </w:p>
    <w:p w14:paraId="56766FA0">
      <w:pPr>
        <w:ind w:right="240" w:rightChars="100" w:firstLine="480"/>
        <w:rPr>
          <w:rFonts w:ascii="Times New Roman" w:hAnsi="Times New Roman"/>
          <w:highlight w:val="none"/>
        </w:rPr>
      </w:pPr>
      <w:r>
        <w:rPr>
          <w:rFonts w:hint="eastAsia" w:ascii="Times New Roman" w:hAnsi="Times New Roman"/>
          <w:highlight w:val="none"/>
        </w:rPr>
        <w:t>4.4.4 参选保证金币种应与参选报价币种相同。</w:t>
      </w:r>
    </w:p>
    <w:p w14:paraId="18A5338E">
      <w:pPr>
        <w:ind w:right="240" w:rightChars="100" w:firstLine="480"/>
        <w:rPr>
          <w:rFonts w:ascii="Times New Roman" w:hAnsi="Times New Roman"/>
          <w:highlight w:val="none"/>
        </w:rPr>
      </w:pPr>
      <w:r>
        <w:rPr>
          <w:rFonts w:hint="eastAsia" w:ascii="Times New Roman" w:hAnsi="Times New Roman"/>
          <w:highlight w:val="none"/>
        </w:rPr>
        <w:t>4.4.5 参选保证金的退还：</w:t>
      </w:r>
    </w:p>
    <w:p w14:paraId="14B78DAE">
      <w:pPr>
        <w:ind w:right="240" w:rightChars="100" w:firstLine="480"/>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0C2FD70">
      <w:pPr>
        <w:ind w:right="240" w:rightChars="100" w:firstLine="480"/>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381987D">
      <w:pPr>
        <w:ind w:right="240" w:rightChars="100" w:firstLine="480"/>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0DC3D558">
      <w:pPr>
        <w:ind w:right="240" w:rightChars="100" w:firstLine="480"/>
        <w:rPr>
          <w:rFonts w:ascii="Times New Roman" w:hAnsi="Times New Roman"/>
          <w:highlight w:val="none"/>
        </w:rPr>
      </w:pPr>
      <w:r>
        <w:rPr>
          <w:rFonts w:hint="eastAsia" w:ascii="Times New Roman" w:hAnsi="Times New Roman"/>
          <w:highlight w:val="none"/>
        </w:rPr>
        <w:t>4.4.6 参选人有下列情形之一的，参选保证金将不予退还：</w:t>
      </w:r>
    </w:p>
    <w:p w14:paraId="2CDC53F5">
      <w:pPr>
        <w:ind w:right="240" w:rightChars="100" w:firstLine="480"/>
        <w:rPr>
          <w:rFonts w:ascii="Times New Roman" w:hAnsi="Times New Roman"/>
          <w:highlight w:val="none"/>
        </w:rPr>
      </w:pPr>
      <w:r>
        <w:rPr>
          <w:rFonts w:hint="eastAsia" w:ascii="Times New Roman" w:hAnsi="Times New Roman"/>
          <w:highlight w:val="none"/>
        </w:rPr>
        <w:t>4.4.6.1 参选人在参选有效期内撤销参选文件的；</w:t>
      </w:r>
    </w:p>
    <w:p w14:paraId="1B8DA051">
      <w:pPr>
        <w:ind w:right="240" w:rightChars="100" w:firstLine="480"/>
        <w:rPr>
          <w:rFonts w:ascii="Times New Roman" w:hAnsi="Times New Roman"/>
          <w:highlight w:val="none"/>
        </w:rPr>
      </w:pPr>
      <w:r>
        <w:rPr>
          <w:rFonts w:hint="eastAsia" w:ascii="Times New Roman" w:hAnsi="Times New Roman"/>
          <w:highlight w:val="none"/>
        </w:rPr>
        <w:t>4.4.6.2 参选人在参选过程中弄虚作假，提供虚假材料的；</w:t>
      </w:r>
    </w:p>
    <w:p w14:paraId="234C13C0">
      <w:pPr>
        <w:ind w:right="240" w:rightChars="100" w:firstLine="480"/>
        <w:rPr>
          <w:rFonts w:ascii="Times New Roman" w:hAnsi="Times New Roman"/>
          <w:highlight w:val="none"/>
        </w:rPr>
      </w:pPr>
      <w:r>
        <w:rPr>
          <w:rFonts w:hint="eastAsia" w:ascii="Times New Roman" w:hAnsi="Times New Roman"/>
          <w:highlight w:val="none"/>
        </w:rPr>
        <w:t>4.4.6.3 中选人无正当理由不与比选人签订合同的；</w:t>
      </w:r>
    </w:p>
    <w:p w14:paraId="389E7BCD">
      <w:pPr>
        <w:ind w:right="240" w:rightChars="100" w:firstLine="480"/>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33003327">
      <w:pPr>
        <w:ind w:right="240" w:rightChars="100" w:firstLine="480"/>
        <w:rPr>
          <w:rFonts w:ascii="Times New Roman" w:hAnsi="Times New Roman"/>
          <w:highlight w:val="none"/>
        </w:rPr>
      </w:pPr>
      <w:r>
        <w:rPr>
          <w:rFonts w:hint="eastAsia" w:ascii="Times New Roman" w:hAnsi="Times New Roman"/>
          <w:highlight w:val="none"/>
        </w:rPr>
        <w:t>4.4.6.5 中选人拒绝履行合同义务的；</w:t>
      </w:r>
    </w:p>
    <w:p w14:paraId="29B7242E">
      <w:pPr>
        <w:ind w:right="240" w:rightChars="100" w:firstLine="480"/>
        <w:rPr>
          <w:rFonts w:ascii="Times New Roman" w:hAnsi="Times New Roman"/>
          <w:highlight w:val="none"/>
        </w:rPr>
      </w:pPr>
      <w:r>
        <w:rPr>
          <w:rFonts w:hint="eastAsia" w:ascii="Times New Roman" w:hAnsi="Times New Roman"/>
          <w:highlight w:val="none"/>
        </w:rPr>
        <w:t>4.4.6.6 其他严重扰乱比选程序的；</w:t>
      </w:r>
    </w:p>
    <w:p w14:paraId="71F3B759">
      <w:pPr>
        <w:pStyle w:val="4"/>
        <w:ind w:right="240" w:rightChars="100" w:firstLine="482"/>
        <w:rPr>
          <w:rFonts w:ascii="Times New Roman" w:hAnsi="Times New Roman"/>
          <w:highlight w:val="none"/>
        </w:rPr>
      </w:pPr>
      <w:r>
        <w:rPr>
          <w:rFonts w:hint="eastAsia" w:ascii="Times New Roman" w:hAnsi="Times New Roman"/>
          <w:highlight w:val="none"/>
        </w:rPr>
        <w:t>4.5 参选文件的份数和签署</w:t>
      </w:r>
    </w:p>
    <w:p w14:paraId="2DCDCBD7">
      <w:pPr>
        <w:ind w:right="240" w:rightChars="100" w:firstLine="480"/>
        <w:rPr>
          <w:rFonts w:ascii="Times New Roman" w:hAnsi="Times New Roman"/>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highlight w:val="none"/>
        </w:rPr>
        <w:t>电子文件应为参选文件盖章后的PDF格式扫描件，文件名为“参选人单位名简称+项目名简称”。</w:t>
      </w:r>
    </w:p>
    <w:p w14:paraId="4B11D058">
      <w:pPr>
        <w:ind w:right="240" w:rightChars="100" w:firstLine="480"/>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0572A6A0">
      <w:pPr>
        <w:ind w:right="240" w:rightChars="100" w:firstLine="480"/>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1A6EF5C2">
      <w:pPr>
        <w:ind w:right="240" w:rightChars="100" w:firstLine="480"/>
        <w:rPr>
          <w:rFonts w:ascii="Times New Roman" w:hAnsi="Times New Roman"/>
          <w:highlight w:val="none"/>
        </w:rPr>
      </w:pPr>
      <w:r>
        <w:rPr>
          <w:rFonts w:hint="eastAsia" w:ascii="Times New Roman" w:hAnsi="Times New Roman"/>
          <w:highlight w:val="none"/>
        </w:rPr>
        <w:t>4.5.4 电报、电话、邮寄、传真形式的参选文件概不接受。</w:t>
      </w:r>
    </w:p>
    <w:p w14:paraId="2DD6DEB5">
      <w:pPr>
        <w:pStyle w:val="4"/>
        <w:ind w:right="240" w:rightChars="100" w:firstLine="482"/>
        <w:rPr>
          <w:rFonts w:ascii="Times New Roman" w:hAnsi="Times New Roman"/>
          <w:highlight w:val="none"/>
        </w:rPr>
      </w:pPr>
      <w:r>
        <w:rPr>
          <w:rFonts w:hint="eastAsia" w:ascii="Times New Roman" w:hAnsi="Times New Roman"/>
          <w:highlight w:val="none"/>
        </w:rPr>
        <w:t>4.6 参选文件的密封与标记</w:t>
      </w:r>
    </w:p>
    <w:p w14:paraId="272A8751">
      <w:pPr>
        <w:ind w:right="240" w:rightChars="100" w:firstLine="480"/>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259605CB">
      <w:pPr>
        <w:ind w:right="240" w:rightChars="100" w:firstLine="480"/>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07690EA6">
      <w:pPr>
        <w:pStyle w:val="4"/>
        <w:ind w:right="240" w:rightChars="100" w:firstLine="482"/>
        <w:rPr>
          <w:rFonts w:ascii="Times New Roman" w:hAnsi="Times New Roman"/>
          <w:highlight w:val="none"/>
        </w:rPr>
      </w:pPr>
      <w:r>
        <w:rPr>
          <w:rFonts w:hint="eastAsia" w:ascii="Times New Roman" w:hAnsi="Times New Roman"/>
          <w:highlight w:val="none"/>
        </w:rPr>
        <w:t>4.7 参选报价</w:t>
      </w:r>
    </w:p>
    <w:p w14:paraId="646397DF">
      <w:pPr>
        <w:ind w:right="240" w:rightChars="100" w:firstLine="480"/>
        <w:rPr>
          <w:rFonts w:ascii="Times New Roman" w:hAnsi="Times New Roman"/>
          <w:highlight w:val="none"/>
        </w:rPr>
      </w:pPr>
      <w:r>
        <w:rPr>
          <w:rFonts w:hint="eastAsia" w:ascii="Times New Roman" w:hAnsi="Times New Roman"/>
          <w:highlight w:val="none"/>
        </w:rPr>
        <w:t>4.7.1 参选人应严格按照“参选文件格式”填写报价。</w:t>
      </w:r>
    </w:p>
    <w:p w14:paraId="5BC62E3C">
      <w:pPr>
        <w:ind w:right="240" w:rightChars="100" w:firstLine="480"/>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5CE8A709">
      <w:pPr>
        <w:ind w:right="240" w:rightChars="100" w:firstLine="480"/>
        <w:rPr>
          <w:rFonts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645CEC0B">
      <w:pPr>
        <w:pStyle w:val="4"/>
        <w:ind w:right="240" w:rightChars="100" w:firstLine="482"/>
        <w:rPr>
          <w:rFonts w:ascii="Times New Roman" w:hAnsi="Times New Roman"/>
          <w:highlight w:val="none"/>
        </w:rPr>
      </w:pPr>
      <w:r>
        <w:rPr>
          <w:rFonts w:hint="eastAsia" w:ascii="Times New Roman" w:hAnsi="Times New Roman"/>
          <w:highlight w:val="none"/>
        </w:rPr>
        <w:t>4.8 修正错误</w:t>
      </w:r>
    </w:p>
    <w:p w14:paraId="5BD851CA">
      <w:pPr>
        <w:ind w:right="240" w:rightChars="100" w:firstLine="480"/>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14C68C86">
      <w:pPr>
        <w:ind w:right="240" w:rightChars="100" w:firstLine="480"/>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2009B7DD">
      <w:pPr>
        <w:ind w:right="240" w:rightChars="100" w:firstLine="480"/>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2FDF6231">
      <w:pPr>
        <w:ind w:right="240" w:rightChars="100" w:firstLine="480"/>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27C6C187">
      <w:pPr>
        <w:ind w:right="240" w:rightChars="100" w:firstLine="480"/>
        <w:rPr>
          <w:rFonts w:ascii="Times New Roman" w:hAnsi="Times New Roman"/>
          <w:highlight w:val="none"/>
        </w:rPr>
      </w:pPr>
      <w:r>
        <w:rPr>
          <w:rFonts w:hint="eastAsia" w:ascii="Times New Roman" w:hAnsi="Times New Roman"/>
          <w:highlight w:val="none"/>
        </w:rPr>
        <w:t>4.8.4 对不同文字文本参选文件的解释发生异议的，以中文文本为准。</w:t>
      </w:r>
    </w:p>
    <w:p w14:paraId="0EFB15B6">
      <w:pPr>
        <w:ind w:firstLine="480"/>
        <w:rPr>
          <w:rFonts w:ascii="Times New Roman" w:hAnsi="Times New Roman"/>
          <w:highlight w:val="none"/>
        </w:rPr>
      </w:pPr>
      <w:r>
        <w:rPr>
          <w:rFonts w:hint="eastAsia"/>
          <w:highlight w:val="none"/>
        </w:rPr>
        <w:t>4.8.5 含税金额与不含税金额存在计算错误的，以含税金额为准。</w:t>
      </w:r>
    </w:p>
    <w:p w14:paraId="517CAD66">
      <w:pPr>
        <w:ind w:right="240" w:rightChars="100" w:firstLine="480"/>
        <w:rPr>
          <w:rFonts w:ascii="Times New Roman" w:hAnsi="Times New Roman"/>
          <w:highlight w:val="none"/>
        </w:rPr>
      </w:pPr>
    </w:p>
    <w:p w14:paraId="37150A6E">
      <w:pPr>
        <w:ind w:right="240" w:rightChars="100" w:firstLine="480"/>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3D3DF8C6">
      <w:pPr>
        <w:pStyle w:val="3"/>
        <w:ind w:right="240" w:rightChars="100"/>
        <w:rPr>
          <w:rFonts w:ascii="Times New Roman" w:hAnsi="Times New Roman"/>
          <w:highlight w:val="none"/>
        </w:rPr>
      </w:pPr>
      <w:bookmarkStart w:id="41" w:name="_Toc89675166"/>
      <w:r>
        <w:rPr>
          <w:rFonts w:hint="eastAsia" w:ascii="Times New Roman" w:hAnsi="Times New Roman"/>
          <w:highlight w:val="none"/>
        </w:rPr>
        <w:t>5. 比选程序</w:t>
      </w:r>
    </w:p>
    <w:p w14:paraId="0D7DA377">
      <w:pPr>
        <w:ind w:right="240" w:rightChars="100" w:firstLine="480"/>
        <w:rPr>
          <w:rFonts w:ascii="Times New Roman" w:hAnsi="Times New Roman"/>
          <w:highlight w:val="none"/>
        </w:rPr>
      </w:pPr>
      <w:r>
        <w:rPr>
          <w:rFonts w:hint="eastAsia" w:ascii="Times New Roman" w:hAnsi="Times New Roman"/>
          <w:highlight w:val="none"/>
        </w:rPr>
        <w:t>主持人按下列程序进行比选：</w:t>
      </w:r>
    </w:p>
    <w:p w14:paraId="27F4D669">
      <w:pPr>
        <w:ind w:right="240" w:rightChars="100" w:firstLine="480"/>
        <w:rPr>
          <w:rFonts w:ascii="Times New Roman" w:hAnsi="Times New Roman"/>
          <w:highlight w:val="none"/>
        </w:rPr>
      </w:pPr>
      <w:r>
        <w:rPr>
          <w:rFonts w:hint="eastAsia" w:ascii="Times New Roman" w:hAnsi="Times New Roman"/>
          <w:highlight w:val="none"/>
        </w:rPr>
        <w:t>5.1 宣布比选纪律；</w:t>
      </w:r>
    </w:p>
    <w:p w14:paraId="76D24D3D">
      <w:pPr>
        <w:ind w:right="240" w:rightChars="100" w:firstLine="480"/>
        <w:rPr>
          <w:rFonts w:ascii="Times New Roman" w:hAnsi="Times New Roman"/>
          <w:highlight w:val="none"/>
        </w:rPr>
      </w:pPr>
      <w:r>
        <w:rPr>
          <w:rFonts w:hint="eastAsia" w:ascii="Times New Roman" w:hAnsi="Times New Roman"/>
          <w:highlight w:val="none"/>
        </w:rPr>
        <w:t>5.2 宣布比选人、唱标人、记录人、监督人等有关人员姓名；</w:t>
      </w:r>
    </w:p>
    <w:p w14:paraId="7CEA07DB">
      <w:pPr>
        <w:ind w:right="240" w:rightChars="100" w:firstLine="480"/>
        <w:rPr>
          <w:rFonts w:ascii="Times New Roman" w:hAnsi="Times New Roman"/>
          <w:highlight w:val="none"/>
        </w:rPr>
      </w:pPr>
      <w:r>
        <w:rPr>
          <w:rFonts w:hint="eastAsia" w:ascii="Times New Roman" w:hAnsi="Times New Roman"/>
          <w:highlight w:val="none"/>
        </w:rPr>
        <w:t>5.3 公布在</w:t>
      </w:r>
      <w:r>
        <w:rPr>
          <w:rFonts w:hint="eastAsia"/>
          <w:highlight w:val="none"/>
        </w:rPr>
        <w:t>参选截止</w:t>
      </w:r>
      <w:r>
        <w:rPr>
          <w:rFonts w:hint="eastAsia" w:ascii="Times New Roman" w:hAnsi="Times New Roman"/>
          <w:highlight w:val="none"/>
        </w:rPr>
        <w:t>时间前递交参选文件的参选人名称，并点名确认参选人是否派人到场；</w:t>
      </w:r>
    </w:p>
    <w:p w14:paraId="393C4F93">
      <w:pPr>
        <w:ind w:right="240" w:rightChars="100" w:firstLine="480"/>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59C58D59">
      <w:pPr>
        <w:ind w:right="240" w:rightChars="100" w:firstLine="480"/>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0ACC6C19">
      <w:pPr>
        <w:ind w:right="240" w:rightChars="100" w:firstLine="480"/>
        <w:rPr>
          <w:rFonts w:ascii="Times New Roman" w:hAnsi="Times New Roman"/>
          <w:highlight w:val="none"/>
        </w:rPr>
      </w:pPr>
      <w:r>
        <w:rPr>
          <w:rFonts w:hint="eastAsia" w:ascii="Times New Roman" w:hAnsi="Times New Roman"/>
          <w:highlight w:val="none"/>
        </w:rPr>
        <w:t>5.6 设有最高限价的，公布最高限价；</w:t>
      </w:r>
    </w:p>
    <w:p w14:paraId="5F5BA99C">
      <w:pPr>
        <w:ind w:right="240" w:rightChars="100" w:firstLine="480"/>
        <w:rPr>
          <w:rFonts w:ascii="Times New Roman" w:hAnsi="Times New Roman"/>
          <w:highlight w:val="none"/>
        </w:rPr>
      </w:pPr>
      <w:r>
        <w:rPr>
          <w:rFonts w:hint="eastAsia" w:ascii="Times New Roman" w:hAnsi="Times New Roman"/>
          <w:highlight w:val="none"/>
        </w:rPr>
        <w:t>5.7 开启参选文件；</w:t>
      </w:r>
    </w:p>
    <w:p w14:paraId="5A86BE28">
      <w:pPr>
        <w:ind w:right="240" w:rightChars="100" w:firstLine="480"/>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7E39E15D">
      <w:pPr>
        <w:ind w:right="240" w:rightChars="100" w:firstLine="480"/>
        <w:rPr>
          <w:rFonts w:ascii="Times New Roman" w:hAnsi="Times New Roman"/>
          <w:highlight w:val="none"/>
        </w:rPr>
      </w:pPr>
      <w:r>
        <w:rPr>
          <w:rFonts w:hint="eastAsia" w:ascii="Times New Roman" w:hAnsi="Times New Roman"/>
          <w:highlight w:val="none"/>
        </w:rPr>
        <w:t>5.9 比选结束。</w:t>
      </w:r>
    </w:p>
    <w:p w14:paraId="0D87AF04">
      <w:pPr>
        <w:pStyle w:val="3"/>
        <w:ind w:right="240" w:rightChars="100"/>
        <w:rPr>
          <w:rFonts w:ascii="Times New Roman" w:hAnsi="Times New Roman"/>
          <w:highlight w:val="none"/>
        </w:rPr>
      </w:pPr>
      <w:r>
        <w:rPr>
          <w:rFonts w:hint="eastAsia" w:ascii="Times New Roman" w:hAnsi="Times New Roman"/>
          <w:highlight w:val="none"/>
        </w:rPr>
        <w:t>6. 评审</w:t>
      </w:r>
    </w:p>
    <w:p w14:paraId="2951D43E">
      <w:pPr>
        <w:ind w:right="240" w:rightChars="100" w:firstLine="480"/>
        <w:rPr>
          <w:rFonts w:ascii="Times New Roman" w:hAnsi="Times New Roman"/>
          <w:highlight w:val="none"/>
        </w:rPr>
      </w:pPr>
      <w:r>
        <w:rPr>
          <w:rFonts w:hint="eastAsia" w:ascii="Times New Roman" w:hAnsi="Times New Roman"/>
          <w:highlight w:val="none"/>
        </w:rPr>
        <w:t>见第四章内容。</w:t>
      </w:r>
    </w:p>
    <w:p w14:paraId="4348134F">
      <w:pPr>
        <w:pStyle w:val="3"/>
        <w:ind w:right="240" w:rightChars="100"/>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41"/>
    </w:p>
    <w:p w14:paraId="3F198DCC">
      <w:pPr>
        <w:ind w:right="240" w:rightChars="100" w:firstLine="480"/>
        <w:rPr>
          <w:rFonts w:ascii="Times New Roman" w:hAnsi="Times New Roman"/>
          <w:highlight w:val="none"/>
        </w:rPr>
      </w:pPr>
      <w:r>
        <w:rPr>
          <w:rFonts w:hint="eastAsia" w:ascii="Times New Roman" w:hAnsi="Times New Roman"/>
          <w:highlight w:val="none"/>
        </w:rPr>
        <w:t>7.1 定选原则</w:t>
      </w:r>
    </w:p>
    <w:p w14:paraId="5261AB9E">
      <w:pPr>
        <w:ind w:right="240" w:rightChars="100" w:firstLine="480"/>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0801A471">
      <w:pPr>
        <w:ind w:right="240" w:rightChars="100" w:firstLine="480"/>
        <w:rPr>
          <w:rFonts w:ascii="Times New Roman" w:hAnsi="Times New Roman"/>
          <w:highlight w:val="none"/>
        </w:rPr>
      </w:pPr>
      <w:r>
        <w:rPr>
          <w:rFonts w:hint="eastAsia" w:ascii="Times New Roman" w:hAnsi="Times New Roman"/>
          <w:highlight w:val="none"/>
        </w:rPr>
        <w:t>7.2 不承诺最低价格中选。</w:t>
      </w:r>
    </w:p>
    <w:p w14:paraId="420E46F0">
      <w:pPr>
        <w:ind w:right="240" w:rightChars="100" w:firstLine="480"/>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38C42E65">
      <w:pPr>
        <w:pStyle w:val="3"/>
        <w:ind w:right="240" w:rightChars="100"/>
        <w:rPr>
          <w:rFonts w:ascii="Times New Roman" w:hAnsi="Times New Roman"/>
          <w:highlight w:val="none"/>
        </w:rPr>
      </w:pPr>
      <w:bookmarkStart w:id="42" w:name="_Toc89675168"/>
      <w:bookmarkStart w:id="43" w:name="_Toc12245"/>
      <w:r>
        <w:rPr>
          <w:rFonts w:hint="eastAsia" w:ascii="Times New Roman" w:hAnsi="Times New Roman"/>
          <w:highlight w:val="none"/>
        </w:rPr>
        <w:t>8. 签订合同</w:t>
      </w:r>
      <w:bookmarkEnd w:id="42"/>
      <w:bookmarkEnd w:id="43"/>
    </w:p>
    <w:p w14:paraId="59349DED">
      <w:pPr>
        <w:ind w:right="240" w:rightChars="100" w:firstLine="480"/>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529B60A4">
      <w:pPr>
        <w:ind w:right="240" w:rightChars="100" w:firstLine="480"/>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2DD761B9">
      <w:pPr>
        <w:ind w:right="240" w:rightChars="100" w:firstLine="480"/>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3ACCD07F">
      <w:pPr>
        <w:ind w:right="240" w:rightChars="100" w:firstLine="480"/>
        <w:rPr>
          <w:rFonts w:ascii="Times New Roman" w:hAnsi="Times New Roman"/>
          <w:highlight w:val="none"/>
        </w:rPr>
      </w:pPr>
      <w:r>
        <w:rPr>
          <w:rFonts w:hint="eastAsia" w:ascii="Times New Roman" w:hAnsi="Times New Roman"/>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5E676D41">
      <w:pPr>
        <w:ind w:right="240" w:rightChars="100" w:firstLine="480"/>
        <w:rPr>
          <w:rFonts w:ascii="Times New Roman" w:hAnsi="Times New Roman"/>
          <w:highlight w:val="none"/>
        </w:rPr>
      </w:pPr>
      <w:r>
        <w:rPr>
          <w:rFonts w:hint="eastAsia" w:ascii="Times New Roman" w:hAnsi="Times New Roman"/>
          <w:highlight w:val="none"/>
        </w:rPr>
        <w:t>8.5 该项目不允许任何形式的转包。</w:t>
      </w:r>
    </w:p>
    <w:p w14:paraId="40D73DA4">
      <w:pPr>
        <w:pStyle w:val="3"/>
        <w:ind w:right="240" w:rightChars="100"/>
        <w:rPr>
          <w:rFonts w:ascii="Times New Roman" w:hAnsi="Times New Roman"/>
          <w:highlight w:val="none"/>
        </w:rPr>
      </w:pPr>
      <w:r>
        <w:rPr>
          <w:rFonts w:hint="eastAsia" w:ascii="Times New Roman" w:hAnsi="Times New Roman"/>
          <w:highlight w:val="none"/>
        </w:rPr>
        <w:t>9. 纪律与要求</w:t>
      </w:r>
    </w:p>
    <w:p w14:paraId="1C648D0E">
      <w:pPr>
        <w:ind w:right="240" w:rightChars="100" w:firstLine="480"/>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588408B5">
      <w:pPr>
        <w:ind w:right="240" w:rightChars="100" w:firstLine="480"/>
        <w:rPr>
          <w:rFonts w:ascii="Times New Roman" w:hAnsi="Times New Roman"/>
          <w:highlight w:val="none"/>
        </w:rPr>
      </w:pPr>
      <w:r>
        <w:rPr>
          <w:rFonts w:hint="eastAsia" w:ascii="Times New Roman" w:hAnsi="Times New Roman"/>
          <w:highlight w:val="none"/>
        </w:rPr>
        <w:t>9.1 有下列情形之一的，属于参选人相互串通参选：</w:t>
      </w:r>
    </w:p>
    <w:p w14:paraId="5C4EF18D">
      <w:pPr>
        <w:ind w:right="240" w:rightChars="100" w:firstLine="480"/>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5B959A58">
      <w:pPr>
        <w:ind w:right="240" w:rightChars="100" w:firstLine="480"/>
        <w:rPr>
          <w:rFonts w:ascii="Times New Roman" w:hAnsi="Times New Roman"/>
          <w:highlight w:val="none"/>
        </w:rPr>
      </w:pPr>
      <w:r>
        <w:rPr>
          <w:rFonts w:hint="eastAsia" w:ascii="Times New Roman" w:hAnsi="Times New Roman"/>
          <w:highlight w:val="none"/>
        </w:rPr>
        <w:t>9.1.2 参选人之间约定中选人；</w:t>
      </w:r>
    </w:p>
    <w:p w14:paraId="154EFFEF">
      <w:pPr>
        <w:ind w:right="240" w:rightChars="100" w:firstLine="480"/>
        <w:rPr>
          <w:rFonts w:ascii="Times New Roman" w:hAnsi="Times New Roman"/>
          <w:highlight w:val="none"/>
        </w:rPr>
      </w:pPr>
      <w:r>
        <w:rPr>
          <w:rFonts w:hint="eastAsia" w:ascii="Times New Roman" w:hAnsi="Times New Roman"/>
          <w:highlight w:val="none"/>
        </w:rPr>
        <w:t>9.1.3 参选人之间约定部分参选人放弃参选或者中选；</w:t>
      </w:r>
    </w:p>
    <w:p w14:paraId="12BD1EC3">
      <w:pPr>
        <w:ind w:right="240" w:rightChars="100" w:firstLine="480"/>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7C51D562">
      <w:pPr>
        <w:ind w:right="240" w:rightChars="100" w:firstLine="480"/>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6A7419CB">
      <w:pPr>
        <w:ind w:right="240" w:rightChars="100" w:firstLine="480"/>
        <w:rPr>
          <w:rFonts w:ascii="Times New Roman" w:hAnsi="Times New Roman"/>
          <w:highlight w:val="none"/>
        </w:rPr>
      </w:pPr>
      <w:r>
        <w:rPr>
          <w:rFonts w:hint="eastAsia" w:ascii="Times New Roman" w:hAnsi="Times New Roman"/>
          <w:highlight w:val="none"/>
        </w:rPr>
        <w:t>9.2 有下列情形之一的，视为参选人相互串通参选：</w:t>
      </w:r>
    </w:p>
    <w:p w14:paraId="030E7111">
      <w:pPr>
        <w:ind w:right="240" w:rightChars="100" w:firstLine="480"/>
        <w:rPr>
          <w:rFonts w:ascii="Times New Roman" w:hAnsi="Times New Roman"/>
          <w:highlight w:val="none"/>
        </w:rPr>
      </w:pPr>
      <w:r>
        <w:rPr>
          <w:rFonts w:hint="eastAsia" w:ascii="Times New Roman" w:hAnsi="Times New Roman"/>
          <w:highlight w:val="none"/>
        </w:rPr>
        <w:t>9.2.1 不同参选人的参选文件由同一单位或者个人编制；</w:t>
      </w:r>
    </w:p>
    <w:p w14:paraId="5C14575D">
      <w:pPr>
        <w:ind w:right="240" w:rightChars="100" w:firstLine="480"/>
        <w:rPr>
          <w:rFonts w:ascii="Times New Roman" w:hAnsi="Times New Roman"/>
          <w:highlight w:val="none"/>
        </w:rPr>
      </w:pPr>
      <w:r>
        <w:rPr>
          <w:rFonts w:hint="eastAsia" w:ascii="Times New Roman" w:hAnsi="Times New Roman"/>
          <w:highlight w:val="none"/>
        </w:rPr>
        <w:t>9.2.2 不同参选人委托同一单位或者个人办理参选事宜；</w:t>
      </w:r>
    </w:p>
    <w:p w14:paraId="136881DA">
      <w:pPr>
        <w:ind w:right="240" w:rightChars="100" w:firstLine="480"/>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2B4A445D">
      <w:pPr>
        <w:ind w:right="240" w:rightChars="100" w:firstLine="480"/>
        <w:rPr>
          <w:rFonts w:ascii="Times New Roman" w:hAnsi="Times New Roman"/>
          <w:highlight w:val="none"/>
        </w:rPr>
      </w:pPr>
      <w:r>
        <w:rPr>
          <w:rFonts w:hint="eastAsia" w:ascii="Times New Roman" w:hAnsi="Times New Roman"/>
          <w:highlight w:val="none"/>
        </w:rPr>
        <w:t>9.2.4 不同参选人的参选文件相互混装；</w:t>
      </w:r>
    </w:p>
    <w:p w14:paraId="5B2D7827">
      <w:pPr>
        <w:ind w:right="240" w:rightChars="100" w:firstLine="480"/>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7A675E3C">
      <w:pPr>
        <w:ind w:right="240" w:rightChars="100" w:firstLine="480"/>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6A971D7A">
      <w:pPr>
        <w:ind w:right="240" w:rightChars="100" w:firstLine="480"/>
        <w:rPr>
          <w:rFonts w:ascii="Times New Roman" w:hAnsi="Times New Roman"/>
          <w:highlight w:val="none"/>
        </w:rPr>
      </w:pPr>
      <w:r>
        <w:rPr>
          <w:rFonts w:hint="eastAsia" w:ascii="Times New Roman" w:hAnsi="Times New Roman"/>
          <w:highlight w:val="none"/>
        </w:rPr>
        <w:t>9.4 参选人有下列情形之一的，属于弄虚作假的行为：</w:t>
      </w:r>
    </w:p>
    <w:p w14:paraId="4252D0EC">
      <w:pPr>
        <w:ind w:right="240" w:rightChars="100" w:firstLine="480"/>
        <w:rPr>
          <w:rFonts w:ascii="Times New Roman" w:hAnsi="Times New Roman"/>
          <w:highlight w:val="none"/>
        </w:rPr>
      </w:pPr>
      <w:r>
        <w:rPr>
          <w:rFonts w:hint="eastAsia" w:ascii="Times New Roman" w:hAnsi="Times New Roman"/>
          <w:highlight w:val="none"/>
        </w:rPr>
        <w:t>9.4.1 使用伪造、变造的许可证件；</w:t>
      </w:r>
    </w:p>
    <w:p w14:paraId="7E25D462">
      <w:pPr>
        <w:ind w:right="240" w:rightChars="100" w:firstLine="480"/>
        <w:rPr>
          <w:rFonts w:ascii="Times New Roman" w:hAnsi="Times New Roman"/>
          <w:highlight w:val="none"/>
        </w:rPr>
      </w:pPr>
      <w:r>
        <w:rPr>
          <w:rFonts w:hint="eastAsia" w:ascii="Times New Roman" w:hAnsi="Times New Roman"/>
          <w:highlight w:val="none"/>
        </w:rPr>
        <w:t>9.4.2 提供虚假的财务状况或者虚假业绩；</w:t>
      </w:r>
    </w:p>
    <w:p w14:paraId="0C51ADF7">
      <w:pPr>
        <w:ind w:right="240" w:rightChars="100" w:firstLine="480"/>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348B81AC">
      <w:pPr>
        <w:ind w:right="240" w:rightChars="100" w:firstLine="480"/>
        <w:rPr>
          <w:rFonts w:ascii="Times New Roman" w:hAnsi="Times New Roman"/>
          <w:highlight w:val="none"/>
        </w:rPr>
      </w:pPr>
      <w:r>
        <w:rPr>
          <w:rFonts w:hint="eastAsia" w:ascii="Times New Roman" w:hAnsi="Times New Roman"/>
          <w:highlight w:val="none"/>
        </w:rPr>
        <w:t>9.4.4 提供虚假的信用状况；</w:t>
      </w:r>
    </w:p>
    <w:p w14:paraId="66FA6C03">
      <w:pPr>
        <w:ind w:right="240" w:rightChars="100" w:firstLine="480"/>
        <w:rPr>
          <w:rFonts w:ascii="Times New Roman" w:hAnsi="Times New Roman"/>
          <w:highlight w:val="none"/>
        </w:rPr>
      </w:pPr>
      <w:r>
        <w:rPr>
          <w:rFonts w:hint="eastAsia" w:ascii="Times New Roman" w:hAnsi="Times New Roman"/>
          <w:highlight w:val="none"/>
        </w:rPr>
        <w:t>9.4.5 其它弄虚作假的行为。</w:t>
      </w:r>
    </w:p>
    <w:p w14:paraId="300EA8B3">
      <w:pPr>
        <w:ind w:right="240" w:rightChars="100" w:firstLine="480"/>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3D6AAD4D">
      <w:pPr>
        <w:pStyle w:val="3"/>
        <w:ind w:right="240" w:rightChars="100"/>
        <w:rPr>
          <w:rFonts w:ascii="Times New Roman" w:hAnsi="Times New Roman"/>
          <w:highlight w:val="none"/>
        </w:rPr>
      </w:pPr>
      <w:bookmarkStart w:id="44" w:name="_Toc89675169"/>
      <w:r>
        <w:rPr>
          <w:rFonts w:hint="eastAsia" w:ascii="Times New Roman" w:hAnsi="Times New Roman"/>
          <w:highlight w:val="none"/>
        </w:rPr>
        <w:t>10. 提问、质疑、投诉</w:t>
      </w:r>
    </w:p>
    <w:p w14:paraId="40872762">
      <w:pPr>
        <w:ind w:right="240" w:rightChars="100" w:firstLine="480"/>
        <w:rPr>
          <w:rFonts w:ascii="Times New Roman" w:hAnsi="Times New Roman"/>
          <w:highlight w:val="none"/>
        </w:rPr>
      </w:pPr>
      <w:r>
        <w:rPr>
          <w:rFonts w:hint="eastAsia" w:ascii="Times New Roman" w:hAnsi="Times New Roman"/>
          <w:highlight w:val="none"/>
        </w:rPr>
        <w:t>10.1 补遗内容可能影响参选文件编制的，须在</w:t>
      </w:r>
      <w:r>
        <w:rPr>
          <w:rFonts w:hint="eastAsia"/>
          <w:highlight w:val="none"/>
        </w:rPr>
        <w:t>参选截止</w:t>
      </w:r>
      <w:r>
        <w:rPr>
          <w:rFonts w:hint="eastAsia" w:ascii="Times New Roman" w:hAnsi="Times New Roman"/>
          <w:highlight w:val="none"/>
        </w:rPr>
        <w:t>时间3日前发布，发布时间至</w:t>
      </w:r>
      <w:r>
        <w:rPr>
          <w:rFonts w:hint="eastAsia"/>
          <w:highlight w:val="none"/>
        </w:rPr>
        <w:t>参选截止</w:t>
      </w:r>
      <w:r>
        <w:rPr>
          <w:rFonts w:hint="eastAsia" w:ascii="Times New Roman" w:hAnsi="Times New Roman"/>
          <w:highlight w:val="none"/>
        </w:rPr>
        <w:t>时间不足3日的，须相应延后</w:t>
      </w:r>
      <w:r>
        <w:rPr>
          <w:rFonts w:hint="eastAsia"/>
          <w:highlight w:val="none"/>
        </w:rPr>
        <w:t>参选截止</w:t>
      </w:r>
      <w:r>
        <w:rPr>
          <w:rFonts w:hint="eastAsia" w:ascii="Times New Roman" w:hAnsi="Times New Roman"/>
          <w:highlight w:val="none"/>
        </w:rPr>
        <w:t>时间。</w:t>
      </w:r>
    </w:p>
    <w:p w14:paraId="1BFEAE39">
      <w:pPr>
        <w:ind w:right="240" w:rightChars="100" w:firstLine="480"/>
        <w:rPr>
          <w:rFonts w:ascii="Times New Roman" w:hAnsi="Times New Roman"/>
          <w:highlight w:val="none"/>
        </w:rPr>
      </w:pPr>
      <w:r>
        <w:rPr>
          <w:rFonts w:hint="eastAsia" w:ascii="Times New Roman" w:hAnsi="Times New Roman"/>
          <w:highlight w:val="none"/>
        </w:rPr>
        <w:t>10.2 参选人对比选文件和答疑补遗有质疑的，应当在比选截止时间3日前，以书面形式通知比选人。比选人应当自收到质疑之日起3日内做出答复，并将答复内容以补遗的形式发布。</w:t>
      </w:r>
    </w:p>
    <w:p w14:paraId="146E8F76">
      <w:pPr>
        <w:ind w:right="240" w:rightChars="100" w:firstLine="480"/>
        <w:rPr>
          <w:rFonts w:ascii="Times New Roman" w:hAnsi="Times New Roman"/>
          <w:highlight w:val="none"/>
        </w:rPr>
      </w:pPr>
      <w:r>
        <w:rPr>
          <w:rFonts w:hint="eastAsia" w:ascii="Times New Roman" w:hAnsi="Times New Roman"/>
          <w:highlight w:val="none"/>
        </w:rPr>
        <w:t>10.3 参选人对公示的中选结果有质疑，参选人需在公示期内以书面形式向比选人提出质疑。本行在公示截止日期前负责书面答复。</w:t>
      </w:r>
    </w:p>
    <w:p w14:paraId="708251AB">
      <w:pPr>
        <w:ind w:right="240" w:rightChars="100" w:firstLine="480"/>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528408FA">
      <w:pPr>
        <w:ind w:right="240" w:rightChars="100" w:firstLine="480"/>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2E594267">
      <w:pPr>
        <w:ind w:right="240" w:rightChars="100" w:firstLine="480"/>
        <w:rPr>
          <w:rFonts w:ascii="Times New Roman" w:hAnsi="Times New Roman"/>
          <w:highlight w:val="none"/>
        </w:rPr>
      </w:pPr>
      <w:r>
        <w:rPr>
          <w:rFonts w:hint="eastAsia" w:ascii="Times New Roman" w:hAnsi="Times New Roman"/>
          <w:highlight w:val="none"/>
        </w:rPr>
        <w:t>采购投诉邮箱：</w:t>
      </w:r>
      <w:bookmarkStart w:id="45" w:name="_Hlk74215856"/>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bookmarkEnd w:id="45"/>
    </w:p>
    <w:p w14:paraId="31552C41">
      <w:pPr>
        <w:pStyle w:val="3"/>
        <w:ind w:right="240" w:rightChars="100"/>
        <w:rPr>
          <w:rFonts w:ascii="Times New Roman" w:hAnsi="Times New Roman"/>
          <w:highlight w:val="none"/>
        </w:rPr>
      </w:pPr>
      <w:bookmarkStart w:id="46" w:name="_Toc15059431"/>
      <w:bookmarkStart w:id="47" w:name="_Toc440628924"/>
      <w:bookmarkStart w:id="48" w:name="_Toc89675157"/>
      <w:bookmarkStart w:id="49" w:name="_Toc11439"/>
      <w:bookmarkStart w:id="50" w:name="_Toc275199618"/>
      <w:r>
        <w:rPr>
          <w:rFonts w:hint="eastAsia" w:ascii="Times New Roman" w:hAnsi="Times New Roman"/>
          <w:highlight w:val="none"/>
        </w:rPr>
        <w:t>11. 无效参选条款</w:t>
      </w:r>
      <w:bookmarkEnd w:id="46"/>
      <w:bookmarkEnd w:id="47"/>
      <w:bookmarkEnd w:id="48"/>
      <w:bookmarkEnd w:id="49"/>
      <w:bookmarkEnd w:id="50"/>
    </w:p>
    <w:p w14:paraId="2B8F945A">
      <w:pPr>
        <w:ind w:right="240" w:rightChars="100" w:firstLine="480"/>
        <w:rPr>
          <w:rFonts w:ascii="Times New Roman" w:hAnsi="Times New Roman"/>
          <w:highlight w:val="none"/>
        </w:rPr>
      </w:pPr>
      <w:r>
        <w:rPr>
          <w:rFonts w:hint="eastAsia" w:ascii="Times New Roman" w:hAnsi="Times New Roman"/>
          <w:highlight w:val="none"/>
        </w:rPr>
        <w:t>参选人或其参选文件出现下列情况之一者，应为无效参选：</w:t>
      </w:r>
    </w:p>
    <w:p w14:paraId="3E3B1943">
      <w:pPr>
        <w:ind w:right="240" w:rightChars="100" w:firstLine="480"/>
        <w:rPr>
          <w:rFonts w:ascii="Times New Roman" w:hAnsi="Times New Roman"/>
          <w:highlight w:val="none"/>
        </w:rPr>
      </w:pPr>
      <w:r>
        <w:rPr>
          <w:rFonts w:hint="eastAsia" w:ascii="Times New Roman" w:hAnsi="Times New Roman"/>
          <w:highlight w:val="none"/>
        </w:rPr>
        <w:t xml:space="preserve">11.1 </w:t>
      </w:r>
      <w:r>
        <w:rPr>
          <w:rFonts w:ascii="Times New Roman" w:hAnsi="Times New Roman"/>
          <w:highlight w:val="none"/>
        </w:rPr>
        <w:t>参选人未按比选文件规定提交足额参选保证金的</w:t>
      </w:r>
      <w:r>
        <w:rPr>
          <w:rFonts w:hint="eastAsia" w:ascii="Times New Roman" w:hAnsi="Times New Roman"/>
          <w:highlight w:val="none"/>
        </w:rPr>
        <w:t>。</w:t>
      </w:r>
    </w:p>
    <w:p w14:paraId="7C44EDA3">
      <w:pPr>
        <w:ind w:right="240" w:rightChars="100" w:firstLine="480"/>
        <w:rPr>
          <w:rFonts w:ascii="Times New Roman" w:hAnsi="Times New Roman"/>
          <w:highlight w:val="none"/>
        </w:rPr>
      </w:pPr>
      <w:r>
        <w:rPr>
          <w:rFonts w:hint="eastAsia" w:ascii="Times New Roman" w:hAnsi="Times New Roman"/>
          <w:highlight w:val="none"/>
        </w:rPr>
        <w:t xml:space="preserve">11.2 </w:t>
      </w:r>
      <w:r>
        <w:rPr>
          <w:rFonts w:ascii="Times New Roman" w:hAnsi="Times New Roman"/>
          <w:highlight w:val="none"/>
        </w:rPr>
        <w:t>参选人未通过资格性检查，参选文件未通过符合性检查或参选文件经证实存在弄虚作假的</w:t>
      </w:r>
      <w:r>
        <w:rPr>
          <w:rFonts w:hint="eastAsia" w:ascii="Times New Roman" w:hAnsi="Times New Roman"/>
          <w:highlight w:val="none"/>
        </w:rPr>
        <w:t>。</w:t>
      </w:r>
    </w:p>
    <w:p w14:paraId="7B5D7F4C">
      <w:pPr>
        <w:ind w:right="240" w:rightChars="100" w:firstLine="480"/>
        <w:rPr>
          <w:rFonts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4CE974D4">
      <w:pPr>
        <w:ind w:right="240" w:rightChars="100" w:firstLine="480"/>
        <w:rPr>
          <w:rFonts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3333CA59">
      <w:pPr>
        <w:ind w:right="240" w:rightChars="100" w:firstLine="480"/>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64E6904C">
      <w:pPr>
        <w:ind w:right="240" w:rightChars="100" w:firstLine="480"/>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7C3A96E3">
      <w:pPr>
        <w:ind w:right="240" w:rightChars="100" w:firstLine="480"/>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6EBB7627">
      <w:pPr>
        <w:ind w:right="240" w:rightChars="100" w:firstLine="480"/>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28B0A164">
      <w:pPr>
        <w:ind w:right="240" w:rightChars="100" w:firstLine="480"/>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1B2C5079">
      <w:pPr>
        <w:ind w:right="240" w:rightChars="100" w:firstLine="480"/>
        <w:rPr>
          <w:rFonts w:ascii="Times New Roman" w:hAnsi="Times New Roman"/>
          <w:highlight w:val="none"/>
        </w:rPr>
      </w:pPr>
      <w:r>
        <w:rPr>
          <w:rFonts w:hint="eastAsia" w:ascii="Times New Roman" w:hAnsi="Times New Roman"/>
          <w:highlight w:val="none"/>
        </w:rPr>
        <w:t>11.10 出现影响比选公正的违法、违规行为的。</w:t>
      </w:r>
    </w:p>
    <w:p w14:paraId="0E17EEF4">
      <w:pPr>
        <w:ind w:right="240" w:rightChars="100" w:firstLine="480"/>
        <w:rPr>
          <w:rFonts w:ascii="Times New Roman" w:hAnsi="Times New Roman"/>
          <w:highlight w:val="none"/>
        </w:rPr>
      </w:pPr>
      <w:r>
        <w:rPr>
          <w:rFonts w:hint="eastAsia" w:ascii="Times New Roman" w:hAnsi="Times New Roman"/>
          <w:highlight w:val="none"/>
        </w:rPr>
        <w:t>11.11 与比选人、评审专家、其他参选人恶意串通。</w:t>
      </w:r>
    </w:p>
    <w:p w14:paraId="4736B492">
      <w:pPr>
        <w:ind w:right="240" w:rightChars="100" w:firstLine="480"/>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18BA2C25">
      <w:pPr>
        <w:ind w:right="240" w:rightChars="100" w:firstLine="480"/>
        <w:rPr>
          <w:rFonts w:ascii="Times New Roman" w:hAnsi="Times New Roman"/>
          <w:highlight w:val="none"/>
        </w:rPr>
      </w:pPr>
      <w:r>
        <w:rPr>
          <w:rFonts w:hint="eastAsia" w:ascii="Times New Roman" w:hAnsi="Times New Roman"/>
          <w:highlight w:val="none"/>
        </w:rPr>
        <w:t>11.13 提供虚假材料谋取中选资格的。</w:t>
      </w:r>
    </w:p>
    <w:p w14:paraId="393C3885">
      <w:pPr>
        <w:ind w:right="240" w:rightChars="100" w:firstLine="480"/>
        <w:rPr>
          <w:rFonts w:ascii="Times New Roman" w:hAnsi="Times New Roman"/>
          <w:highlight w:val="none"/>
        </w:rPr>
      </w:pPr>
      <w:r>
        <w:rPr>
          <w:rFonts w:hint="eastAsia" w:ascii="Times New Roman" w:hAnsi="Times New Roman"/>
          <w:highlight w:val="none"/>
        </w:rPr>
        <w:t>11.14 参选文件含有比选人不能接受的附件条件的。</w:t>
      </w:r>
    </w:p>
    <w:p w14:paraId="56511F2E">
      <w:pPr>
        <w:pStyle w:val="3"/>
        <w:ind w:right="240" w:rightChars="100"/>
        <w:rPr>
          <w:rFonts w:ascii="Times New Roman" w:hAnsi="Times New Roman"/>
          <w:highlight w:val="none"/>
        </w:rPr>
      </w:pPr>
      <w:r>
        <w:rPr>
          <w:rFonts w:hint="eastAsia" w:ascii="Times New Roman" w:hAnsi="Times New Roman"/>
          <w:highlight w:val="none"/>
        </w:rPr>
        <w:t>12. 比选失败情形</w:t>
      </w:r>
    </w:p>
    <w:p w14:paraId="012611E3">
      <w:pPr>
        <w:snapToGrid w:val="0"/>
        <w:ind w:right="240" w:rightChars="100" w:firstLine="480"/>
        <w:rPr>
          <w:rFonts w:ascii="Times New Roman" w:hAnsi="Times New Roman"/>
          <w:highlight w:val="none"/>
        </w:rPr>
      </w:pPr>
      <w:r>
        <w:rPr>
          <w:rFonts w:hint="eastAsia" w:ascii="Times New Roman" w:hAnsi="Times New Roman"/>
          <w:highlight w:val="none"/>
        </w:rPr>
        <w:t>出现以下情形本次比选失败：</w:t>
      </w:r>
    </w:p>
    <w:p w14:paraId="2C88F3B4">
      <w:pPr>
        <w:snapToGrid w:val="0"/>
        <w:ind w:right="240" w:rightChars="100" w:firstLine="480"/>
        <w:rPr>
          <w:rFonts w:ascii="Times New Roman" w:hAnsi="Times New Roman"/>
          <w:highlight w:val="none"/>
        </w:rPr>
      </w:pPr>
      <w:r>
        <w:rPr>
          <w:rFonts w:hint="eastAsia" w:ascii="Times New Roman" w:hAnsi="Times New Roman"/>
          <w:highlight w:val="none"/>
        </w:rPr>
        <w:t xml:space="preserve">12.1 </w:t>
      </w:r>
      <w:r>
        <w:rPr>
          <w:rFonts w:hint="eastAsia"/>
          <w:highlight w:val="none"/>
        </w:rPr>
        <w:t>参选截止</w:t>
      </w:r>
      <w:r>
        <w:rPr>
          <w:rFonts w:hint="eastAsia" w:ascii="Times New Roman" w:hAnsi="Times New Roman"/>
          <w:highlight w:val="none"/>
        </w:rPr>
        <w:t>时间止，参选人少于2个的。</w:t>
      </w:r>
    </w:p>
    <w:p w14:paraId="1CFA09C0">
      <w:pPr>
        <w:ind w:right="240" w:rightChars="100" w:firstLine="480"/>
        <w:rPr>
          <w:rFonts w:ascii="Times New Roman" w:hAnsi="Times New Roman"/>
          <w:highlight w:val="none"/>
        </w:rPr>
      </w:pPr>
      <w:r>
        <w:rPr>
          <w:rFonts w:hint="eastAsia" w:ascii="Times New Roman" w:hAnsi="Times New Roman"/>
          <w:highlight w:val="none"/>
        </w:rPr>
        <w:t>12.2 经评审委员会评审后否决所有参选的。</w:t>
      </w:r>
    </w:p>
    <w:p w14:paraId="3F54C30F">
      <w:pPr>
        <w:pStyle w:val="3"/>
        <w:ind w:right="240" w:rightChars="100"/>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44"/>
    </w:p>
    <w:p w14:paraId="31CBF067">
      <w:pPr>
        <w:ind w:right="240" w:rightChars="100" w:firstLine="480"/>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77D26865">
      <w:pPr>
        <w:ind w:right="240" w:rightChars="100" w:firstLine="480"/>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5DFBE7BF">
      <w:pPr>
        <w:pStyle w:val="3"/>
        <w:ind w:right="240" w:rightChars="100"/>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23F66A5F">
      <w:pPr>
        <w:ind w:right="240" w:rightChars="100" w:firstLine="480"/>
        <w:rPr>
          <w:rFonts w:ascii="Times New Roman" w:hAnsi="Times New Roman"/>
          <w:highlight w:val="none"/>
        </w:rPr>
      </w:pPr>
      <w:r>
        <w:rPr>
          <w:rFonts w:hint="eastAsia" w:ascii="Times New Roman" w:hAnsi="Times New Roman"/>
          <w:highlight w:val="none"/>
        </w:rPr>
        <w:t>参选人参与本比选项目时，一切与参选有关的费用均由参选人自理。</w:t>
      </w:r>
    </w:p>
    <w:p w14:paraId="3F5B8C23">
      <w:pPr>
        <w:ind w:right="240" w:rightChars="100" w:firstLine="480"/>
        <w:rPr>
          <w:rFonts w:ascii="Times New Roman" w:hAnsi="Times New Roman"/>
          <w:highlight w:val="none"/>
        </w:rPr>
      </w:pPr>
      <w:r>
        <w:rPr>
          <w:rFonts w:hint="eastAsia" w:ascii="Times New Roman" w:hAnsi="Times New Roman"/>
          <w:highlight w:val="none"/>
        </w:rPr>
        <w:t>本项目平台服务费为</w:t>
      </w:r>
      <w:r>
        <w:rPr>
          <w:rFonts w:hint="eastAsia" w:ascii="Times New Roman" w:hAnsi="Times New Roman"/>
          <w:highlight w:val="none"/>
          <w:u w:val="single"/>
        </w:rPr>
        <w:t>15000.00</w:t>
      </w:r>
      <w:r>
        <w:rPr>
          <w:rFonts w:hint="eastAsia" w:ascii="Times New Roman" w:hAnsi="Times New Roman"/>
          <w:highlight w:val="none"/>
        </w:rPr>
        <w:t>元，由中选人向重庆联合产权交易所集团股份有限公司支付。中选人应在领取中选通知书时一次性缴纳，请各参选人综合考虑进行报价。</w:t>
      </w:r>
    </w:p>
    <w:p w14:paraId="361BFB73">
      <w:pPr>
        <w:widowControl/>
        <w:ind w:left="240" w:right="240" w:firstLine="480"/>
        <w:jc w:val="left"/>
        <w:rPr>
          <w:rFonts w:ascii="Times New Roman" w:hAnsi="Times New Roman" w:cs="Cambria"/>
          <w:snapToGrid w:val="0"/>
          <w:kern w:val="0"/>
          <w:szCs w:val="28"/>
          <w:highlight w:val="none"/>
        </w:rPr>
      </w:pPr>
      <w:r>
        <w:rPr>
          <w:rFonts w:ascii="Times New Roman" w:hAnsi="Times New Roman" w:cs="Cambria"/>
          <w:snapToGrid w:val="0"/>
          <w:kern w:val="0"/>
          <w:szCs w:val="28"/>
          <w:highlight w:val="none"/>
        </w:rPr>
        <w:br w:type="page"/>
      </w:r>
    </w:p>
    <w:p w14:paraId="6A8A315C">
      <w:pPr>
        <w:pStyle w:val="2"/>
        <w:ind w:left="240" w:right="240"/>
        <w:rPr>
          <w:rFonts w:ascii="Times New Roman" w:hAnsi="Times New Roman"/>
          <w:highlight w:val="none"/>
        </w:rPr>
      </w:pPr>
      <w:bookmarkStart w:id="51" w:name="_Toc182213442"/>
      <w:bookmarkStart w:id="52" w:name="_Toc890"/>
      <w:r>
        <w:rPr>
          <w:rFonts w:hint="eastAsia" w:ascii="Times New Roman" w:hAnsi="Times New Roman"/>
          <w:highlight w:val="none"/>
        </w:rPr>
        <w:t>第三章 项目要求</w:t>
      </w:r>
      <w:bookmarkEnd w:id="51"/>
      <w:bookmarkEnd w:id="52"/>
    </w:p>
    <w:p w14:paraId="5294744E">
      <w:pPr>
        <w:pStyle w:val="3"/>
        <w:ind w:right="240"/>
        <w:rPr>
          <w:rFonts w:ascii="Times New Roman" w:hAnsi="Times New Roman"/>
          <w:highlight w:val="none"/>
        </w:rPr>
      </w:pPr>
      <w:r>
        <w:rPr>
          <w:rFonts w:hint="eastAsia" w:ascii="Times New Roman" w:hAnsi="Times New Roman"/>
          <w:highlight w:val="none"/>
        </w:rPr>
        <w:t>1. 总体要求</w:t>
      </w:r>
    </w:p>
    <w:p w14:paraId="243EC508">
      <w:pPr>
        <w:ind w:right="240" w:rightChars="100" w:firstLine="480"/>
        <w:rPr>
          <w:highlight w:val="none"/>
        </w:rPr>
      </w:pPr>
      <w:r>
        <w:rPr>
          <w:highlight w:val="none"/>
        </w:rPr>
        <w:t>本项目通过公开比选的方式，择优选择一家具备较高性价比、质量稳定、供应链可靠、诚信经营且具备优质服务能力的</w:t>
      </w:r>
      <w:r>
        <w:rPr>
          <w:rFonts w:hint="eastAsia"/>
          <w:highlight w:val="none"/>
        </w:rPr>
        <w:t>数据中心运维耗材</w:t>
      </w:r>
      <w:r>
        <w:rPr>
          <w:highlight w:val="none"/>
        </w:rPr>
        <w:t>供应商，为</w:t>
      </w:r>
      <w:r>
        <w:rPr>
          <w:rFonts w:hint="eastAsia"/>
          <w:highlight w:val="none"/>
        </w:rPr>
        <w:t>比选人</w:t>
      </w:r>
      <w:r>
        <w:rPr>
          <w:highlight w:val="none"/>
        </w:rPr>
        <w:t>数据中心提供运维所需的各类</w:t>
      </w:r>
      <w:r>
        <w:rPr>
          <w:rFonts w:hint="eastAsia"/>
          <w:highlight w:val="none"/>
        </w:rPr>
        <w:t>耗材</w:t>
      </w:r>
      <w:r>
        <w:rPr>
          <w:highlight w:val="none"/>
        </w:rPr>
        <w:t>。</w:t>
      </w:r>
      <w:r>
        <w:rPr>
          <w:rFonts w:hint="eastAsia"/>
          <w:highlight w:val="none"/>
        </w:rPr>
        <w:t>本项目的合作期限暂定为三年</w:t>
      </w:r>
      <w:r>
        <w:rPr>
          <w:highlight w:val="none"/>
        </w:rPr>
        <w:t>，</w:t>
      </w:r>
      <w:r>
        <w:rPr>
          <w:rFonts w:hint="eastAsia"/>
          <w:highlight w:val="none"/>
        </w:rPr>
        <w:t>起始日期为</w:t>
      </w:r>
      <w:r>
        <w:rPr>
          <w:rFonts w:hint="eastAsia" w:ascii="宋体"/>
          <w:bCs/>
          <w:highlight w:val="none"/>
        </w:rPr>
        <w:t>本项目合同签订之日。</w:t>
      </w:r>
      <w:r>
        <w:rPr>
          <w:rFonts w:hint="eastAsia"/>
          <w:highlight w:val="none"/>
        </w:rPr>
        <w:t>中选人与比选人签订合同约定每项产品单价，比选人根据实际需求不定期向中选人采购合同清单中的货物。中选人</w:t>
      </w:r>
      <w:r>
        <w:rPr>
          <w:highlight w:val="none"/>
        </w:rPr>
        <w:t>需在此期间内确保供货的持续稳定性</w:t>
      </w:r>
      <w:r>
        <w:rPr>
          <w:rFonts w:hint="eastAsia"/>
          <w:highlight w:val="none"/>
        </w:rPr>
        <w:t>，及时响应比选人的订货需求</w:t>
      </w:r>
      <w:r>
        <w:rPr>
          <w:highlight w:val="none"/>
        </w:rPr>
        <w:t>，提供符合</w:t>
      </w:r>
      <w:r>
        <w:rPr>
          <w:rFonts w:hint="eastAsia"/>
          <w:highlight w:val="none"/>
        </w:rPr>
        <w:t>国家标准、行业</w:t>
      </w:r>
      <w:r>
        <w:rPr>
          <w:highlight w:val="none"/>
        </w:rPr>
        <w:t>规范</w:t>
      </w:r>
      <w:r>
        <w:rPr>
          <w:rFonts w:hint="eastAsia"/>
          <w:highlight w:val="none"/>
        </w:rPr>
        <w:t>、合同要求</w:t>
      </w:r>
      <w:r>
        <w:rPr>
          <w:highlight w:val="none"/>
        </w:rPr>
        <w:t>的产品，并</w:t>
      </w:r>
      <w:r>
        <w:rPr>
          <w:rFonts w:hint="eastAsia"/>
          <w:highlight w:val="none"/>
        </w:rPr>
        <w:t>提供</w:t>
      </w:r>
      <w:r>
        <w:rPr>
          <w:highlight w:val="none"/>
        </w:rPr>
        <w:t>及时、有效的技术支持与售后服务，以满足</w:t>
      </w:r>
      <w:r>
        <w:rPr>
          <w:rFonts w:hint="eastAsia"/>
          <w:highlight w:val="none"/>
        </w:rPr>
        <w:t>比选人</w:t>
      </w:r>
      <w:r>
        <w:rPr>
          <w:highlight w:val="none"/>
        </w:rPr>
        <w:t>数据中心的日常</w:t>
      </w:r>
      <w:r>
        <w:rPr>
          <w:rFonts w:hint="eastAsia"/>
          <w:highlight w:val="none"/>
        </w:rPr>
        <w:t>运维</w:t>
      </w:r>
      <w:r>
        <w:rPr>
          <w:highlight w:val="none"/>
        </w:rPr>
        <w:t>及扩展需求。</w:t>
      </w:r>
    </w:p>
    <w:p w14:paraId="17197E94">
      <w:pPr>
        <w:pStyle w:val="3"/>
        <w:ind w:right="240"/>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技术</w:t>
      </w:r>
      <w:r>
        <w:rPr>
          <w:rFonts w:hint="eastAsia" w:ascii="Times New Roman" w:hAnsi="Times New Roman"/>
          <w:highlight w:val="none"/>
        </w:rPr>
        <w:t>要求</w:t>
      </w:r>
    </w:p>
    <w:p w14:paraId="4819AFDC">
      <w:pPr>
        <w:ind w:right="240" w:rightChars="100" w:firstLine="480"/>
        <w:rPr>
          <w:highlight w:val="none"/>
        </w:rPr>
      </w:pPr>
      <w:r>
        <w:rPr>
          <w:rFonts w:hint="eastAsia"/>
          <w:highlight w:val="none"/>
        </w:rPr>
        <w:t>参选人应保证所有货物和售后服务完全符合本比选文件中所规定的要求。中选人保证交付比选人的所有货物均符合国家相关技术标准及</w:t>
      </w:r>
      <w:r>
        <w:rPr>
          <w:rFonts w:hint="eastAsia" w:ascii="宋体"/>
          <w:highlight w:val="none"/>
        </w:rPr>
        <w:t>和生产厂商的相关技术规范</w:t>
      </w:r>
      <w:r>
        <w:rPr>
          <w:rFonts w:hint="eastAsia"/>
          <w:highlight w:val="none"/>
        </w:rPr>
        <w:t>。因产品自身的质量、缺陷等问题对比选人造成经济损失的，比选人有权</w:t>
      </w:r>
      <w:r>
        <w:rPr>
          <w:rFonts w:hint="eastAsia" w:ascii="宋体"/>
          <w:highlight w:val="none"/>
        </w:rPr>
        <w:t>拒绝收货、不予支付任何费用并要求</w:t>
      </w:r>
      <w:r>
        <w:rPr>
          <w:rFonts w:hint="eastAsia"/>
          <w:highlight w:val="none"/>
        </w:rPr>
        <w:t>中选人</w:t>
      </w:r>
      <w:r>
        <w:rPr>
          <w:rFonts w:hint="eastAsia" w:ascii="宋体"/>
          <w:highlight w:val="none"/>
        </w:rPr>
        <w:t>进行赔偿，</w:t>
      </w:r>
      <w:r>
        <w:rPr>
          <w:rFonts w:hint="eastAsia"/>
          <w:highlight w:val="none"/>
        </w:rPr>
        <w:t>中选人应当承担相关赔偿责任。各类货物具体要求如下：</w:t>
      </w:r>
    </w:p>
    <w:p w14:paraId="1C7C5853">
      <w:pPr>
        <w:spacing w:line="360" w:lineRule="auto"/>
        <w:ind w:right="240" w:rightChars="100" w:firstLine="480"/>
        <w:rPr>
          <w:rFonts w:ascii="Times New Roman" w:hAnsi="Times New Roman"/>
          <w:highlight w:val="none"/>
        </w:rPr>
      </w:pPr>
      <w:r>
        <w:rPr>
          <w:rFonts w:hint="eastAsia" w:ascii="Times New Roman" w:hAnsi="Times New Roman"/>
          <w:highlight w:val="none"/>
        </w:rPr>
        <w:t>1）</w:t>
      </w:r>
      <w:r>
        <w:rPr>
          <w:rFonts w:hint="eastAsia" w:ascii="Times New Roman" w:hAnsi="Times New Roman"/>
          <w:highlight w:val="none"/>
        </w:rPr>
        <w:tab/>
      </w:r>
      <w:r>
        <w:rPr>
          <w:rFonts w:hint="eastAsia" w:ascii="Times New Roman" w:hAnsi="Times New Roman"/>
          <w:b/>
          <w:bCs/>
          <w:highlight w:val="none"/>
        </w:rPr>
        <w:t>LC尾纤（含熔接）</w:t>
      </w:r>
      <w:r>
        <w:rPr>
          <w:rFonts w:hint="eastAsia" w:ascii="Times New Roman" w:hAnsi="Times New Roman"/>
          <w:highlight w:val="none"/>
        </w:rPr>
        <w:tab/>
      </w:r>
    </w:p>
    <w:p w14:paraId="695533FA">
      <w:pPr>
        <w:pStyle w:val="41"/>
        <w:numPr>
          <w:ilvl w:val="0"/>
          <w:numId w:val="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性能标准：满足ISO/IEC 11801标准要求。</w:t>
      </w:r>
    </w:p>
    <w:p w14:paraId="04B7F722">
      <w:pPr>
        <w:pStyle w:val="41"/>
        <w:numPr>
          <w:ilvl w:val="0"/>
          <w:numId w:val="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光纤规格：50/125um-OM3，1米。</w:t>
      </w:r>
    </w:p>
    <w:p w14:paraId="209089C0">
      <w:pPr>
        <w:pStyle w:val="41"/>
        <w:numPr>
          <w:ilvl w:val="0"/>
          <w:numId w:val="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光纤接口：1LC-Pigtail。</w:t>
      </w:r>
    </w:p>
    <w:p w14:paraId="64015FA4">
      <w:pPr>
        <w:pStyle w:val="41"/>
        <w:numPr>
          <w:ilvl w:val="0"/>
          <w:numId w:val="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插入损耗：≤0.30dB。</w:t>
      </w:r>
    </w:p>
    <w:p w14:paraId="23BF0F11">
      <w:pPr>
        <w:pStyle w:val="41"/>
        <w:numPr>
          <w:ilvl w:val="0"/>
          <w:numId w:val="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回波损耗：≥26.0dB。</w:t>
      </w:r>
    </w:p>
    <w:p w14:paraId="73B1B5A5">
      <w:pPr>
        <w:spacing w:line="360" w:lineRule="auto"/>
        <w:ind w:right="240" w:rightChars="100" w:firstLine="480"/>
        <w:rPr>
          <w:rFonts w:ascii="Times New Roman" w:hAnsi="Times New Roman"/>
          <w:highlight w:val="none"/>
        </w:rPr>
      </w:pPr>
    </w:p>
    <w:p w14:paraId="03927D2C">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2）</w:t>
      </w:r>
      <w:r>
        <w:rPr>
          <w:rFonts w:hint="eastAsia" w:ascii="Times New Roman" w:hAnsi="Times New Roman"/>
          <w:b/>
          <w:bCs/>
          <w:highlight w:val="none"/>
        </w:rPr>
        <w:tab/>
      </w:r>
      <w:r>
        <w:rPr>
          <w:rFonts w:hint="eastAsia" w:ascii="Times New Roman" w:hAnsi="Times New Roman"/>
          <w:b/>
          <w:bCs/>
          <w:highlight w:val="none"/>
        </w:rPr>
        <w:t>通风地板(含底座)</w:t>
      </w:r>
    </w:p>
    <w:p w14:paraId="25D8A8C6">
      <w:pPr>
        <w:pStyle w:val="41"/>
        <w:numPr>
          <w:ilvl w:val="0"/>
          <w:numId w:val="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尺寸：600mm x 600mm。</w:t>
      </w:r>
    </w:p>
    <w:p w14:paraId="03CF78B8">
      <w:pPr>
        <w:pStyle w:val="41"/>
        <w:numPr>
          <w:ilvl w:val="0"/>
          <w:numId w:val="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材质：高强度钢材或铝合金。</w:t>
      </w:r>
    </w:p>
    <w:p w14:paraId="4956D494">
      <w:pPr>
        <w:pStyle w:val="41"/>
        <w:numPr>
          <w:ilvl w:val="0"/>
          <w:numId w:val="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通风率：≥40%，提供高效的空气流通。</w:t>
      </w:r>
    </w:p>
    <w:p w14:paraId="23261246">
      <w:pPr>
        <w:pStyle w:val="41"/>
        <w:numPr>
          <w:ilvl w:val="0"/>
          <w:numId w:val="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表面处理：防腐蚀涂层，耐磨防滑。</w:t>
      </w:r>
    </w:p>
    <w:p w14:paraId="0697DF79">
      <w:pPr>
        <w:pStyle w:val="41"/>
        <w:numPr>
          <w:ilvl w:val="0"/>
          <w:numId w:val="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应用：数据中心地面通风冷却。</w:t>
      </w:r>
    </w:p>
    <w:p w14:paraId="0B64E8D8">
      <w:pPr>
        <w:spacing w:line="360" w:lineRule="auto"/>
        <w:ind w:right="240" w:rightChars="100" w:firstLine="480"/>
        <w:rPr>
          <w:rFonts w:ascii="Times New Roman" w:hAnsi="Times New Roman"/>
          <w:highlight w:val="none"/>
        </w:rPr>
      </w:pPr>
    </w:p>
    <w:p w14:paraId="39456FAD">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3）</w:t>
      </w:r>
      <w:r>
        <w:rPr>
          <w:rFonts w:hint="eastAsia" w:ascii="Times New Roman" w:hAnsi="Times New Roman"/>
          <w:b/>
          <w:bCs/>
          <w:highlight w:val="none"/>
        </w:rPr>
        <w:tab/>
      </w:r>
      <w:r>
        <w:rPr>
          <w:rFonts w:hint="eastAsia" w:ascii="Times New Roman" w:hAnsi="Times New Roman"/>
          <w:b/>
          <w:bCs/>
          <w:highlight w:val="none"/>
        </w:rPr>
        <w:t>静电地板(含底座)</w:t>
      </w:r>
    </w:p>
    <w:p w14:paraId="37DA0515">
      <w:pPr>
        <w:pStyle w:val="41"/>
        <w:numPr>
          <w:ilvl w:val="0"/>
          <w:numId w:val="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尺寸：600mm x 600mm</w:t>
      </w:r>
    </w:p>
    <w:p w14:paraId="4201CA2D">
      <w:pPr>
        <w:pStyle w:val="41"/>
        <w:numPr>
          <w:ilvl w:val="0"/>
          <w:numId w:val="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材质：高强度钢材，表面导电涂层</w:t>
      </w:r>
    </w:p>
    <w:p w14:paraId="59B5E821">
      <w:pPr>
        <w:pStyle w:val="41"/>
        <w:numPr>
          <w:ilvl w:val="0"/>
          <w:numId w:val="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抗静电性能：表面电阻符合国家标准，防止静电积累</w:t>
      </w:r>
    </w:p>
    <w:p w14:paraId="32971447">
      <w:pPr>
        <w:pStyle w:val="41"/>
        <w:numPr>
          <w:ilvl w:val="0"/>
          <w:numId w:val="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表面处理：耐磨、防腐蚀涂层。</w:t>
      </w:r>
    </w:p>
    <w:p w14:paraId="68F1BCE9">
      <w:pPr>
        <w:spacing w:line="360" w:lineRule="auto"/>
        <w:ind w:right="240" w:rightChars="100" w:firstLine="480"/>
        <w:rPr>
          <w:rFonts w:ascii="Times New Roman" w:hAnsi="Times New Roman"/>
          <w:highlight w:val="none"/>
        </w:rPr>
      </w:pPr>
    </w:p>
    <w:p w14:paraId="1CE91DAC">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4）</w:t>
      </w:r>
      <w:r>
        <w:rPr>
          <w:rFonts w:hint="eastAsia" w:ascii="Times New Roman" w:hAnsi="Times New Roman"/>
          <w:b/>
          <w:bCs/>
          <w:highlight w:val="none"/>
        </w:rPr>
        <w:tab/>
      </w:r>
      <w:r>
        <w:rPr>
          <w:rFonts w:hint="eastAsia" w:ascii="Times New Roman" w:hAnsi="Times New Roman"/>
          <w:b/>
          <w:bCs/>
          <w:highlight w:val="none"/>
        </w:rPr>
        <w:t>六类非屏蔽双绞线</w:t>
      </w:r>
    </w:p>
    <w:p w14:paraId="36241FF5">
      <w:pPr>
        <w:pStyle w:val="41"/>
        <w:numPr>
          <w:ilvl w:val="0"/>
          <w:numId w:val="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性能标准：满足ISO/IEC 11801、GB/T 50312标准要求，信道带宽≥250MHz。</w:t>
      </w:r>
    </w:p>
    <w:p w14:paraId="22EAD6FE">
      <w:pPr>
        <w:pStyle w:val="41"/>
        <w:numPr>
          <w:ilvl w:val="0"/>
          <w:numId w:val="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线缆结构：四对非屏蔽双绞线，线对之间被内部十字支撑架分隔。</w:t>
      </w:r>
    </w:p>
    <w:p w14:paraId="264691B6">
      <w:pPr>
        <w:pStyle w:val="41"/>
        <w:numPr>
          <w:ilvl w:val="0"/>
          <w:numId w:val="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导体线规：23AWG。</w:t>
      </w:r>
    </w:p>
    <w:p w14:paraId="7C50B8DF">
      <w:pPr>
        <w:pStyle w:val="41"/>
        <w:numPr>
          <w:ilvl w:val="0"/>
          <w:numId w:val="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阻燃等级：LSZH低烟无卤，满足IEC60332-3标准。</w:t>
      </w:r>
    </w:p>
    <w:p w14:paraId="3FD14756">
      <w:pPr>
        <w:pStyle w:val="41"/>
        <w:numPr>
          <w:ilvl w:val="0"/>
          <w:numId w:val="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包装结构：箱装并贴有质检合格的QC二维码标签，易于抽出线缆，方便施工。</w:t>
      </w:r>
    </w:p>
    <w:p w14:paraId="5AAA7FB0">
      <w:pPr>
        <w:pStyle w:val="41"/>
        <w:numPr>
          <w:ilvl w:val="0"/>
          <w:numId w:val="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长度标记：递减的长度尺寸标识，简化安装，减少浪费。</w:t>
      </w:r>
    </w:p>
    <w:p w14:paraId="59F16DC9">
      <w:pPr>
        <w:spacing w:line="360" w:lineRule="auto"/>
        <w:ind w:right="240" w:rightChars="100" w:firstLine="480"/>
        <w:rPr>
          <w:rFonts w:ascii="Times New Roman" w:hAnsi="Times New Roman"/>
          <w:highlight w:val="none"/>
        </w:rPr>
      </w:pPr>
    </w:p>
    <w:p w14:paraId="1E0D929C">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5）</w:t>
      </w:r>
      <w:r>
        <w:rPr>
          <w:rFonts w:hint="eastAsia" w:ascii="Times New Roman" w:hAnsi="Times New Roman"/>
          <w:b/>
          <w:bCs/>
          <w:highlight w:val="none"/>
        </w:rPr>
        <w:tab/>
      </w:r>
      <w:r>
        <w:rPr>
          <w:rFonts w:hint="eastAsia" w:ascii="Times New Roman" w:hAnsi="Times New Roman"/>
          <w:b/>
          <w:bCs/>
          <w:highlight w:val="none"/>
        </w:rPr>
        <w:t>六类非屏蔽双绞线跳线</w:t>
      </w:r>
    </w:p>
    <w:p w14:paraId="09BE354E">
      <w:pPr>
        <w:pStyle w:val="41"/>
        <w:numPr>
          <w:ilvl w:val="0"/>
          <w:numId w:val="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性能标准：满足ISO/IEC 11801标准要求，信道带宽≥250MHz。</w:t>
      </w:r>
    </w:p>
    <w:p w14:paraId="610FA183">
      <w:pPr>
        <w:pStyle w:val="41"/>
        <w:numPr>
          <w:ilvl w:val="0"/>
          <w:numId w:val="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PoE应用：符合802.3bt type 4 (PoE++)标准要求的PoE应用。</w:t>
      </w:r>
    </w:p>
    <w:p w14:paraId="2FB416ED">
      <w:pPr>
        <w:pStyle w:val="41"/>
        <w:numPr>
          <w:ilvl w:val="0"/>
          <w:numId w:val="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耐用次数：≥2500次。</w:t>
      </w:r>
    </w:p>
    <w:p w14:paraId="2AE05100">
      <w:pPr>
        <w:pStyle w:val="41"/>
        <w:numPr>
          <w:ilvl w:val="0"/>
          <w:numId w:val="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阻燃等级：LSZH低烟无卤。</w:t>
      </w:r>
    </w:p>
    <w:p w14:paraId="7A902ABD">
      <w:pPr>
        <w:pStyle w:val="41"/>
        <w:numPr>
          <w:ilvl w:val="0"/>
          <w:numId w:val="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导线规格：28AWG，细缆。</w:t>
      </w:r>
    </w:p>
    <w:p w14:paraId="07C48847">
      <w:pPr>
        <w:pStyle w:val="41"/>
        <w:numPr>
          <w:ilvl w:val="0"/>
          <w:numId w:val="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线对解绞：线对解绞长度须控制在至多5mm(线缆外皮距离水晶头金针之间)，透明可见。</w:t>
      </w:r>
    </w:p>
    <w:p w14:paraId="19ACC9C3">
      <w:pPr>
        <w:pStyle w:val="41"/>
        <w:numPr>
          <w:ilvl w:val="0"/>
          <w:numId w:val="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针脚工艺：W形排列，降低串扰，镀有50微英寸黄金。</w:t>
      </w:r>
    </w:p>
    <w:p w14:paraId="14C4F9A3">
      <w:pPr>
        <w:pStyle w:val="41"/>
        <w:numPr>
          <w:ilvl w:val="0"/>
          <w:numId w:val="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色彩管理：蓝色。</w:t>
      </w:r>
    </w:p>
    <w:p w14:paraId="63A993BE">
      <w:pPr>
        <w:spacing w:line="360" w:lineRule="auto"/>
        <w:ind w:right="240" w:rightChars="100" w:firstLine="480"/>
        <w:rPr>
          <w:rFonts w:ascii="Times New Roman" w:hAnsi="Times New Roman"/>
          <w:highlight w:val="none"/>
        </w:rPr>
      </w:pPr>
    </w:p>
    <w:p w14:paraId="7B95BC55">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6）</w:t>
      </w:r>
      <w:r>
        <w:rPr>
          <w:rFonts w:hint="eastAsia" w:ascii="Times New Roman" w:hAnsi="Times New Roman"/>
          <w:b/>
          <w:bCs/>
          <w:highlight w:val="none"/>
        </w:rPr>
        <w:tab/>
      </w:r>
      <w:r>
        <w:rPr>
          <w:rFonts w:hint="eastAsia" w:ascii="Times New Roman" w:hAnsi="Times New Roman"/>
          <w:b/>
          <w:bCs/>
          <w:highlight w:val="none"/>
        </w:rPr>
        <w:t>理线器</w:t>
      </w:r>
      <w:r>
        <w:rPr>
          <w:rFonts w:hint="eastAsia" w:ascii="Times New Roman" w:hAnsi="Times New Roman"/>
          <w:b/>
          <w:bCs/>
          <w:highlight w:val="none"/>
        </w:rPr>
        <w:tab/>
      </w:r>
    </w:p>
    <w:p w14:paraId="3A6700B1">
      <w:pPr>
        <w:pStyle w:val="41"/>
        <w:numPr>
          <w:ilvl w:val="0"/>
          <w:numId w:val="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安装方式：机架式19英寸安装，高度1U。</w:t>
      </w:r>
    </w:p>
    <w:p w14:paraId="1C924ADD">
      <w:pPr>
        <w:pStyle w:val="41"/>
        <w:numPr>
          <w:ilvl w:val="0"/>
          <w:numId w:val="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理线盖板：双铰链设计，可双手上下开合盖板。</w:t>
      </w:r>
    </w:p>
    <w:p w14:paraId="334EBB7B">
      <w:pPr>
        <w:pStyle w:val="41"/>
        <w:numPr>
          <w:ilvl w:val="0"/>
          <w:numId w:val="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理线容量：理线架容量大，深度需达85mm以上，能管理更多跳线。</w:t>
      </w:r>
    </w:p>
    <w:p w14:paraId="6E7B2430">
      <w:pPr>
        <w:pStyle w:val="41"/>
        <w:numPr>
          <w:ilvl w:val="0"/>
          <w:numId w:val="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边缘处理：所有理线手指的边缘必须是光滑的圆弧形，保护线缆以免缠结和损坏。</w:t>
      </w:r>
    </w:p>
    <w:p w14:paraId="052842B9">
      <w:pPr>
        <w:spacing w:line="360" w:lineRule="auto"/>
        <w:ind w:right="240" w:rightChars="100" w:firstLine="480"/>
        <w:rPr>
          <w:rFonts w:ascii="Times New Roman" w:hAnsi="Times New Roman"/>
          <w:highlight w:val="none"/>
        </w:rPr>
      </w:pPr>
    </w:p>
    <w:p w14:paraId="74945B4A">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7）</w:t>
      </w:r>
      <w:r>
        <w:rPr>
          <w:rFonts w:hint="eastAsia" w:ascii="Times New Roman" w:hAnsi="Times New Roman"/>
          <w:b/>
          <w:bCs/>
          <w:highlight w:val="none"/>
        </w:rPr>
        <w:tab/>
      </w:r>
      <w:r>
        <w:rPr>
          <w:rFonts w:hint="eastAsia" w:ascii="Times New Roman" w:hAnsi="Times New Roman"/>
          <w:b/>
          <w:bCs/>
          <w:highlight w:val="none"/>
        </w:rPr>
        <w:t>双层网格桥架</w:t>
      </w:r>
      <w:r>
        <w:rPr>
          <w:rFonts w:hint="eastAsia" w:ascii="Times New Roman" w:hAnsi="Times New Roman"/>
          <w:b/>
          <w:bCs/>
          <w:highlight w:val="none"/>
        </w:rPr>
        <w:tab/>
      </w:r>
    </w:p>
    <w:p w14:paraId="7A7F2CE6">
      <w:pPr>
        <w:pStyle w:val="41"/>
        <w:numPr>
          <w:ilvl w:val="0"/>
          <w:numId w:val="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材质：镀锌钢或不锈钢</w:t>
      </w:r>
    </w:p>
    <w:p w14:paraId="7BEA800B">
      <w:pPr>
        <w:pStyle w:val="41"/>
        <w:numPr>
          <w:ilvl w:val="0"/>
          <w:numId w:val="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结构：双层设计，便于区分电缆布线</w:t>
      </w:r>
    </w:p>
    <w:p w14:paraId="6E3F1603">
      <w:pPr>
        <w:pStyle w:val="41"/>
        <w:numPr>
          <w:ilvl w:val="0"/>
          <w:numId w:val="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表面处理：镀锌或防腐涂层，增加耐用性</w:t>
      </w:r>
    </w:p>
    <w:p w14:paraId="053C6036">
      <w:pPr>
        <w:pStyle w:val="41"/>
        <w:numPr>
          <w:ilvl w:val="0"/>
          <w:numId w:val="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承载能力：适合数据中心多根电缆集中敷设</w:t>
      </w:r>
    </w:p>
    <w:p w14:paraId="7843B97A">
      <w:pPr>
        <w:pStyle w:val="41"/>
        <w:numPr>
          <w:ilvl w:val="0"/>
          <w:numId w:val="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应用：数据中心电缆管理与布线</w:t>
      </w:r>
    </w:p>
    <w:p w14:paraId="592F708F">
      <w:pPr>
        <w:spacing w:line="360" w:lineRule="auto"/>
        <w:ind w:right="240" w:rightChars="100" w:firstLine="480"/>
        <w:rPr>
          <w:rFonts w:ascii="Times New Roman" w:hAnsi="Times New Roman"/>
          <w:highlight w:val="none"/>
        </w:rPr>
      </w:pPr>
    </w:p>
    <w:p w14:paraId="0BFE05E1">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8）</w:t>
      </w:r>
      <w:r>
        <w:rPr>
          <w:rFonts w:hint="eastAsia" w:ascii="Times New Roman" w:hAnsi="Times New Roman"/>
          <w:b/>
          <w:bCs/>
          <w:highlight w:val="none"/>
        </w:rPr>
        <w:tab/>
      </w:r>
      <w:r>
        <w:rPr>
          <w:rFonts w:hint="eastAsia" w:ascii="Times New Roman" w:hAnsi="Times New Roman"/>
          <w:b/>
          <w:bCs/>
          <w:highlight w:val="none"/>
        </w:rPr>
        <w:t>机柜挡板</w:t>
      </w:r>
      <w:r>
        <w:rPr>
          <w:rFonts w:hint="eastAsia" w:ascii="Times New Roman" w:hAnsi="Times New Roman"/>
          <w:b/>
          <w:bCs/>
          <w:highlight w:val="none"/>
        </w:rPr>
        <w:tab/>
      </w:r>
    </w:p>
    <w:p w14:paraId="2B3439BE">
      <w:pPr>
        <w:pStyle w:val="41"/>
        <w:numPr>
          <w:ilvl w:val="0"/>
          <w:numId w:val="1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尺寸：2000mm x 1200mm（可定制）</w:t>
      </w:r>
    </w:p>
    <w:p w14:paraId="0D97FFEC">
      <w:pPr>
        <w:pStyle w:val="41"/>
        <w:numPr>
          <w:ilvl w:val="0"/>
          <w:numId w:val="1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材质：优质冷轧钢板</w:t>
      </w:r>
    </w:p>
    <w:p w14:paraId="1B41C8AB">
      <w:pPr>
        <w:pStyle w:val="41"/>
        <w:numPr>
          <w:ilvl w:val="0"/>
          <w:numId w:val="1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功能：隔离气流，优化冷却效果</w:t>
      </w:r>
    </w:p>
    <w:p w14:paraId="45BC09FC">
      <w:pPr>
        <w:pStyle w:val="41"/>
        <w:numPr>
          <w:ilvl w:val="0"/>
          <w:numId w:val="1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表面处理：喷塑防腐处理，耐用防火</w:t>
      </w:r>
    </w:p>
    <w:p w14:paraId="59D7D56C">
      <w:pPr>
        <w:pStyle w:val="41"/>
        <w:numPr>
          <w:ilvl w:val="0"/>
          <w:numId w:val="1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应用：机柜与地板之间的密封，提升冷却效率</w:t>
      </w:r>
    </w:p>
    <w:p w14:paraId="48237803">
      <w:pPr>
        <w:spacing w:line="360" w:lineRule="auto"/>
        <w:ind w:right="240" w:rightChars="100" w:firstLine="480"/>
        <w:rPr>
          <w:rFonts w:ascii="Times New Roman" w:hAnsi="Times New Roman"/>
          <w:highlight w:val="none"/>
        </w:rPr>
      </w:pPr>
    </w:p>
    <w:p w14:paraId="13BFD486">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9）</w:t>
      </w:r>
      <w:r>
        <w:rPr>
          <w:rFonts w:hint="eastAsia" w:ascii="Times New Roman" w:hAnsi="Times New Roman"/>
          <w:b/>
          <w:bCs/>
          <w:highlight w:val="none"/>
        </w:rPr>
        <w:tab/>
      </w:r>
      <w:r>
        <w:rPr>
          <w:rFonts w:hint="eastAsia" w:ascii="Times New Roman" w:hAnsi="Times New Roman"/>
          <w:b/>
          <w:bCs/>
          <w:highlight w:val="none"/>
        </w:rPr>
        <w:t>电缆</w:t>
      </w:r>
      <w:r>
        <w:rPr>
          <w:rFonts w:hint="eastAsia" w:ascii="Times New Roman" w:hAnsi="Times New Roman"/>
          <w:b/>
          <w:bCs/>
          <w:highlight w:val="none"/>
        </w:rPr>
        <w:tab/>
      </w:r>
    </w:p>
    <w:p w14:paraId="4148CC75">
      <w:pPr>
        <w:pStyle w:val="41"/>
        <w:numPr>
          <w:ilvl w:val="0"/>
          <w:numId w:val="1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防火等级：ZR级（阻燃型）。</w:t>
      </w:r>
    </w:p>
    <w:p w14:paraId="20D86BB0">
      <w:pPr>
        <w:pStyle w:val="41"/>
        <w:numPr>
          <w:ilvl w:val="0"/>
          <w:numId w:val="1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额定电压：450V。</w:t>
      </w:r>
    </w:p>
    <w:p w14:paraId="29A807D8">
      <w:pPr>
        <w:pStyle w:val="41"/>
        <w:numPr>
          <w:ilvl w:val="0"/>
          <w:numId w:val="1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工作温度范围：-15°C至+90°C</w:t>
      </w:r>
    </w:p>
    <w:p w14:paraId="2E41B932">
      <w:pPr>
        <w:pStyle w:val="41"/>
        <w:numPr>
          <w:ilvl w:val="0"/>
          <w:numId w:val="1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绝缘材料：交联聚乙烯（XLPE），具备良好的耐热性和耐化学性。</w:t>
      </w:r>
    </w:p>
    <w:p w14:paraId="2A6A70D5">
      <w:pPr>
        <w:pStyle w:val="41"/>
        <w:numPr>
          <w:ilvl w:val="0"/>
          <w:numId w:val="1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护套材料：PVC，具有耐磨、防潮、防腐蚀性能。</w:t>
      </w:r>
    </w:p>
    <w:p w14:paraId="507761A9">
      <w:pPr>
        <w:spacing w:line="360" w:lineRule="auto"/>
        <w:ind w:right="240" w:rightChars="100" w:firstLine="480"/>
        <w:rPr>
          <w:rFonts w:ascii="Times New Roman" w:hAnsi="Times New Roman"/>
          <w:highlight w:val="none"/>
        </w:rPr>
      </w:pPr>
    </w:p>
    <w:p w14:paraId="0EEA78C6">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10）</w:t>
      </w:r>
      <w:r>
        <w:rPr>
          <w:rFonts w:hint="eastAsia" w:ascii="Times New Roman" w:hAnsi="Times New Roman"/>
          <w:b/>
          <w:bCs/>
          <w:highlight w:val="none"/>
        </w:rPr>
        <w:tab/>
      </w:r>
      <w:r>
        <w:rPr>
          <w:rFonts w:hint="eastAsia" w:ascii="Times New Roman" w:hAnsi="Times New Roman"/>
          <w:b/>
          <w:bCs/>
          <w:highlight w:val="none"/>
        </w:rPr>
        <w:t>PDU</w:t>
      </w:r>
      <w:r>
        <w:rPr>
          <w:rFonts w:hint="eastAsia" w:ascii="Times New Roman" w:hAnsi="Times New Roman"/>
          <w:b/>
          <w:bCs/>
          <w:highlight w:val="none"/>
        </w:rPr>
        <w:tab/>
      </w:r>
    </w:p>
    <w:p w14:paraId="5427F861">
      <w:pPr>
        <w:pStyle w:val="41"/>
        <w:numPr>
          <w:ilvl w:val="0"/>
          <w:numId w:val="12"/>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安装方式：垂直安装。</w:t>
      </w:r>
    </w:p>
    <w:p w14:paraId="1C7080C6">
      <w:pPr>
        <w:pStyle w:val="41"/>
        <w:numPr>
          <w:ilvl w:val="0"/>
          <w:numId w:val="12"/>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输入电流：32A。</w:t>
      </w:r>
    </w:p>
    <w:p w14:paraId="2308F61C">
      <w:pPr>
        <w:pStyle w:val="41"/>
        <w:numPr>
          <w:ilvl w:val="0"/>
          <w:numId w:val="12"/>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输入插头：IEC 60309标准的3P+E插头。</w:t>
      </w:r>
    </w:p>
    <w:p w14:paraId="29D66345">
      <w:pPr>
        <w:pStyle w:val="41"/>
        <w:numPr>
          <w:ilvl w:val="0"/>
          <w:numId w:val="12"/>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输出数量：16个。</w:t>
      </w:r>
    </w:p>
    <w:p w14:paraId="20AB1267">
      <w:pPr>
        <w:pStyle w:val="41"/>
        <w:numPr>
          <w:ilvl w:val="0"/>
          <w:numId w:val="12"/>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输出插座：12个C13 10A插座 + 4个C19 16A插座。</w:t>
      </w:r>
    </w:p>
    <w:p w14:paraId="5DEDC611">
      <w:pPr>
        <w:pStyle w:val="41"/>
        <w:numPr>
          <w:ilvl w:val="0"/>
          <w:numId w:val="12"/>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工作温度：0°至55°C。</w:t>
      </w:r>
    </w:p>
    <w:p w14:paraId="05D4736A">
      <w:pPr>
        <w:pStyle w:val="41"/>
        <w:numPr>
          <w:ilvl w:val="0"/>
          <w:numId w:val="12"/>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防护等级：IP20。</w:t>
      </w:r>
    </w:p>
    <w:p w14:paraId="425C58F0">
      <w:pPr>
        <w:pStyle w:val="41"/>
        <w:numPr>
          <w:ilvl w:val="0"/>
          <w:numId w:val="12"/>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电源线长: 不少于1.5米</w:t>
      </w:r>
    </w:p>
    <w:p w14:paraId="6BCCC833">
      <w:pPr>
        <w:spacing w:line="360" w:lineRule="auto"/>
        <w:ind w:right="240" w:rightChars="100" w:firstLine="480"/>
        <w:rPr>
          <w:rFonts w:ascii="Times New Roman" w:hAnsi="Times New Roman"/>
          <w:highlight w:val="none"/>
        </w:rPr>
      </w:pPr>
    </w:p>
    <w:p w14:paraId="2A2944A4">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11）</w:t>
      </w:r>
      <w:r>
        <w:rPr>
          <w:rFonts w:hint="eastAsia" w:ascii="Times New Roman" w:hAnsi="Times New Roman"/>
          <w:b/>
          <w:bCs/>
          <w:highlight w:val="none"/>
        </w:rPr>
        <w:tab/>
      </w:r>
      <w:r>
        <w:rPr>
          <w:rFonts w:hint="eastAsia" w:ascii="Times New Roman" w:hAnsi="Times New Roman"/>
          <w:b/>
          <w:bCs/>
          <w:highlight w:val="none"/>
        </w:rPr>
        <w:t>OM4 MPO-LC 扇形多模光纤跳线</w:t>
      </w:r>
      <w:r>
        <w:rPr>
          <w:rFonts w:hint="eastAsia" w:ascii="Times New Roman" w:hAnsi="Times New Roman"/>
          <w:b/>
          <w:bCs/>
          <w:highlight w:val="none"/>
        </w:rPr>
        <w:tab/>
      </w:r>
    </w:p>
    <w:p w14:paraId="0C3B01A7">
      <w:pPr>
        <w:pStyle w:val="41"/>
        <w:numPr>
          <w:ilvl w:val="0"/>
          <w:numId w:val="1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性能标准：ISO/IEC-11801，TIA/EIA-568-C.3，TIA-604-5 (FOCIS-5)，TIA-604-10（FOCIS-10）。</w:t>
      </w:r>
    </w:p>
    <w:p w14:paraId="4EBB0E60">
      <w:pPr>
        <w:pStyle w:val="41"/>
        <w:numPr>
          <w:ilvl w:val="0"/>
          <w:numId w:val="1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光纤规格：50.0/125um-OM4。</w:t>
      </w:r>
    </w:p>
    <w:p w14:paraId="7923673E">
      <w:pPr>
        <w:pStyle w:val="41"/>
        <w:numPr>
          <w:ilvl w:val="0"/>
          <w:numId w:val="1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光缆极性：B极性，现场可变极性，当翻转MPO插头极性时须能够同时改变4对DLC的左右极性。</w:t>
      </w:r>
    </w:p>
    <w:p w14:paraId="5E3CA4B7">
      <w:pPr>
        <w:pStyle w:val="41"/>
        <w:numPr>
          <w:ilvl w:val="0"/>
          <w:numId w:val="1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插头公母：A端为Female MPO母头，8芯，现场可变公母。B端为4对LC接头。</w:t>
      </w:r>
    </w:p>
    <w:p w14:paraId="5787EF99">
      <w:pPr>
        <w:pStyle w:val="41"/>
        <w:numPr>
          <w:ilvl w:val="0"/>
          <w:numId w:val="1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阻燃等级：低烟无卤阻燃LSZH。</w:t>
      </w:r>
    </w:p>
    <w:p w14:paraId="14FFA8BC">
      <w:pPr>
        <w:pStyle w:val="41"/>
        <w:numPr>
          <w:ilvl w:val="0"/>
          <w:numId w:val="1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光缆芯数：8芯。</w:t>
      </w:r>
    </w:p>
    <w:p w14:paraId="2EF8FA35">
      <w:pPr>
        <w:pStyle w:val="41"/>
        <w:numPr>
          <w:ilvl w:val="0"/>
          <w:numId w:val="1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插入损耗：MPO ≤0.35dB，LC ≤0.15dB。</w:t>
      </w:r>
    </w:p>
    <w:p w14:paraId="20A388CA">
      <w:pPr>
        <w:pStyle w:val="41"/>
        <w:numPr>
          <w:ilvl w:val="0"/>
          <w:numId w:val="1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回波损耗：MPO ≥25.0dB。</w:t>
      </w:r>
    </w:p>
    <w:p w14:paraId="3CC37670">
      <w:pPr>
        <w:pStyle w:val="41"/>
        <w:numPr>
          <w:ilvl w:val="0"/>
          <w:numId w:val="1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接插次数：MPO满足TIA/EIA-568C.3之A.4.9要求的500次接插耐用性。</w:t>
      </w:r>
    </w:p>
    <w:p w14:paraId="31A38459">
      <w:pPr>
        <w:pStyle w:val="41"/>
        <w:numPr>
          <w:ilvl w:val="0"/>
          <w:numId w:val="1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出厂检测：100%出厂检测，并附有检测标签。</w:t>
      </w:r>
    </w:p>
    <w:p w14:paraId="6919261E">
      <w:pPr>
        <w:spacing w:line="360" w:lineRule="auto"/>
        <w:ind w:right="240" w:rightChars="100" w:firstLine="480"/>
        <w:rPr>
          <w:rFonts w:ascii="Times New Roman" w:hAnsi="Times New Roman"/>
          <w:highlight w:val="none"/>
        </w:rPr>
      </w:pPr>
    </w:p>
    <w:p w14:paraId="04D83A4C">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12）</w:t>
      </w:r>
      <w:r>
        <w:rPr>
          <w:rFonts w:hint="eastAsia" w:ascii="Times New Roman" w:hAnsi="Times New Roman"/>
          <w:b/>
          <w:bCs/>
          <w:highlight w:val="none"/>
        </w:rPr>
        <w:tab/>
      </w:r>
      <w:r>
        <w:rPr>
          <w:rFonts w:hint="eastAsia" w:ascii="Times New Roman" w:hAnsi="Times New Roman"/>
          <w:b/>
          <w:bCs/>
          <w:highlight w:val="none"/>
        </w:rPr>
        <w:t>OM4 MPO 多模光纤跳线</w:t>
      </w:r>
      <w:r>
        <w:rPr>
          <w:rFonts w:hint="eastAsia" w:ascii="Times New Roman" w:hAnsi="Times New Roman"/>
          <w:b/>
          <w:bCs/>
          <w:highlight w:val="none"/>
        </w:rPr>
        <w:tab/>
      </w:r>
    </w:p>
    <w:p w14:paraId="76413093">
      <w:pPr>
        <w:pStyle w:val="41"/>
        <w:numPr>
          <w:ilvl w:val="0"/>
          <w:numId w:val="1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性能标准：ISO/IEC-11801，TIA/EIA-568-C.3，TIA-604-5 (FOCIS-5)。</w:t>
      </w:r>
    </w:p>
    <w:p w14:paraId="3DF175BB">
      <w:pPr>
        <w:pStyle w:val="41"/>
        <w:numPr>
          <w:ilvl w:val="0"/>
          <w:numId w:val="1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光缆类型：圆形小外径互连型预端接光缆，不带牵引拉索。</w:t>
      </w:r>
    </w:p>
    <w:p w14:paraId="733E6A5C">
      <w:pPr>
        <w:pStyle w:val="41"/>
        <w:numPr>
          <w:ilvl w:val="0"/>
          <w:numId w:val="1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光纤规格：50.0/125um-OM4。</w:t>
      </w:r>
    </w:p>
    <w:p w14:paraId="3C834D0C">
      <w:pPr>
        <w:pStyle w:val="41"/>
        <w:numPr>
          <w:ilvl w:val="0"/>
          <w:numId w:val="1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光纤接口：MPO</w:t>
      </w:r>
    </w:p>
    <w:p w14:paraId="142FA87E">
      <w:pPr>
        <w:pStyle w:val="41"/>
        <w:numPr>
          <w:ilvl w:val="0"/>
          <w:numId w:val="1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阻燃等级：低烟无卤阻燃LSZH, 环保无毒，满足 IEC 60332-3标准。</w:t>
      </w:r>
    </w:p>
    <w:p w14:paraId="035FA92B">
      <w:pPr>
        <w:pStyle w:val="41"/>
        <w:numPr>
          <w:ilvl w:val="0"/>
          <w:numId w:val="1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光缆芯数：8芯。</w:t>
      </w:r>
    </w:p>
    <w:p w14:paraId="07E97D5D">
      <w:pPr>
        <w:pStyle w:val="41"/>
        <w:numPr>
          <w:ilvl w:val="0"/>
          <w:numId w:val="1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抗拉强度：220N。</w:t>
      </w:r>
    </w:p>
    <w:p w14:paraId="237B08BE">
      <w:pPr>
        <w:pStyle w:val="41"/>
        <w:numPr>
          <w:ilvl w:val="0"/>
          <w:numId w:val="1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插入损耗：≤0.35dB。</w:t>
      </w:r>
    </w:p>
    <w:p w14:paraId="420B1E17">
      <w:pPr>
        <w:pStyle w:val="41"/>
        <w:numPr>
          <w:ilvl w:val="0"/>
          <w:numId w:val="1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回波损耗：≥26dB。</w:t>
      </w:r>
    </w:p>
    <w:p w14:paraId="3F8E339E">
      <w:pPr>
        <w:pStyle w:val="41"/>
        <w:numPr>
          <w:ilvl w:val="0"/>
          <w:numId w:val="1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出厂检测：100%出厂检测，并附有检测标签。</w:t>
      </w:r>
    </w:p>
    <w:p w14:paraId="4D5F1761">
      <w:pPr>
        <w:spacing w:line="360" w:lineRule="auto"/>
        <w:ind w:right="240" w:rightChars="100" w:firstLine="480"/>
        <w:rPr>
          <w:rFonts w:ascii="Times New Roman" w:hAnsi="Times New Roman"/>
          <w:highlight w:val="none"/>
        </w:rPr>
      </w:pPr>
    </w:p>
    <w:p w14:paraId="5410BC0E">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13）</w:t>
      </w:r>
      <w:r>
        <w:rPr>
          <w:rFonts w:hint="eastAsia" w:ascii="Times New Roman" w:hAnsi="Times New Roman"/>
          <w:b/>
          <w:bCs/>
          <w:highlight w:val="none"/>
        </w:rPr>
        <w:tab/>
      </w:r>
      <w:r>
        <w:rPr>
          <w:rFonts w:hint="eastAsia" w:ascii="Times New Roman" w:hAnsi="Times New Roman"/>
          <w:b/>
          <w:bCs/>
          <w:highlight w:val="none"/>
        </w:rPr>
        <w:t>OM4 LC-LC 多模双工光纤跳线</w:t>
      </w:r>
      <w:r>
        <w:rPr>
          <w:rFonts w:hint="eastAsia" w:ascii="Times New Roman" w:hAnsi="Times New Roman"/>
          <w:b/>
          <w:bCs/>
          <w:highlight w:val="none"/>
        </w:rPr>
        <w:tab/>
      </w:r>
    </w:p>
    <w:p w14:paraId="210B3A6E">
      <w:pPr>
        <w:pStyle w:val="41"/>
        <w:numPr>
          <w:ilvl w:val="0"/>
          <w:numId w:val="1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性能标准：满足ISO/IEC 11801标准要求。</w:t>
      </w:r>
    </w:p>
    <w:p w14:paraId="46CD6387">
      <w:pPr>
        <w:pStyle w:val="41"/>
        <w:numPr>
          <w:ilvl w:val="0"/>
          <w:numId w:val="1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光纤规格：50/125um-OM4。</w:t>
      </w:r>
    </w:p>
    <w:p w14:paraId="50701C84">
      <w:pPr>
        <w:pStyle w:val="41"/>
        <w:numPr>
          <w:ilvl w:val="0"/>
          <w:numId w:val="1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接口类型：2LC-2LC。</w:t>
      </w:r>
    </w:p>
    <w:p w14:paraId="7802D20F">
      <w:pPr>
        <w:pStyle w:val="41"/>
        <w:numPr>
          <w:ilvl w:val="0"/>
          <w:numId w:val="1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插入损耗：≤0.3dB。</w:t>
      </w:r>
    </w:p>
    <w:p w14:paraId="1F418F0C">
      <w:pPr>
        <w:pStyle w:val="41"/>
        <w:numPr>
          <w:ilvl w:val="0"/>
          <w:numId w:val="1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回波损耗：≥26.0dB。</w:t>
      </w:r>
    </w:p>
    <w:p w14:paraId="3119941B">
      <w:pPr>
        <w:pStyle w:val="41"/>
        <w:numPr>
          <w:ilvl w:val="0"/>
          <w:numId w:val="1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阻燃等级：LSZH低烟无卤。</w:t>
      </w:r>
    </w:p>
    <w:p w14:paraId="3D5393FE">
      <w:pPr>
        <w:spacing w:line="360" w:lineRule="auto"/>
        <w:ind w:right="240" w:rightChars="100" w:firstLine="480"/>
        <w:rPr>
          <w:rFonts w:ascii="Times New Roman" w:hAnsi="Times New Roman"/>
          <w:highlight w:val="none"/>
        </w:rPr>
      </w:pPr>
    </w:p>
    <w:p w14:paraId="4A615C5A">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14）</w:t>
      </w:r>
      <w:r>
        <w:rPr>
          <w:rFonts w:hint="eastAsia" w:ascii="Times New Roman" w:hAnsi="Times New Roman"/>
          <w:b/>
          <w:bCs/>
          <w:highlight w:val="none"/>
        </w:rPr>
        <w:tab/>
      </w:r>
      <w:r>
        <w:rPr>
          <w:rFonts w:hint="eastAsia" w:ascii="Times New Roman" w:hAnsi="Times New Roman"/>
          <w:b/>
          <w:bCs/>
          <w:highlight w:val="none"/>
        </w:rPr>
        <w:t>OM3 LC-LC 多模双工光纤跳线</w:t>
      </w:r>
      <w:r>
        <w:rPr>
          <w:rFonts w:hint="eastAsia" w:ascii="Times New Roman" w:hAnsi="Times New Roman"/>
          <w:b/>
          <w:bCs/>
          <w:highlight w:val="none"/>
        </w:rPr>
        <w:tab/>
      </w:r>
    </w:p>
    <w:p w14:paraId="1420C3D0">
      <w:pPr>
        <w:pStyle w:val="41"/>
        <w:numPr>
          <w:ilvl w:val="0"/>
          <w:numId w:val="1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性能标准：满足ISO/IEC 11801标准要求。</w:t>
      </w:r>
    </w:p>
    <w:p w14:paraId="4804B13E">
      <w:pPr>
        <w:pStyle w:val="41"/>
        <w:numPr>
          <w:ilvl w:val="0"/>
          <w:numId w:val="1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光纤规格：50/125um-OM3。</w:t>
      </w:r>
    </w:p>
    <w:p w14:paraId="77107794">
      <w:pPr>
        <w:pStyle w:val="41"/>
        <w:numPr>
          <w:ilvl w:val="0"/>
          <w:numId w:val="1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接口类型：2LC-2LC。</w:t>
      </w:r>
    </w:p>
    <w:p w14:paraId="4DC863B9">
      <w:pPr>
        <w:pStyle w:val="41"/>
        <w:numPr>
          <w:ilvl w:val="0"/>
          <w:numId w:val="1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插入损耗：≤0.3dB。</w:t>
      </w:r>
    </w:p>
    <w:p w14:paraId="1BA68CE5">
      <w:pPr>
        <w:pStyle w:val="41"/>
        <w:numPr>
          <w:ilvl w:val="0"/>
          <w:numId w:val="1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回波损耗：≥26.0dB。</w:t>
      </w:r>
    </w:p>
    <w:p w14:paraId="5F77FB1E">
      <w:pPr>
        <w:pStyle w:val="41"/>
        <w:numPr>
          <w:ilvl w:val="0"/>
          <w:numId w:val="16"/>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阻燃等级：LSZH低烟无卤。</w:t>
      </w:r>
    </w:p>
    <w:p w14:paraId="18E98425">
      <w:pPr>
        <w:spacing w:line="360" w:lineRule="auto"/>
        <w:ind w:right="240" w:rightChars="100" w:firstLine="480"/>
        <w:rPr>
          <w:rFonts w:ascii="Times New Roman" w:hAnsi="Times New Roman"/>
          <w:highlight w:val="none"/>
        </w:rPr>
      </w:pPr>
    </w:p>
    <w:p w14:paraId="517F358A">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15）</w:t>
      </w:r>
      <w:r>
        <w:rPr>
          <w:rFonts w:hint="eastAsia" w:ascii="Times New Roman" w:hAnsi="Times New Roman"/>
          <w:b/>
          <w:bCs/>
          <w:highlight w:val="none"/>
        </w:rPr>
        <w:tab/>
      </w:r>
      <w:r>
        <w:rPr>
          <w:rFonts w:hint="eastAsia" w:ascii="Times New Roman" w:hAnsi="Times New Roman"/>
          <w:b/>
          <w:bCs/>
          <w:highlight w:val="none"/>
        </w:rPr>
        <w:t>MPO光纤适配器</w:t>
      </w:r>
      <w:r>
        <w:rPr>
          <w:rFonts w:hint="eastAsia" w:ascii="Times New Roman" w:hAnsi="Times New Roman"/>
          <w:b/>
          <w:bCs/>
          <w:highlight w:val="none"/>
        </w:rPr>
        <w:tab/>
      </w:r>
    </w:p>
    <w:p w14:paraId="1835CE85">
      <w:pPr>
        <w:pStyle w:val="41"/>
        <w:numPr>
          <w:ilvl w:val="0"/>
          <w:numId w:val="1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性能标准：所有适配器满足并超越TIA/EIA-568-C.3性能要求，并符合接口规范LC TIA/EIA-604-FOCIS-10。</w:t>
      </w:r>
    </w:p>
    <w:p w14:paraId="6340808F">
      <w:pPr>
        <w:pStyle w:val="41"/>
        <w:numPr>
          <w:ilvl w:val="0"/>
          <w:numId w:val="1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安装方式：每组板载式光纤适配器两端都带有活动按钮，便于快速安装或取下，无需任何工具。</w:t>
      </w:r>
    </w:p>
    <w:p w14:paraId="3C90C94A">
      <w:pPr>
        <w:pStyle w:val="41"/>
        <w:numPr>
          <w:ilvl w:val="0"/>
          <w:numId w:val="1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接口规格：FAP装有六（4）个向上/向上MPO光纤适配器，灰色，B型</w:t>
      </w:r>
    </w:p>
    <w:p w14:paraId="1986DF79">
      <w:pPr>
        <w:pStyle w:val="41"/>
        <w:numPr>
          <w:ilvl w:val="0"/>
          <w:numId w:val="1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尺寸规格：统一的外观尺寸为W109mm×H35mm。</w:t>
      </w:r>
    </w:p>
    <w:p w14:paraId="6637D249">
      <w:pPr>
        <w:pStyle w:val="41"/>
        <w:numPr>
          <w:ilvl w:val="0"/>
          <w:numId w:val="1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光学性能：均支持对应的光纤连接器的插入损耗及回波损耗性能。</w:t>
      </w:r>
    </w:p>
    <w:p w14:paraId="068B369B">
      <w:pPr>
        <w:pStyle w:val="41"/>
        <w:numPr>
          <w:ilvl w:val="0"/>
          <w:numId w:val="17"/>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质检标识：每个模块都具有激光刻印的质检编号。</w:t>
      </w:r>
    </w:p>
    <w:p w14:paraId="25BA83FE">
      <w:pPr>
        <w:spacing w:line="360" w:lineRule="auto"/>
        <w:ind w:right="240" w:rightChars="100" w:firstLine="480"/>
        <w:rPr>
          <w:rFonts w:ascii="Times New Roman" w:hAnsi="Times New Roman"/>
          <w:highlight w:val="none"/>
        </w:rPr>
      </w:pPr>
    </w:p>
    <w:p w14:paraId="7F667D23">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16）</w:t>
      </w:r>
      <w:r>
        <w:rPr>
          <w:rFonts w:hint="eastAsia" w:ascii="Times New Roman" w:hAnsi="Times New Roman"/>
          <w:b/>
          <w:bCs/>
          <w:highlight w:val="none"/>
        </w:rPr>
        <w:tab/>
      </w:r>
      <w:r>
        <w:rPr>
          <w:rFonts w:hint="eastAsia" w:ascii="Times New Roman" w:hAnsi="Times New Roman"/>
          <w:b/>
          <w:bCs/>
          <w:highlight w:val="none"/>
        </w:rPr>
        <w:t>c14转c13欧标电源线</w:t>
      </w:r>
      <w:r>
        <w:rPr>
          <w:rFonts w:hint="eastAsia" w:ascii="Times New Roman" w:hAnsi="Times New Roman"/>
          <w:b/>
          <w:bCs/>
          <w:highlight w:val="none"/>
        </w:rPr>
        <w:tab/>
      </w:r>
    </w:p>
    <w:p w14:paraId="19DBAE10">
      <w:pPr>
        <w:pStyle w:val="41"/>
        <w:numPr>
          <w:ilvl w:val="0"/>
          <w:numId w:val="1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安全认证：3C强电安全认证。</w:t>
      </w:r>
    </w:p>
    <w:p w14:paraId="1BB16984">
      <w:pPr>
        <w:pStyle w:val="41"/>
        <w:numPr>
          <w:ilvl w:val="0"/>
          <w:numId w:val="1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产品线长：1.5米。</w:t>
      </w:r>
    </w:p>
    <w:p w14:paraId="0029AE4B">
      <w:pPr>
        <w:pStyle w:val="41"/>
        <w:numPr>
          <w:ilvl w:val="0"/>
          <w:numId w:val="1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线芯规格：3 x 1.5 mm²。</w:t>
      </w:r>
    </w:p>
    <w:p w14:paraId="5A1035B5">
      <w:pPr>
        <w:pStyle w:val="41"/>
        <w:numPr>
          <w:ilvl w:val="0"/>
          <w:numId w:val="1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额定电流：10A。</w:t>
      </w:r>
    </w:p>
    <w:p w14:paraId="3AE93F04">
      <w:pPr>
        <w:pStyle w:val="41"/>
        <w:numPr>
          <w:ilvl w:val="0"/>
          <w:numId w:val="1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额定电压：250V</w:t>
      </w:r>
    </w:p>
    <w:p w14:paraId="212351A6">
      <w:pPr>
        <w:pStyle w:val="41"/>
        <w:numPr>
          <w:ilvl w:val="0"/>
          <w:numId w:val="1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产品线被：环保阻燃PVC。</w:t>
      </w:r>
    </w:p>
    <w:p w14:paraId="630014EF">
      <w:pPr>
        <w:pStyle w:val="41"/>
        <w:numPr>
          <w:ilvl w:val="0"/>
          <w:numId w:val="1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线缆接口：C13/C14。</w:t>
      </w:r>
    </w:p>
    <w:p w14:paraId="1530078B">
      <w:pPr>
        <w:pStyle w:val="41"/>
        <w:numPr>
          <w:ilvl w:val="0"/>
          <w:numId w:val="18"/>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线芯材质：纯铜。</w:t>
      </w:r>
    </w:p>
    <w:p w14:paraId="6E9E167E">
      <w:pPr>
        <w:spacing w:line="360" w:lineRule="auto"/>
        <w:ind w:right="240" w:rightChars="100" w:firstLine="480"/>
        <w:rPr>
          <w:rFonts w:ascii="Times New Roman" w:hAnsi="Times New Roman"/>
          <w:highlight w:val="none"/>
        </w:rPr>
      </w:pPr>
    </w:p>
    <w:p w14:paraId="41D1C60D">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17）</w:t>
      </w:r>
      <w:r>
        <w:rPr>
          <w:rFonts w:hint="eastAsia" w:ascii="Times New Roman" w:hAnsi="Times New Roman"/>
          <w:b/>
          <w:bCs/>
          <w:highlight w:val="none"/>
        </w:rPr>
        <w:tab/>
      </w:r>
      <w:r>
        <w:rPr>
          <w:rFonts w:hint="eastAsia" w:ascii="Times New Roman" w:hAnsi="Times New Roman"/>
          <w:b/>
          <w:bCs/>
          <w:highlight w:val="none"/>
        </w:rPr>
        <w:t>c20转c13欧标电源线</w:t>
      </w:r>
      <w:r>
        <w:rPr>
          <w:rFonts w:hint="eastAsia" w:ascii="Times New Roman" w:hAnsi="Times New Roman"/>
          <w:b/>
          <w:bCs/>
          <w:highlight w:val="none"/>
        </w:rPr>
        <w:tab/>
      </w:r>
    </w:p>
    <w:p w14:paraId="27A7B851">
      <w:pPr>
        <w:pStyle w:val="41"/>
        <w:numPr>
          <w:ilvl w:val="0"/>
          <w:numId w:val="1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安全认证：3C强电安全认证。</w:t>
      </w:r>
    </w:p>
    <w:p w14:paraId="6856BBDD">
      <w:pPr>
        <w:pStyle w:val="41"/>
        <w:numPr>
          <w:ilvl w:val="0"/>
          <w:numId w:val="1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产品线长：1.5米。</w:t>
      </w:r>
    </w:p>
    <w:p w14:paraId="6271EF37">
      <w:pPr>
        <w:pStyle w:val="41"/>
        <w:numPr>
          <w:ilvl w:val="0"/>
          <w:numId w:val="1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线芯规格：3 x 1.5 mm²。</w:t>
      </w:r>
    </w:p>
    <w:p w14:paraId="47F2FA54">
      <w:pPr>
        <w:pStyle w:val="41"/>
        <w:numPr>
          <w:ilvl w:val="0"/>
          <w:numId w:val="1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额定电流：16A。</w:t>
      </w:r>
    </w:p>
    <w:p w14:paraId="4F7A5131">
      <w:pPr>
        <w:pStyle w:val="41"/>
        <w:numPr>
          <w:ilvl w:val="0"/>
          <w:numId w:val="1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额定电压：250V</w:t>
      </w:r>
    </w:p>
    <w:p w14:paraId="22899520">
      <w:pPr>
        <w:pStyle w:val="41"/>
        <w:numPr>
          <w:ilvl w:val="0"/>
          <w:numId w:val="1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产品线被：环保阻燃PVC。</w:t>
      </w:r>
    </w:p>
    <w:p w14:paraId="132ABBAD">
      <w:pPr>
        <w:pStyle w:val="41"/>
        <w:numPr>
          <w:ilvl w:val="0"/>
          <w:numId w:val="1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线缆接口：C20/C14。</w:t>
      </w:r>
    </w:p>
    <w:p w14:paraId="696EA786">
      <w:pPr>
        <w:pStyle w:val="41"/>
        <w:numPr>
          <w:ilvl w:val="0"/>
          <w:numId w:val="19"/>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线芯材质：纯铜。</w:t>
      </w:r>
    </w:p>
    <w:p w14:paraId="551DAB0D">
      <w:pPr>
        <w:spacing w:line="360" w:lineRule="auto"/>
        <w:ind w:right="240" w:rightChars="100" w:firstLine="480"/>
        <w:rPr>
          <w:rFonts w:ascii="Times New Roman" w:hAnsi="Times New Roman"/>
          <w:highlight w:val="none"/>
        </w:rPr>
      </w:pPr>
    </w:p>
    <w:p w14:paraId="6E37F6B9">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18）</w:t>
      </w:r>
      <w:r>
        <w:rPr>
          <w:rFonts w:hint="eastAsia" w:ascii="Times New Roman" w:hAnsi="Times New Roman"/>
          <w:b/>
          <w:bCs/>
          <w:highlight w:val="none"/>
        </w:rPr>
        <w:tab/>
      </w:r>
      <w:r>
        <w:rPr>
          <w:rFonts w:hint="eastAsia" w:ascii="Times New Roman" w:hAnsi="Times New Roman"/>
          <w:b/>
          <w:bCs/>
          <w:highlight w:val="none"/>
        </w:rPr>
        <w:t>48芯光纤配线架</w:t>
      </w:r>
      <w:r>
        <w:rPr>
          <w:rFonts w:hint="eastAsia" w:ascii="Times New Roman" w:hAnsi="Times New Roman"/>
          <w:b/>
          <w:bCs/>
          <w:highlight w:val="none"/>
        </w:rPr>
        <w:tab/>
      </w:r>
    </w:p>
    <w:p w14:paraId="740111B6">
      <w:pPr>
        <w:pStyle w:val="41"/>
        <w:numPr>
          <w:ilvl w:val="0"/>
          <w:numId w:val="2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安装方式：19英寸安装，抽屉式光纤箱，箱体及顶盖均为优质钢板，硬质黑色粉末喷涂。</w:t>
      </w:r>
    </w:p>
    <w:p w14:paraId="681172B8">
      <w:pPr>
        <w:pStyle w:val="41"/>
        <w:numPr>
          <w:ilvl w:val="0"/>
          <w:numId w:val="2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面板类型：自带光纤面板并满配耦合器</w:t>
      </w:r>
    </w:p>
    <w:p w14:paraId="006AE393">
      <w:pPr>
        <w:pStyle w:val="41"/>
        <w:numPr>
          <w:ilvl w:val="0"/>
          <w:numId w:val="2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光纤容量：预装24个2LC耦合器,48芯LC/1RU。</w:t>
      </w:r>
    </w:p>
    <w:p w14:paraId="1FA93301">
      <w:pPr>
        <w:pStyle w:val="41"/>
        <w:numPr>
          <w:ilvl w:val="0"/>
          <w:numId w:val="2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耦合元件：氧化锆陶瓷耦合套管</w:t>
      </w:r>
    </w:p>
    <w:p w14:paraId="39167479">
      <w:pPr>
        <w:pStyle w:val="41"/>
        <w:numPr>
          <w:ilvl w:val="0"/>
          <w:numId w:val="2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进线方式：在机箱后部和侧面提供多个线缆入口装置</w:t>
      </w:r>
    </w:p>
    <w:p w14:paraId="2D7F1366">
      <w:pPr>
        <w:pStyle w:val="41"/>
        <w:numPr>
          <w:ilvl w:val="0"/>
          <w:numId w:val="20"/>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物理安全：端口可加锁。</w:t>
      </w:r>
    </w:p>
    <w:p w14:paraId="7F17EC25">
      <w:pPr>
        <w:spacing w:line="360" w:lineRule="auto"/>
        <w:ind w:right="240" w:rightChars="100" w:firstLine="480"/>
        <w:rPr>
          <w:rFonts w:ascii="Times New Roman" w:hAnsi="Times New Roman"/>
          <w:highlight w:val="none"/>
        </w:rPr>
      </w:pPr>
    </w:p>
    <w:p w14:paraId="53CB3B34">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19）</w:t>
      </w:r>
      <w:r>
        <w:rPr>
          <w:rFonts w:hint="eastAsia" w:ascii="Times New Roman" w:hAnsi="Times New Roman"/>
          <w:b/>
          <w:bCs/>
          <w:highlight w:val="none"/>
        </w:rPr>
        <w:tab/>
      </w:r>
      <w:r>
        <w:rPr>
          <w:rFonts w:hint="eastAsia" w:ascii="Times New Roman" w:hAnsi="Times New Roman"/>
          <w:b/>
          <w:bCs/>
          <w:highlight w:val="none"/>
        </w:rPr>
        <w:t>服务器机柜</w:t>
      </w:r>
      <w:r>
        <w:rPr>
          <w:rFonts w:hint="eastAsia" w:ascii="Times New Roman" w:hAnsi="Times New Roman"/>
          <w:b/>
          <w:bCs/>
          <w:highlight w:val="none"/>
        </w:rPr>
        <w:tab/>
      </w:r>
    </w:p>
    <w:p w14:paraId="36AB2C28">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标准合规：EIA-310-E、TIA/EIA-942。</w:t>
      </w:r>
    </w:p>
    <w:p w14:paraId="5FC9D472">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机柜尺寸：42RU， W800mm × D1200mm × H2000mm。</w:t>
      </w:r>
    </w:p>
    <w:p w14:paraId="5CE7F20E">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额定负载：静态1500Kg，动态500Kg。</w:t>
      </w:r>
    </w:p>
    <w:p w14:paraId="493DD85B">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机柜材质：钢材。</w:t>
      </w:r>
    </w:p>
    <w:p w14:paraId="64A1E9A8">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通风比率：69%。</w:t>
      </w:r>
    </w:p>
    <w:p w14:paraId="328DC0A0">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物流包装：可支持船运的组装，每个托盘一台机柜。</w:t>
      </w:r>
    </w:p>
    <w:p w14:paraId="032397DD">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机柜门板：机柜采用单铰链穿孔前门，对开穿孔后门。</w:t>
      </w:r>
    </w:p>
    <w:p w14:paraId="0785B5AE">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侧部面板：采用水平分体式侧板，提供对已安装设备的安全访问。</w:t>
      </w:r>
    </w:p>
    <w:p w14:paraId="2F979720">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顶部面板：机柜顶部包括电刷电缆入口点，以防止空气泄漏。</w:t>
      </w:r>
    </w:p>
    <w:p w14:paraId="658D78F6">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PDU支架：全高PDU支架，用于固定和捆绑电缆。</w:t>
      </w:r>
    </w:p>
    <w:p w14:paraId="7F6657DB">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设备轨道：带有RU标记的完全可调设备轨道，以确保IT设备的正确位置。</w:t>
      </w:r>
    </w:p>
    <w:p w14:paraId="14457707">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线缆管理：机柜正面的左右立柱分别装配有垂直理线棘爪。</w:t>
      </w:r>
    </w:p>
    <w:p w14:paraId="47F414CB">
      <w:pPr>
        <w:pStyle w:val="41"/>
        <w:numPr>
          <w:ilvl w:val="0"/>
          <w:numId w:val="21"/>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双面喷涂：机柜具有双面坚固耐用的聚酯环氧粉末涂料。</w:t>
      </w:r>
    </w:p>
    <w:p w14:paraId="79CE93FF">
      <w:pPr>
        <w:spacing w:line="360" w:lineRule="auto"/>
        <w:ind w:right="240" w:rightChars="100" w:firstLine="480"/>
        <w:rPr>
          <w:rFonts w:ascii="Times New Roman" w:hAnsi="Times New Roman"/>
          <w:highlight w:val="none"/>
        </w:rPr>
      </w:pPr>
    </w:p>
    <w:p w14:paraId="05109F31">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20）</w:t>
      </w:r>
      <w:r>
        <w:rPr>
          <w:rFonts w:hint="eastAsia" w:ascii="Times New Roman" w:hAnsi="Times New Roman"/>
          <w:b/>
          <w:bCs/>
          <w:highlight w:val="none"/>
        </w:rPr>
        <w:tab/>
      </w:r>
      <w:r>
        <w:rPr>
          <w:rFonts w:hint="eastAsia" w:ascii="Times New Roman" w:hAnsi="Times New Roman"/>
          <w:b/>
          <w:bCs/>
          <w:highlight w:val="none"/>
        </w:rPr>
        <w:t>空开</w:t>
      </w:r>
      <w:r>
        <w:rPr>
          <w:rFonts w:hint="eastAsia" w:ascii="Times New Roman" w:hAnsi="Times New Roman"/>
          <w:b/>
          <w:bCs/>
          <w:highlight w:val="none"/>
        </w:rPr>
        <w:tab/>
      </w:r>
    </w:p>
    <w:p w14:paraId="69B7D086">
      <w:pPr>
        <w:pStyle w:val="41"/>
        <w:numPr>
          <w:ilvl w:val="0"/>
          <w:numId w:val="22"/>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额定电流：32A。</w:t>
      </w:r>
    </w:p>
    <w:p w14:paraId="4BC78796">
      <w:pPr>
        <w:pStyle w:val="41"/>
        <w:numPr>
          <w:ilvl w:val="0"/>
          <w:numId w:val="22"/>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极数：1P。</w:t>
      </w:r>
    </w:p>
    <w:p w14:paraId="40A95657">
      <w:pPr>
        <w:spacing w:line="360" w:lineRule="auto"/>
        <w:ind w:right="240" w:rightChars="100" w:firstLine="482"/>
        <w:rPr>
          <w:rFonts w:ascii="Times New Roman" w:hAnsi="Times New Roman"/>
          <w:b/>
          <w:bCs/>
          <w:highlight w:val="none"/>
        </w:rPr>
      </w:pPr>
    </w:p>
    <w:p w14:paraId="3B622112">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21）</w:t>
      </w:r>
      <w:r>
        <w:rPr>
          <w:rFonts w:hint="eastAsia" w:ascii="Times New Roman" w:hAnsi="Times New Roman"/>
          <w:b/>
          <w:bCs/>
          <w:highlight w:val="none"/>
        </w:rPr>
        <w:tab/>
      </w:r>
      <w:r>
        <w:rPr>
          <w:rFonts w:hint="eastAsia" w:ascii="Times New Roman" w:hAnsi="Times New Roman"/>
          <w:b/>
          <w:bCs/>
          <w:highlight w:val="none"/>
        </w:rPr>
        <w:t>工业连接器</w:t>
      </w:r>
      <w:r>
        <w:rPr>
          <w:rFonts w:hint="eastAsia" w:ascii="Times New Roman" w:hAnsi="Times New Roman"/>
          <w:b/>
          <w:bCs/>
          <w:highlight w:val="none"/>
        </w:rPr>
        <w:tab/>
      </w:r>
    </w:p>
    <w:p w14:paraId="3E9B84BC">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额定电流：32A。</w:t>
      </w:r>
    </w:p>
    <w:p w14:paraId="6F3FE7ED">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极数：1P。</w:t>
      </w:r>
    </w:p>
    <w:p w14:paraId="01B161D1">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连接方式：快速插拔式。</w:t>
      </w:r>
    </w:p>
    <w:p w14:paraId="0D024600">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耐用性：高强度材料，适合长期使用。</w:t>
      </w:r>
    </w:p>
    <w:p w14:paraId="2B4434E3">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防护等级：IP44。</w:t>
      </w:r>
    </w:p>
    <w:p w14:paraId="72ADAC7D">
      <w:pPr>
        <w:spacing w:line="360" w:lineRule="auto"/>
        <w:ind w:left="480" w:leftChars="200" w:right="240" w:rightChars="100" w:firstLine="0" w:firstLineChars="0"/>
        <w:rPr>
          <w:rFonts w:ascii="Times New Roman" w:hAnsi="Times New Roman"/>
          <w:highlight w:val="none"/>
        </w:rPr>
      </w:pPr>
    </w:p>
    <w:p w14:paraId="0BBF25AC">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22）</w:t>
      </w:r>
      <w:r>
        <w:rPr>
          <w:rFonts w:hint="eastAsia" w:ascii="Times New Roman" w:hAnsi="Times New Roman"/>
          <w:b/>
          <w:bCs/>
          <w:highlight w:val="none"/>
        </w:rPr>
        <w:tab/>
      </w:r>
      <w:r>
        <w:rPr>
          <w:rFonts w:hint="eastAsia" w:ascii="Times New Roman" w:hAnsi="Times New Roman"/>
          <w:b/>
          <w:bCs/>
          <w:highlight w:val="none"/>
        </w:rPr>
        <w:t>24芯多模光纤</w:t>
      </w:r>
      <w:r>
        <w:rPr>
          <w:rFonts w:hint="eastAsia" w:ascii="Times New Roman" w:hAnsi="Times New Roman"/>
          <w:b/>
          <w:bCs/>
          <w:highlight w:val="none"/>
        </w:rPr>
        <w:tab/>
      </w:r>
    </w:p>
    <w:p w14:paraId="3F14E2B8">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性能标准：满足ISO/IEC 11801、GB/T 50312标准要求。</w:t>
      </w:r>
    </w:p>
    <w:p w14:paraId="1F4A7F44">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光纤规格：50/125um-OM3。</w:t>
      </w:r>
    </w:p>
    <w:p w14:paraId="0801260E">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光纤衰减：3.0dB/Km @ 850nm，1.0dB/Km @ 1300nm。</w:t>
      </w:r>
    </w:p>
    <w:p w14:paraId="2F1D8C1A">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传输距离：支持10G传输达300米。</w:t>
      </w:r>
    </w:p>
    <w:p w14:paraId="1B9490F2">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光纤带宽：EMB ≥2000MHz*Km@850nm。</w:t>
      </w:r>
    </w:p>
    <w:p w14:paraId="2D89630A">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光缆芯数：24芯。</w:t>
      </w:r>
    </w:p>
    <w:p w14:paraId="0AA94948">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阻燃等级：LSZH低烟无卤，满足 IEC 60332-3标准。</w:t>
      </w:r>
    </w:p>
    <w:p w14:paraId="1B6D100C">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燃烧性能：满足GB31247 B1级。</w:t>
      </w:r>
    </w:p>
    <w:p w14:paraId="420D5B60">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抗拉强度：安装660N，长期200N。</w:t>
      </w:r>
    </w:p>
    <w:p w14:paraId="15774280">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抗压强度：500N。</w:t>
      </w:r>
    </w:p>
    <w:p w14:paraId="1B3EED10">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弯曲半径：安装20倍外径，长期10倍外径。</w:t>
      </w:r>
    </w:p>
    <w:p w14:paraId="58193A01">
      <w:pPr>
        <w:pStyle w:val="41"/>
        <w:numPr>
          <w:ilvl w:val="0"/>
          <w:numId w:val="23"/>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操作温度：-20～70℃。</w:t>
      </w:r>
    </w:p>
    <w:p w14:paraId="5AD3253C">
      <w:pPr>
        <w:spacing w:line="360" w:lineRule="auto"/>
        <w:ind w:right="240" w:rightChars="100" w:firstLine="0" w:firstLineChars="0"/>
        <w:rPr>
          <w:rFonts w:ascii="Times New Roman" w:hAnsi="Times New Roman"/>
          <w:highlight w:val="none"/>
        </w:rPr>
      </w:pPr>
    </w:p>
    <w:p w14:paraId="714845B6">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23）</w:t>
      </w:r>
      <w:r>
        <w:rPr>
          <w:rFonts w:hint="eastAsia" w:ascii="Times New Roman" w:hAnsi="Times New Roman"/>
          <w:b/>
          <w:bCs/>
          <w:highlight w:val="none"/>
        </w:rPr>
        <w:tab/>
      </w:r>
      <w:r>
        <w:rPr>
          <w:rFonts w:hint="eastAsia" w:ascii="Times New Roman" w:hAnsi="Times New Roman"/>
          <w:b/>
          <w:bCs/>
          <w:highlight w:val="none"/>
        </w:rPr>
        <w:t>24口网络配线架</w:t>
      </w:r>
    </w:p>
    <w:p w14:paraId="7CA74BED">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安装方式：机架式19 英寸安装。</w:t>
      </w:r>
    </w:p>
    <w:p w14:paraId="3918CA32">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产品规格：平面配线架，24口/1RU，可单独安装或拆卸每一个RJ45 模块。</w:t>
      </w:r>
    </w:p>
    <w:p w14:paraId="0711A6D3">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端口管理：模块化，精确到每1个RJ45端口的独立模块。</w:t>
      </w:r>
    </w:p>
    <w:p w14:paraId="4B39AB24">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色彩管理：色彩化，精确到每1个RJ45 端口的独立模块。</w:t>
      </w:r>
    </w:p>
    <w:p w14:paraId="7E6770A5">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端口布局：整体的 24口 R45 模块排列，全部为同一水平直线，全部为同一垂直平面，整文划一。</w:t>
      </w:r>
    </w:p>
    <w:p w14:paraId="615971B6">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端口兼容：RJ45模块须在配线架及工作区都能兼容安装。</w:t>
      </w:r>
    </w:p>
    <w:p w14:paraId="3F6C320D">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标识管理：配线架自带至少4个活动透明标签槽，便于端口标识和更换标签。</w:t>
      </w:r>
    </w:p>
    <w:p w14:paraId="34C8FBE2">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性能标准：满足ISO/IEC 11801标准要求，信道带宽≥250MHz。</w:t>
      </w:r>
    </w:p>
    <w:p w14:paraId="1D73DACE">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PoE应用：符合802.3bt type 4 (PoE++)标准要求的PoE应用。</w:t>
      </w:r>
    </w:p>
    <w:p w14:paraId="009DD22D">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接插次数：≥2500次。</w:t>
      </w:r>
    </w:p>
    <w:p w14:paraId="4194CACF">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端接方式：T568A或T568B。</w:t>
      </w:r>
    </w:p>
    <w:p w14:paraId="04354577">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线规匹配：22～26AWG。</w:t>
      </w:r>
    </w:p>
    <w:p w14:paraId="0AB69224">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插座针脚：RJ45插座内8芯插针镀有50微英寸黄金。</w:t>
      </w:r>
    </w:p>
    <w:p w14:paraId="1911337E">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物理安全：可额外加装RJ45端口锁，防止未经授权的接入铜缆跳线，并提供制造商的物理网络安全解决方案技术彩页。</w:t>
      </w:r>
    </w:p>
    <w:p w14:paraId="43F11608">
      <w:pPr>
        <w:pStyle w:val="41"/>
        <w:numPr>
          <w:ilvl w:val="0"/>
          <w:numId w:val="24"/>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色彩管理：可提供6种以上不同颜色以区分不同网络或不同功能区域，方便管理维护。</w:t>
      </w:r>
    </w:p>
    <w:p w14:paraId="12E6FFA9">
      <w:pPr>
        <w:spacing w:line="360" w:lineRule="auto"/>
        <w:ind w:right="240" w:rightChars="100" w:firstLine="480"/>
        <w:rPr>
          <w:rFonts w:ascii="Times New Roman" w:hAnsi="Times New Roman"/>
          <w:highlight w:val="none"/>
        </w:rPr>
      </w:pPr>
    </w:p>
    <w:p w14:paraId="42EAA633">
      <w:pPr>
        <w:spacing w:line="360" w:lineRule="auto"/>
        <w:ind w:right="240" w:rightChars="100" w:firstLine="482"/>
        <w:rPr>
          <w:rFonts w:ascii="Times New Roman" w:hAnsi="Times New Roman"/>
          <w:b/>
          <w:bCs/>
          <w:highlight w:val="none"/>
        </w:rPr>
      </w:pPr>
      <w:r>
        <w:rPr>
          <w:rFonts w:hint="eastAsia" w:ascii="Times New Roman" w:hAnsi="Times New Roman"/>
          <w:b/>
          <w:bCs/>
          <w:highlight w:val="none"/>
        </w:rPr>
        <w:t>24）</w:t>
      </w:r>
      <w:r>
        <w:rPr>
          <w:rFonts w:hint="eastAsia" w:ascii="Times New Roman" w:hAnsi="Times New Roman"/>
          <w:b/>
          <w:bCs/>
          <w:highlight w:val="none"/>
        </w:rPr>
        <w:tab/>
      </w:r>
      <w:r>
        <w:rPr>
          <w:rFonts w:hint="eastAsia" w:ascii="Times New Roman" w:hAnsi="Times New Roman"/>
          <w:b/>
          <w:bCs/>
          <w:highlight w:val="none"/>
        </w:rPr>
        <w:t>通用服务器L型支架</w:t>
      </w:r>
      <w:r>
        <w:rPr>
          <w:rFonts w:hint="eastAsia" w:ascii="Times New Roman" w:hAnsi="Times New Roman"/>
          <w:b/>
          <w:bCs/>
          <w:highlight w:val="none"/>
        </w:rPr>
        <w:tab/>
      </w:r>
    </w:p>
    <w:p w14:paraId="3EF6C805">
      <w:pPr>
        <w:pStyle w:val="41"/>
        <w:numPr>
          <w:ilvl w:val="0"/>
          <w:numId w:val="2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结构：L型设计，带滑轨。</w:t>
      </w:r>
    </w:p>
    <w:p w14:paraId="1C644B53">
      <w:pPr>
        <w:pStyle w:val="41"/>
        <w:numPr>
          <w:ilvl w:val="0"/>
          <w:numId w:val="2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材质：优质冷轧钢，具备高承载能力。</w:t>
      </w:r>
    </w:p>
    <w:p w14:paraId="4EAA6B05">
      <w:pPr>
        <w:pStyle w:val="41"/>
        <w:numPr>
          <w:ilvl w:val="0"/>
          <w:numId w:val="2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功能：支持服务器设备稳固安装，方便前后滑动。</w:t>
      </w:r>
    </w:p>
    <w:p w14:paraId="7AD87DAC">
      <w:pPr>
        <w:pStyle w:val="41"/>
        <w:numPr>
          <w:ilvl w:val="0"/>
          <w:numId w:val="25"/>
        </w:numPr>
        <w:spacing w:line="360" w:lineRule="auto"/>
        <w:ind w:left="480" w:leftChars="200" w:right="240" w:rightChars="100" w:firstLineChars="0"/>
        <w:rPr>
          <w:rFonts w:ascii="Times New Roman" w:hAnsi="Times New Roman"/>
          <w:highlight w:val="none"/>
        </w:rPr>
      </w:pPr>
      <w:r>
        <w:rPr>
          <w:rFonts w:hint="eastAsia" w:ascii="Times New Roman" w:hAnsi="Times New Roman"/>
          <w:highlight w:val="none"/>
        </w:rPr>
        <w:t>表面处理：防腐、防锈处理。</w:t>
      </w:r>
    </w:p>
    <w:p w14:paraId="5E5A2E09">
      <w:pPr>
        <w:pStyle w:val="3"/>
        <w:ind w:right="240"/>
        <w:rPr>
          <w:rFonts w:ascii="Times New Roman" w:hAnsi="Times New Roman"/>
          <w:highlight w:val="none"/>
        </w:rPr>
      </w:pPr>
      <w:bookmarkStart w:id="53" w:name="_Toc15059418"/>
      <w:bookmarkStart w:id="54" w:name="_Toc89675144"/>
      <w:r>
        <w:rPr>
          <w:rFonts w:hint="eastAsia" w:ascii="Times New Roman" w:hAnsi="Times New Roman"/>
          <w:highlight w:val="none"/>
        </w:rPr>
        <w:t>3. 交付周期、地点</w:t>
      </w:r>
      <w:bookmarkEnd w:id="53"/>
      <w:bookmarkEnd w:id="54"/>
    </w:p>
    <w:p w14:paraId="44A50788">
      <w:pPr>
        <w:ind w:right="240" w:rightChars="100"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）交付周期：比选人向中选人发出采购订单后20个自然日内交货。</w:t>
      </w:r>
    </w:p>
    <w:p w14:paraId="0A1EB457">
      <w:pPr>
        <w:ind w:right="240" w:rightChars="100" w:firstLine="480"/>
        <w:rPr>
          <w:rFonts w:ascii="Times New Roman" w:hAnsi="Times New Roman"/>
          <w:highlight w:val="none"/>
        </w:rPr>
      </w:pPr>
      <w:r>
        <w:rPr>
          <w:rFonts w:hint="eastAsia" w:ascii="Times New Roman" w:hAnsi="Times New Roman"/>
          <w:highlight w:val="none"/>
        </w:rPr>
        <w:t>2）交付地点：比选人指定地点。</w:t>
      </w:r>
    </w:p>
    <w:p w14:paraId="56F92F77">
      <w:pPr>
        <w:pStyle w:val="3"/>
        <w:ind w:right="240"/>
        <w:rPr>
          <w:rFonts w:ascii="Times New Roman" w:hAnsi="Times New Roman"/>
          <w:highlight w:val="none"/>
        </w:rPr>
      </w:pPr>
      <w:bookmarkStart w:id="55" w:name="_Toc89675146"/>
      <w:bookmarkStart w:id="56" w:name="_Toc15059420"/>
      <w:bookmarkStart w:id="57" w:name="_Toc432254881"/>
      <w:bookmarkStart w:id="58" w:name="_Toc387826347"/>
      <w:bookmarkStart w:id="59" w:name="_Toc1125"/>
      <w:bookmarkStart w:id="60" w:name="_Toc440628915"/>
      <w:r>
        <w:rPr>
          <w:rFonts w:hint="eastAsia" w:ascii="Times New Roman" w:hAnsi="Times New Roman"/>
          <w:highlight w:val="none"/>
        </w:rPr>
        <w:t>4. 售后服务和支持</w:t>
      </w:r>
    </w:p>
    <w:p w14:paraId="309EDB79">
      <w:pPr>
        <w:ind w:right="240" w:rightChars="100"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中选人所供产品由生产厂商提供免费质保，各类网络布线产品（包括跳线、双绞线、光纤、配线架、理线器、光纤适配器）质保期为自比选人签收之日起的25年；其余产品质保期为自验收通过之日起至3年后的6月30日或12月31日中较近日期。</w:t>
      </w:r>
    </w:p>
    <w:p w14:paraId="5956725E">
      <w:pPr>
        <w:ind w:right="240" w:rightChars="100" w:firstLine="480"/>
        <w:rPr>
          <w:rFonts w:ascii="Times New Roman" w:hAnsi="Times New Roman"/>
          <w:highlight w:val="none"/>
        </w:rPr>
      </w:pPr>
      <w:r>
        <w:rPr>
          <w:rFonts w:hint="eastAsia" w:ascii="Times New Roman" w:hAnsi="Times New Roman"/>
          <w:highlight w:val="none"/>
        </w:rPr>
        <w:t>2）中选人保证交付比选人的本合同项下的所有产品均符合国家相关技术标准和生产厂商的相关技术规范。因产品自身的质量、缺陷等问题对比选人造成经济损失的，比选人有权拒绝收货、不予支付任何费用并要求中选人进行赔偿，中选人应当承担相关赔偿责任。</w:t>
      </w:r>
    </w:p>
    <w:p w14:paraId="646E6FF1">
      <w:pPr>
        <w:ind w:right="240" w:rightChars="100" w:firstLine="480"/>
        <w:rPr>
          <w:rFonts w:ascii="Times New Roman" w:hAnsi="Times New Roman"/>
          <w:highlight w:val="none"/>
        </w:rPr>
      </w:pPr>
      <w:r>
        <w:rPr>
          <w:rFonts w:hint="eastAsia" w:ascii="Times New Roman" w:hAnsi="Times New Roman"/>
          <w:highlight w:val="none"/>
        </w:rPr>
        <w:t>3）在质保期内如果合同产品出现故障，中选人应提供质保服务，对合同产品在比选人报修后48小时内进行修理或更换以消除故障。</w:t>
      </w:r>
    </w:p>
    <w:p w14:paraId="7BC94AB0">
      <w:pPr>
        <w:ind w:right="240" w:rightChars="100" w:firstLine="480"/>
        <w:rPr>
          <w:rFonts w:ascii="Times New Roman" w:hAnsi="Times New Roman"/>
          <w:highlight w:val="none"/>
        </w:rPr>
      </w:pPr>
      <w:r>
        <w:rPr>
          <w:rFonts w:hint="eastAsia" w:ascii="Times New Roman" w:hAnsi="Times New Roman"/>
          <w:highlight w:val="none"/>
        </w:rPr>
        <w:t>4）中选人应具有相应的供货、运输、安装能力以及完善的售后服务体系，可提供本地化服务与技术支持，保证售后服务电话全年无间断有人接听，质量保修期内可提供7×24小时远程技术支持服务，如有必要需提供现场支持服务。</w:t>
      </w:r>
    </w:p>
    <w:p w14:paraId="74432F7B">
      <w:pPr>
        <w:ind w:right="240" w:rightChars="100" w:firstLine="480"/>
        <w:rPr>
          <w:rFonts w:ascii="Times New Roman" w:hAnsi="Times New Roman"/>
          <w:highlight w:val="none"/>
        </w:rPr>
      </w:pPr>
      <w:r>
        <w:rPr>
          <w:rFonts w:hint="eastAsia" w:ascii="Times New Roman" w:hAnsi="Times New Roman"/>
          <w:highlight w:val="none"/>
        </w:rPr>
        <w:t>5）中选人每向比选人供应货物累计金额达到二万元时，免费提供1人天的配套售后服务。该配套服务包括但不限于产品安装调试、协助比选人日常运维或其它技术服务。中选人派出的服务人员须在服务期间遵从比选人的工作安排，按比选人要求完成相关工作内容，上述配套服务不收取任何费用。</w:t>
      </w:r>
    </w:p>
    <w:p w14:paraId="5081711A">
      <w:pPr>
        <w:ind w:right="240" w:rightChars="100" w:firstLine="480"/>
        <w:rPr>
          <w:rFonts w:ascii="Times New Roman" w:hAnsi="Times New Roman"/>
          <w:highlight w:val="none"/>
        </w:rPr>
      </w:pPr>
      <w:r>
        <w:rPr>
          <w:rFonts w:hint="eastAsia" w:ascii="Times New Roman" w:hAnsi="Times New Roman"/>
          <w:highlight w:val="none"/>
        </w:rPr>
        <w:t>6）质保期到期后5年内，如比选人需要中选人提供质保服务或代理生产厂商服务,中选人应予提供。质保期结束后，由双方另行协商并签订质保技术服务合同约定产品质保费用、期限和支付方式。比选人有权选择是否继续向中选人购买质保，中选人无权要求比选人对未使用质保服务的期间支付费用。</w:t>
      </w:r>
    </w:p>
    <w:p w14:paraId="10DCD02F">
      <w:pPr>
        <w:pStyle w:val="3"/>
        <w:ind w:right="240"/>
        <w:rPr>
          <w:rFonts w:ascii="Times New Roman" w:hAnsi="Times New Roman"/>
          <w:highlight w:val="none"/>
        </w:rPr>
      </w:pPr>
      <w:r>
        <w:rPr>
          <w:rFonts w:hint="eastAsia" w:ascii="Times New Roman" w:hAnsi="Times New Roman"/>
          <w:highlight w:val="none"/>
        </w:rPr>
        <w:t xml:space="preserve">5. </w:t>
      </w:r>
      <w:r>
        <w:rPr>
          <w:rFonts w:ascii="Times New Roman" w:hAnsi="Times New Roman"/>
          <w:highlight w:val="none"/>
        </w:rPr>
        <w:t>履约保证金</w:t>
      </w:r>
    </w:p>
    <w:p w14:paraId="022B5778">
      <w:pPr>
        <w:ind w:right="240" w:rightChars="100" w:firstLine="480"/>
        <w:rPr>
          <w:rFonts w:ascii="Times New Roman" w:hAnsi="Times New Roman"/>
          <w:highlight w:val="none"/>
        </w:rPr>
      </w:pPr>
      <w:r>
        <w:rPr>
          <w:rFonts w:ascii="Times New Roman" w:hAnsi="Times New Roman"/>
          <w:highlight w:val="none"/>
        </w:rPr>
        <w:t>中选人在合同签订后10个自然日内，需向比选人缴纳履约保证金1万元（大写：壹万元），以确保合同履行</w:t>
      </w:r>
      <w:r>
        <w:rPr>
          <w:rFonts w:hint="eastAsia" w:ascii="Times New Roman" w:hAnsi="Times New Roman"/>
          <w:highlight w:val="none"/>
        </w:rPr>
        <w:t>，</w:t>
      </w:r>
      <w:r>
        <w:rPr>
          <w:rFonts w:ascii="Times New Roman" w:hAnsi="Times New Roman"/>
          <w:highlight w:val="none"/>
        </w:rPr>
        <w:t>履约保证金的收款账户信息</w:t>
      </w:r>
      <w:r>
        <w:rPr>
          <w:rFonts w:hint="eastAsia" w:ascii="Times New Roman" w:hAnsi="Times New Roman"/>
          <w:highlight w:val="none"/>
        </w:rPr>
        <w:t>在合同中约定</w:t>
      </w:r>
      <w:r>
        <w:rPr>
          <w:rFonts w:ascii="Times New Roman" w:hAnsi="Times New Roman"/>
          <w:highlight w:val="none"/>
        </w:rPr>
        <w:t>。</w:t>
      </w:r>
      <w:r>
        <w:rPr>
          <w:rFonts w:hint="eastAsia" w:ascii="Times New Roman" w:hAnsi="Times New Roman"/>
          <w:highlight w:val="none"/>
        </w:rPr>
        <w:t>比选人的</w:t>
      </w:r>
      <w:r>
        <w:rPr>
          <w:rFonts w:ascii="Times New Roman" w:hAnsi="Times New Roman"/>
          <w:highlight w:val="none"/>
        </w:rPr>
        <w:t>最后一个订单完成验收3年后，中选人可向比选人提交无息退还履约保证金的书面申请，申请中应包含退还事由、缴纳金额、退还金额、收款账号、户名及开户行等信息，并加盖公司公章。经比选人确认中选人无违约行为后，</w:t>
      </w:r>
      <w:r>
        <w:rPr>
          <w:rFonts w:hint="eastAsia" w:ascii="Times New Roman" w:hAnsi="Times New Roman"/>
          <w:highlight w:val="none"/>
        </w:rPr>
        <w:t>在</w:t>
      </w:r>
      <w:r>
        <w:rPr>
          <w:rFonts w:ascii="Times New Roman" w:hAnsi="Times New Roman"/>
          <w:highlight w:val="none"/>
        </w:rPr>
        <w:t>20个工作日内一次性无息退还全部履约保证金；如存在违约行为，则</w:t>
      </w:r>
      <w:r>
        <w:rPr>
          <w:rFonts w:hint="eastAsia" w:ascii="Times New Roman" w:hAnsi="Times New Roman"/>
          <w:highlight w:val="none"/>
        </w:rPr>
        <w:t>将</w:t>
      </w:r>
      <w:r>
        <w:rPr>
          <w:rFonts w:ascii="Times New Roman" w:hAnsi="Times New Roman"/>
          <w:highlight w:val="none"/>
        </w:rPr>
        <w:t>扣除违约金后的余额无息退还。</w:t>
      </w:r>
    </w:p>
    <w:bookmarkEnd w:id="55"/>
    <w:bookmarkEnd w:id="56"/>
    <w:p w14:paraId="53C75981">
      <w:pPr>
        <w:pStyle w:val="3"/>
        <w:ind w:right="240"/>
        <w:rPr>
          <w:rFonts w:ascii="Times New Roman" w:hAnsi="Times New Roman"/>
          <w:highlight w:val="none"/>
        </w:rPr>
      </w:pPr>
      <w:bookmarkStart w:id="61" w:name="_Toc15059422"/>
      <w:bookmarkStart w:id="62" w:name="_Toc89675148"/>
      <w:r>
        <w:rPr>
          <w:rFonts w:hint="eastAsia" w:ascii="Times New Roman" w:hAnsi="Times New Roman"/>
          <w:highlight w:val="none"/>
        </w:rPr>
        <w:t>6. 付款方式</w:t>
      </w:r>
      <w:bookmarkEnd w:id="61"/>
      <w:bookmarkEnd w:id="62"/>
    </w:p>
    <w:p w14:paraId="21C18B93">
      <w:pPr>
        <w:ind w:right="240" w:rightChars="100" w:firstLine="480"/>
        <w:rPr>
          <w:rFonts w:ascii="Times New Roman" w:hAnsi="Times New Roman"/>
          <w:highlight w:val="none"/>
        </w:rPr>
      </w:pPr>
      <w:r>
        <w:rPr>
          <w:rFonts w:hint="eastAsia" w:ascii="Times New Roman" w:hAnsi="Times New Roman"/>
          <w:highlight w:val="none"/>
        </w:rPr>
        <w:t>1）自合同签订之日起，每半年为一个付款周期，比选人对该周期内中选人已实际交付并经比选人验收合格的货物支付货款。每个周期结束后，中选人向比选人提供当期货款的合法、全额增值税专用发票后</w:t>
      </w:r>
      <w:r>
        <w:rPr>
          <w:rFonts w:ascii="宋体"/>
          <w:highlight w:val="none"/>
        </w:rPr>
        <w:t>30个工作日内，</w:t>
      </w:r>
      <w:r>
        <w:rPr>
          <w:rFonts w:hint="eastAsia" w:ascii="Times New Roman" w:hAnsi="Times New Roman"/>
          <w:highlight w:val="none"/>
        </w:rPr>
        <w:t>比选人支付当期全部货款。</w:t>
      </w:r>
    </w:p>
    <w:p w14:paraId="19144B7D">
      <w:pPr>
        <w:ind w:right="240" w:rightChars="100" w:firstLine="480"/>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货物运抵比选人指定交货地点并签收前，所发生的包装、运输、装卸、保险费用及货物损毁或灭失风险均由中选人承担。</w:t>
      </w:r>
    </w:p>
    <w:p w14:paraId="3AA0C005">
      <w:pPr>
        <w:ind w:right="240" w:rightChars="100" w:firstLine="480"/>
        <w:rPr>
          <w:rFonts w:ascii="Times New Roman" w:hAnsi="Times New Roman"/>
          <w:highlight w:val="none"/>
        </w:rPr>
      </w:pPr>
      <w:r>
        <w:rPr>
          <w:rFonts w:hint="eastAsia" w:ascii="Times New Roman" w:hAnsi="Times New Roman"/>
          <w:highlight w:val="none"/>
        </w:rPr>
        <w:t>3）发票要求：中选人须严格按照合同内容开具税率为13%的增值税专用发票（若遇国家税率调整另议），中选人在比选人付款前30个工作日需向比选人交付相应的发票，否则比选人有权拒绝支付任何费用且不承担逾期付款违约责任。</w:t>
      </w:r>
    </w:p>
    <w:p w14:paraId="43F34FD7">
      <w:pPr>
        <w:ind w:right="240" w:rightChars="100" w:firstLine="480"/>
        <w:rPr>
          <w:rFonts w:ascii="Times New Roman" w:hAnsi="Times New Roman"/>
          <w:highlight w:val="none"/>
        </w:rPr>
      </w:pPr>
      <w:r>
        <w:rPr>
          <w:rFonts w:hint="eastAsia" w:ascii="Times New Roman" w:hAnsi="Times New Roman"/>
          <w:highlight w:val="none"/>
        </w:rPr>
        <w:t>4） 比选人按照本合同约定支付费用后，即视为已向中选人及生产厂商履行完所有付款义务，如有任何人向比选人主张费用的，由中选人负责，给比选人造成损失的，中选人应全额赔偿比选人。</w:t>
      </w:r>
    </w:p>
    <w:p w14:paraId="684AC4A5">
      <w:pPr>
        <w:pStyle w:val="3"/>
        <w:ind w:right="240"/>
        <w:rPr>
          <w:rFonts w:ascii="Times New Roman" w:hAnsi="Times New Roman"/>
          <w:highlight w:val="none"/>
        </w:rPr>
      </w:pPr>
      <w:bookmarkStart w:id="63" w:name="_Toc15059424"/>
      <w:bookmarkStart w:id="64" w:name="_Toc89675150"/>
      <w:r>
        <w:rPr>
          <w:rFonts w:hint="eastAsia" w:ascii="Times New Roman" w:hAnsi="Times New Roman"/>
          <w:highlight w:val="none"/>
        </w:rPr>
        <w:t>7. 文档和培训</w:t>
      </w:r>
    </w:p>
    <w:p w14:paraId="1766CA1B">
      <w:pPr>
        <w:ind w:right="240" w:rightChars="100" w:firstLine="480"/>
        <w:rPr>
          <w:rFonts w:ascii="Times New Roman" w:hAnsi="Times New Roman"/>
          <w:highlight w:val="none"/>
        </w:rPr>
      </w:pPr>
      <w:r>
        <w:rPr>
          <w:rFonts w:hint="eastAsia" w:ascii="Times New Roman" w:hAnsi="Times New Roman"/>
          <w:highlight w:val="none"/>
        </w:rPr>
        <w:t>1）中选人交付比选人的每批货物应附带生产厂商出具的产品合格证。</w:t>
      </w:r>
    </w:p>
    <w:p w14:paraId="5D643151">
      <w:pPr>
        <w:ind w:right="240" w:rightChars="100" w:firstLine="480"/>
        <w:rPr>
          <w:rFonts w:ascii="Times New Roman" w:hAnsi="Times New Roman"/>
          <w:highlight w:val="none"/>
        </w:rPr>
      </w:pPr>
      <w:r>
        <w:rPr>
          <w:rFonts w:hint="eastAsia" w:ascii="Times New Roman" w:hAnsi="Times New Roman"/>
          <w:highlight w:val="none"/>
        </w:rPr>
        <w:t>2）中选人必须在各类网络布线产品（包括跳线、双绞线、光纤、配线架、理线器、光纤适配器）经比选人签收后，向产品制造商申请不低于25年的原厂售后服务承诺函。</w:t>
      </w:r>
    </w:p>
    <w:p w14:paraId="67C4E383">
      <w:pPr>
        <w:pStyle w:val="3"/>
        <w:ind w:right="240"/>
        <w:rPr>
          <w:rFonts w:ascii="Times New Roman" w:hAnsi="Times New Roman"/>
          <w:highlight w:val="none"/>
        </w:rPr>
      </w:pPr>
      <w:r>
        <w:rPr>
          <w:rFonts w:hint="eastAsia" w:ascii="Times New Roman" w:hAnsi="Times New Roman"/>
          <w:highlight w:val="none"/>
        </w:rPr>
        <w:t>8. 保密条款</w:t>
      </w:r>
      <w:bookmarkEnd w:id="57"/>
      <w:bookmarkEnd w:id="58"/>
      <w:bookmarkEnd w:id="59"/>
      <w:bookmarkEnd w:id="60"/>
      <w:bookmarkEnd w:id="63"/>
      <w:bookmarkEnd w:id="64"/>
    </w:p>
    <w:p w14:paraId="075918CC">
      <w:pPr>
        <w:pStyle w:val="4"/>
        <w:ind w:right="240" w:firstLine="482"/>
        <w:rPr>
          <w:rFonts w:ascii="Times New Roman" w:hAnsi="Times New Roman"/>
          <w:highlight w:val="none"/>
        </w:rPr>
      </w:pPr>
      <w:r>
        <w:rPr>
          <w:rFonts w:hint="eastAsia" w:ascii="Times New Roman" w:hAnsi="Times New Roman"/>
          <w:highlight w:val="none"/>
        </w:rPr>
        <w:t>8.1 保密范围</w:t>
      </w:r>
    </w:p>
    <w:p w14:paraId="0018F56C">
      <w:pPr>
        <w:ind w:right="240" w:rightChars="100" w:firstLine="480"/>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588BE342">
      <w:pPr>
        <w:pStyle w:val="4"/>
        <w:ind w:right="240" w:firstLine="482"/>
        <w:rPr>
          <w:rFonts w:ascii="Times New Roman" w:hAnsi="Times New Roman"/>
          <w:highlight w:val="none"/>
        </w:rPr>
      </w:pPr>
      <w:r>
        <w:rPr>
          <w:rFonts w:hint="eastAsia" w:ascii="Times New Roman" w:hAnsi="Times New Roman"/>
          <w:highlight w:val="none"/>
        </w:rPr>
        <w:t>8.2 保密责任</w:t>
      </w:r>
    </w:p>
    <w:p w14:paraId="099A4F92">
      <w:pPr>
        <w:ind w:right="240" w:firstLine="480"/>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7FEB4710">
      <w:pPr>
        <w:pStyle w:val="3"/>
        <w:ind w:right="240"/>
        <w:rPr>
          <w:rFonts w:ascii="Times New Roman" w:hAnsi="Times New Roman"/>
          <w:highlight w:val="none"/>
        </w:rPr>
      </w:pPr>
      <w:r>
        <w:rPr>
          <w:rFonts w:hint="eastAsia" w:ascii="Times New Roman" w:hAnsi="Times New Roman"/>
          <w:highlight w:val="none"/>
        </w:rPr>
        <w:t>9. 报价要求</w:t>
      </w:r>
    </w:p>
    <w:p w14:paraId="00122568">
      <w:pPr>
        <w:ind w:right="240" w:rightChars="100"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）参选人应严格按照《参选文件格式》的“分项报价明细表”的格式认真填写。</w:t>
      </w:r>
    </w:p>
    <w:p w14:paraId="5331AC2B">
      <w:pPr>
        <w:ind w:right="240" w:rightChars="100" w:firstLine="48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）“分项报价明细表”里需详细写明各类产品名称、品牌、规格及价格。</w:t>
      </w:r>
    </w:p>
    <w:p w14:paraId="33A6DFF7">
      <w:pPr>
        <w:pStyle w:val="3"/>
        <w:ind w:right="240"/>
        <w:rPr>
          <w:rFonts w:ascii="Times New Roman" w:hAnsi="Times New Roman"/>
          <w:highlight w:val="none"/>
        </w:rPr>
      </w:pPr>
      <w:r>
        <w:rPr>
          <w:rFonts w:hint="eastAsia" w:ascii="Times New Roman" w:hAnsi="Times New Roman"/>
          <w:highlight w:val="none"/>
        </w:rPr>
        <w:t xml:space="preserve">10. </w:t>
      </w:r>
      <w:r>
        <w:rPr>
          <w:rFonts w:ascii="Times New Roman" w:hAnsi="Times New Roman"/>
          <w:highlight w:val="none"/>
        </w:rPr>
        <w:t>第三方权利</w:t>
      </w:r>
    </w:p>
    <w:p w14:paraId="23EACEE3">
      <w:pPr>
        <w:ind w:right="240" w:rightChars="100" w:firstLine="480"/>
        <w:rPr>
          <w:rFonts w:ascii="宋体"/>
          <w:highlight w:val="none"/>
        </w:rPr>
      </w:pPr>
      <w:r>
        <w:rPr>
          <w:rFonts w:hint="eastAsia" w:ascii="宋体"/>
          <w:highlight w:val="none"/>
        </w:rPr>
        <w:t>中选人向比选人提供的产品和服务不会有任何第三方主张权利，也不会侵害任何第三方的合法权益，包括知识产权。</w:t>
      </w:r>
    </w:p>
    <w:p w14:paraId="020FB13C">
      <w:pPr>
        <w:pStyle w:val="3"/>
        <w:ind w:right="240"/>
        <w:rPr>
          <w:rFonts w:ascii="Times New Roman" w:hAnsi="Times New Roman"/>
          <w:highlight w:val="none"/>
        </w:rPr>
      </w:pPr>
      <w:r>
        <w:rPr>
          <w:rFonts w:hint="eastAsia" w:ascii="Times New Roman" w:hAnsi="Times New Roman"/>
          <w:highlight w:val="none"/>
        </w:rPr>
        <w:t>11. 服务连续性预案</w:t>
      </w:r>
    </w:p>
    <w:p w14:paraId="2F0F0B50">
      <w:pPr>
        <w:ind w:right="240" w:rightChars="100" w:firstLine="480"/>
        <w:rPr>
          <w:rFonts w:ascii="Times New Roman" w:hAnsi="Times New Roman"/>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在本次比选中，参选人应在参选文件中提供服务连续性预案供比选人查看，服务连续性预案应考虑供应链风险产生的影响，具体包括以下内容：</w:t>
      </w:r>
    </w:p>
    <w:p w14:paraId="6F31BE99">
      <w:pPr>
        <w:pStyle w:val="41"/>
        <w:numPr>
          <w:ilvl w:val="0"/>
          <w:numId w:val="26"/>
        </w:numPr>
        <w:ind w:right="240" w:rightChars="100" w:firstLineChars="0"/>
        <w:rPr>
          <w:rFonts w:ascii="Times New Roman" w:hAnsi="Times New Roman"/>
          <w:highlight w:val="none"/>
        </w:rPr>
      </w:pPr>
      <w:r>
        <w:rPr>
          <w:rFonts w:hint="eastAsia" w:ascii="Times New Roman" w:hAnsi="Times New Roman"/>
          <w:highlight w:val="none"/>
        </w:rPr>
        <w:t>供应链风险管理措施：详细说明在供应链中断（如原材料短缺、运输延迟等）情况下的应对措施，包括备选供应商及备选方案，以确保供货的连续性。</w:t>
      </w:r>
    </w:p>
    <w:p w14:paraId="6269EFD0">
      <w:pPr>
        <w:pStyle w:val="41"/>
        <w:numPr>
          <w:ilvl w:val="0"/>
          <w:numId w:val="26"/>
        </w:numPr>
        <w:ind w:right="240" w:rightChars="100" w:firstLineChars="0"/>
        <w:rPr>
          <w:rFonts w:ascii="Times New Roman" w:hAnsi="Times New Roman"/>
          <w:highlight w:val="none"/>
        </w:rPr>
      </w:pPr>
      <w:r>
        <w:rPr>
          <w:rFonts w:hint="eastAsia" w:ascii="Times New Roman" w:hAnsi="Times New Roman"/>
          <w:highlight w:val="none"/>
        </w:rPr>
        <w:t>紧急库存管理：参选人需设立一定数量的紧急库存，用以应对突发的供应链问题，库存数量和周转周期需在预案中明确，以确保供货的持续稳定性。</w:t>
      </w:r>
    </w:p>
    <w:p w14:paraId="1521DEB3">
      <w:pPr>
        <w:pStyle w:val="41"/>
        <w:numPr>
          <w:ilvl w:val="0"/>
          <w:numId w:val="26"/>
        </w:numPr>
        <w:ind w:right="240" w:rightChars="100" w:firstLineChars="0"/>
        <w:rPr>
          <w:rFonts w:ascii="Times New Roman" w:hAnsi="Times New Roman"/>
          <w:highlight w:val="none"/>
        </w:rPr>
      </w:pPr>
      <w:r>
        <w:rPr>
          <w:rFonts w:hint="eastAsia" w:ascii="Times New Roman" w:hAnsi="Times New Roman"/>
          <w:highlight w:val="none"/>
        </w:rPr>
        <w:t>应急响应团队：参选人需明确在供应链出现问题时的应急响应团队及联系人，确保在突发事件发生时能够快速处理并与比选人沟通。</w:t>
      </w:r>
    </w:p>
    <w:p w14:paraId="4F692E3A">
      <w:pPr>
        <w:pStyle w:val="41"/>
        <w:numPr>
          <w:ilvl w:val="255"/>
          <w:numId w:val="0"/>
        </w:numPr>
        <w:ind w:left="480" w:right="240" w:rightChars="100"/>
        <w:rPr>
          <w:rFonts w:ascii="Times New Roman" w:hAnsi="Times New Roman"/>
          <w:highlight w:val="none"/>
        </w:rPr>
      </w:pPr>
      <w:r>
        <w:rPr>
          <w:rFonts w:hint="eastAsia" w:ascii="Times New Roman" w:hAnsi="Times New Roman"/>
          <w:highlight w:val="none"/>
        </w:rPr>
        <w:t>【提供服务连续性预案】</w:t>
      </w:r>
    </w:p>
    <w:p w14:paraId="111F3F90">
      <w:pPr>
        <w:pStyle w:val="3"/>
        <w:ind w:right="240"/>
        <w:rPr>
          <w:rFonts w:ascii="Times New Roman" w:hAnsi="Times New Roman"/>
          <w:highlight w:val="none"/>
        </w:rPr>
      </w:pPr>
      <w:bookmarkStart w:id="65" w:name="_Toc89675153"/>
      <w:bookmarkStart w:id="66" w:name="_Toc15059427"/>
      <w:r>
        <w:rPr>
          <w:rFonts w:hint="eastAsia" w:ascii="Times New Roman" w:hAnsi="Times New Roman"/>
          <w:highlight w:val="none"/>
        </w:rPr>
        <w:t>12. 其他</w:t>
      </w:r>
      <w:bookmarkEnd w:id="65"/>
      <w:bookmarkEnd w:id="66"/>
    </w:p>
    <w:p w14:paraId="76D63EA4">
      <w:pPr>
        <w:ind w:firstLine="480"/>
        <w:rPr>
          <w:highlight w:val="none"/>
        </w:rPr>
      </w:pPr>
      <w:r>
        <w:rPr>
          <w:rFonts w:hint="eastAsia"/>
          <w:highlight w:val="none"/>
        </w:rPr>
        <w:t>12.1 参选人必须在响应承诺函中对本章内容做出整体性响应和承诺，承诺内容必须达到本章及比选文件其他条款的要求。</w:t>
      </w:r>
    </w:p>
    <w:p w14:paraId="142E16C9">
      <w:pPr>
        <w:ind w:firstLine="480"/>
        <w:rPr>
          <w:highlight w:val="none"/>
        </w:rPr>
      </w:pPr>
      <w:r>
        <w:rPr>
          <w:rFonts w:hint="eastAsia"/>
          <w:highlight w:val="none"/>
        </w:rPr>
        <w:t>12.2 参选人应根据本章内容和要求，提供对应资料，无遗漏。</w:t>
      </w:r>
    </w:p>
    <w:p w14:paraId="472CE493">
      <w:pPr>
        <w:ind w:firstLine="480"/>
        <w:rPr>
          <w:highlight w:val="none"/>
        </w:rPr>
      </w:pPr>
      <w:r>
        <w:rPr>
          <w:rFonts w:hint="eastAsia"/>
          <w:highlight w:val="none"/>
        </w:rPr>
        <w:t>12.3 其他未尽事宜由供需双方在合同中详细约定。</w:t>
      </w:r>
    </w:p>
    <w:p w14:paraId="2049C727">
      <w:pPr>
        <w:snapToGrid w:val="0"/>
        <w:spacing w:line="360" w:lineRule="auto"/>
        <w:ind w:firstLine="480"/>
        <w:rPr>
          <w:rFonts w:ascii="宋体" w:cs="宋体"/>
          <w:snapToGrid w:val="0"/>
          <w:kern w:val="0"/>
          <w:szCs w:val="24"/>
          <w:highlight w:val="none"/>
        </w:rPr>
      </w:pPr>
    </w:p>
    <w:p w14:paraId="121D7DED">
      <w:pPr>
        <w:pStyle w:val="2"/>
        <w:ind w:left="240" w:right="240"/>
        <w:rPr>
          <w:rFonts w:ascii="Times New Roman" w:hAnsi="Times New Roman"/>
          <w:highlight w:val="none"/>
        </w:rPr>
        <w:sectPr>
          <w:pgSz w:w="11906" w:h="16838"/>
          <w:pgMar w:top="1440" w:right="1800" w:bottom="1440" w:left="1800" w:header="851" w:footer="992" w:gutter="0"/>
          <w:cols w:space="720" w:num="1"/>
          <w:docGrid w:type="lines" w:linePitch="326" w:charSpace="0"/>
        </w:sectPr>
      </w:pPr>
      <w:bookmarkStart w:id="67" w:name="_Toc182213443"/>
      <w:bookmarkStart w:id="68" w:name="_Hlk181956252"/>
      <w:bookmarkStart w:id="69" w:name="_Hlk181956464"/>
      <w:bookmarkStart w:id="70" w:name="_Toc29189"/>
    </w:p>
    <w:p w14:paraId="7D817C6B">
      <w:pPr>
        <w:pStyle w:val="2"/>
        <w:ind w:left="240" w:right="240"/>
        <w:rPr>
          <w:rFonts w:ascii="Times New Roman" w:hAnsi="Times New Roman"/>
          <w:highlight w:val="none"/>
        </w:rPr>
      </w:pPr>
      <w:bookmarkStart w:id="71" w:name="_Toc31974"/>
      <w:r>
        <w:rPr>
          <w:rFonts w:hint="eastAsia" w:ascii="Times New Roman" w:hAnsi="Times New Roman"/>
          <w:highlight w:val="none"/>
        </w:rPr>
        <w:t>第四章 评审办法</w:t>
      </w:r>
      <w:bookmarkEnd w:id="67"/>
      <w:bookmarkEnd w:id="71"/>
    </w:p>
    <w:p w14:paraId="6B8F1645">
      <w:pPr>
        <w:ind w:right="240" w:firstLine="0" w:firstLineChars="0"/>
        <w:rPr>
          <w:rFonts w:ascii="Times New Roman" w:hAnsi="Times New Roman"/>
          <w:b/>
          <w:bCs/>
          <w:highlight w:val="none"/>
        </w:rPr>
      </w:pPr>
      <w:r>
        <w:rPr>
          <w:rFonts w:hint="eastAsia" w:ascii="Times New Roman" w:hAnsi="Times New Roman"/>
          <w:b/>
          <w:bCs/>
          <w:highlight w:val="none"/>
        </w:rPr>
        <w:t>评审办法前附表</w:t>
      </w:r>
    </w:p>
    <w:p w14:paraId="6B564994">
      <w:pPr>
        <w:spacing w:line="360" w:lineRule="auto"/>
        <w:ind w:right="240" w:firstLine="0" w:firstLineChars="0"/>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p>
    <w:tbl>
      <w:tblPr>
        <w:tblStyle w:val="17"/>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312"/>
        <w:gridCol w:w="2389"/>
        <w:gridCol w:w="4088"/>
      </w:tblGrid>
      <w:tr w14:paraId="28CE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26" w:type="dxa"/>
            <w:vAlign w:val="center"/>
          </w:tcPr>
          <w:p w14:paraId="68519DFC">
            <w:pPr>
              <w:spacing w:line="360" w:lineRule="auto"/>
              <w:ind w:right="240"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条款号</w:t>
            </w:r>
          </w:p>
        </w:tc>
        <w:tc>
          <w:tcPr>
            <w:tcW w:w="1312" w:type="dxa"/>
            <w:vAlign w:val="center"/>
          </w:tcPr>
          <w:p w14:paraId="1E26CA0E">
            <w:pPr>
              <w:spacing w:line="360" w:lineRule="auto"/>
              <w:ind w:right="240"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6477" w:type="dxa"/>
            <w:gridSpan w:val="2"/>
            <w:vAlign w:val="center"/>
          </w:tcPr>
          <w:p w14:paraId="51223814">
            <w:pPr>
              <w:spacing w:line="360" w:lineRule="auto"/>
              <w:ind w:right="240"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22E3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26" w:type="dxa"/>
            <w:vAlign w:val="center"/>
          </w:tcPr>
          <w:p w14:paraId="0869F40E">
            <w:pPr>
              <w:spacing w:line="360" w:lineRule="auto"/>
              <w:ind w:left="240" w:right="240"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1.1</w:t>
            </w:r>
          </w:p>
        </w:tc>
        <w:tc>
          <w:tcPr>
            <w:tcW w:w="1312" w:type="dxa"/>
            <w:vAlign w:val="center"/>
          </w:tcPr>
          <w:p w14:paraId="63C46E2A">
            <w:pPr>
              <w:spacing w:line="360" w:lineRule="auto"/>
              <w:ind w:right="240" w:firstLine="0" w:firstLineChars="0"/>
              <w:jc w:val="left"/>
              <w:rPr>
                <w:rFonts w:ascii="Times New Roman" w:hAnsi="Times New Roman" w:cs="宋体"/>
                <w:b/>
                <w:kern w:val="0"/>
                <w:sz w:val="21"/>
                <w:szCs w:val="21"/>
                <w:highlight w:val="none"/>
              </w:rPr>
            </w:pPr>
            <w:r>
              <w:rPr>
                <w:rFonts w:hint="eastAsia" w:ascii="Times New Roman" w:hAnsi="Times New Roman" w:cs="宋体"/>
                <w:sz w:val="21"/>
                <w:szCs w:val="21"/>
                <w:highlight w:val="none"/>
              </w:rPr>
              <w:t>评审方法</w:t>
            </w:r>
          </w:p>
        </w:tc>
        <w:tc>
          <w:tcPr>
            <w:tcW w:w="6477" w:type="dxa"/>
            <w:gridSpan w:val="2"/>
            <w:vAlign w:val="center"/>
          </w:tcPr>
          <w:p w14:paraId="5E19E7ED">
            <w:pPr>
              <w:spacing w:line="360" w:lineRule="auto"/>
              <w:ind w:right="240" w:firstLine="0" w:firstLineChars="0"/>
              <w:jc w:val="left"/>
              <w:rPr>
                <w:rFonts w:ascii="Times New Roman" w:hAnsi="Times New Roman" w:cs="宋体"/>
                <w:b/>
                <w:kern w:val="0"/>
                <w:sz w:val="21"/>
                <w:szCs w:val="21"/>
                <w:highlight w:val="none"/>
              </w:rPr>
            </w:pPr>
            <w:r>
              <w:rPr>
                <w:rFonts w:hint="eastAsia" w:ascii="宋体" w:hAnsi="宋体" w:cs="宋体"/>
                <w:spacing w:val="4"/>
                <w:kern w:val="0"/>
                <w:sz w:val="21"/>
                <w:szCs w:val="21"/>
                <w:highlight w:val="none"/>
              </w:rPr>
              <w:t>本次评审采用经评审的最低价法，评审委员会按照评审办法前附表第2.1 条进行符合性审查，再按照评审办法前附表第2.2 条进行报价排序，符合性审查合格的参选人中按报价由低到高推荐1-3名中选候选人。若出现参选人参选报价相同的，</w:t>
            </w:r>
            <w:r>
              <w:rPr>
                <w:rFonts w:hint="eastAsia" w:ascii="宋体" w:hAnsi="宋体" w:cs="Times New Roman"/>
                <w:kern w:val="0"/>
                <w:sz w:val="21"/>
                <w:szCs w:val="24"/>
                <w:highlight w:val="none"/>
              </w:rPr>
              <w:t>由评审委员会按照</w:t>
            </w:r>
            <w:r>
              <w:rPr>
                <w:rFonts w:hint="eastAsia" w:ascii="Times New Roman" w:hAnsi="Times New Roman" w:cs="宋体"/>
                <w:spacing w:val="4"/>
                <w:kern w:val="0"/>
                <w:sz w:val="21"/>
                <w:szCs w:val="21"/>
                <w:highlight w:val="none"/>
              </w:rPr>
              <w:t>项目案例多的</w:t>
            </w:r>
            <w:r>
              <w:rPr>
                <w:rFonts w:hint="eastAsia" w:ascii="宋体" w:hAnsi="宋体" w:cs="Times New Roman"/>
                <w:kern w:val="0"/>
                <w:sz w:val="21"/>
                <w:szCs w:val="24"/>
                <w:highlight w:val="none"/>
              </w:rPr>
              <w:t>原则排序</w:t>
            </w:r>
            <w:r>
              <w:rPr>
                <w:rFonts w:hint="eastAsia" w:ascii="宋体" w:hAnsi="宋体" w:cs="宋体"/>
                <w:spacing w:val="4"/>
                <w:kern w:val="0"/>
                <w:sz w:val="21"/>
                <w:szCs w:val="21"/>
                <w:highlight w:val="none"/>
              </w:rPr>
              <w:t>。</w:t>
            </w:r>
          </w:p>
        </w:tc>
      </w:tr>
      <w:tr w14:paraId="03F1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26" w:type="dxa"/>
            <w:vAlign w:val="center"/>
          </w:tcPr>
          <w:p w14:paraId="2259712D">
            <w:pPr>
              <w:spacing w:line="360" w:lineRule="auto"/>
              <w:ind w:left="240" w:right="240"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2.1</w:t>
            </w:r>
          </w:p>
        </w:tc>
        <w:tc>
          <w:tcPr>
            <w:tcW w:w="1312" w:type="dxa"/>
            <w:vAlign w:val="center"/>
          </w:tcPr>
          <w:p w14:paraId="5C578A5C">
            <w:pPr>
              <w:spacing w:line="360" w:lineRule="auto"/>
              <w:ind w:right="240" w:firstLine="0" w:firstLineChars="0"/>
              <w:jc w:val="left"/>
              <w:rPr>
                <w:rFonts w:ascii="Times New Roman" w:hAnsi="Times New Roman" w:cs="宋体"/>
                <w:sz w:val="21"/>
                <w:szCs w:val="21"/>
                <w:highlight w:val="none"/>
              </w:rPr>
            </w:pPr>
            <w:r>
              <w:rPr>
                <w:rFonts w:hint="eastAsia" w:ascii="Times New Roman" w:hAnsi="Times New Roman" w:cs="宋体"/>
                <w:sz w:val="21"/>
                <w:szCs w:val="21"/>
                <w:highlight w:val="none"/>
              </w:rPr>
              <w:t>符合性审查标准</w:t>
            </w:r>
          </w:p>
        </w:tc>
        <w:tc>
          <w:tcPr>
            <w:tcW w:w="6477" w:type="dxa"/>
            <w:gridSpan w:val="2"/>
            <w:vAlign w:val="center"/>
          </w:tcPr>
          <w:p w14:paraId="2563E269">
            <w:pPr>
              <w:spacing w:line="360" w:lineRule="auto"/>
              <w:ind w:right="240" w:firstLine="0" w:firstLineChars="0"/>
              <w:jc w:val="left"/>
              <w:rPr>
                <w:rFonts w:ascii="Times New Roman" w:hAnsi="Times New Roman" w:cs="宋体"/>
                <w:spacing w:val="4"/>
                <w:kern w:val="0"/>
                <w:sz w:val="21"/>
                <w:szCs w:val="21"/>
                <w:highlight w:val="none"/>
              </w:rPr>
            </w:pPr>
            <w:r>
              <w:rPr>
                <w:rFonts w:hint="eastAsia" w:ascii="Times New Roman" w:hAnsi="Times New Roman" w:cs="宋体"/>
                <w:spacing w:val="4"/>
                <w:kern w:val="0"/>
                <w:sz w:val="21"/>
                <w:szCs w:val="21"/>
                <w:highlight w:val="none"/>
              </w:rPr>
              <w:t>所有参选单位进行符合性审查。符合性审查内容：资格评审、形式评审、响应性评审。</w:t>
            </w:r>
          </w:p>
        </w:tc>
      </w:tr>
      <w:tr w14:paraId="0460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26" w:type="dxa"/>
            <w:vAlign w:val="center"/>
          </w:tcPr>
          <w:p w14:paraId="66C8CCF2">
            <w:pPr>
              <w:spacing w:line="360" w:lineRule="auto"/>
              <w:ind w:left="240" w:right="240"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w:t>
            </w:r>
          </w:p>
        </w:tc>
        <w:tc>
          <w:tcPr>
            <w:tcW w:w="1312" w:type="dxa"/>
            <w:vAlign w:val="center"/>
          </w:tcPr>
          <w:p w14:paraId="406B4CC9">
            <w:pPr>
              <w:spacing w:line="360" w:lineRule="auto"/>
              <w:ind w:right="240" w:firstLine="0" w:firstLineChars="0"/>
              <w:jc w:val="left"/>
              <w:rPr>
                <w:rFonts w:ascii="Times New Roman" w:hAnsi="Times New Roman" w:cs="宋体"/>
                <w:sz w:val="21"/>
                <w:szCs w:val="21"/>
                <w:highlight w:val="none"/>
              </w:rPr>
            </w:pPr>
            <w:r>
              <w:rPr>
                <w:rFonts w:hint="eastAsia" w:ascii="Times New Roman" w:hAnsi="Times New Roman" w:cs="宋体"/>
                <w:kern w:val="0"/>
                <w:sz w:val="21"/>
                <w:szCs w:val="21"/>
                <w:highlight w:val="none"/>
              </w:rPr>
              <w:t>报价排序</w:t>
            </w:r>
          </w:p>
        </w:tc>
        <w:tc>
          <w:tcPr>
            <w:tcW w:w="6477" w:type="dxa"/>
            <w:gridSpan w:val="2"/>
            <w:vAlign w:val="center"/>
          </w:tcPr>
          <w:p w14:paraId="6F6D91EF">
            <w:pPr>
              <w:spacing w:line="360" w:lineRule="auto"/>
              <w:ind w:right="240" w:firstLine="0" w:firstLineChars="0"/>
              <w:jc w:val="left"/>
              <w:rPr>
                <w:rFonts w:ascii="Times New Roman" w:hAnsi="Times New Roman" w:cs="宋体"/>
                <w:spacing w:val="4"/>
                <w:kern w:val="0"/>
                <w:sz w:val="21"/>
                <w:szCs w:val="21"/>
                <w:highlight w:val="none"/>
              </w:rPr>
            </w:pPr>
            <w:r>
              <w:rPr>
                <w:rFonts w:ascii="Times New Roman" w:hAnsi="Times New Roman" w:cs="宋体"/>
                <w:spacing w:val="4"/>
                <w:kern w:val="0"/>
                <w:sz w:val="21"/>
                <w:szCs w:val="21"/>
                <w:highlight w:val="none"/>
              </w:rPr>
              <w:t>对各项产品报价均不高于最高限价且符合性审查合格的参选人，</w:t>
            </w:r>
            <w:r>
              <w:rPr>
                <w:rFonts w:hint="eastAsia" w:ascii="Times New Roman" w:hAnsi="Times New Roman" w:cs="宋体"/>
                <w:spacing w:val="4"/>
                <w:kern w:val="0"/>
                <w:sz w:val="21"/>
                <w:szCs w:val="21"/>
                <w:highlight w:val="none"/>
                <w:lang w:val="en-US" w:eastAsia="zh-CN"/>
              </w:rPr>
              <w:t>核实加权平均价，</w:t>
            </w:r>
            <w:r>
              <w:rPr>
                <w:rFonts w:ascii="Times New Roman" w:hAnsi="Times New Roman" w:cs="宋体"/>
                <w:spacing w:val="4"/>
                <w:kern w:val="0"/>
                <w:sz w:val="21"/>
                <w:szCs w:val="21"/>
                <w:highlight w:val="none"/>
              </w:rPr>
              <w:t>按照加权平均价由低到高的顺序排序。</w:t>
            </w:r>
          </w:p>
          <w:p w14:paraId="598472A3">
            <w:pPr>
              <w:spacing w:line="360" w:lineRule="auto"/>
              <w:ind w:right="240" w:firstLine="0" w:firstLineChars="0"/>
              <w:jc w:val="left"/>
              <w:rPr>
                <w:rFonts w:ascii="Times New Roman" w:hAnsi="Times New Roman" w:cs="宋体"/>
                <w:spacing w:val="4"/>
                <w:kern w:val="0"/>
                <w:sz w:val="21"/>
                <w:szCs w:val="21"/>
                <w:highlight w:val="none"/>
              </w:rPr>
            </w:pPr>
            <w:r>
              <w:rPr>
                <w:rFonts w:hint="eastAsia" w:ascii="Times New Roman" w:hAnsi="Times New Roman" w:cs="宋体"/>
                <w:spacing w:val="4"/>
                <w:kern w:val="0"/>
                <w:sz w:val="21"/>
                <w:szCs w:val="21"/>
                <w:highlight w:val="none"/>
              </w:rPr>
              <w:t>加权平均价</w:t>
            </w:r>
            <w:r>
              <w:rPr>
                <w:rFonts w:ascii="Times New Roman" w:hAnsi="Times New Roman" w:cs="宋体"/>
                <w:spacing w:val="4"/>
                <w:kern w:val="0"/>
                <w:sz w:val="21"/>
                <w:szCs w:val="21"/>
                <w:highlight w:val="none"/>
              </w:rPr>
              <w:t>计算公式</w:t>
            </w:r>
            <w:r>
              <w:rPr>
                <w:rFonts w:hint="eastAsia" w:ascii="Times New Roman" w:hAnsi="Times New Roman" w:cs="宋体"/>
                <w:spacing w:val="4"/>
                <w:kern w:val="0"/>
                <w:sz w:val="21"/>
                <w:szCs w:val="21"/>
                <w:highlight w:val="none"/>
              </w:rPr>
              <w:t>如下</w:t>
            </w:r>
            <w:r>
              <w:rPr>
                <w:rFonts w:ascii="Times New Roman" w:hAnsi="Times New Roman" w:cs="宋体"/>
                <w:spacing w:val="4"/>
                <w:kern w:val="0"/>
                <w:sz w:val="21"/>
                <w:szCs w:val="21"/>
                <w:highlight w:val="none"/>
              </w:rPr>
              <w:t>：</w:t>
            </w:r>
          </w:p>
          <w:p w14:paraId="492EB7F2">
            <w:pPr>
              <w:spacing w:line="360" w:lineRule="auto"/>
              <w:ind w:right="240" w:firstLine="0" w:firstLineChars="0"/>
              <w:jc w:val="left"/>
              <w:rPr>
                <w:rFonts w:ascii="Times New Roman" w:hAnsi="Times New Roman" w:cs="宋体"/>
                <w:spacing w:val="4"/>
                <w:kern w:val="0"/>
                <w:sz w:val="21"/>
                <w:szCs w:val="21"/>
                <w:highlight w:val="none"/>
              </w:rPr>
            </w:pPr>
            <w:r>
              <w:rPr>
                <w:rFonts w:ascii="Times New Roman" w:hAnsi="Times New Roman" w:cs="宋体"/>
                <w:spacing w:val="4"/>
                <w:kern w:val="0"/>
                <w:sz w:val="21"/>
                <w:szCs w:val="21"/>
                <w:highlight w:val="none"/>
              </w:rPr>
              <w:t>加权平均价=∑(单项产品报价×该产品权重)</w:t>
            </w:r>
          </w:p>
          <w:p w14:paraId="2053ABDD">
            <w:pPr>
              <w:spacing w:line="360" w:lineRule="auto"/>
              <w:ind w:right="240" w:firstLine="0" w:firstLineChars="0"/>
              <w:jc w:val="left"/>
              <w:rPr>
                <w:rFonts w:ascii="Times New Roman" w:hAnsi="Times New Roman" w:cs="宋体"/>
                <w:sz w:val="21"/>
                <w:szCs w:val="21"/>
                <w:highlight w:val="none"/>
              </w:rPr>
            </w:pPr>
            <w:r>
              <w:rPr>
                <w:rFonts w:hint="eastAsia" w:ascii="Times New Roman" w:hAnsi="Times New Roman" w:cs="宋体"/>
                <w:spacing w:val="4"/>
                <w:kern w:val="0"/>
                <w:sz w:val="21"/>
                <w:szCs w:val="21"/>
                <w:highlight w:val="none"/>
              </w:rPr>
              <w:t>注：1、</w:t>
            </w:r>
            <w:r>
              <w:rPr>
                <w:rFonts w:ascii="Times New Roman" w:hAnsi="Times New Roman" w:cs="宋体"/>
                <w:spacing w:val="4"/>
                <w:kern w:val="0"/>
                <w:sz w:val="21"/>
                <w:szCs w:val="21"/>
                <w:highlight w:val="none"/>
              </w:rPr>
              <w:t>计算结果保留到小数点后两位，两位以后的数值采用四舍五入处理</w:t>
            </w:r>
            <w:r>
              <w:rPr>
                <w:rFonts w:hint="eastAsia" w:ascii="Times New Roman" w:hAnsi="Times New Roman" w:cs="宋体"/>
                <w:sz w:val="21"/>
                <w:szCs w:val="21"/>
                <w:highlight w:val="none"/>
              </w:rPr>
              <w:t>。</w:t>
            </w:r>
          </w:p>
          <w:p w14:paraId="44F4F4CF">
            <w:pPr>
              <w:spacing w:line="360" w:lineRule="auto"/>
              <w:ind w:right="240" w:firstLine="0" w:firstLineChars="0"/>
              <w:jc w:val="left"/>
              <w:rPr>
                <w:rFonts w:ascii="Times New Roman" w:hAnsi="Times New Roman" w:cs="宋体"/>
                <w:spacing w:val="4"/>
                <w:kern w:val="0"/>
                <w:sz w:val="21"/>
                <w:szCs w:val="21"/>
                <w:highlight w:val="none"/>
              </w:rPr>
            </w:pPr>
            <w:r>
              <w:rPr>
                <w:rFonts w:hint="eastAsia" w:ascii="Times New Roman" w:hAnsi="Times New Roman" w:cs="宋体"/>
                <w:sz w:val="21"/>
                <w:szCs w:val="21"/>
                <w:highlight w:val="none"/>
              </w:rPr>
              <w:t>2、产品权重见本章《产品权重表》</w:t>
            </w:r>
          </w:p>
        </w:tc>
      </w:tr>
      <w:tr w14:paraId="5E7E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26" w:type="dxa"/>
            <w:vAlign w:val="center"/>
          </w:tcPr>
          <w:p w14:paraId="033CE314">
            <w:pPr>
              <w:spacing w:line="360" w:lineRule="auto"/>
              <w:ind w:left="240" w:right="240"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2.2.1</w:t>
            </w:r>
          </w:p>
        </w:tc>
        <w:tc>
          <w:tcPr>
            <w:tcW w:w="1312" w:type="dxa"/>
            <w:vAlign w:val="center"/>
          </w:tcPr>
          <w:p w14:paraId="51E0325B">
            <w:pPr>
              <w:spacing w:line="360" w:lineRule="auto"/>
              <w:ind w:right="240" w:firstLine="0" w:firstLineChars="0"/>
              <w:jc w:val="left"/>
              <w:rPr>
                <w:rFonts w:ascii="Times New Roman" w:hAnsi="Times New Roman" w:cs="宋体"/>
                <w:sz w:val="21"/>
                <w:szCs w:val="21"/>
                <w:highlight w:val="none"/>
              </w:rPr>
            </w:pPr>
            <w:r>
              <w:rPr>
                <w:rFonts w:hint="eastAsia" w:ascii="Times New Roman" w:hAnsi="Times New Roman" w:cs="宋体"/>
                <w:sz w:val="21"/>
                <w:szCs w:val="21"/>
                <w:highlight w:val="none"/>
              </w:rPr>
              <w:t>资格评审标准</w:t>
            </w:r>
          </w:p>
        </w:tc>
        <w:tc>
          <w:tcPr>
            <w:tcW w:w="2389" w:type="dxa"/>
            <w:vAlign w:val="center"/>
          </w:tcPr>
          <w:p w14:paraId="20F8C0D4">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资格条件要求</w:t>
            </w:r>
          </w:p>
        </w:tc>
        <w:tc>
          <w:tcPr>
            <w:tcW w:w="4088" w:type="dxa"/>
            <w:vAlign w:val="center"/>
          </w:tcPr>
          <w:p w14:paraId="020A417D">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符合第一章“2. 参选人资格要求”规定</w:t>
            </w:r>
          </w:p>
        </w:tc>
      </w:tr>
      <w:tr w14:paraId="146D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226" w:type="dxa"/>
            <w:vMerge w:val="restart"/>
            <w:vAlign w:val="center"/>
          </w:tcPr>
          <w:p w14:paraId="489390AF">
            <w:pPr>
              <w:spacing w:line="360" w:lineRule="auto"/>
              <w:ind w:left="240" w:right="240"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2.2.2</w:t>
            </w:r>
          </w:p>
        </w:tc>
        <w:tc>
          <w:tcPr>
            <w:tcW w:w="1312" w:type="dxa"/>
            <w:vMerge w:val="restart"/>
            <w:vAlign w:val="center"/>
          </w:tcPr>
          <w:p w14:paraId="60227565">
            <w:pPr>
              <w:spacing w:line="360" w:lineRule="auto"/>
              <w:ind w:right="240" w:firstLine="0" w:firstLineChars="0"/>
              <w:jc w:val="left"/>
              <w:rPr>
                <w:rFonts w:ascii="Times New Roman" w:hAnsi="Times New Roman" w:cs="宋体"/>
                <w:sz w:val="21"/>
                <w:szCs w:val="21"/>
                <w:highlight w:val="none"/>
              </w:rPr>
            </w:pPr>
            <w:r>
              <w:rPr>
                <w:rFonts w:hint="eastAsia" w:ascii="Times New Roman" w:hAnsi="Times New Roman" w:cs="宋体"/>
                <w:sz w:val="21"/>
                <w:szCs w:val="21"/>
                <w:highlight w:val="none"/>
              </w:rPr>
              <w:t>形式评审标准</w:t>
            </w:r>
          </w:p>
        </w:tc>
        <w:tc>
          <w:tcPr>
            <w:tcW w:w="2389" w:type="dxa"/>
            <w:vAlign w:val="center"/>
          </w:tcPr>
          <w:p w14:paraId="24FE8C25">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参选人名称</w:t>
            </w:r>
          </w:p>
        </w:tc>
        <w:tc>
          <w:tcPr>
            <w:tcW w:w="4088" w:type="dxa"/>
            <w:vAlign w:val="center"/>
          </w:tcPr>
          <w:p w14:paraId="545322DC">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与营业执照、资格证明材料一致</w:t>
            </w:r>
          </w:p>
        </w:tc>
      </w:tr>
      <w:tr w14:paraId="2481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226" w:type="dxa"/>
            <w:vMerge w:val="continue"/>
          </w:tcPr>
          <w:p w14:paraId="3B7106CC">
            <w:pPr>
              <w:spacing w:line="360" w:lineRule="auto"/>
              <w:ind w:left="240" w:right="240" w:firstLine="0" w:firstLineChars="0"/>
              <w:rPr>
                <w:rFonts w:ascii="Times New Roman" w:hAnsi="Times New Roman" w:cs="宋体"/>
                <w:sz w:val="21"/>
                <w:szCs w:val="21"/>
                <w:highlight w:val="none"/>
              </w:rPr>
            </w:pPr>
          </w:p>
        </w:tc>
        <w:tc>
          <w:tcPr>
            <w:tcW w:w="1312" w:type="dxa"/>
            <w:vMerge w:val="continue"/>
            <w:vAlign w:val="center"/>
          </w:tcPr>
          <w:p w14:paraId="7A1E8FAE">
            <w:pPr>
              <w:spacing w:line="360" w:lineRule="auto"/>
              <w:ind w:right="240" w:firstLine="0" w:firstLineChars="0"/>
              <w:jc w:val="left"/>
              <w:rPr>
                <w:rFonts w:ascii="Times New Roman" w:hAnsi="Times New Roman" w:cs="宋体"/>
                <w:sz w:val="21"/>
                <w:szCs w:val="21"/>
                <w:highlight w:val="none"/>
              </w:rPr>
            </w:pPr>
          </w:p>
        </w:tc>
        <w:tc>
          <w:tcPr>
            <w:tcW w:w="2389" w:type="dxa"/>
            <w:vAlign w:val="center"/>
          </w:tcPr>
          <w:p w14:paraId="017B02AC">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参选文件的签字盖章</w:t>
            </w:r>
          </w:p>
        </w:tc>
        <w:tc>
          <w:tcPr>
            <w:tcW w:w="4088" w:type="dxa"/>
            <w:vAlign w:val="center"/>
          </w:tcPr>
          <w:p w14:paraId="672228B8">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符合第二章“参选人须知”4.5 条规定</w:t>
            </w:r>
          </w:p>
        </w:tc>
      </w:tr>
      <w:tr w14:paraId="6728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226" w:type="dxa"/>
            <w:vMerge w:val="continue"/>
          </w:tcPr>
          <w:p w14:paraId="0553F6E4">
            <w:pPr>
              <w:spacing w:line="360" w:lineRule="auto"/>
              <w:ind w:left="240" w:right="240" w:firstLine="0" w:firstLineChars="0"/>
              <w:rPr>
                <w:rFonts w:ascii="Times New Roman" w:hAnsi="Times New Roman" w:cs="宋体"/>
                <w:sz w:val="21"/>
                <w:szCs w:val="21"/>
                <w:highlight w:val="none"/>
              </w:rPr>
            </w:pPr>
          </w:p>
        </w:tc>
        <w:tc>
          <w:tcPr>
            <w:tcW w:w="1312" w:type="dxa"/>
            <w:vMerge w:val="continue"/>
            <w:vAlign w:val="center"/>
          </w:tcPr>
          <w:p w14:paraId="01333D35">
            <w:pPr>
              <w:spacing w:line="360" w:lineRule="auto"/>
              <w:ind w:right="240" w:firstLine="0" w:firstLineChars="0"/>
              <w:jc w:val="left"/>
              <w:rPr>
                <w:rFonts w:ascii="Times New Roman" w:hAnsi="Times New Roman" w:cs="宋体"/>
                <w:sz w:val="21"/>
                <w:szCs w:val="21"/>
                <w:highlight w:val="none"/>
              </w:rPr>
            </w:pPr>
          </w:p>
        </w:tc>
        <w:tc>
          <w:tcPr>
            <w:tcW w:w="2389" w:type="dxa"/>
            <w:vAlign w:val="center"/>
          </w:tcPr>
          <w:p w14:paraId="25BFCC75">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参选文件的密封</w:t>
            </w:r>
          </w:p>
        </w:tc>
        <w:tc>
          <w:tcPr>
            <w:tcW w:w="4088" w:type="dxa"/>
            <w:vAlign w:val="center"/>
          </w:tcPr>
          <w:p w14:paraId="4A1372CE">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符合第二章“参选人须知”4.6 条规定</w:t>
            </w:r>
          </w:p>
        </w:tc>
      </w:tr>
      <w:tr w14:paraId="5D9E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226" w:type="dxa"/>
            <w:vMerge w:val="continue"/>
          </w:tcPr>
          <w:p w14:paraId="0A6F40EC">
            <w:pPr>
              <w:spacing w:line="360" w:lineRule="auto"/>
              <w:ind w:left="240" w:right="240" w:firstLine="0" w:firstLineChars="0"/>
              <w:rPr>
                <w:rFonts w:ascii="Times New Roman" w:hAnsi="Times New Roman" w:cs="宋体"/>
                <w:sz w:val="21"/>
                <w:szCs w:val="21"/>
                <w:highlight w:val="none"/>
              </w:rPr>
            </w:pPr>
          </w:p>
        </w:tc>
        <w:tc>
          <w:tcPr>
            <w:tcW w:w="1312" w:type="dxa"/>
            <w:vMerge w:val="continue"/>
            <w:vAlign w:val="center"/>
          </w:tcPr>
          <w:p w14:paraId="691A425F">
            <w:pPr>
              <w:spacing w:line="360" w:lineRule="auto"/>
              <w:ind w:right="240" w:firstLine="0" w:firstLineChars="0"/>
              <w:jc w:val="left"/>
              <w:rPr>
                <w:rFonts w:ascii="Times New Roman" w:hAnsi="Times New Roman" w:cs="宋体"/>
                <w:sz w:val="21"/>
                <w:szCs w:val="21"/>
                <w:highlight w:val="none"/>
              </w:rPr>
            </w:pPr>
          </w:p>
        </w:tc>
        <w:tc>
          <w:tcPr>
            <w:tcW w:w="2389" w:type="dxa"/>
            <w:vAlign w:val="center"/>
          </w:tcPr>
          <w:p w14:paraId="2F712FE6">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参选文件格式</w:t>
            </w:r>
          </w:p>
        </w:tc>
        <w:tc>
          <w:tcPr>
            <w:tcW w:w="4088" w:type="dxa"/>
            <w:vAlign w:val="center"/>
          </w:tcPr>
          <w:p w14:paraId="244747EC">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符合第六章“参选文件格式”的要求</w:t>
            </w:r>
          </w:p>
        </w:tc>
      </w:tr>
      <w:tr w14:paraId="2A09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226" w:type="dxa"/>
            <w:vMerge w:val="continue"/>
          </w:tcPr>
          <w:p w14:paraId="36D6C2B9">
            <w:pPr>
              <w:spacing w:line="360" w:lineRule="auto"/>
              <w:ind w:left="240" w:right="240" w:firstLine="0" w:firstLineChars="0"/>
              <w:rPr>
                <w:rFonts w:ascii="Times New Roman" w:hAnsi="Times New Roman" w:cs="宋体"/>
                <w:sz w:val="21"/>
                <w:szCs w:val="21"/>
                <w:highlight w:val="none"/>
              </w:rPr>
            </w:pPr>
          </w:p>
        </w:tc>
        <w:tc>
          <w:tcPr>
            <w:tcW w:w="1312" w:type="dxa"/>
            <w:vMerge w:val="continue"/>
            <w:vAlign w:val="center"/>
          </w:tcPr>
          <w:p w14:paraId="67F90C85">
            <w:pPr>
              <w:spacing w:line="360" w:lineRule="auto"/>
              <w:ind w:right="240" w:firstLine="0" w:firstLineChars="0"/>
              <w:jc w:val="left"/>
              <w:rPr>
                <w:rFonts w:ascii="Times New Roman" w:hAnsi="Times New Roman" w:cs="宋体"/>
                <w:sz w:val="21"/>
                <w:szCs w:val="21"/>
                <w:highlight w:val="none"/>
              </w:rPr>
            </w:pPr>
          </w:p>
        </w:tc>
        <w:tc>
          <w:tcPr>
            <w:tcW w:w="2389" w:type="dxa"/>
            <w:vAlign w:val="center"/>
          </w:tcPr>
          <w:p w14:paraId="586237EF">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参选文件组成</w:t>
            </w:r>
          </w:p>
        </w:tc>
        <w:tc>
          <w:tcPr>
            <w:tcW w:w="4088" w:type="dxa"/>
            <w:vAlign w:val="center"/>
          </w:tcPr>
          <w:p w14:paraId="4B08C210">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符合第二章“参选人须知”4.1 条规定，内容齐全、无遗漏</w:t>
            </w:r>
          </w:p>
        </w:tc>
      </w:tr>
      <w:tr w14:paraId="4755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226" w:type="dxa"/>
            <w:vMerge w:val="continue"/>
          </w:tcPr>
          <w:p w14:paraId="5001E5E9">
            <w:pPr>
              <w:spacing w:line="360" w:lineRule="auto"/>
              <w:ind w:left="240" w:right="240" w:firstLine="0" w:firstLineChars="0"/>
              <w:rPr>
                <w:rFonts w:ascii="Times New Roman" w:hAnsi="Times New Roman" w:cs="宋体"/>
                <w:sz w:val="21"/>
                <w:szCs w:val="21"/>
                <w:highlight w:val="none"/>
              </w:rPr>
            </w:pPr>
          </w:p>
        </w:tc>
        <w:tc>
          <w:tcPr>
            <w:tcW w:w="1312" w:type="dxa"/>
            <w:vMerge w:val="continue"/>
            <w:vAlign w:val="center"/>
          </w:tcPr>
          <w:p w14:paraId="73DE04C4">
            <w:pPr>
              <w:spacing w:line="360" w:lineRule="auto"/>
              <w:ind w:right="240" w:firstLine="0" w:firstLineChars="0"/>
              <w:jc w:val="left"/>
              <w:rPr>
                <w:rFonts w:ascii="Times New Roman" w:hAnsi="Times New Roman" w:cs="宋体"/>
                <w:sz w:val="21"/>
                <w:szCs w:val="21"/>
                <w:highlight w:val="none"/>
              </w:rPr>
            </w:pPr>
          </w:p>
        </w:tc>
        <w:tc>
          <w:tcPr>
            <w:tcW w:w="2389" w:type="dxa"/>
            <w:vAlign w:val="center"/>
          </w:tcPr>
          <w:p w14:paraId="2769CD57">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联合体参选</w:t>
            </w:r>
          </w:p>
        </w:tc>
        <w:tc>
          <w:tcPr>
            <w:tcW w:w="4088" w:type="dxa"/>
            <w:vAlign w:val="center"/>
          </w:tcPr>
          <w:p w14:paraId="20F73915">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符合第一章“2. 参选人资格要求”2.8 条的要求</w:t>
            </w:r>
          </w:p>
        </w:tc>
      </w:tr>
      <w:tr w14:paraId="79DB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226" w:type="dxa"/>
            <w:vMerge w:val="restart"/>
            <w:vAlign w:val="center"/>
          </w:tcPr>
          <w:p w14:paraId="38870FFD">
            <w:pPr>
              <w:spacing w:line="360" w:lineRule="auto"/>
              <w:ind w:left="240" w:right="240"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2.2.3</w:t>
            </w:r>
          </w:p>
        </w:tc>
        <w:tc>
          <w:tcPr>
            <w:tcW w:w="1312" w:type="dxa"/>
            <w:vMerge w:val="restart"/>
            <w:vAlign w:val="center"/>
          </w:tcPr>
          <w:p w14:paraId="307D3A1F">
            <w:pPr>
              <w:spacing w:line="360" w:lineRule="auto"/>
              <w:ind w:right="240" w:firstLine="0" w:firstLineChars="0"/>
              <w:jc w:val="left"/>
              <w:rPr>
                <w:rFonts w:ascii="Times New Roman" w:hAnsi="Times New Roman" w:cs="宋体"/>
                <w:sz w:val="21"/>
                <w:szCs w:val="21"/>
                <w:highlight w:val="none"/>
              </w:rPr>
            </w:pPr>
            <w:r>
              <w:rPr>
                <w:rFonts w:hint="eastAsia" w:ascii="Times New Roman" w:hAnsi="Times New Roman" w:cs="宋体"/>
                <w:sz w:val="21"/>
                <w:szCs w:val="21"/>
                <w:highlight w:val="none"/>
              </w:rPr>
              <w:t>响应性评审标准</w:t>
            </w:r>
          </w:p>
        </w:tc>
        <w:tc>
          <w:tcPr>
            <w:tcW w:w="2389" w:type="dxa"/>
            <w:vAlign w:val="center"/>
          </w:tcPr>
          <w:p w14:paraId="4F2B8F9A">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参选内容</w:t>
            </w:r>
          </w:p>
        </w:tc>
        <w:tc>
          <w:tcPr>
            <w:tcW w:w="4088" w:type="dxa"/>
            <w:vAlign w:val="center"/>
          </w:tcPr>
          <w:p w14:paraId="5530E6B4">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1. 在响应承诺函中对第三章“项目要求”内容做出整体承诺；</w:t>
            </w:r>
          </w:p>
          <w:p w14:paraId="500F6679">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 xml:space="preserve">2. 根据第一章“2. </w:t>
            </w:r>
            <w:r>
              <w:rPr>
                <w:rFonts w:ascii="Times New Roman" w:hAnsi="Times New Roman" w:cs="宋体"/>
                <w:sz w:val="21"/>
                <w:szCs w:val="21"/>
                <w:highlight w:val="none"/>
              </w:rPr>
              <w:t>参选人资格要求”和第三章“项目要求”的要求规定，提供对应</w:t>
            </w:r>
            <w:r>
              <w:rPr>
                <w:rFonts w:hint="eastAsia" w:ascii="Times New Roman" w:hAnsi="Times New Roman" w:cs="宋体"/>
                <w:sz w:val="21"/>
                <w:szCs w:val="21"/>
                <w:highlight w:val="none"/>
              </w:rPr>
              <w:t>材料</w:t>
            </w:r>
            <w:r>
              <w:rPr>
                <w:rFonts w:ascii="Times New Roman" w:hAnsi="Times New Roman" w:cs="宋体"/>
                <w:sz w:val="21"/>
                <w:szCs w:val="21"/>
                <w:highlight w:val="none"/>
              </w:rPr>
              <w:t>，内容齐全、无遗漏。</w:t>
            </w:r>
          </w:p>
        </w:tc>
      </w:tr>
      <w:tr w14:paraId="2EF3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6" w:type="dxa"/>
            <w:vMerge w:val="continue"/>
          </w:tcPr>
          <w:p w14:paraId="65F6678B">
            <w:pPr>
              <w:spacing w:line="360" w:lineRule="auto"/>
              <w:ind w:left="240" w:right="240" w:firstLine="0" w:firstLineChars="0"/>
              <w:jc w:val="center"/>
              <w:rPr>
                <w:rFonts w:ascii="Times New Roman" w:hAnsi="Times New Roman" w:cs="宋体"/>
                <w:sz w:val="21"/>
                <w:szCs w:val="21"/>
                <w:highlight w:val="none"/>
              </w:rPr>
            </w:pPr>
          </w:p>
        </w:tc>
        <w:tc>
          <w:tcPr>
            <w:tcW w:w="1312" w:type="dxa"/>
            <w:vMerge w:val="continue"/>
          </w:tcPr>
          <w:p w14:paraId="38EF2806">
            <w:pPr>
              <w:spacing w:line="360" w:lineRule="auto"/>
              <w:ind w:right="240" w:firstLine="0" w:firstLineChars="0"/>
              <w:jc w:val="left"/>
              <w:rPr>
                <w:rFonts w:ascii="Times New Roman" w:hAnsi="Times New Roman" w:cs="宋体"/>
                <w:sz w:val="21"/>
                <w:szCs w:val="21"/>
                <w:highlight w:val="none"/>
              </w:rPr>
            </w:pPr>
          </w:p>
        </w:tc>
        <w:tc>
          <w:tcPr>
            <w:tcW w:w="2389" w:type="dxa"/>
            <w:vAlign w:val="center"/>
          </w:tcPr>
          <w:p w14:paraId="49DF3091">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参选文件份数</w:t>
            </w:r>
          </w:p>
        </w:tc>
        <w:tc>
          <w:tcPr>
            <w:tcW w:w="4088" w:type="dxa"/>
            <w:vAlign w:val="center"/>
          </w:tcPr>
          <w:p w14:paraId="125701F8">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符合第二章“参选人须知”4.5 条规定</w:t>
            </w:r>
          </w:p>
        </w:tc>
      </w:tr>
      <w:tr w14:paraId="59D0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6" w:type="dxa"/>
            <w:vMerge w:val="continue"/>
          </w:tcPr>
          <w:p w14:paraId="479E7C3B">
            <w:pPr>
              <w:spacing w:line="360" w:lineRule="auto"/>
              <w:ind w:left="240" w:right="240" w:firstLine="0" w:firstLineChars="0"/>
              <w:jc w:val="center"/>
              <w:rPr>
                <w:rFonts w:ascii="Times New Roman" w:hAnsi="Times New Roman" w:cs="宋体"/>
                <w:sz w:val="21"/>
                <w:szCs w:val="21"/>
                <w:highlight w:val="none"/>
              </w:rPr>
            </w:pPr>
          </w:p>
        </w:tc>
        <w:tc>
          <w:tcPr>
            <w:tcW w:w="1312" w:type="dxa"/>
            <w:vMerge w:val="continue"/>
          </w:tcPr>
          <w:p w14:paraId="2610CB49">
            <w:pPr>
              <w:spacing w:line="360" w:lineRule="auto"/>
              <w:ind w:right="240" w:firstLine="0" w:firstLineChars="0"/>
              <w:jc w:val="left"/>
              <w:rPr>
                <w:rFonts w:ascii="Times New Roman" w:hAnsi="Times New Roman" w:cs="宋体"/>
                <w:sz w:val="21"/>
                <w:szCs w:val="21"/>
                <w:highlight w:val="none"/>
              </w:rPr>
            </w:pPr>
          </w:p>
        </w:tc>
        <w:tc>
          <w:tcPr>
            <w:tcW w:w="2389" w:type="dxa"/>
            <w:vAlign w:val="center"/>
          </w:tcPr>
          <w:p w14:paraId="6D537FEA">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参选方案唯一</w:t>
            </w:r>
          </w:p>
        </w:tc>
        <w:tc>
          <w:tcPr>
            <w:tcW w:w="4088" w:type="dxa"/>
            <w:vAlign w:val="center"/>
          </w:tcPr>
          <w:p w14:paraId="375F3064">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只能有一个方案参选。</w:t>
            </w:r>
          </w:p>
        </w:tc>
      </w:tr>
      <w:tr w14:paraId="1176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6" w:type="dxa"/>
            <w:vMerge w:val="continue"/>
          </w:tcPr>
          <w:p w14:paraId="236350DA">
            <w:pPr>
              <w:spacing w:line="360" w:lineRule="auto"/>
              <w:ind w:left="240" w:right="240" w:firstLine="0" w:firstLineChars="0"/>
              <w:jc w:val="center"/>
              <w:rPr>
                <w:rFonts w:ascii="Times New Roman" w:hAnsi="Times New Roman" w:cs="宋体"/>
                <w:sz w:val="21"/>
                <w:szCs w:val="21"/>
                <w:highlight w:val="none"/>
              </w:rPr>
            </w:pPr>
          </w:p>
        </w:tc>
        <w:tc>
          <w:tcPr>
            <w:tcW w:w="1312" w:type="dxa"/>
            <w:vMerge w:val="continue"/>
          </w:tcPr>
          <w:p w14:paraId="34217651">
            <w:pPr>
              <w:spacing w:line="360" w:lineRule="auto"/>
              <w:ind w:right="240" w:firstLine="0" w:firstLineChars="0"/>
              <w:jc w:val="left"/>
              <w:rPr>
                <w:rFonts w:ascii="Times New Roman" w:hAnsi="Times New Roman" w:cs="宋体"/>
                <w:sz w:val="21"/>
                <w:szCs w:val="21"/>
                <w:highlight w:val="none"/>
              </w:rPr>
            </w:pPr>
          </w:p>
        </w:tc>
        <w:tc>
          <w:tcPr>
            <w:tcW w:w="2389" w:type="dxa"/>
            <w:vAlign w:val="center"/>
          </w:tcPr>
          <w:p w14:paraId="02C4C0F8">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参选报价</w:t>
            </w:r>
          </w:p>
        </w:tc>
        <w:tc>
          <w:tcPr>
            <w:tcW w:w="4088" w:type="dxa"/>
            <w:vAlign w:val="center"/>
          </w:tcPr>
          <w:p w14:paraId="512B9EC5">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符合第二章“参选人须知”4.7 条规定</w:t>
            </w:r>
          </w:p>
        </w:tc>
      </w:tr>
      <w:tr w14:paraId="622A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6" w:type="dxa"/>
            <w:vMerge w:val="continue"/>
          </w:tcPr>
          <w:p w14:paraId="12BCC3C3">
            <w:pPr>
              <w:spacing w:line="360" w:lineRule="auto"/>
              <w:ind w:left="240" w:right="240" w:firstLine="0" w:firstLineChars="0"/>
              <w:jc w:val="center"/>
              <w:rPr>
                <w:rFonts w:ascii="Times New Roman" w:hAnsi="Times New Roman" w:cs="宋体"/>
                <w:sz w:val="21"/>
                <w:szCs w:val="21"/>
                <w:highlight w:val="none"/>
              </w:rPr>
            </w:pPr>
          </w:p>
        </w:tc>
        <w:tc>
          <w:tcPr>
            <w:tcW w:w="1312" w:type="dxa"/>
            <w:vMerge w:val="continue"/>
          </w:tcPr>
          <w:p w14:paraId="6EAEDAFE">
            <w:pPr>
              <w:spacing w:line="360" w:lineRule="auto"/>
              <w:ind w:right="240" w:firstLine="0" w:firstLineChars="0"/>
              <w:jc w:val="left"/>
              <w:rPr>
                <w:rFonts w:ascii="Times New Roman" w:hAnsi="Times New Roman" w:cs="宋体"/>
                <w:sz w:val="21"/>
                <w:szCs w:val="21"/>
                <w:highlight w:val="none"/>
              </w:rPr>
            </w:pPr>
          </w:p>
        </w:tc>
        <w:tc>
          <w:tcPr>
            <w:tcW w:w="2389" w:type="dxa"/>
            <w:vAlign w:val="center"/>
          </w:tcPr>
          <w:p w14:paraId="4514233B">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参选有效期</w:t>
            </w:r>
          </w:p>
        </w:tc>
        <w:tc>
          <w:tcPr>
            <w:tcW w:w="4088" w:type="dxa"/>
          </w:tcPr>
          <w:p w14:paraId="30986A12">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符合第二章“参选人须知”4.3 条规定</w:t>
            </w:r>
          </w:p>
        </w:tc>
      </w:tr>
      <w:tr w14:paraId="4130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6" w:type="dxa"/>
            <w:vMerge w:val="continue"/>
          </w:tcPr>
          <w:p w14:paraId="034E0737">
            <w:pPr>
              <w:spacing w:line="360" w:lineRule="auto"/>
              <w:ind w:left="240" w:right="240" w:firstLine="0" w:firstLineChars="0"/>
              <w:jc w:val="center"/>
              <w:rPr>
                <w:rFonts w:ascii="Times New Roman" w:hAnsi="Times New Roman" w:cs="宋体"/>
                <w:sz w:val="21"/>
                <w:szCs w:val="21"/>
                <w:highlight w:val="none"/>
              </w:rPr>
            </w:pPr>
          </w:p>
        </w:tc>
        <w:tc>
          <w:tcPr>
            <w:tcW w:w="1312" w:type="dxa"/>
            <w:vMerge w:val="continue"/>
          </w:tcPr>
          <w:p w14:paraId="637779D5">
            <w:pPr>
              <w:spacing w:line="360" w:lineRule="auto"/>
              <w:ind w:right="240" w:firstLine="0" w:firstLineChars="0"/>
              <w:jc w:val="left"/>
              <w:rPr>
                <w:rFonts w:ascii="Times New Roman" w:hAnsi="Times New Roman" w:cs="宋体"/>
                <w:sz w:val="21"/>
                <w:szCs w:val="21"/>
                <w:highlight w:val="none"/>
              </w:rPr>
            </w:pPr>
          </w:p>
        </w:tc>
        <w:tc>
          <w:tcPr>
            <w:tcW w:w="2389" w:type="dxa"/>
            <w:vAlign w:val="center"/>
          </w:tcPr>
          <w:p w14:paraId="7989CAB4">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参选保证金</w:t>
            </w:r>
          </w:p>
        </w:tc>
        <w:tc>
          <w:tcPr>
            <w:tcW w:w="4088" w:type="dxa"/>
          </w:tcPr>
          <w:p w14:paraId="36324291">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符合第二章“参选人须知”4.4 条规定</w:t>
            </w:r>
          </w:p>
        </w:tc>
      </w:tr>
      <w:tr w14:paraId="788C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atLeast"/>
          <w:jc w:val="center"/>
        </w:trPr>
        <w:tc>
          <w:tcPr>
            <w:tcW w:w="1226" w:type="dxa"/>
            <w:vAlign w:val="center"/>
          </w:tcPr>
          <w:p w14:paraId="7F8A679A">
            <w:pPr>
              <w:spacing w:line="360" w:lineRule="auto"/>
              <w:ind w:left="240" w:right="240"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312" w:type="dxa"/>
            <w:vAlign w:val="center"/>
          </w:tcPr>
          <w:p w14:paraId="7BB58BBB">
            <w:pPr>
              <w:spacing w:line="360" w:lineRule="auto"/>
              <w:ind w:right="240" w:firstLine="0" w:firstLineChars="0"/>
              <w:jc w:val="left"/>
              <w:rPr>
                <w:rFonts w:ascii="Times New Roman" w:hAnsi="Times New Roman" w:cs="宋体"/>
                <w:sz w:val="21"/>
                <w:szCs w:val="21"/>
                <w:highlight w:val="none"/>
              </w:rPr>
            </w:pPr>
            <w:r>
              <w:rPr>
                <w:rFonts w:hint="eastAsia" w:ascii="Times New Roman" w:hAnsi="Times New Roman" w:cs="宋体"/>
                <w:sz w:val="21"/>
                <w:szCs w:val="21"/>
                <w:highlight w:val="none"/>
              </w:rPr>
              <w:t>评审程序</w:t>
            </w:r>
          </w:p>
        </w:tc>
        <w:tc>
          <w:tcPr>
            <w:tcW w:w="6477" w:type="dxa"/>
            <w:gridSpan w:val="2"/>
          </w:tcPr>
          <w:p w14:paraId="7EBE90D2">
            <w:pPr>
              <w:widowControl/>
              <w:numPr>
                <w:ilvl w:val="255"/>
                <w:numId w:val="0"/>
              </w:numPr>
              <w:autoSpaceDE/>
              <w:autoSpaceDN/>
              <w:spacing w:line="360" w:lineRule="auto"/>
              <w:ind w:right="240"/>
              <w:rPr>
                <w:rFonts w:ascii="Times New Roman" w:hAnsi="Times New Roman" w:cs="宋体"/>
                <w:sz w:val="21"/>
                <w:szCs w:val="21"/>
                <w:highlight w:val="none"/>
              </w:rPr>
            </w:pPr>
            <w:r>
              <w:rPr>
                <w:rFonts w:hint="eastAsia" w:ascii="Times New Roman" w:hAnsi="Times New Roman" w:cs="宋体"/>
                <w:sz w:val="21"/>
                <w:szCs w:val="21"/>
                <w:highlight w:val="none"/>
              </w:rPr>
              <w:t>1.评审委员会所有参选文件进行符合性审查；</w:t>
            </w:r>
          </w:p>
          <w:p w14:paraId="38BE533E">
            <w:pPr>
              <w:spacing w:line="24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2.评审委员会对通过符合性审查的参选文件进行报价排序，按加权平均价由低到高推荐1-3名中选候选人。加权平均价最低的成为第一中选候选人，加权平均价次低的成为第二中选候选人，依次类推，共推荐1-3名中选候选人。</w:t>
            </w:r>
          </w:p>
        </w:tc>
      </w:tr>
      <w:tr w14:paraId="581C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26" w:type="dxa"/>
            <w:vAlign w:val="center"/>
          </w:tcPr>
          <w:p w14:paraId="3AE8ECCD">
            <w:pPr>
              <w:spacing w:line="360" w:lineRule="auto"/>
              <w:ind w:left="240" w:right="240"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3.4</w:t>
            </w:r>
          </w:p>
        </w:tc>
        <w:tc>
          <w:tcPr>
            <w:tcW w:w="1312" w:type="dxa"/>
            <w:vAlign w:val="center"/>
          </w:tcPr>
          <w:p w14:paraId="14D1416D">
            <w:pPr>
              <w:spacing w:line="360" w:lineRule="auto"/>
              <w:ind w:right="240" w:firstLine="0" w:firstLineChars="0"/>
              <w:jc w:val="left"/>
              <w:rPr>
                <w:rFonts w:ascii="Times New Roman" w:hAnsi="Times New Roman" w:cs="宋体"/>
                <w:sz w:val="21"/>
                <w:szCs w:val="21"/>
                <w:highlight w:val="none"/>
              </w:rPr>
            </w:pPr>
            <w:r>
              <w:rPr>
                <w:rFonts w:hint="eastAsia" w:ascii="Times New Roman" w:hAnsi="Times New Roman" w:cs="宋体"/>
                <w:sz w:val="21"/>
                <w:szCs w:val="21"/>
                <w:highlight w:val="none"/>
              </w:rPr>
              <w:t>评审结果</w:t>
            </w:r>
          </w:p>
        </w:tc>
        <w:tc>
          <w:tcPr>
            <w:tcW w:w="6477" w:type="dxa"/>
            <w:gridSpan w:val="2"/>
            <w:vAlign w:val="center"/>
          </w:tcPr>
          <w:p w14:paraId="3AC7BAFB">
            <w:pPr>
              <w:spacing w:line="360" w:lineRule="auto"/>
              <w:ind w:right="240"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3.4.1 评审委员会按经评审的最低价法推荐中选候选人。</w:t>
            </w:r>
          </w:p>
          <w:p w14:paraId="1B5CF47F">
            <w:pPr>
              <w:spacing w:line="360" w:lineRule="auto"/>
              <w:ind w:right="240" w:firstLine="0" w:firstLineChars="0"/>
              <w:rPr>
                <w:rFonts w:ascii="Times New Roman" w:hAnsi="Times New Roman" w:cs="宋体"/>
                <w:spacing w:val="4"/>
                <w:kern w:val="0"/>
                <w:sz w:val="21"/>
                <w:szCs w:val="21"/>
                <w:highlight w:val="none"/>
              </w:rPr>
            </w:pPr>
            <w:r>
              <w:rPr>
                <w:rFonts w:hint="eastAsia" w:ascii="Times New Roman" w:hAnsi="Times New Roman" w:cs="宋体"/>
                <w:sz w:val="21"/>
                <w:szCs w:val="21"/>
                <w:highlight w:val="none"/>
              </w:rPr>
              <w:t>3.4.2 评审委员会完成评审后，应当向比选人提交书面评审报告。</w:t>
            </w:r>
          </w:p>
        </w:tc>
      </w:tr>
    </w:tbl>
    <w:p w14:paraId="53A6BA8B">
      <w:pPr>
        <w:ind w:left="240" w:right="240" w:firstLine="420"/>
        <w:rPr>
          <w:rFonts w:ascii="Times New Roman" w:hAnsi="Times New Roman" w:cs="宋体"/>
          <w:snapToGrid w:val="0"/>
          <w:sz w:val="21"/>
          <w:szCs w:val="21"/>
          <w:highlight w:val="none"/>
        </w:rPr>
      </w:pPr>
    </w:p>
    <w:p w14:paraId="3E4F4129">
      <w:pPr>
        <w:ind w:left="240" w:right="240" w:firstLine="420"/>
        <w:rPr>
          <w:rFonts w:ascii="Times New Roman" w:hAnsi="Times New Roman" w:cs="宋体"/>
          <w:snapToGrid w:val="0"/>
          <w:sz w:val="21"/>
          <w:szCs w:val="21"/>
          <w:highlight w:val="none"/>
        </w:rPr>
      </w:pPr>
    </w:p>
    <w:p w14:paraId="0183937F">
      <w:pPr>
        <w:ind w:left="240" w:right="240" w:firstLine="420"/>
        <w:rPr>
          <w:rFonts w:ascii="Times New Roman" w:hAnsi="Times New Roman" w:cs="宋体"/>
          <w:snapToGrid w:val="0"/>
          <w:sz w:val="21"/>
          <w:szCs w:val="21"/>
          <w:highlight w:val="none"/>
        </w:rPr>
      </w:pPr>
    </w:p>
    <w:p w14:paraId="2FBE1B32">
      <w:pPr>
        <w:ind w:left="240" w:right="240" w:firstLine="420"/>
        <w:rPr>
          <w:rFonts w:ascii="Times New Roman" w:hAnsi="Times New Roman" w:cs="宋体"/>
          <w:snapToGrid w:val="0"/>
          <w:sz w:val="21"/>
          <w:szCs w:val="21"/>
          <w:highlight w:val="none"/>
        </w:rPr>
      </w:pPr>
    </w:p>
    <w:p w14:paraId="2B261F83">
      <w:pPr>
        <w:ind w:left="240" w:right="240" w:firstLine="420"/>
        <w:rPr>
          <w:rFonts w:ascii="Times New Roman" w:hAnsi="Times New Roman" w:cs="宋体"/>
          <w:snapToGrid w:val="0"/>
          <w:sz w:val="21"/>
          <w:szCs w:val="21"/>
          <w:highlight w:val="none"/>
        </w:rPr>
      </w:pPr>
    </w:p>
    <w:p w14:paraId="7093BB77">
      <w:pPr>
        <w:ind w:left="240" w:right="240" w:firstLine="420"/>
        <w:rPr>
          <w:rFonts w:ascii="Times New Roman" w:hAnsi="Times New Roman" w:cs="宋体"/>
          <w:snapToGrid w:val="0"/>
          <w:sz w:val="21"/>
          <w:szCs w:val="21"/>
          <w:highlight w:val="none"/>
        </w:rPr>
      </w:pPr>
    </w:p>
    <w:p w14:paraId="6E8BC8BD">
      <w:pPr>
        <w:ind w:left="240" w:right="240" w:firstLine="420"/>
        <w:rPr>
          <w:rFonts w:ascii="Times New Roman" w:hAnsi="Times New Roman" w:cs="宋体"/>
          <w:snapToGrid w:val="0"/>
          <w:sz w:val="21"/>
          <w:szCs w:val="21"/>
          <w:highlight w:val="none"/>
        </w:rPr>
      </w:pPr>
    </w:p>
    <w:p w14:paraId="03A0F0AD">
      <w:pPr>
        <w:ind w:left="240" w:right="240" w:firstLine="420"/>
        <w:rPr>
          <w:rFonts w:ascii="Times New Roman" w:hAnsi="Times New Roman" w:cs="宋体"/>
          <w:snapToGrid w:val="0"/>
          <w:sz w:val="21"/>
          <w:szCs w:val="21"/>
          <w:highlight w:val="none"/>
        </w:rPr>
      </w:pPr>
    </w:p>
    <w:p w14:paraId="503DD39F">
      <w:pPr>
        <w:autoSpaceDE/>
        <w:autoSpaceDN/>
        <w:ind w:left="238" w:right="238" w:firstLine="0" w:firstLineChars="0"/>
        <w:jc w:val="center"/>
        <w:rPr>
          <w:rFonts w:ascii="Times New Roman" w:hAnsi="Times New Roman" w:cs="宋体"/>
          <w:b/>
          <w:bCs/>
          <w:snapToGrid w:val="0"/>
          <w:sz w:val="32"/>
          <w:szCs w:val="32"/>
          <w:highlight w:val="none"/>
        </w:rPr>
      </w:pPr>
      <w:r>
        <w:rPr>
          <w:rFonts w:hint="eastAsia" w:ascii="Times New Roman" w:hAnsi="Times New Roman" w:cs="宋体"/>
          <w:b/>
          <w:bCs/>
          <w:sz w:val="32"/>
          <w:szCs w:val="32"/>
          <w:highlight w:val="none"/>
        </w:rPr>
        <w:t>《产品权重表》</w:t>
      </w:r>
    </w:p>
    <w:tbl>
      <w:tblPr>
        <w:tblStyle w:val="17"/>
        <w:tblW w:w="8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363"/>
        <w:gridCol w:w="2900"/>
        <w:gridCol w:w="1212"/>
      </w:tblGrid>
      <w:tr w14:paraId="16D9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6EEC4C2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序号</w:t>
            </w:r>
          </w:p>
        </w:tc>
        <w:tc>
          <w:tcPr>
            <w:tcW w:w="3363" w:type="dxa"/>
            <w:shd w:val="clear" w:color="auto" w:fill="auto"/>
            <w:noWrap/>
            <w:vAlign w:val="center"/>
          </w:tcPr>
          <w:p w14:paraId="7A31983A">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产品名称</w:t>
            </w:r>
          </w:p>
        </w:tc>
        <w:tc>
          <w:tcPr>
            <w:tcW w:w="2900" w:type="dxa"/>
            <w:shd w:val="clear" w:color="auto" w:fill="auto"/>
            <w:noWrap/>
            <w:vAlign w:val="center"/>
          </w:tcPr>
          <w:p w14:paraId="5BA9EE37">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规格</w:t>
            </w:r>
          </w:p>
        </w:tc>
        <w:tc>
          <w:tcPr>
            <w:tcW w:w="1212" w:type="dxa"/>
            <w:shd w:val="clear" w:color="auto" w:fill="auto"/>
            <w:noWrap/>
            <w:vAlign w:val="center"/>
          </w:tcPr>
          <w:p w14:paraId="2124ABA5">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权重</w:t>
            </w:r>
          </w:p>
        </w:tc>
      </w:tr>
      <w:tr w14:paraId="7BFC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3362913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w:t>
            </w:r>
          </w:p>
        </w:tc>
        <w:tc>
          <w:tcPr>
            <w:tcW w:w="3363" w:type="dxa"/>
            <w:shd w:val="clear" w:color="auto" w:fill="auto"/>
            <w:vAlign w:val="center"/>
          </w:tcPr>
          <w:p w14:paraId="676AC16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LC尾纤（含熔接）</w:t>
            </w:r>
          </w:p>
        </w:tc>
        <w:tc>
          <w:tcPr>
            <w:tcW w:w="2900" w:type="dxa"/>
            <w:shd w:val="clear" w:color="auto" w:fill="auto"/>
            <w:noWrap/>
            <w:vAlign w:val="center"/>
          </w:tcPr>
          <w:p w14:paraId="058A6A0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长度1米</w:t>
            </w: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17D2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0.4%</w:t>
            </w:r>
          </w:p>
        </w:tc>
      </w:tr>
      <w:tr w14:paraId="6681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1712750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w:t>
            </w:r>
          </w:p>
        </w:tc>
        <w:tc>
          <w:tcPr>
            <w:tcW w:w="3363" w:type="dxa"/>
            <w:shd w:val="clear" w:color="auto" w:fill="auto"/>
            <w:vAlign w:val="center"/>
          </w:tcPr>
          <w:p w14:paraId="3A20692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通风地板(含底座)</w:t>
            </w:r>
          </w:p>
        </w:tc>
        <w:tc>
          <w:tcPr>
            <w:tcW w:w="2900" w:type="dxa"/>
            <w:shd w:val="clear" w:color="auto" w:fill="auto"/>
            <w:noWrap/>
            <w:vAlign w:val="center"/>
          </w:tcPr>
          <w:p w14:paraId="086FE92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尺寸：600mm x 600mm</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4851003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0.2%</w:t>
            </w:r>
          </w:p>
        </w:tc>
      </w:tr>
      <w:tr w14:paraId="6B6E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0AB5549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w:t>
            </w:r>
          </w:p>
        </w:tc>
        <w:tc>
          <w:tcPr>
            <w:tcW w:w="3363" w:type="dxa"/>
            <w:shd w:val="clear" w:color="auto" w:fill="auto"/>
            <w:vAlign w:val="center"/>
          </w:tcPr>
          <w:p w14:paraId="6979E87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静电地板(含底座)</w:t>
            </w:r>
          </w:p>
        </w:tc>
        <w:tc>
          <w:tcPr>
            <w:tcW w:w="2900" w:type="dxa"/>
            <w:shd w:val="clear" w:color="auto" w:fill="auto"/>
            <w:noWrap/>
            <w:vAlign w:val="center"/>
          </w:tcPr>
          <w:p w14:paraId="04D8C48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尺寸：600mm x 600mm</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0AF81C9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0.2%</w:t>
            </w:r>
          </w:p>
        </w:tc>
      </w:tr>
      <w:tr w14:paraId="3EAB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76A42AE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w:t>
            </w:r>
          </w:p>
        </w:tc>
        <w:tc>
          <w:tcPr>
            <w:tcW w:w="3363" w:type="dxa"/>
            <w:shd w:val="clear" w:color="auto" w:fill="auto"/>
            <w:vAlign w:val="center"/>
          </w:tcPr>
          <w:p w14:paraId="1310105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w:t>
            </w:r>
          </w:p>
        </w:tc>
        <w:tc>
          <w:tcPr>
            <w:tcW w:w="2900" w:type="dxa"/>
            <w:shd w:val="clear" w:color="auto" w:fill="auto"/>
            <w:noWrap/>
            <w:vAlign w:val="center"/>
          </w:tcPr>
          <w:p w14:paraId="6A4F49F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300米/箱</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7ED4A42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0.2%</w:t>
            </w:r>
          </w:p>
        </w:tc>
      </w:tr>
      <w:tr w14:paraId="5643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4929AF6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5</w:t>
            </w:r>
          </w:p>
        </w:tc>
        <w:tc>
          <w:tcPr>
            <w:tcW w:w="3363" w:type="dxa"/>
            <w:shd w:val="clear" w:color="auto" w:fill="auto"/>
            <w:vAlign w:val="center"/>
          </w:tcPr>
          <w:p w14:paraId="5F3B051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900" w:type="dxa"/>
            <w:shd w:val="clear" w:color="auto" w:fill="auto"/>
            <w:noWrap/>
            <w:vAlign w:val="center"/>
          </w:tcPr>
          <w:p w14:paraId="763F3B2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72CDA51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2.0%</w:t>
            </w:r>
          </w:p>
        </w:tc>
      </w:tr>
      <w:tr w14:paraId="020B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03B0EE8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6</w:t>
            </w:r>
          </w:p>
        </w:tc>
        <w:tc>
          <w:tcPr>
            <w:tcW w:w="3363" w:type="dxa"/>
            <w:shd w:val="clear" w:color="auto" w:fill="auto"/>
            <w:vAlign w:val="center"/>
          </w:tcPr>
          <w:p w14:paraId="35BA79C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900" w:type="dxa"/>
            <w:shd w:val="clear" w:color="auto" w:fill="auto"/>
            <w:noWrap/>
            <w:vAlign w:val="center"/>
          </w:tcPr>
          <w:p w14:paraId="4DDE492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63A9BED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6.6%</w:t>
            </w:r>
          </w:p>
        </w:tc>
      </w:tr>
      <w:tr w14:paraId="787A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1077233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7</w:t>
            </w:r>
          </w:p>
        </w:tc>
        <w:tc>
          <w:tcPr>
            <w:tcW w:w="3363" w:type="dxa"/>
            <w:shd w:val="clear" w:color="auto" w:fill="auto"/>
            <w:vAlign w:val="center"/>
          </w:tcPr>
          <w:p w14:paraId="458EDE4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900" w:type="dxa"/>
            <w:shd w:val="clear" w:color="auto" w:fill="auto"/>
            <w:noWrap/>
            <w:vAlign w:val="center"/>
          </w:tcPr>
          <w:p w14:paraId="14F15C5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0A6FA78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9.3%</w:t>
            </w:r>
          </w:p>
        </w:tc>
      </w:tr>
      <w:tr w14:paraId="1EEB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1C53226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8</w:t>
            </w:r>
          </w:p>
        </w:tc>
        <w:tc>
          <w:tcPr>
            <w:tcW w:w="3363" w:type="dxa"/>
            <w:shd w:val="clear" w:color="auto" w:fill="auto"/>
            <w:vAlign w:val="center"/>
          </w:tcPr>
          <w:p w14:paraId="3C5BC26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900" w:type="dxa"/>
            <w:shd w:val="clear" w:color="auto" w:fill="auto"/>
            <w:noWrap/>
            <w:vAlign w:val="center"/>
          </w:tcPr>
          <w:p w14:paraId="273EB6D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2BF9883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4.3%</w:t>
            </w:r>
          </w:p>
        </w:tc>
      </w:tr>
      <w:tr w14:paraId="0C53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44721F1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9</w:t>
            </w:r>
          </w:p>
        </w:tc>
        <w:tc>
          <w:tcPr>
            <w:tcW w:w="3363" w:type="dxa"/>
            <w:shd w:val="clear" w:color="auto" w:fill="auto"/>
            <w:vAlign w:val="center"/>
          </w:tcPr>
          <w:p w14:paraId="691F4A2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900" w:type="dxa"/>
            <w:shd w:val="clear" w:color="auto" w:fill="auto"/>
            <w:noWrap/>
            <w:vAlign w:val="center"/>
          </w:tcPr>
          <w:p w14:paraId="706DD9F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长度20米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414EEFD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0.4%</w:t>
            </w:r>
          </w:p>
        </w:tc>
      </w:tr>
      <w:tr w14:paraId="4A2A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7C4E81A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10</w:t>
            </w:r>
          </w:p>
        </w:tc>
        <w:tc>
          <w:tcPr>
            <w:tcW w:w="3363" w:type="dxa"/>
            <w:shd w:val="clear" w:color="auto" w:fill="auto"/>
            <w:vAlign w:val="center"/>
          </w:tcPr>
          <w:p w14:paraId="6AD1897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理线器</w:t>
            </w:r>
          </w:p>
        </w:tc>
        <w:tc>
          <w:tcPr>
            <w:tcW w:w="2900" w:type="dxa"/>
            <w:shd w:val="clear" w:color="auto" w:fill="auto"/>
            <w:noWrap/>
            <w:vAlign w:val="center"/>
          </w:tcPr>
          <w:p w14:paraId="039355F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46551C4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0.2%</w:t>
            </w:r>
          </w:p>
        </w:tc>
      </w:tr>
      <w:tr w14:paraId="2D51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5E03085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11</w:t>
            </w:r>
          </w:p>
        </w:tc>
        <w:tc>
          <w:tcPr>
            <w:tcW w:w="3363" w:type="dxa"/>
            <w:shd w:val="clear" w:color="auto" w:fill="auto"/>
            <w:vAlign w:val="center"/>
          </w:tcPr>
          <w:p w14:paraId="35636D4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双层网格桥架</w:t>
            </w:r>
          </w:p>
        </w:tc>
        <w:tc>
          <w:tcPr>
            <w:tcW w:w="2900" w:type="dxa"/>
            <w:shd w:val="clear" w:color="auto" w:fill="auto"/>
            <w:noWrap/>
            <w:vAlign w:val="center"/>
          </w:tcPr>
          <w:p w14:paraId="426368A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7AB282D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0.2%</w:t>
            </w:r>
          </w:p>
        </w:tc>
      </w:tr>
      <w:tr w14:paraId="249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2926C60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12</w:t>
            </w:r>
          </w:p>
        </w:tc>
        <w:tc>
          <w:tcPr>
            <w:tcW w:w="3363" w:type="dxa"/>
            <w:shd w:val="clear" w:color="auto" w:fill="auto"/>
            <w:vAlign w:val="center"/>
          </w:tcPr>
          <w:p w14:paraId="4F87600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机柜挡板</w:t>
            </w:r>
          </w:p>
        </w:tc>
        <w:tc>
          <w:tcPr>
            <w:tcW w:w="2900" w:type="dxa"/>
            <w:shd w:val="clear" w:color="auto" w:fill="auto"/>
            <w:noWrap/>
            <w:vAlign w:val="center"/>
          </w:tcPr>
          <w:p w14:paraId="177B6E1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753C479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0.4%</w:t>
            </w:r>
          </w:p>
        </w:tc>
      </w:tr>
      <w:tr w14:paraId="595B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6C319CB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w:t>
            </w:r>
          </w:p>
        </w:tc>
        <w:tc>
          <w:tcPr>
            <w:tcW w:w="3363" w:type="dxa"/>
            <w:shd w:val="clear" w:color="auto" w:fill="auto"/>
            <w:vAlign w:val="center"/>
          </w:tcPr>
          <w:p w14:paraId="465689E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电缆</w:t>
            </w:r>
          </w:p>
        </w:tc>
        <w:tc>
          <w:tcPr>
            <w:tcW w:w="2900" w:type="dxa"/>
            <w:shd w:val="clear" w:color="auto" w:fill="auto"/>
            <w:noWrap/>
            <w:vAlign w:val="center"/>
          </w:tcPr>
          <w:p w14:paraId="00F51FF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ZR-YJV3*6mm²</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56D8E1C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5.8%</w:t>
            </w:r>
          </w:p>
        </w:tc>
      </w:tr>
      <w:tr w14:paraId="6D6B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2BDCB8F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14</w:t>
            </w:r>
          </w:p>
        </w:tc>
        <w:tc>
          <w:tcPr>
            <w:tcW w:w="3363" w:type="dxa"/>
            <w:shd w:val="clear" w:color="auto" w:fill="auto"/>
            <w:vAlign w:val="center"/>
          </w:tcPr>
          <w:p w14:paraId="4DB1B59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电缆</w:t>
            </w:r>
          </w:p>
        </w:tc>
        <w:tc>
          <w:tcPr>
            <w:tcW w:w="2900" w:type="dxa"/>
            <w:shd w:val="clear" w:color="auto" w:fill="auto"/>
            <w:noWrap/>
            <w:vAlign w:val="center"/>
          </w:tcPr>
          <w:p w14:paraId="359099C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ZR-YJV3*10mm²</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07694AE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5.8%</w:t>
            </w:r>
          </w:p>
        </w:tc>
      </w:tr>
      <w:tr w14:paraId="6119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4AC0F4C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15</w:t>
            </w:r>
          </w:p>
        </w:tc>
        <w:tc>
          <w:tcPr>
            <w:tcW w:w="3363" w:type="dxa"/>
            <w:shd w:val="clear" w:color="auto" w:fill="auto"/>
            <w:vAlign w:val="center"/>
          </w:tcPr>
          <w:p w14:paraId="677A507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PDU</w:t>
            </w:r>
          </w:p>
        </w:tc>
        <w:tc>
          <w:tcPr>
            <w:tcW w:w="2900" w:type="dxa"/>
            <w:shd w:val="clear" w:color="auto" w:fill="auto"/>
            <w:noWrap/>
            <w:vAlign w:val="center"/>
          </w:tcPr>
          <w:p w14:paraId="5A6E334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12位10A插座+4位16A插座</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50B23EA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0.3%</w:t>
            </w:r>
          </w:p>
        </w:tc>
      </w:tr>
      <w:tr w14:paraId="51E0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26C7F17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16</w:t>
            </w:r>
          </w:p>
        </w:tc>
        <w:tc>
          <w:tcPr>
            <w:tcW w:w="3363" w:type="dxa"/>
            <w:shd w:val="clear" w:color="auto" w:fill="auto"/>
            <w:vAlign w:val="center"/>
          </w:tcPr>
          <w:p w14:paraId="5F865FB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MPO-LC 扇形多模光纤跳线</w:t>
            </w:r>
          </w:p>
        </w:tc>
        <w:tc>
          <w:tcPr>
            <w:tcW w:w="2900" w:type="dxa"/>
            <w:shd w:val="clear" w:color="auto" w:fill="auto"/>
            <w:noWrap/>
            <w:vAlign w:val="center"/>
          </w:tcPr>
          <w:p w14:paraId="41126C8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7ADB809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0.3%</w:t>
            </w:r>
          </w:p>
        </w:tc>
      </w:tr>
      <w:tr w14:paraId="506D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1C5D5F4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17</w:t>
            </w:r>
          </w:p>
        </w:tc>
        <w:tc>
          <w:tcPr>
            <w:tcW w:w="3363" w:type="dxa"/>
            <w:shd w:val="clear" w:color="auto" w:fill="auto"/>
            <w:vAlign w:val="center"/>
          </w:tcPr>
          <w:p w14:paraId="451C05B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MPO-LC 扇形多模光纤跳线</w:t>
            </w:r>
          </w:p>
        </w:tc>
        <w:tc>
          <w:tcPr>
            <w:tcW w:w="2900" w:type="dxa"/>
            <w:shd w:val="clear" w:color="auto" w:fill="auto"/>
            <w:noWrap/>
            <w:vAlign w:val="center"/>
          </w:tcPr>
          <w:p w14:paraId="5F1369A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06C8623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0.3%</w:t>
            </w:r>
          </w:p>
        </w:tc>
      </w:tr>
      <w:tr w14:paraId="7CD8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17618A3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18</w:t>
            </w:r>
          </w:p>
        </w:tc>
        <w:tc>
          <w:tcPr>
            <w:tcW w:w="3363" w:type="dxa"/>
            <w:shd w:val="clear" w:color="auto" w:fill="auto"/>
            <w:vAlign w:val="center"/>
          </w:tcPr>
          <w:p w14:paraId="13FF3D5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900" w:type="dxa"/>
            <w:shd w:val="clear" w:color="auto" w:fill="auto"/>
            <w:noWrap/>
            <w:vAlign w:val="center"/>
          </w:tcPr>
          <w:p w14:paraId="41DFF2C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长度15米，母头-母头</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4772093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0.9%</w:t>
            </w:r>
          </w:p>
        </w:tc>
      </w:tr>
      <w:tr w14:paraId="075D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1DB3DFA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19</w:t>
            </w:r>
          </w:p>
        </w:tc>
        <w:tc>
          <w:tcPr>
            <w:tcW w:w="3363" w:type="dxa"/>
            <w:shd w:val="clear" w:color="auto" w:fill="auto"/>
            <w:vAlign w:val="center"/>
          </w:tcPr>
          <w:p w14:paraId="1896F1C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900" w:type="dxa"/>
            <w:shd w:val="clear" w:color="auto" w:fill="auto"/>
            <w:noWrap/>
            <w:vAlign w:val="center"/>
          </w:tcPr>
          <w:p w14:paraId="71C6A51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长度25米，母头-母头</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6CB8C4A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0.3%</w:t>
            </w:r>
          </w:p>
        </w:tc>
      </w:tr>
      <w:tr w14:paraId="3017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2B473D6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20</w:t>
            </w:r>
          </w:p>
        </w:tc>
        <w:tc>
          <w:tcPr>
            <w:tcW w:w="3363" w:type="dxa"/>
            <w:shd w:val="clear" w:color="auto" w:fill="auto"/>
            <w:vAlign w:val="center"/>
          </w:tcPr>
          <w:p w14:paraId="670B35F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900" w:type="dxa"/>
            <w:shd w:val="clear" w:color="auto" w:fill="auto"/>
            <w:noWrap/>
            <w:vAlign w:val="center"/>
          </w:tcPr>
          <w:p w14:paraId="342127C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长度30米，母头-母头</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76FF02B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1.3%</w:t>
            </w:r>
          </w:p>
        </w:tc>
      </w:tr>
      <w:tr w14:paraId="061C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1D1FE89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21</w:t>
            </w:r>
          </w:p>
        </w:tc>
        <w:tc>
          <w:tcPr>
            <w:tcW w:w="3363" w:type="dxa"/>
            <w:shd w:val="clear" w:color="auto" w:fill="auto"/>
            <w:vAlign w:val="center"/>
          </w:tcPr>
          <w:p w14:paraId="6C2BB04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900" w:type="dxa"/>
            <w:shd w:val="clear" w:color="auto" w:fill="auto"/>
            <w:noWrap/>
            <w:vAlign w:val="center"/>
          </w:tcPr>
          <w:p w14:paraId="6316FE3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长度35米，母头-母头</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0424780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0.9%</w:t>
            </w:r>
          </w:p>
        </w:tc>
      </w:tr>
      <w:tr w14:paraId="08DE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0B6500F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22</w:t>
            </w:r>
          </w:p>
        </w:tc>
        <w:tc>
          <w:tcPr>
            <w:tcW w:w="3363" w:type="dxa"/>
            <w:shd w:val="clear" w:color="auto" w:fill="auto"/>
            <w:vAlign w:val="center"/>
          </w:tcPr>
          <w:p w14:paraId="3CE3FC5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900" w:type="dxa"/>
            <w:shd w:val="clear" w:color="auto" w:fill="auto"/>
            <w:noWrap/>
            <w:vAlign w:val="center"/>
          </w:tcPr>
          <w:p w14:paraId="1153ACC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长度1米，公头-公头</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52184A1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0.1%</w:t>
            </w:r>
          </w:p>
        </w:tc>
      </w:tr>
      <w:tr w14:paraId="0E2C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5E648A0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23</w:t>
            </w:r>
          </w:p>
        </w:tc>
        <w:tc>
          <w:tcPr>
            <w:tcW w:w="3363" w:type="dxa"/>
            <w:shd w:val="clear" w:color="auto" w:fill="auto"/>
            <w:vAlign w:val="center"/>
          </w:tcPr>
          <w:p w14:paraId="5210801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900" w:type="dxa"/>
            <w:shd w:val="clear" w:color="auto" w:fill="auto"/>
            <w:noWrap/>
            <w:vAlign w:val="center"/>
          </w:tcPr>
          <w:p w14:paraId="5E0FDA9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2142791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4.3%</w:t>
            </w:r>
          </w:p>
        </w:tc>
      </w:tr>
      <w:tr w14:paraId="6D27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600AF45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w:t>
            </w:r>
          </w:p>
        </w:tc>
        <w:tc>
          <w:tcPr>
            <w:tcW w:w="3363" w:type="dxa"/>
            <w:shd w:val="clear" w:color="auto" w:fill="auto"/>
            <w:vAlign w:val="center"/>
          </w:tcPr>
          <w:p w14:paraId="1F4D543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900" w:type="dxa"/>
            <w:shd w:val="clear" w:color="auto" w:fill="auto"/>
            <w:noWrap/>
            <w:vAlign w:val="center"/>
          </w:tcPr>
          <w:p w14:paraId="74A4F0A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76B0869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8.2%</w:t>
            </w:r>
          </w:p>
        </w:tc>
      </w:tr>
      <w:tr w14:paraId="4691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12AEBC0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25</w:t>
            </w:r>
          </w:p>
        </w:tc>
        <w:tc>
          <w:tcPr>
            <w:tcW w:w="3363" w:type="dxa"/>
            <w:shd w:val="clear" w:color="auto" w:fill="auto"/>
            <w:vAlign w:val="center"/>
          </w:tcPr>
          <w:p w14:paraId="54710C9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900" w:type="dxa"/>
            <w:shd w:val="clear" w:color="auto" w:fill="auto"/>
            <w:noWrap/>
            <w:vAlign w:val="center"/>
          </w:tcPr>
          <w:p w14:paraId="0FFC32A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5930F76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9.8%</w:t>
            </w:r>
          </w:p>
        </w:tc>
      </w:tr>
      <w:tr w14:paraId="35E5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4704B13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26</w:t>
            </w:r>
          </w:p>
        </w:tc>
        <w:tc>
          <w:tcPr>
            <w:tcW w:w="3363" w:type="dxa"/>
            <w:shd w:val="clear" w:color="auto" w:fill="auto"/>
            <w:vAlign w:val="center"/>
          </w:tcPr>
          <w:p w14:paraId="1A0FA14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900" w:type="dxa"/>
            <w:shd w:val="clear" w:color="auto" w:fill="auto"/>
            <w:noWrap/>
            <w:vAlign w:val="center"/>
          </w:tcPr>
          <w:p w14:paraId="64AB559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1BFF8D8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3.7%</w:t>
            </w:r>
          </w:p>
        </w:tc>
      </w:tr>
      <w:tr w14:paraId="16A4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30BD06E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27</w:t>
            </w:r>
          </w:p>
        </w:tc>
        <w:tc>
          <w:tcPr>
            <w:tcW w:w="3363" w:type="dxa"/>
            <w:shd w:val="clear" w:color="auto" w:fill="auto"/>
            <w:vAlign w:val="center"/>
          </w:tcPr>
          <w:p w14:paraId="5EBF6CE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900" w:type="dxa"/>
            <w:shd w:val="clear" w:color="auto" w:fill="auto"/>
            <w:noWrap/>
            <w:vAlign w:val="center"/>
          </w:tcPr>
          <w:p w14:paraId="70C23D6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66BA5D9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2.0%</w:t>
            </w:r>
          </w:p>
        </w:tc>
      </w:tr>
      <w:tr w14:paraId="3B2E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49E9B2B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28</w:t>
            </w:r>
          </w:p>
        </w:tc>
        <w:tc>
          <w:tcPr>
            <w:tcW w:w="3363" w:type="dxa"/>
            <w:shd w:val="clear" w:color="auto" w:fill="auto"/>
            <w:vAlign w:val="center"/>
          </w:tcPr>
          <w:p w14:paraId="257AF8D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900" w:type="dxa"/>
            <w:shd w:val="clear" w:color="auto" w:fill="auto"/>
            <w:noWrap/>
            <w:vAlign w:val="center"/>
          </w:tcPr>
          <w:p w14:paraId="79A842F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471CE94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2.0%</w:t>
            </w:r>
          </w:p>
        </w:tc>
      </w:tr>
      <w:tr w14:paraId="1661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11AF1C1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29</w:t>
            </w:r>
          </w:p>
        </w:tc>
        <w:tc>
          <w:tcPr>
            <w:tcW w:w="3363" w:type="dxa"/>
            <w:shd w:val="clear" w:color="auto" w:fill="auto"/>
            <w:vAlign w:val="center"/>
          </w:tcPr>
          <w:p w14:paraId="05D4A68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900" w:type="dxa"/>
            <w:shd w:val="clear" w:color="auto" w:fill="auto"/>
            <w:noWrap/>
            <w:vAlign w:val="center"/>
          </w:tcPr>
          <w:p w14:paraId="4A0611B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长度20米</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65E17C0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2.0%</w:t>
            </w:r>
          </w:p>
        </w:tc>
      </w:tr>
      <w:tr w14:paraId="46BF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2445A31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30</w:t>
            </w:r>
          </w:p>
        </w:tc>
        <w:tc>
          <w:tcPr>
            <w:tcW w:w="3363" w:type="dxa"/>
            <w:shd w:val="clear" w:color="auto" w:fill="auto"/>
            <w:vAlign w:val="center"/>
          </w:tcPr>
          <w:p w14:paraId="1E8DAF1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MPO光纤适配器</w:t>
            </w:r>
          </w:p>
        </w:tc>
        <w:tc>
          <w:tcPr>
            <w:tcW w:w="2900" w:type="dxa"/>
            <w:shd w:val="clear" w:color="auto" w:fill="auto"/>
            <w:noWrap/>
            <w:vAlign w:val="center"/>
          </w:tcPr>
          <w:p w14:paraId="3C8234F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B型，4口</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6A3678A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0.2%</w:t>
            </w:r>
          </w:p>
        </w:tc>
      </w:tr>
      <w:tr w14:paraId="236E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4C08DAE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31</w:t>
            </w:r>
          </w:p>
        </w:tc>
        <w:tc>
          <w:tcPr>
            <w:tcW w:w="3363" w:type="dxa"/>
            <w:shd w:val="clear" w:color="auto" w:fill="auto"/>
            <w:vAlign w:val="center"/>
          </w:tcPr>
          <w:p w14:paraId="0AC23E2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c14转c13欧标电源线</w:t>
            </w:r>
          </w:p>
        </w:tc>
        <w:tc>
          <w:tcPr>
            <w:tcW w:w="2900" w:type="dxa"/>
            <w:shd w:val="clear" w:color="auto" w:fill="auto"/>
            <w:noWrap/>
            <w:vAlign w:val="center"/>
          </w:tcPr>
          <w:p w14:paraId="58D782D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5EC4153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19.5%</w:t>
            </w:r>
          </w:p>
        </w:tc>
      </w:tr>
      <w:tr w14:paraId="4B0C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5695DE3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w:t>
            </w:r>
          </w:p>
        </w:tc>
        <w:tc>
          <w:tcPr>
            <w:tcW w:w="3363" w:type="dxa"/>
            <w:shd w:val="clear" w:color="auto" w:fill="auto"/>
            <w:vAlign w:val="center"/>
          </w:tcPr>
          <w:p w14:paraId="4E7A47F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c20转c13欧标电源线</w:t>
            </w:r>
          </w:p>
        </w:tc>
        <w:tc>
          <w:tcPr>
            <w:tcW w:w="2900" w:type="dxa"/>
            <w:shd w:val="clear" w:color="auto" w:fill="auto"/>
            <w:noWrap/>
            <w:vAlign w:val="center"/>
          </w:tcPr>
          <w:p w14:paraId="44275E6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355CFAB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2.3%</w:t>
            </w:r>
          </w:p>
        </w:tc>
      </w:tr>
      <w:tr w14:paraId="1297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2DDD6DB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33</w:t>
            </w:r>
          </w:p>
        </w:tc>
        <w:tc>
          <w:tcPr>
            <w:tcW w:w="3363" w:type="dxa"/>
            <w:shd w:val="clear" w:color="auto" w:fill="auto"/>
            <w:vAlign w:val="center"/>
          </w:tcPr>
          <w:p w14:paraId="22C6CC9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48芯光纤配线架</w:t>
            </w:r>
          </w:p>
        </w:tc>
        <w:tc>
          <w:tcPr>
            <w:tcW w:w="2900" w:type="dxa"/>
            <w:shd w:val="clear" w:color="auto" w:fill="auto"/>
            <w:noWrap/>
            <w:vAlign w:val="center"/>
          </w:tcPr>
          <w:p w14:paraId="3FA37EC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7E44059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0.1%</w:t>
            </w:r>
          </w:p>
        </w:tc>
      </w:tr>
      <w:tr w14:paraId="6D95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52B84C8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34</w:t>
            </w:r>
          </w:p>
        </w:tc>
        <w:tc>
          <w:tcPr>
            <w:tcW w:w="3363" w:type="dxa"/>
            <w:shd w:val="clear" w:color="000000" w:fill="FFFFFF"/>
            <w:vAlign w:val="center"/>
          </w:tcPr>
          <w:p w14:paraId="035D550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服务器机柜</w:t>
            </w:r>
          </w:p>
        </w:tc>
        <w:tc>
          <w:tcPr>
            <w:tcW w:w="2900" w:type="dxa"/>
            <w:shd w:val="clear" w:color="auto" w:fill="auto"/>
            <w:noWrap/>
            <w:vAlign w:val="center"/>
          </w:tcPr>
          <w:p w14:paraId="2E94A46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800mmx1200mmx2000mm</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17748EC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0.1%</w:t>
            </w:r>
          </w:p>
        </w:tc>
      </w:tr>
      <w:tr w14:paraId="26D2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21FEE6A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35</w:t>
            </w:r>
          </w:p>
        </w:tc>
        <w:tc>
          <w:tcPr>
            <w:tcW w:w="3363" w:type="dxa"/>
            <w:shd w:val="clear" w:color="auto" w:fill="auto"/>
            <w:vAlign w:val="center"/>
          </w:tcPr>
          <w:p w14:paraId="4AE44E6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空开</w:t>
            </w:r>
          </w:p>
        </w:tc>
        <w:tc>
          <w:tcPr>
            <w:tcW w:w="2900" w:type="dxa"/>
            <w:shd w:val="clear" w:color="auto" w:fill="auto"/>
            <w:noWrap/>
            <w:vAlign w:val="center"/>
          </w:tcPr>
          <w:p w14:paraId="33A0407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32A/1P</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25D63C3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0.2%</w:t>
            </w:r>
          </w:p>
        </w:tc>
      </w:tr>
      <w:tr w14:paraId="71CD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6409976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36</w:t>
            </w:r>
          </w:p>
        </w:tc>
        <w:tc>
          <w:tcPr>
            <w:tcW w:w="3363" w:type="dxa"/>
            <w:shd w:val="clear" w:color="auto" w:fill="auto"/>
            <w:vAlign w:val="center"/>
          </w:tcPr>
          <w:p w14:paraId="5F01A7C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工业连接器</w:t>
            </w:r>
          </w:p>
        </w:tc>
        <w:tc>
          <w:tcPr>
            <w:tcW w:w="2900" w:type="dxa"/>
            <w:shd w:val="clear" w:color="auto" w:fill="auto"/>
            <w:noWrap/>
            <w:vAlign w:val="center"/>
          </w:tcPr>
          <w:p w14:paraId="5D8F407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32A/1P</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5BA8B24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0.2%</w:t>
            </w:r>
          </w:p>
        </w:tc>
      </w:tr>
      <w:tr w14:paraId="09C6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655516A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37</w:t>
            </w:r>
          </w:p>
        </w:tc>
        <w:tc>
          <w:tcPr>
            <w:tcW w:w="3363" w:type="dxa"/>
            <w:shd w:val="clear" w:color="auto" w:fill="auto"/>
            <w:vAlign w:val="center"/>
          </w:tcPr>
          <w:p w14:paraId="0C53E2A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24芯多模光纤</w:t>
            </w:r>
          </w:p>
        </w:tc>
        <w:tc>
          <w:tcPr>
            <w:tcW w:w="2900" w:type="dxa"/>
            <w:shd w:val="clear" w:color="auto" w:fill="auto"/>
            <w:vAlign w:val="center"/>
          </w:tcPr>
          <w:p w14:paraId="092B31E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定制长度</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59255F5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1.9%</w:t>
            </w:r>
          </w:p>
        </w:tc>
      </w:tr>
      <w:tr w14:paraId="1F05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2E2B35F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38</w:t>
            </w:r>
          </w:p>
        </w:tc>
        <w:tc>
          <w:tcPr>
            <w:tcW w:w="3363" w:type="dxa"/>
            <w:shd w:val="clear" w:color="auto" w:fill="auto"/>
            <w:vAlign w:val="center"/>
          </w:tcPr>
          <w:p w14:paraId="4AC2D68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24口网络配线架</w:t>
            </w:r>
          </w:p>
        </w:tc>
        <w:tc>
          <w:tcPr>
            <w:tcW w:w="2900" w:type="dxa"/>
            <w:shd w:val="clear" w:color="auto" w:fill="auto"/>
            <w:noWrap/>
            <w:vAlign w:val="center"/>
          </w:tcPr>
          <w:p w14:paraId="2FAC7B3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06FFD11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0.2%</w:t>
            </w:r>
          </w:p>
        </w:tc>
      </w:tr>
      <w:tr w14:paraId="2D8C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2" w:type="dxa"/>
            <w:shd w:val="clear" w:color="auto" w:fill="auto"/>
            <w:noWrap/>
            <w:vAlign w:val="center"/>
          </w:tcPr>
          <w:p w14:paraId="1ECD5CC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39</w:t>
            </w:r>
          </w:p>
        </w:tc>
        <w:tc>
          <w:tcPr>
            <w:tcW w:w="3363" w:type="dxa"/>
            <w:shd w:val="clear" w:color="auto" w:fill="auto"/>
            <w:vAlign w:val="center"/>
          </w:tcPr>
          <w:p w14:paraId="476D197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通用服务器L型支架</w:t>
            </w:r>
          </w:p>
        </w:tc>
        <w:tc>
          <w:tcPr>
            <w:tcW w:w="2900" w:type="dxa"/>
            <w:shd w:val="clear" w:color="auto" w:fill="auto"/>
            <w:noWrap/>
            <w:vAlign w:val="center"/>
          </w:tcPr>
          <w:p w14:paraId="3F775FB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带滑轨</w:t>
            </w:r>
          </w:p>
        </w:tc>
        <w:tc>
          <w:tcPr>
            <w:tcW w:w="1212" w:type="dxa"/>
            <w:tcBorders>
              <w:top w:val="nil"/>
              <w:left w:val="single" w:color="auto" w:sz="4" w:space="0"/>
              <w:bottom w:val="single" w:color="auto" w:sz="4" w:space="0"/>
              <w:right w:val="single" w:color="auto" w:sz="4" w:space="0"/>
            </w:tcBorders>
            <w:shd w:val="clear" w:color="auto" w:fill="auto"/>
            <w:noWrap/>
            <w:vAlign w:val="center"/>
          </w:tcPr>
          <w:p w14:paraId="619F0B9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2.9%</w:t>
            </w:r>
          </w:p>
        </w:tc>
      </w:tr>
    </w:tbl>
    <w:p w14:paraId="11A9D51A">
      <w:pPr>
        <w:ind w:left="240" w:right="240" w:firstLine="420"/>
        <w:rPr>
          <w:rFonts w:ascii="Times New Roman" w:hAnsi="Times New Roman" w:cs="宋体"/>
          <w:snapToGrid w:val="0"/>
          <w:sz w:val="21"/>
          <w:szCs w:val="21"/>
          <w:highlight w:val="none"/>
        </w:rPr>
      </w:pPr>
      <w:r>
        <w:rPr>
          <w:rFonts w:hint="eastAsia" w:ascii="Times New Roman" w:hAnsi="Times New Roman" w:cs="宋体"/>
          <w:snapToGrid w:val="0"/>
          <w:sz w:val="21"/>
          <w:szCs w:val="21"/>
          <w:highlight w:val="none"/>
        </w:rPr>
        <w:br w:type="page"/>
      </w:r>
    </w:p>
    <w:p w14:paraId="3B60F8CC">
      <w:pPr>
        <w:pStyle w:val="3"/>
        <w:ind w:left="240" w:right="240"/>
        <w:rPr>
          <w:rFonts w:ascii="Times New Roman" w:hAnsi="Times New Roman"/>
          <w:highlight w:val="none"/>
        </w:rPr>
      </w:pPr>
      <w:bookmarkStart w:id="72" w:name="_Toc32646"/>
      <w:bookmarkStart w:id="73" w:name="_Toc2724"/>
      <w:bookmarkStart w:id="74" w:name="_Toc25275"/>
      <w:r>
        <w:rPr>
          <w:rFonts w:ascii="Times New Roman" w:hAnsi="Times New Roman"/>
          <w:highlight w:val="none"/>
        </w:rPr>
        <w:t>1.</w:t>
      </w:r>
      <w:r>
        <w:rPr>
          <w:rFonts w:hint="eastAsia" w:ascii="Times New Roman" w:hAnsi="Times New Roman"/>
          <w:highlight w:val="none"/>
        </w:rPr>
        <w:t xml:space="preserve"> 评审</w:t>
      </w:r>
      <w:r>
        <w:rPr>
          <w:rFonts w:ascii="Times New Roman" w:hAnsi="Times New Roman"/>
          <w:highlight w:val="none"/>
        </w:rPr>
        <w:t>方法</w:t>
      </w:r>
      <w:bookmarkEnd w:id="72"/>
      <w:bookmarkEnd w:id="73"/>
      <w:bookmarkEnd w:id="74"/>
    </w:p>
    <w:p w14:paraId="12358659">
      <w:pPr>
        <w:ind w:left="240" w:right="240" w:firstLine="480"/>
        <w:rPr>
          <w:rFonts w:ascii="Times New Roman" w:hAnsi="Times New Roman"/>
          <w:highlight w:val="none"/>
        </w:rPr>
      </w:pPr>
      <w:r>
        <w:rPr>
          <w:rFonts w:hint="eastAsia" w:ascii="Times New Roman" w:hAnsi="Times New Roman"/>
          <w:highlight w:val="none"/>
        </w:rPr>
        <w:t>本次评审采用经评审的最低价法，评审委员会按照本章第2.1 条进行</w:t>
      </w:r>
      <w:r>
        <w:rPr>
          <w:rFonts w:hint="eastAsia" w:ascii="Times New Roman" w:hAnsi="Times New Roman" w:cs="Cambria Math"/>
          <w:spacing w:val="0"/>
          <w:kern w:val="2"/>
          <w:sz w:val="24"/>
          <w:szCs w:val="20"/>
          <w:highlight w:val="none"/>
        </w:rPr>
        <w:t>符合性审查</w:t>
      </w:r>
      <w:r>
        <w:rPr>
          <w:rFonts w:hint="eastAsia" w:ascii="Times New Roman" w:hAnsi="Times New Roman"/>
          <w:highlight w:val="none"/>
        </w:rPr>
        <w:t>，按照本章第2.2 条进行报价排序，符合性审查合格的参选人中按报价由低到高推荐中选候选人。若出现参选人参选报价相同的，以评审办法前附表约定的原则确定排序。</w:t>
      </w:r>
    </w:p>
    <w:p w14:paraId="2A6FCED0">
      <w:pPr>
        <w:pStyle w:val="3"/>
        <w:ind w:left="240" w:right="240"/>
        <w:rPr>
          <w:rFonts w:ascii="Times New Roman" w:hAnsi="Times New Roman"/>
          <w:highlight w:val="none"/>
        </w:rPr>
      </w:pPr>
      <w:bookmarkStart w:id="75" w:name="_Toc15579"/>
      <w:bookmarkStart w:id="76" w:name="_Toc10761"/>
      <w:bookmarkStart w:id="77" w:name="_Toc2555"/>
      <w:r>
        <w:rPr>
          <w:rFonts w:ascii="Times New Roman" w:hAnsi="Times New Roman"/>
          <w:highlight w:val="none"/>
        </w:rPr>
        <w:t>2.</w:t>
      </w:r>
      <w:r>
        <w:rPr>
          <w:rFonts w:hint="eastAsia" w:ascii="Times New Roman" w:hAnsi="Times New Roman"/>
          <w:highlight w:val="none"/>
        </w:rPr>
        <w:t xml:space="preserve"> </w:t>
      </w:r>
      <w:r>
        <w:rPr>
          <w:rFonts w:ascii="Times New Roman" w:hAnsi="Times New Roman"/>
          <w:highlight w:val="none"/>
        </w:rPr>
        <w:t>评审标准</w:t>
      </w:r>
      <w:bookmarkEnd w:id="75"/>
      <w:bookmarkEnd w:id="76"/>
      <w:bookmarkEnd w:id="77"/>
    </w:p>
    <w:p w14:paraId="1E5DCA2C">
      <w:pPr>
        <w:pStyle w:val="4"/>
        <w:ind w:left="240" w:right="240" w:firstLine="482"/>
        <w:rPr>
          <w:rFonts w:ascii="Times New Roman" w:hAnsi="Times New Roman"/>
          <w:highlight w:val="none"/>
        </w:rPr>
      </w:pPr>
      <w:bookmarkStart w:id="78" w:name="_Toc28770"/>
      <w:r>
        <w:rPr>
          <w:rFonts w:ascii="Times New Roman" w:hAnsi="Times New Roman"/>
          <w:highlight w:val="none"/>
        </w:rPr>
        <w:t>2.1</w:t>
      </w:r>
      <w:r>
        <w:rPr>
          <w:rFonts w:hint="eastAsia" w:ascii="Times New Roman" w:hAnsi="Times New Roman"/>
          <w:highlight w:val="none"/>
        </w:rPr>
        <w:t xml:space="preserve"> 报价</w:t>
      </w:r>
      <w:r>
        <w:rPr>
          <w:rFonts w:ascii="Times New Roman" w:hAnsi="Times New Roman"/>
          <w:highlight w:val="none"/>
        </w:rPr>
        <w:t>排序</w:t>
      </w:r>
      <w:r>
        <w:rPr>
          <w:rFonts w:hint="eastAsia" w:ascii="Times New Roman" w:hAnsi="Times New Roman"/>
          <w:highlight w:val="none"/>
        </w:rPr>
        <w:t>标准</w:t>
      </w:r>
      <w:bookmarkEnd w:id="78"/>
    </w:p>
    <w:p w14:paraId="0F21ADD7">
      <w:pPr>
        <w:ind w:left="240" w:right="240" w:firstLine="480"/>
        <w:rPr>
          <w:rFonts w:ascii="Times New Roman" w:hAnsi="Times New Roman"/>
          <w:highlight w:val="none"/>
        </w:rPr>
      </w:pPr>
      <w:r>
        <w:rPr>
          <w:rFonts w:hint="eastAsia" w:ascii="Times New Roman" w:hAnsi="Times New Roman"/>
          <w:highlight w:val="none"/>
        </w:rPr>
        <w:t>见评审办法前附表。</w:t>
      </w:r>
    </w:p>
    <w:p w14:paraId="1A16B8E5">
      <w:pPr>
        <w:pStyle w:val="4"/>
        <w:ind w:left="240" w:right="240" w:firstLine="482"/>
        <w:rPr>
          <w:rFonts w:ascii="Times New Roman" w:hAnsi="Times New Roman"/>
          <w:highlight w:val="none"/>
        </w:rPr>
      </w:pPr>
      <w:bookmarkStart w:id="79" w:name="_Toc15271"/>
      <w:r>
        <w:rPr>
          <w:rFonts w:ascii="Times New Roman" w:hAnsi="Times New Roman"/>
          <w:highlight w:val="none"/>
        </w:rPr>
        <w:t>2.</w:t>
      </w:r>
      <w:r>
        <w:rPr>
          <w:rFonts w:hint="eastAsia" w:ascii="Times New Roman" w:hAnsi="Times New Roman"/>
          <w:highlight w:val="none"/>
        </w:rPr>
        <w:t>2 符合性审查标准</w:t>
      </w:r>
      <w:bookmarkEnd w:id="79"/>
    </w:p>
    <w:p w14:paraId="74BFEDF9">
      <w:pPr>
        <w:ind w:left="240" w:right="240" w:firstLine="480"/>
        <w:rPr>
          <w:rFonts w:ascii="Times New Roman" w:hAnsi="Times New Roman"/>
          <w:highlight w:val="none"/>
        </w:rPr>
      </w:pPr>
      <w:r>
        <w:rPr>
          <w:rFonts w:hint="eastAsia" w:ascii="Times New Roman" w:hAnsi="Times New Roman"/>
          <w:highlight w:val="none"/>
        </w:rPr>
        <w:t>按评审办法前附表约定的参选单位报价排序数量进行符合性审查。符合性审查内容：资格评审、形式评审、响应性评审。</w:t>
      </w:r>
    </w:p>
    <w:p w14:paraId="02195FEC">
      <w:pPr>
        <w:ind w:left="240" w:right="240" w:firstLine="48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2</w:t>
      </w:r>
      <w:r>
        <w:rPr>
          <w:rFonts w:ascii="Times New Roman" w:hAnsi="Times New Roman"/>
          <w:highlight w:val="none"/>
        </w:rPr>
        <w:t>.</w:t>
      </w:r>
      <w:r>
        <w:rPr>
          <w:rFonts w:hint="eastAsia" w:ascii="Times New Roman" w:hAnsi="Times New Roman"/>
          <w:highlight w:val="none"/>
        </w:rPr>
        <w:t>1 资格评审标准：见评审办法前附表。</w:t>
      </w:r>
    </w:p>
    <w:p w14:paraId="22819AF5">
      <w:pPr>
        <w:ind w:left="240" w:right="240" w:firstLine="48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2</w:t>
      </w:r>
      <w:r>
        <w:rPr>
          <w:rFonts w:ascii="Times New Roman" w:hAnsi="Times New Roman"/>
          <w:highlight w:val="none"/>
        </w:rPr>
        <w:t>.</w:t>
      </w:r>
      <w:r>
        <w:rPr>
          <w:rFonts w:hint="eastAsia" w:ascii="Times New Roman" w:hAnsi="Times New Roman"/>
          <w:highlight w:val="none"/>
        </w:rPr>
        <w:t>2 形式评审标准：见评审办法前附表。</w:t>
      </w:r>
    </w:p>
    <w:p w14:paraId="612261A6">
      <w:pPr>
        <w:ind w:left="240" w:right="240" w:firstLine="48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2</w:t>
      </w:r>
      <w:r>
        <w:rPr>
          <w:rFonts w:ascii="Times New Roman" w:hAnsi="Times New Roman"/>
          <w:highlight w:val="none"/>
        </w:rPr>
        <w:t>.</w:t>
      </w:r>
      <w:r>
        <w:rPr>
          <w:rFonts w:hint="eastAsia" w:ascii="Times New Roman" w:hAnsi="Times New Roman"/>
          <w:highlight w:val="none"/>
        </w:rPr>
        <w:t>3 响应性评审标准：见评审办法前附表。</w:t>
      </w:r>
    </w:p>
    <w:p w14:paraId="7F091A6E">
      <w:pPr>
        <w:pStyle w:val="3"/>
        <w:ind w:left="240" w:right="240"/>
        <w:rPr>
          <w:rFonts w:ascii="Times New Roman" w:hAnsi="Times New Roman"/>
          <w:highlight w:val="none"/>
        </w:rPr>
      </w:pPr>
      <w:bookmarkStart w:id="80" w:name="_Toc7105"/>
      <w:bookmarkStart w:id="81" w:name="_Toc26445"/>
      <w:bookmarkStart w:id="82" w:name="_Toc26015"/>
      <w:r>
        <w:rPr>
          <w:rFonts w:ascii="Times New Roman" w:hAnsi="Times New Roman"/>
          <w:highlight w:val="none"/>
        </w:rPr>
        <w:t>3.</w:t>
      </w:r>
      <w:r>
        <w:rPr>
          <w:rFonts w:hint="eastAsia" w:ascii="Times New Roman" w:hAnsi="Times New Roman"/>
          <w:highlight w:val="none"/>
        </w:rPr>
        <w:t xml:space="preserve"> 评审</w:t>
      </w:r>
      <w:r>
        <w:rPr>
          <w:rFonts w:ascii="Times New Roman" w:hAnsi="Times New Roman"/>
          <w:highlight w:val="none"/>
        </w:rPr>
        <w:t>程序</w:t>
      </w:r>
      <w:bookmarkEnd w:id="80"/>
      <w:bookmarkEnd w:id="81"/>
      <w:bookmarkEnd w:id="82"/>
    </w:p>
    <w:p w14:paraId="1B47FB34">
      <w:pPr>
        <w:pStyle w:val="4"/>
        <w:ind w:left="240" w:right="240" w:firstLine="482"/>
        <w:rPr>
          <w:rFonts w:ascii="Times New Roman" w:hAnsi="Times New Roman"/>
          <w:highlight w:val="none"/>
        </w:rPr>
      </w:pPr>
      <w:bookmarkStart w:id="83" w:name="_Toc28367"/>
      <w:r>
        <w:rPr>
          <w:rFonts w:ascii="Times New Roman" w:hAnsi="Times New Roman"/>
          <w:highlight w:val="none"/>
        </w:rPr>
        <w:t>3.1</w:t>
      </w:r>
      <w:r>
        <w:rPr>
          <w:rFonts w:hint="eastAsia" w:ascii="Times New Roman" w:hAnsi="Times New Roman"/>
          <w:highlight w:val="none"/>
        </w:rPr>
        <w:t xml:space="preserve"> 报价排序</w:t>
      </w:r>
      <w:bookmarkEnd w:id="83"/>
    </w:p>
    <w:p w14:paraId="337CBC81">
      <w:pPr>
        <w:ind w:left="240" w:right="240" w:firstLine="480"/>
        <w:rPr>
          <w:rFonts w:ascii="Times New Roman" w:hAnsi="Times New Roman"/>
          <w:highlight w:val="none"/>
        </w:rPr>
      </w:pPr>
      <w:r>
        <w:rPr>
          <w:rFonts w:hint="eastAsia" w:ascii="Times New Roman" w:hAnsi="Times New Roman"/>
          <w:highlight w:val="none"/>
        </w:rPr>
        <w:t>对报价不高于最高限价的所有参选人的参选文件，按照报价由低到高的顺序排序。</w:t>
      </w:r>
    </w:p>
    <w:p w14:paraId="535866B2">
      <w:pPr>
        <w:pStyle w:val="4"/>
        <w:ind w:left="240" w:right="240" w:firstLine="482"/>
        <w:rPr>
          <w:rFonts w:ascii="Times New Roman" w:hAnsi="Times New Roman"/>
          <w:highlight w:val="none"/>
        </w:rPr>
      </w:pPr>
      <w:bookmarkStart w:id="84" w:name="_Toc19164"/>
      <w:r>
        <w:rPr>
          <w:rFonts w:ascii="Times New Roman" w:hAnsi="Times New Roman"/>
          <w:highlight w:val="none"/>
        </w:rPr>
        <w:t>3.</w:t>
      </w:r>
      <w:r>
        <w:rPr>
          <w:rFonts w:hint="eastAsia" w:ascii="Times New Roman" w:hAnsi="Times New Roman"/>
          <w:highlight w:val="none"/>
        </w:rPr>
        <w:t>2 符合性审查</w:t>
      </w:r>
      <w:bookmarkEnd w:id="84"/>
    </w:p>
    <w:p w14:paraId="01689F99">
      <w:pPr>
        <w:ind w:left="240" w:right="240"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2</w:t>
      </w:r>
      <w:r>
        <w:rPr>
          <w:rFonts w:ascii="Times New Roman" w:hAnsi="Times New Roman"/>
          <w:highlight w:val="none"/>
        </w:rPr>
        <w:t>.1</w:t>
      </w:r>
      <w:r>
        <w:rPr>
          <w:rFonts w:hint="eastAsia" w:ascii="Times New Roman" w:hAnsi="Times New Roman"/>
          <w:highlight w:val="none"/>
        </w:rPr>
        <w:t xml:space="preserve"> 评审</w:t>
      </w:r>
      <w:r>
        <w:rPr>
          <w:rFonts w:ascii="Times New Roman" w:hAnsi="Times New Roman"/>
          <w:highlight w:val="none"/>
        </w:rPr>
        <w:t>委员会依据本章第2.</w:t>
      </w:r>
      <w:r>
        <w:rPr>
          <w:rFonts w:hint="eastAsia" w:ascii="Times New Roman" w:hAnsi="Times New Roman"/>
          <w:highlight w:val="none"/>
          <w:lang w:val="en-US" w:eastAsia="zh-CN"/>
        </w:rPr>
        <w:t>1</w:t>
      </w:r>
      <w:r>
        <w:rPr>
          <w:rFonts w:hint="eastAsia" w:ascii="Times New Roman" w:hAnsi="Times New Roman"/>
          <w:highlight w:val="none"/>
        </w:rPr>
        <w:t>条规定的标准对参选文件进行符合性审查。符合性审查顺序：资格评审、形式评审、响应性评审。</w:t>
      </w:r>
    </w:p>
    <w:p w14:paraId="25BF5766">
      <w:pPr>
        <w:ind w:left="240" w:right="240" w:firstLine="480"/>
        <w:rPr>
          <w:rFonts w:ascii="Times New Roman" w:hAnsi="Times New Roman"/>
          <w:highlight w:val="none"/>
        </w:rPr>
      </w:pPr>
      <w:r>
        <w:rPr>
          <w:rFonts w:hint="eastAsia" w:ascii="Times New Roman" w:hAnsi="Times New Roman"/>
          <w:highlight w:val="none"/>
        </w:rPr>
        <w:t>有一项不符合评审标准的，作否决参选处理。</w:t>
      </w:r>
    </w:p>
    <w:p w14:paraId="38889AFB">
      <w:pPr>
        <w:ind w:left="240" w:right="240"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2</w:t>
      </w:r>
      <w:r>
        <w:rPr>
          <w:rFonts w:ascii="Times New Roman" w:hAnsi="Times New Roman"/>
          <w:highlight w:val="none"/>
        </w:rPr>
        <w:t xml:space="preserve">.2 </w:t>
      </w:r>
      <w:r>
        <w:rPr>
          <w:rFonts w:hint="eastAsia" w:ascii="Times New Roman" w:hAnsi="Times New Roman"/>
          <w:highlight w:val="none"/>
        </w:rPr>
        <w:t>参选人</w:t>
      </w:r>
      <w:r>
        <w:rPr>
          <w:rFonts w:ascii="Times New Roman" w:hAnsi="Times New Roman"/>
          <w:highlight w:val="none"/>
        </w:rPr>
        <w:t>有以下情形之一的，</w:t>
      </w:r>
      <w:r>
        <w:rPr>
          <w:rFonts w:hint="eastAsia" w:ascii="Times New Roman" w:hAnsi="Times New Roman"/>
          <w:highlight w:val="none"/>
        </w:rPr>
        <w:t>其参选文件将被否决：</w:t>
      </w:r>
    </w:p>
    <w:p w14:paraId="6BAE53A1">
      <w:pPr>
        <w:ind w:left="240" w:right="240" w:firstLine="480"/>
        <w:rPr>
          <w:rFonts w:ascii="Times New Roman" w:hAnsi="Times New Roman"/>
          <w:highlight w:val="none"/>
        </w:rPr>
      </w:pPr>
      <w:r>
        <w:rPr>
          <w:rFonts w:hint="eastAsia" w:ascii="Times New Roman" w:hAnsi="Times New Roman"/>
          <w:highlight w:val="none"/>
        </w:rPr>
        <w:t>3.2.2.1 有</w:t>
      </w:r>
      <w:r>
        <w:rPr>
          <w:rFonts w:ascii="Times New Roman" w:hAnsi="Times New Roman"/>
          <w:highlight w:val="none"/>
        </w:rPr>
        <w:t>第二章“</w:t>
      </w:r>
      <w:r>
        <w:rPr>
          <w:rFonts w:hint="eastAsia" w:ascii="Times New Roman" w:hAnsi="Times New Roman"/>
          <w:highlight w:val="none"/>
        </w:rPr>
        <w:t>参选人</w:t>
      </w:r>
      <w:r>
        <w:rPr>
          <w:rFonts w:ascii="Times New Roman" w:hAnsi="Times New Roman"/>
          <w:highlight w:val="none"/>
        </w:rPr>
        <w:t>须知”第</w:t>
      </w:r>
      <w:r>
        <w:rPr>
          <w:rFonts w:hint="eastAsia" w:ascii="Times New Roman" w:hAnsi="Times New Roman"/>
          <w:highlight w:val="none"/>
        </w:rPr>
        <w:t>9 条以及第11 条</w:t>
      </w:r>
      <w:r>
        <w:rPr>
          <w:rFonts w:ascii="Times New Roman" w:hAnsi="Times New Roman"/>
          <w:highlight w:val="none"/>
        </w:rPr>
        <w:t>规定的任何一种情形的；</w:t>
      </w:r>
    </w:p>
    <w:p w14:paraId="19CB31BD">
      <w:pPr>
        <w:ind w:left="240" w:right="240" w:firstLine="480"/>
        <w:rPr>
          <w:rFonts w:ascii="Times New Roman" w:hAnsi="Times New Roman"/>
          <w:highlight w:val="none"/>
        </w:rPr>
      </w:pPr>
      <w:r>
        <w:rPr>
          <w:rFonts w:hint="eastAsia" w:ascii="Times New Roman" w:hAnsi="Times New Roman"/>
          <w:highlight w:val="none"/>
        </w:rPr>
        <w:t>3.2.2.2 有串通参选、弄虚作假等其他违反相关法律、法规行为的；</w:t>
      </w:r>
    </w:p>
    <w:p w14:paraId="233FE904">
      <w:pPr>
        <w:ind w:left="240" w:right="240" w:firstLine="480"/>
        <w:rPr>
          <w:rFonts w:ascii="Times New Roman" w:hAnsi="Times New Roman"/>
          <w:highlight w:val="none"/>
        </w:rPr>
      </w:pPr>
      <w:r>
        <w:rPr>
          <w:rFonts w:hint="eastAsia" w:ascii="Times New Roman" w:hAnsi="Times New Roman"/>
          <w:highlight w:val="none"/>
        </w:rPr>
        <w:t>3.2.2.3 不按评审委员会要求澄清、说明或补正的。</w:t>
      </w:r>
    </w:p>
    <w:p w14:paraId="65DB119F">
      <w:pPr>
        <w:ind w:left="240" w:right="240" w:firstLine="480"/>
        <w:rPr>
          <w:rFonts w:ascii="Times New Roman" w:hAnsi="Times New Roman"/>
          <w:highlight w:val="none"/>
        </w:rPr>
      </w:pPr>
      <w:r>
        <w:rPr>
          <w:rFonts w:hint="eastAsia" w:ascii="Times New Roman" w:hAnsi="Times New Roman"/>
          <w:highlight w:val="none"/>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highlight w:val="none"/>
        </w:rPr>
        <w:t>第二章“</w:t>
      </w:r>
      <w:r>
        <w:rPr>
          <w:rFonts w:hint="eastAsia" w:ascii="Times New Roman" w:hAnsi="Times New Roman"/>
          <w:highlight w:val="none"/>
        </w:rPr>
        <w:t>参选人</w:t>
      </w:r>
      <w:r>
        <w:rPr>
          <w:rFonts w:ascii="Times New Roman" w:hAnsi="Times New Roman"/>
          <w:highlight w:val="none"/>
        </w:rPr>
        <w:t>须知”第</w:t>
      </w:r>
      <w:r>
        <w:rPr>
          <w:rFonts w:hint="eastAsia" w:ascii="Times New Roman" w:hAnsi="Times New Roman"/>
          <w:highlight w:val="none"/>
        </w:rPr>
        <w:t>4.8 条。</w:t>
      </w:r>
    </w:p>
    <w:p w14:paraId="203FF26E">
      <w:pPr>
        <w:pStyle w:val="4"/>
        <w:ind w:left="240" w:right="240" w:firstLine="482"/>
        <w:rPr>
          <w:rFonts w:ascii="Times New Roman" w:hAnsi="Times New Roman"/>
          <w:highlight w:val="none"/>
        </w:rPr>
      </w:pPr>
      <w:bookmarkStart w:id="85" w:name="_Toc14647"/>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参选文件的澄清和补正</w:t>
      </w:r>
      <w:bookmarkEnd w:id="85"/>
    </w:p>
    <w:p w14:paraId="50442E7E">
      <w:pPr>
        <w:ind w:left="240" w:right="240"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.1 </w:t>
      </w:r>
      <w:r>
        <w:rPr>
          <w:rFonts w:hint="eastAsia" w:ascii="Times New Roman" w:hAnsi="Times New Roman"/>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62B86B04">
      <w:pPr>
        <w:ind w:left="240" w:right="240"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.2 </w:t>
      </w:r>
      <w:r>
        <w:rPr>
          <w:rFonts w:hint="eastAsia" w:ascii="Times New Roman" w:hAnsi="Times New Roman"/>
          <w:highlight w:val="none"/>
        </w:rPr>
        <w:t>澄清、说明和补正不得改变参选文件的实质性内容（算术性错误修正的除外）。参选人的书面澄清、说明和补正属于参选文件的组成部分。</w:t>
      </w:r>
    </w:p>
    <w:p w14:paraId="57EE7116">
      <w:pPr>
        <w:ind w:left="240" w:right="240"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.3 </w:t>
      </w:r>
      <w:r>
        <w:rPr>
          <w:rFonts w:hint="eastAsia" w:ascii="Times New Roman" w:hAnsi="Times New Roman"/>
          <w:highlight w:val="none"/>
        </w:rPr>
        <w:t>评审委员会对参选人提交的澄清、说明或补正有疑问的，可以要求参选人进一步澄清、说明或补正，直至满足评审委员会的要求。</w:t>
      </w:r>
    </w:p>
    <w:p w14:paraId="717543C3">
      <w:pPr>
        <w:pStyle w:val="4"/>
        <w:ind w:left="240" w:right="240" w:firstLine="482"/>
        <w:rPr>
          <w:rFonts w:ascii="Times New Roman" w:hAnsi="Times New Roman"/>
          <w:highlight w:val="none"/>
        </w:rPr>
      </w:pPr>
      <w:bookmarkStart w:id="86" w:name="_Toc25249"/>
      <w:bookmarkStart w:id="87" w:name="_Toc479262406"/>
      <w:bookmarkStart w:id="88" w:name="_Toc484465184"/>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 xml:space="preserve"> </w:t>
      </w:r>
      <w:r>
        <w:rPr>
          <w:rFonts w:hint="eastAsia" w:ascii="Times New Roman" w:hAnsi="Times New Roman"/>
          <w:highlight w:val="none"/>
        </w:rPr>
        <w:t>评审结果</w:t>
      </w:r>
      <w:bookmarkEnd w:id="86"/>
      <w:bookmarkEnd w:id="87"/>
      <w:bookmarkEnd w:id="88"/>
    </w:p>
    <w:p w14:paraId="3AB589D3">
      <w:pPr>
        <w:ind w:left="240" w:right="240"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.1</w:t>
      </w:r>
      <w:r>
        <w:rPr>
          <w:rFonts w:hint="eastAsia" w:ascii="Times New Roman" w:hAnsi="Times New Roman"/>
          <w:highlight w:val="none"/>
        </w:rPr>
        <w:t xml:space="preserve"> 评审委员会按经评审的最低价法推荐中选候选人。</w:t>
      </w:r>
    </w:p>
    <w:p w14:paraId="61753266">
      <w:pPr>
        <w:ind w:left="240" w:right="240"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.2</w:t>
      </w:r>
      <w:r>
        <w:rPr>
          <w:rFonts w:hint="eastAsia" w:ascii="Times New Roman" w:hAnsi="Times New Roman"/>
          <w:highlight w:val="none"/>
        </w:rPr>
        <w:t xml:space="preserve"> 评审委员会完成评审后，应当向比选人提交书面评审报告和中选候选人名单。</w:t>
      </w:r>
    </w:p>
    <w:p w14:paraId="681B6F95">
      <w:pPr>
        <w:ind w:left="240" w:right="240" w:firstLine="480"/>
        <w:rPr>
          <w:rFonts w:ascii="Times New Roman" w:hAnsi="Times New Roman"/>
          <w:highlight w:val="none"/>
        </w:rPr>
      </w:pPr>
      <w:r>
        <w:rPr>
          <w:rFonts w:hint="eastAsia" w:ascii="Times New Roman" w:hAnsi="Times New Roman"/>
          <w:highlight w:val="none"/>
        </w:rPr>
        <w:t>3.4.3 有效参选不足两个的，经评审委员会判定，参选人具有相对行业竞争力的，可继续进行评审。</w:t>
      </w:r>
    </w:p>
    <w:p w14:paraId="7F94A2FB">
      <w:pPr>
        <w:pStyle w:val="4"/>
        <w:ind w:left="240" w:right="240" w:firstLine="482"/>
        <w:rPr>
          <w:rFonts w:ascii="Times New Roman" w:hAnsi="Times New Roman"/>
          <w:highlight w:val="none"/>
        </w:rPr>
      </w:pPr>
      <w:r>
        <w:rPr>
          <w:rFonts w:hint="eastAsia" w:ascii="Times New Roman" w:hAnsi="Times New Roman"/>
          <w:highlight w:val="none"/>
        </w:rPr>
        <w:t>3.5 对评审委员会成员的纪律要求</w:t>
      </w:r>
    </w:p>
    <w:p w14:paraId="043D810E">
      <w:pPr>
        <w:ind w:left="240" w:right="240" w:firstLine="480"/>
        <w:rPr>
          <w:rFonts w:ascii="Times New Roman" w:hAnsi="Times New Roman"/>
          <w:highlight w:val="none"/>
        </w:rPr>
      </w:pPr>
      <w:r>
        <w:rPr>
          <w:rFonts w:hint="eastAsia" w:ascii="Times New Roman" w:hAnsi="Times New Roman"/>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468CB1F4">
      <w:pPr>
        <w:pStyle w:val="4"/>
        <w:ind w:left="240" w:right="240" w:firstLine="482"/>
        <w:rPr>
          <w:rFonts w:ascii="Times New Roman" w:hAnsi="Times New Roman"/>
          <w:highlight w:val="none"/>
        </w:rPr>
      </w:pPr>
      <w:r>
        <w:rPr>
          <w:rFonts w:hint="eastAsia" w:ascii="Times New Roman" w:hAnsi="Times New Roman"/>
          <w:highlight w:val="none"/>
        </w:rPr>
        <w:t>3.6 对与评审活动有关的工作人员的纪律要求</w:t>
      </w:r>
    </w:p>
    <w:p w14:paraId="1E93BC81">
      <w:pPr>
        <w:ind w:left="240" w:right="240" w:firstLine="480"/>
        <w:rPr>
          <w:rFonts w:ascii="Times New Roman" w:hAnsi="Times New Roman"/>
          <w:highlight w:val="none"/>
        </w:rPr>
      </w:pPr>
      <w:r>
        <w:rPr>
          <w:rFonts w:hint="eastAsia" w:ascii="Times New Roman" w:hAnsi="Times New Roman"/>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bookmarkEnd w:id="68"/>
    </w:p>
    <w:bookmarkEnd w:id="69"/>
    <w:p w14:paraId="24B352B1">
      <w:pPr>
        <w:ind w:right="240" w:firstLineChars="497"/>
        <w:rPr>
          <w:rFonts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br w:type="page"/>
      </w:r>
      <w:bookmarkEnd w:id="70"/>
      <w:bookmarkStart w:id="89" w:name="_Toc150953074"/>
      <w:bookmarkStart w:id="90" w:name="_Toc89675170"/>
      <w:bookmarkStart w:id="91" w:name="_Toc303066034"/>
    </w:p>
    <w:p w14:paraId="0E782220">
      <w:pPr>
        <w:pStyle w:val="2"/>
        <w:ind w:left="240" w:right="240"/>
        <w:rPr>
          <w:rFonts w:ascii="Times New Roman" w:hAnsi="Times New Roman"/>
          <w:highlight w:val="none"/>
        </w:rPr>
      </w:pPr>
      <w:bookmarkStart w:id="92" w:name="_Toc182213444"/>
      <w:bookmarkStart w:id="93" w:name="_Toc15064"/>
      <w:r>
        <w:rPr>
          <w:rFonts w:hint="eastAsia" w:ascii="Times New Roman" w:hAnsi="Times New Roman"/>
          <w:highlight w:val="none"/>
        </w:rPr>
        <w:t>第五章 合同</w:t>
      </w:r>
      <w:r>
        <w:rPr>
          <w:rFonts w:ascii="Times New Roman" w:hAnsi="Times New Roman"/>
          <w:highlight w:val="none"/>
        </w:rPr>
        <w:t>模板</w:t>
      </w:r>
      <w:bookmarkEnd w:id="89"/>
      <w:bookmarkEnd w:id="92"/>
      <w:bookmarkEnd w:id="93"/>
    </w:p>
    <w:p w14:paraId="31C1E697">
      <w:pPr>
        <w:ind w:left="240" w:right="240" w:firstLine="0" w:firstLineChars="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76B7F4D6">
      <w:pPr>
        <w:spacing w:line="360" w:lineRule="auto"/>
        <w:ind w:left="240" w:right="240" w:firstLine="560"/>
        <w:jc w:val="right"/>
        <w:rPr>
          <w:rFonts w:ascii="宋体"/>
          <w:sz w:val="28"/>
          <w:highlight w:val="none"/>
        </w:rPr>
      </w:pPr>
      <w:r>
        <w:rPr>
          <w:rFonts w:hint="eastAsia" w:ascii="宋体"/>
          <w:sz w:val="28"/>
          <w:highlight w:val="none"/>
        </w:rPr>
        <w:t>编号：</w:t>
      </w:r>
    </w:p>
    <w:p w14:paraId="0A38A89C">
      <w:pPr>
        <w:spacing w:line="360" w:lineRule="auto"/>
        <w:ind w:left="240" w:right="240" w:firstLine="883"/>
        <w:jc w:val="center"/>
        <w:rPr>
          <w:rFonts w:ascii="宋体"/>
          <w:b/>
          <w:sz w:val="44"/>
          <w:highlight w:val="none"/>
        </w:rPr>
      </w:pPr>
    </w:p>
    <w:p w14:paraId="3AA92DAE">
      <w:pPr>
        <w:spacing w:line="360" w:lineRule="auto"/>
        <w:ind w:left="240" w:right="240" w:firstLine="883"/>
        <w:jc w:val="center"/>
        <w:rPr>
          <w:rFonts w:ascii="宋体"/>
          <w:b/>
          <w:sz w:val="44"/>
          <w:highlight w:val="none"/>
        </w:rPr>
      </w:pPr>
    </w:p>
    <w:p w14:paraId="074A5138">
      <w:pPr>
        <w:spacing w:line="360" w:lineRule="auto"/>
        <w:ind w:left="240" w:right="240" w:firstLine="883"/>
        <w:jc w:val="center"/>
        <w:rPr>
          <w:rFonts w:ascii="宋体"/>
          <w:b/>
          <w:sz w:val="44"/>
          <w:highlight w:val="none"/>
        </w:rPr>
      </w:pPr>
    </w:p>
    <w:p w14:paraId="491A7F20">
      <w:pPr>
        <w:spacing w:line="360" w:lineRule="auto"/>
        <w:ind w:left="240" w:right="240" w:firstLine="883"/>
        <w:jc w:val="center"/>
        <w:rPr>
          <w:rFonts w:ascii="宋体"/>
          <w:b/>
          <w:sz w:val="44"/>
          <w:highlight w:val="none"/>
        </w:rPr>
      </w:pPr>
      <w:r>
        <w:rPr>
          <w:rFonts w:hint="eastAsia" w:ascii="宋体"/>
          <w:b/>
          <w:sz w:val="44"/>
          <w:highlight w:val="none"/>
        </w:rPr>
        <w:t>重庆三峡银行股份有限公司</w:t>
      </w:r>
    </w:p>
    <w:p w14:paraId="188BC7CB">
      <w:pPr>
        <w:spacing w:line="360" w:lineRule="auto"/>
        <w:ind w:left="240" w:right="240" w:firstLine="883"/>
        <w:jc w:val="center"/>
        <w:rPr>
          <w:rFonts w:ascii="宋体"/>
          <w:b/>
          <w:sz w:val="44"/>
          <w:highlight w:val="none"/>
        </w:rPr>
      </w:pPr>
    </w:p>
    <w:p w14:paraId="457C7011">
      <w:pPr>
        <w:spacing w:line="360" w:lineRule="auto"/>
        <w:ind w:left="240" w:right="240" w:firstLine="883"/>
        <w:jc w:val="center"/>
        <w:rPr>
          <w:rFonts w:ascii="宋体"/>
          <w:b/>
          <w:sz w:val="44"/>
          <w:highlight w:val="none"/>
        </w:rPr>
      </w:pPr>
      <w:r>
        <w:rPr>
          <w:rFonts w:hint="eastAsia" w:ascii="宋体"/>
          <w:b/>
          <w:sz w:val="44"/>
          <w:highlight w:val="none"/>
        </w:rPr>
        <w:t>与</w:t>
      </w:r>
    </w:p>
    <w:p w14:paraId="51E4144A">
      <w:pPr>
        <w:spacing w:line="360" w:lineRule="auto"/>
        <w:ind w:left="240" w:right="240" w:firstLine="883"/>
        <w:jc w:val="center"/>
        <w:rPr>
          <w:rFonts w:ascii="宋体"/>
          <w:b/>
          <w:sz w:val="44"/>
          <w:highlight w:val="none"/>
        </w:rPr>
      </w:pPr>
    </w:p>
    <w:p w14:paraId="35EB4C1A">
      <w:pPr>
        <w:spacing w:line="360" w:lineRule="auto"/>
        <w:ind w:left="240" w:right="240" w:firstLine="883"/>
        <w:jc w:val="center"/>
        <w:rPr>
          <w:rFonts w:ascii="宋体"/>
          <w:b/>
          <w:sz w:val="44"/>
          <w:highlight w:val="none"/>
        </w:rPr>
      </w:pPr>
      <w:r>
        <w:rPr>
          <w:rFonts w:hint="eastAsia" w:ascii="宋体"/>
          <w:b/>
          <w:sz w:val="44"/>
          <w:highlight w:val="none"/>
        </w:rPr>
        <w:t>xxxx公司</w:t>
      </w:r>
    </w:p>
    <w:p w14:paraId="1ED34688">
      <w:pPr>
        <w:spacing w:line="360" w:lineRule="auto"/>
        <w:ind w:left="240" w:right="240" w:firstLine="640"/>
        <w:jc w:val="center"/>
        <w:rPr>
          <w:rFonts w:ascii="宋体"/>
          <w:sz w:val="32"/>
          <w:szCs w:val="32"/>
          <w:highlight w:val="none"/>
        </w:rPr>
      </w:pPr>
    </w:p>
    <w:p w14:paraId="2A459504">
      <w:pPr>
        <w:spacing w:line="360" w:lineRule="auto"/>
        <w:ind w:left="240" w:right="240" w:firstLine="640"/>
        <w:jc w:val="center"/>
        <w:rPr>
          <w:rFonts w:ascii="宋体"/>
          <w:sz w:val="32"/>
          <w:szCs w:val="32"/>
          <w:highlight w:val="none"/>
        </w:rPr>
      </w:pPr>
    </w:p>
    <w:p w14:paraId="4A728A7A">
      <w:pPr>
        <w:spacing w:line="360" w:lineRule="auto"/>
        <w:ind w:left="240" w:right="240" w:firstLine="640"/>
        <w:jc w:val="center"/>
        <w:rPr>
          <w:rFonts w:ascii="宋体"/>
          <w:sz w:val="32"/>
          <w:szCs w:val="32"/>
          <w:highlight w:val="none"/>
        </w:rPr>
      </w:pPr>
      <w:r>
        <w:rPr>
          <w:rFonts w:hint="eastAsia" w:ascii="宋体"/>
          <w:sz w:val="32"/>
          <w:szCs w:val="32"/>
          <w:highlight w:val="none"/>
        </w:rPr>
        <w:t>（</w:t>
      </w:r>
      <w:r>
        <w:rPr>
          <w:rFonts w:hint="eastAsia" w:ascii="宋体"/>
          <w:sz w:val="32"/>
          <w:szCs w:val="32"/>
          <w:highlight w:val="none"/>
          <w:lang w:val="en-US" w:eastAsia="zh-CN"/>
        </w:rPr>
        <w:t>2025-2028年度</w:t>
      </w:r>
      <w:r>
        <w:rPr>
          <w:rFonts w:hint="eastAsia" w:ascii="宋体"/>
          <w:sz w:val="32"/>
          <w:szCs w:val="32"/>
          <w:highlight w:val="none"/>
        </w:rPr>
        <w:t>数据中心运维耗材）</w:t>
      </w:r>
    </w:p>
    <w:p w14:paraId="273743DD">
      <w:pPr>
        <w:spacing w:line="360" w:lineRule="auto"/>
        <w:ind w:left="240" w:right="240" w:firstLine="720"/>
        <w:jc w:val="center"/>
        <w:rPr>
          <w:rFonts w:ascii="宋体"/>
          <w:sz w:val="36"/>
          <w:highlight w:val="none"/>
        </w:rPr>
      </w:pPr>
    </w:p>
    <w:p w14:paraId="0E332B16">
      <w:pPr>
        <w:spacing w:line="360" w:lineRule="auto"/>
        <w:ind w:left="240" w:right="240" w:firstLine="964"/>
        <w:jc w:val="center"/>
        <w:rPr>
          <w:rFonts w:ascii="宋体"/>
          <w:b/>
          <w:sz w:val="48"/>
          <w:highlight w:val="none"/>
        </w:rPr>
      </w:pPr>
      <w:r>
        <w:rPr>
          <w:rFonts w:hint="eastAsia" w:ascii="宋体"/>
          <w:b/>
          <w:sz w:val="48"/>
          <w:highlight w:val="none"/>
        </w:rPr>
        <w:t>购 销 合 同</w:t>
      </w:r>
    </w:p>
    <w:p w14:paraId="5C08AE80">
      <w:pPr>
        <w:spacing w:line="360" w:lineRule="auto"/>
        <w:ind w:left="240" w:right="240" w:firstLine="964"/>
        <w:rPr>
          <w:rFonts w:ascii="宋体"/>
          <w:b/>
          <w:sz w:val="48"/>
          <w:highlight w:val="none"/>
        </w:rPr>
      </w:pPr>
    </w:p>
    <w:p w14:paraId="541B5797">
      <w:pPr>
        <w:spacing w:line="360" w:lineRule="auto"/>
        <w:ind w:left="240" w:right="240" w:firstLine="361"/>
        <w:rPr>
          <w:rFonts w:ascii="宋体"/>
          <w:b/>
          <w:sz w:val="18"/>
          <w:highlight w:val="none"/>
        </w:rPr>
      </w:pPr>
    </w:p>
    <w:p w14:paraId="37FC15B2">
      <w:pPr>
        <w:spacing w:line="360" w:lineRule="auto"/>
        <w:ind w:left="240" w:right="240" w:firstLine="361"/>
        <w:rPr>
          <w:rFonts w:ascii="宋体"/>
          <w:b/>
          <w:sz w:val="18"/>
          <w:highlight w:val="none"/>
        </w:rPr>
      </w:pPr>
    </w:p>
    <w:p w14:paraId="5CD91F56">
      <w:pPr>
        <w:spacing w:line="360" w:lineRule="auto"/>
        <w:ind w:left="240" w:right="240" w:firstLine="0" w:firstLineChars="0"/>
        <w:rPr>
          <w:rFonts w:ascii="宋体"/>
          <w:b/>
          <w:sz w:val="28"/>
          <w:szCs w:val="28"/>
          <w:highlight w:val="none"/>
        </w:rPr>
      </w:pPr>
    </w:p>
    <w:p w14:paraId="1093FFA3">
      <w:pPr>
        <w:spacing w:line="360" w:lineRule="auto"/>
        <w:ind w:right="240" w:firstLine="0" w:firstLineChars="0"/>
        <w:rPr>
          <w:rFonts w:ascii="宋体"/>
          <w:b/>
          <w:sz w:val="28"/>
          <w:szCs w:val="28"/>
          <w:highlight w:val="none"/>
        </w:rPr>
      </w:pPr>
    </w:p>
    <w:p w14:paraId="18C2B814">
      <w:pPr>
        <w:spacing w:line="360" w:lineRule="auto"/>
        <w:ind w:left="2880" w:leftChars="1200" w:right="240" w:firstLine="562"/>
        <w:rPr>
          <w:rFonts w:ascii="宋体"/>
          <w:b/>
          <w:sz w:val="28"/>
          <w:szCs w:val="28"/>
          <w:highlight w:val="none"/>
        </w:rPr>
      </w:pPr>
      <w:r>
        <w:rPr>
          <w:rFonts w:hint="eastAsia" w:ascii="宋体"/>
          <w:b/>
          <w:sz w:val="28"/>
          <w:szCs w:val="28"/>
          <w:highlight w:val="none"/>
        </w:rPr>
        <w:t>签订地点：重庆</w:t>
      </w:r>
    </w:p>
    <w:p w14:paraId="011CA306">
      <w:pPr>
        <w:ind w:firstLine="0" w:firstLineChars="0"/>
        <w:jc w:val="left"/>
        <w:rPr>
          <w:b/>
          <w:bCs/>
          <w:highlight w:val="none"/>
        </w:rPr>
      </w:pPr>
      <w:bookmarkStart w:id="94" w:name="_Toc182213445"/>
      <w:r>
        <w:rPr>
          <w:rFonts w:hint="eastAsia"/>
          <w:b/>
          <w:bCs/>
          <w:highlight w:val="none"/>
        </w:rPr>
        <w:t>甲    方：重庆三峡银行股份有限公司</w:t>
      </w:r>
      <w:bookmarkEnd w:id="94"/>
    </w:p>
    <w:p w14:paraId="42A6C2CB">
      <w:pPr>
        <w:spacing w:line="360" w:lineRule="auto"/>
        <w:ind w:left="-480" w:leftChars="-200" w:right="240" w:firstLine="480"/>
        <w:rPr>
          <w:rFonts w:ascii="宋体"/>
          <w:bCs/>
          <w:highlight w:val="none"/>
        </w:rPr>
      </w:pPr>
      <w:r>
        <w:rPr>
          <w:rFonts w:hint="eastAsia" w:ascii="宋体"/>
          <w:bCs/>
          <w:highlight w:val="none"/>
        </w:rPr>
        <w:t>地    址：</w:t>
      </w:r>
      <w:r>
        <w:rPr>
          <w:rFonts w:ascii="宋体"/>
          <w:bCs/>
          <w:highlight w:val="none"/>
        </w:rPr>
        <w:t>重庆市渝北区嘉州路88号中渝国际都会4号写字楼</w:t>
      </w:r>
    </w:p>
    <w:p w14:paraId="128BC6A2">
      <w:pPr>
        <w:spacing w:line="360" w:lineRule="auto"/>
        <w:ind w:left="-480" w:leftChars="-200" w:right="240" w:firstLine="480"/>
        <w:rPr>
          <w:rFonts w:ascii="宋体"/>
          <w:bCs/>
          <w:highlight w:val="none"/>
        </w:rPr>
      </w:pPr>
      <w:r>
        <w:rPr>
          <w:rFonts w:hint="eastAsia" w:ascii="宋体"/>
          <w:bCs/>
          <w:highlight w:val="none"/>
        </w:rPr>
        <w:t>法定代表人：刘江桥</w:t>
      </w:r>
    </w:p>
    <w:p w14:paraId="174FEE79">
      <w:pPr>
        <w:spacing w:line="360" w:lineRule="auto"/>
        <w:ind w:left="-480" w:leftChars="-200" w:right="240" w:firstLine="480"/>
        <w:rPr>
          <w:rFonts w:ascii="宋体"/>
          <w:bCs/>
          <w:highlight w:val="none"/>
        </w:rPr>
      </w:pPr>
      <w:r>
        <w:rPr>
          <w:rFonts w:hint="eastAsia" w:ascii="宋体"/>
          <w:bCs/>
          <w:highlight w:val="none"/>
        </w:rPr>
        <w:t>邮政编码：401120</w:t>
      </w:r>
    </w:p>
    <w:p w14:paraId="707C6595">
      <w:pPr>
        <w:spacing w:line="360" w:lineRule="auto"/>
        <w:ind w:left="-480" w:leftChars="-200" w:right="240" w:firstLine="480"/>
        <w:rPr>
          <w:rFonts w:ascii="宋体"/>
          <w:bCs/>
          <w:highlight w:val="none"/>
        </w:rPr>
      </w:pPr>
      <w:r>
        <w:rPr>
          <w:rFonts w:hint="eastAsia" w:ascii="宋体"/>
          <w:bCs/>
          <w:highlight w:val="none"/>
        </w:rPr>
        <w:t>联系人：</w:t>
      </w:r>
      <w:r>
        <w:rPr>
          <w:rFonts w:ascii="宋体"/>
          <w:bCs/>
          <w:highlight w:val="none"/>
        </w:rPr>
        <w:t>蒲立</w:t>
      </w:r>
    </w:p>
    <w:p w14:paraId="6F51E5DC">
      <w:pPr>
        <w:spacing w:line="360" w:lineRule="auto"/>
        <w:ind w:left="-480" w:leftChars="-200" w:right="240" w:firstLine="480"/>
        <w:rPr>
          <w:rFonts w:ascii="宋体"/>
          <w:bCs/>
          <w:highlight w:val="none"/>
        </w:rPr>
      </w:pPr>
      <w:r>
        <w:rPr>
          <w:rFonts w:hint="eastAsia" w:ascii="宋体"/>
          <w:bCs/>
          <w:highlight w:val="none"/>
        </w:rPr>
        <w:t>联系电话：(</w:t>
      </w:r>
      <w:r>
        <w:rPr>
          <w:rFonts w:ascii="宋体"/>
          <w:bCs/>
          <w:highlight w:val="none"/>
        </w:rPr>
        <w:t>023</w:t>
      </w:r>
      <w:r>
        <w:rPr>
          <w:rFonts w:hint="eastAsia" w:ascii="宋体"/>
          <w:bCs/>
          <w:highlight w:val="none"/>
        </w:rPr>
        <w:t>)</w:t>
      </w:r>
      <w:r>
        <w:rPr>
          <w:rFonts w:ascii="宋体"/>
          <w:bCs/>
          <w:highlight w:val="none"/>
        </w:rPr>
        <w:t>88</w:t>
      </w:r>
      <w:r>
        <w:rPr>
          <w:rFonts w:hint="eastAsia" w:ascii="宋体"/>
          <w:bCs/>
          <w:highlight w:val="none"/>
        </w:rPr>
        <w:t>890341</w:t>
      </w:r>
    </w:p>
    <w:p w14:paraId="33EC15F2">
      <w:pPr>
        <w:spacing w:line="360" w:lineRule="auto"/>
        <w:ind w:left="-480" w:leftChars="-200" w:right="240" w:firstLine="480"/>
        <w:rPr>
          <w:rFonts w:ascii="宋体"/>
          <w:bCs/>
          <w:highlight w:val="none"/>
        </w:rPr>
      </w:pPr>
      <w:r>
        <w:rPr>
          <w:rFonts w:hint="eastAsia" w:ascii="宋体"/>
          <w:bCs/>
          <w:highlight w:val="none"/>
        </w:rPr>
        <w:t>电子邮箱：Dbzx@</w:t>
      </w:r>
      <w:r>
        <w:rPr>
          <w:rFonts w:ascii="宋体"/>
          <w:bCs/>
          <w:highlight w:val="none"/>
        </w:rPr>
        <w:t>ccqtgb.com</w:t>
      </w:r>
    </w:p>
    <w:p w14:paraId="0312A37C">
      <w:pPr>
        <w:spacing w:line="360" w:lineRule="auto"/>
        <w:ind w:left="240" w:right="240" w:firstLine="482"/>
        <w:rPr>
          <w:rFonts w:ascii="宋体"/>
          <w:b/>
          <w:highlight w:val="none"/>
        </w:rPr>
      </w:pPr>
    </w:p>
    <w:p w14:paraId="7D1672DB">
      <w:pPr>
        <w:ind w:firstLine="0" w:firstLineChars="0"/>
        <w:jc w:val="left"/>
        <w:rPr>
          <w:b/>
          <w:bCs/>
          <w:highlight w:val="none"/>
        </w:rPr>
      </w:pPr>
      <w:bookmarkStart w:id="95" w:name="_Toc182213446"/>
      <w:r>
        <w:rPr>
          <w:rFonts w:hint="eastAsia"/>
          <w:b/>
          <w:bCs/>
          <w:highlight w:val="none"/>
        </w:rPr>
        <w:t>乙    方：xxxx公司</w:t>
      </w:r>
      <w:bookmarkEnd w:id="95"/>
    </w:p>
    <w:p w14:paraId="61413F35">
      <w:pPr>
        <w:spacing w:line="360" w:lineRule="auto"/>
        <w:ind w:left="-480" w:leftChars="-200" w:right="240" w:firstLine="480"/>
        <w:rPr>
          <w:rFonts w:ascii="宋体"/>
          <w:bCs/>
          <w:highlight w:val="none"/>
        </w:rPr>
      </w:pPr>
      <w:r>
        <w:rPr>
          <w:rFonts w:hint="eastAsia" w:ascii="宋体"/>
          <w:bCs/>
          <w:highlight w:val="none"/>
        </w:rPr>
        <w:t>地    址：</w:t>
      </w:r>
    </w:p>
    <w:p w14:paraId="1F22CA91">
      <w:pPr>
        <w:spacing w:line="360" w:lineRule="auto"/>
        <w:ind w:left="-480" w:leftChars="-200" w:right="240" w:firstLine="480"/>
        <w:rPr>
          <w:rFonts w:ascii="宋体"/>
          <w:bCs/>
          <w:highlight w:val="none"/>
        </w:rPr>
      </w:pPr>
      <w:r>
        <w:rPr>
          <w:rFonts w:hint="eastAsia" w:ascii="宋体"/>
          <w:bCs/>
          <w:highlight w:val="none"/>
        </w:rPr>
        <w:t xml:space="preserve">法人代表： </w:t>
      </w:r>
    </w:p>
    <w:p w14:paraId="14C1EF40">
      <w:pPr>
        <w:spacing w:line="360" w:lineRule="auto"/>
        <w:ind w:left="-480" w:leftChars="-200" w:right="240" w:firstLine="480"/>
        <w:rPr>
          <w:rFonts w:ascii="宋体"/>
          <w:bCs/>
          <w:highlight w:val="none"/>
        </w:rPr>
      </w:pPr>
      <w:r>
        <w:rPr>
          <w:rFonts w:hint="eastAsia" w:ascii="宋体"/>
          <w:bCs/>
          <w:highlight w:val="none"/>
        </w:rPr>
        <w:t>邮政编码：</w:t>
      </w:r>
    </w:p>
    <w:p w14:paraId="6F04242B">
      <w:pPr>
        <w:spacing w:line="360" w:lineRule="auto"/>
        <w:ind w:left="-480" w:leftChars="-200" w:right="240" w:firstLine="480"/>
        <w:rPr>
          <w:rFonts w:ascii="宋体"/>
          <w:bCs/>
          <w:highlight w:val="none"/>
        </w:rPr>
      </w:pPr>
      <w:r>
        <w:rPr>
          <w:rFonts w:hint="eastAsia" w:ascii="宋体"/>
          <w:bCs/>
          <w:highlight w:val="none"/>
        </w:rPr>
        <w:t>联系人：</w:t>
      </w:r>
    </w:p>
    <w:p w14:paraId="0CEC6F20">
      <w:pPr>
        <w:spacing w:line="360" w:lineRule="auto"/>
        <w:ind w:left="-480" w:leftChars="-200" w:right="240" w:firstLine="480"/>
        <w:rPr>
          <w:rFonts w:ascii="宋体"/>
          <w:bCs/>
          <w:highlight w:val="none"/>
        </w:rPr>
      </w:pPr>
      <w:r>
        <w:rPr>
          <w:rFonts w:hint="eastAsia" w:ascii="宋体"/>
          <w:bCs/>
          <w:highlight w:val="none"/>
        </w:rPr>
        <w:t>联系电话：</w:t>
      </w:r>
    </w:p>
    <w:p w14:paraId="656FC882">
      <w:pPr>
        <w:spacing w:line="360" w:lineRule="auto"/>
        <w:ind w:left="-480" w:leftChars="-200" w:right="240" w:firstLine="480"/>
        <w:rPr>
          <w:rFonts w:ascii="宋体"/>
          <w:bCs/>
          <w:highlight w:val="none"/>
        </w:rPr>
      </w:pPr>
      <w:r>
        <w:rPr>
          <w:rFonts w:hint="eastAsia" w:ascii="宋体"/>
          <w:bCs/>
          <w:highlight w:val="none"/>
        </w:rPr>
        <w:t>电子邮箱：</w:t>
      </w:r>
    </w:p>
    <w:p w14:paraId="0C6C11AD">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本合同事宜</w:t>
      </w:r>
    </w:p>
    <w:p w14:paraId="28EEC349">
      <w:pPr>
        <w:spacing w:before="163" w:line="360" w:lineRule="auto"/>
        <w:ind w:right="240" w:rightChars="100" w:firstLine="480"/>
        <w:rPr>
          <w:rFonts w:ascii="宋体"/>
          <w:highlight w:val="none"/>
        </w:rPr>
      </w:pPr>
      <w:r>
        <w:rPr>
          <w:rFonts w:hint="eastAsia"/>
          <w:highlight w:val="none"/>
        </w:rPr>
        <w:t>甲乙双方经友好协商并达成一致，依据相关法律、法规的规定，</w:t>
      </w:r>
      <w:r>
        <w:rPr>
          <w:rFonts w:hint="eastAsia" w:ascii="宋体"/>
          <w:highlight w:val="none"/>
        </w:rPr>
        <w:t>就甲方向乙方订购</w:t>
      </w:r>
      <w:r>
        <w:rPr>
          <w:highlight w:val="none"/>
          <w:u w:val="single"/>
        </w:rPr>
        <w:t>数据中心运维耗材</w:t>
      </w:r>
      <w:r>
        <w:rPr>
          <w:rFonts w:hint="eastAsia" w:ascii="宋体"/>
          <w:highlight w:val="none"/>
        </w:rPr>
        <w:t>产品的事宜</w:t>
      </w:r>
      <w:r>
        <w:rPr>
          <w:rFonts w:hint="eastAsia"/>
          <w:highlight w:val="none"/>
        </w:rPr>
        <w:t>订立本合同，</w:t>
      </w:r>
      <w:r>
        <w:rPr>
          <w:rFonts w:hint="eastAsia" w:ascii="宋体"/>
          <w:highlight w:val="none"/>
        </w:rPr>
        <w:t>以资信守：</w:t>
      </w:r>
    </w:p>
    <w:p w14:paraId="6AC68C27">
      <w:pPr>
        <w:spacing w:before="163" w:line="360" w:lineRule="auto"/>
        <w:ind w:right="240" w:rightChars="100" w:firstLine="480"/>
        <w:rPr>
          <w:highlight w:val="none"/>
        </w:rPr>
      </w:pPr>
      <w:r>
        <w:rPr>
          <w:rFonts w:hint="eastAsia"/>
          <w:highlight w:val="none"/>
        </w:rPr>
        <w:t>本合同项下，甲方每次有订购需求时向乙方发出订单，乙方按照甲方该次订单对应的产品、数量、规格型号及其他要求，提供货物、服务并收取费用，本合同项下甲方没有必须向乙方采购的义务，若甲方未发出任何采购订单，则无需承担任何违约责任及支付任何费用。</w:t>
      </w:r>
    </w:p>
    <w:p w14:paraId="5DFB9CB1">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本合同产品清单及金额</w:t>
      </w:r>
    </w:p>
    <w:tbl>
      <w:tblPr>
        <w:tblStyle w:val="17"/>
        <w:tblW w:w="964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402"/>
        <w:gridCol w:w="2835"/>
        <w:gridCol w:w="709"/>
        <w:gridCol w:w="992"/>
        <w:gridCol w:w="993"/>
      </w:tblGrid>
      <w:tr w14:paraId="767A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709" w:type="dxa"/>
            <w:shd w:val="clear" w:color="auto" w:fill="auto"/>
            <w:noWrap/>
            <w:vAlign w:val="center"/>
          </w:tcPr>
          <w:p w14:paraId="18B71B21">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序号</w:t>
            </w:r>
          </w:p>
        </w:tc>
        <w:tc>
          <w:tcPr>
            <w:tcW w:w="3402" w:type="dxa"/>
            <w:shd w:val="clear" w:color="auto" w:fill="auto"/>
            <w:noWrap/>
            <w:vAlign w:val="center"/>
          </w:tcPr>
          <w:p w14:paraId="439878E3">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产品名称</w:t>
            </w:r>
          </w:p>
        </w:tc>
        <w:tc>
          <w:tcPr>
            <w:tcW w:w="2835" w:type="dxa"/>
            <w:shd w:val="clear" w:color="auto" w:fill="auto"/>
            <w:noWrap/>
            <w:vAlign w:val="center"/>
          </w:tcPr>
          <w:p w14:paraId="4B626346">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规格</w:t>
            </w:r>
          </w:p>
        </w:tc>
        <w:tc>
          <w:tcPr>
            <w:tcW w:w="709" w:type="dxa"/>
            <w:shd w:val="clear" w:color="auto" w:fill="auto"/>
            <w:noWrap/>
            <w:vAlign w:val="center"/>
          </w:tcPr>
          <w:p w14:paraId="188740DC">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单位</w:t>
            </w:r>
          </w:p>
        </w:tc>
        <w:tc>
          <w:tcPr>
            <w:tcW w:w="992" w:type="dxa"/>
            <w:vAlign w:val="center"/>
          </w:tcPr>
          <w:p w14:paraId="17CFF5E4">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品牌</w:t>
            </w:r>
          </w:p>
        </w:tc>
        <w:tc>
          <w:tcPr>
            <w:tcW w:w="993" w:type="dxa"/>
          </w:tcPr>
          <w:p w14:paraId="2018E7A0">
            <w:pPr>
              <w:widowControl/>
              <w:autoSpaceDE/>
              <w:autoSpaceDN/>
              <w:spacing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单价</w:t>
            </w:r>
          </w:p>
        </w:tc>
      </w:tr>
      <w:tr w14:paraId="3E7E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57F260FA">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3402" w:type="dxa"/>
            <w:shd w:val="clear" w:color="auto" w:fill="auto"/>
            <w:vAlign w:val="center"/>
          </w:tcPr>
          <w:p w14:paraId="087F4EA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LC尾纤（含熔接）</w:t>
            </w:r>
          </w:p>
        </w:tc>
        <w:tc>
          <w:tcPr>
            <w:tcW w:w="2835" w:type="dxa"/>
            <w:shd w:val="clear" w:color="auto" w:fill="auto"/>
            <w:noWrap/>
            <w:vAlign w:val="center"/>
          </w:tcPr>
          <w:p w14:paraId="16F86157">
            <w:pPr>
              <w:widowControl/>
              <w:autoSpaceDE/>
              <w:autoSpaceDN/>
              <w:spacing w:line="240" w:lineRule="auto"/>
              <w:ind w:firstLine="0" w:firstLineChars="0"/>
              <w:jc w:val="left"/>
              <w:rPr>
                <w:rFonts w:ascii="宋体" w:hAnsi="宋体" w:cs="宋体"/>
                <w:kern w:val="0"/>
                <w:sz w:val="21"/>
                <w:szCs w:val="21"/>
                <w:highlight w:val="none"/>
              </w:rPr>
            </w:pPr>
            <w:r>
              <w:rPr>
                <w:rFonts w:hint="eastAsia" w:ascii="宋体" w:hAnsi="宋体" w:cs="宋体"/>
                <w:kern w:val="0"/>
                <w:sz w:val="21"/>
                <w:szCs w:val="21"/>
                <w:highlight w:val="none"/>
              </w:rPr>
              <w:t>长度1米</w:t>
            </w:r>
          </w:p>
        </w:tc>
        <w:tc>
          <w:tcPr>
            <w:tcW w:w="709" w:type="dxa"/>
            <w:shd w:val="clear" w:color="auto" w:fill="auto"/>
            <w:noWrap/>
            <w:vAlign w:val="center"/>
          </w:tcPr>
          <w:p w14:paraId="51BAFAD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0D358803">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59AF8B44">
            <w:pPr>
              <w:widowControl/>
              <w:autoSpaceDE/>
              <w:autoSpaceDN/>
              <w:spacing w:line="240" w:lineRule="auto"/>
              <w:ind w:firstLine="0" w:firstLineChars="0"/>
              <w:rPr>
                <w:rFonts w:ascii="宋体" w:hAnsi="宋体" w:cs="宋体"/>
                <w:kern w:val="0"/>
                <w:sz w:val="21"/>
                <w:szCs w:val="21"/>
                <w:highlight w:val="none"/>
              </w:rPr>
            </w:pPr>
          </w:p>
        </w:tc>
      </w:tr>
      <w:tr w14:paraId="687B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1C01568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3402" w:type="dxa"/>
            <w:shd w:val="clear" w:color="auto" w:fill="auto"/>
            <w:vAlign w:val="center"/>
          </w:tcPr>
          <w:p w14:paraId="7A61838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通风地板(含底座)</w:t>
            </w:r>
          </w:p>
        </w:tc>
        <w:tc>
          <w:tcPr>
            <w:tcW w:w="2835" w:type="dxa"/>
            <w:shd w:val="clear" w:color="auto" w:fill="auto"/>
            <w:noWrap/>
            <w:vAlign w:val="center"/>
          </w:tcPr>
          <w:p w14:paraId="09FF05D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尺寸：600mm x 600mm</w:t>
            </w:r>
          </w:p>
        </w:tc>
        <w:tc>
          <w:tcPr>
            <w:tcW w:w="709" w:type="dxa"/>
            <w:shd w:val="clear" w:color="auto" w:fill="auto"/>
            <w:noWrap/>
            <w:vAlign w:val="center"/>
          </w:tcPr>
          <w:p w14:paraId="178FED70">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块</w:t>
            </w:r>
          </w:p>
        </w:tc>
        <w:tc>
          <w:tcPr>
            <w:tcW w:w="992" w:type="dxa"/>
          </w:tcPr>
          <w:p w14:paraId="07949D7C">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6B6A4F92">
            <w:pPr>
              <w:widowControl/>
              <w:autoSpaceDE/>
              <w:autoSpaceDN/>
              <w:spacing w:line="240" w:lineRule="auto"/>
              <w:ind w:firstLine="0" w:firstLineChars="0"/>
              <w:rPr>
                <w:rFonts w:ascii="宋体" w:hAnsi="宋体" w:cs="宋体"/>
                <w:kern w:val="0"/>
                <w:sz w:val="21"/>
                <w:szCs w:val="21"/>
                <w:highlight w:val="none"/>
              </w:rPr>
            </w:pPr>
          </w:p>
        </w:tc>
      </w:tr>
      <w:tr w14:paraId="48DA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6851BBE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3402" w:type="dxa"/>
            <w:shd w:val="clear" w:color="auto" w:fill="auto"/>
            <w:vAlign w:val="center"/>
          </w:tcPr>
          <w:p w14:paraId="22A35DF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静电地板(含底座)</w:t>
            </w:r>
          </w:p>
        </w:tc>
        <w:tc>
          <w:tcPr>
            <w:tcW w:w="2835" w:type="dxa"/>
            <w:shd w:val="clear" w:color="auto" w:fill="auto"/>
            <w:noWrap/>
            <w:vAlign w:val="center"/>
          </w:tcPr>
          <w:p w14:paraId="7057E78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尺寸：600mm x 600mm</w:t>
            </w:r>
          </w:p>
        </w:tc>
        <w:tc>
          <w:tcPr>
            <w:tcW w:w="709" w:type="dxa"/>
            <w:shd w:val="clear" w:color="auto" w:fill="auto"/>
            <w:noWrap/>
            <w:vAlign w:val="center"/>
          </w:tcPr>
          <w:p w14:paraId="77590A7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块</w:t>
            </w:r>
          </w:p>
        </w:tc>
        <w:tc>
          <w:tcPr>
            <w:tcW w:w="992" w:type="dxa"/>
          </w:tcPr>
          <w:p w14:paraId="2DF45A51">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1239A77A">
            <w:pPr>
              <w:widowControl/>
              <w:autoSpaceDE/>
              <w:autoSpaceDN/>
              <w:spacing w:line="240" w:lineRule="auto"/>
              <w:ind w:firstLine="0" w:firstLineChars="0"/>
              <w:rPr>
                <w:rFonts w:ascii="宋体" w:hAnsi="宋体" w:cs="宋体"/>
                <w:kern w:val="0"/>
                <w:sz w:val="21"/>
                <w:szCs w:val="21"/>
                <w:highlight w:val="none"/>
              </w:rPr>
            </w:pPr>
          </w:p>
        </w:tc>
      </w:tr>
      <w:tr w14:paraId="31A6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06A558A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4</w:t>
            </w:r>
          </w:p>
        </w:tc>
        <w:tc>
          <w:tcPr>
            <w:tcW w:w="3402" w:type="dxa"/>
            <w:shd w:val="clear" w:color="auto" w:fill="auto"/>
            <w:vAlign w:val="center"/>
          </w:tcPr>
          <w:p w14:paraId="104632D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w:t>
            </w:r>
          </w:p>
        </w:tc>
        <w:tc>
          <w:tcPr>
            <w:tcW w:w="2835" w:type="dxa"/>
            <w:shd w:val="clear" w:color="auto" w:fill="auto"/>
            <w:noWrap/>
            <w:vAlign w:val="center"/>
          </w:tcPr>
          <w:p w14:paraId="701942D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300米/箱</w:t>
            </w:r>
          </w:p>
        </w:tc>
        <w:tc>
          <w:tcPr>
            <w:tcW w:w="709" w:type="dxa"/>
            <w:shd w:val="clear" w:color="auto" w:fill="auto"/>
            <w:noWrap/>
            <w:vAlign w:val="center"/>
          </w:tcPr>
          <w:p w14:paraId="1425F8B1">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箱</w:t>
            </w:r>
          </w:p>
        </w:tc>
        <w:tc>
          <w:tcPr>
            <w:tcW w:w="992" w:type="dxa"/>
          </w:tcPr>
          <w:p w14:paraId="0FC255FA">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2D6909B9">
            <w:pPr>
              <w:widowControl/>
              <w:autoSpaceDE/>
              <w:autoSpaceDN/>
              <w:spacing w:line="240" w:lineRule="auto"/>
              <w:ind w:firstLine="0" w:firstLineChars="0"/>
              <w:rPr>
                <w:rFonts w:ascii="宋体" w:hAnsi="宋体" w:cs="宋体"/>
                <w:kern w:val="0"/>
                <w:sz w:val="21"/>
                <w:szCs w:val="21"/>
                <w:highlight w:val="none"/>
              </w:rPr>
            </w:pPr>
          </w:p>
        </w:tc>
      </w:tr>
      <w:tr w14:paraId="4070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6892D7D7">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5</w:t>
            </w:r>
          </w:p>
        </w:tc>
        <w:tc>
          <w:tcPr>
            <w:tcW w:w="3402" w:type="dxa"/>
            <w:shd w:val="clear" w:color="auto" w:fill="auto"/>
            <w:vAlign w:val="center"/>
          </w:tcPr>
          <w:p w14:paraId="646F3FD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835" w:type="dxa"/>
            <w:shd w:val="clear" w:color="auto" w:fill="auto"/>
            <w:noWrap/>
            <w:vAlign w:val="center"/>
          </w:tcPr>
          <w:p w14:paraId="1AF0710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709" w:type="dxa"/>
            <w:shd w:val="clear" w:color="auto" w:fill="auto"/>
            <w:noWrap/>
            <w:vAlign w:val="center"/>
          </w:tcPr>
          <w:p w14:paraId="152BBD55">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4A0B1F6C">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27C15F42">
            <w:pPr>
              <w:widowControl/>
              <w:autoSpaceDE/>
              <w:autoSpaceDN/>
              <w:spacing w:line="240" w:lineRule="auto"/>
              <w:ind w:firstLine="0" w:firstLineChars="0"/>
              <w:rPr>
                <w:rFonts w:ascii="宋体" w:hAnsi="宋体" w:cs="宋体"/>
                <w:kern w:val="0"/>
                <w:sz w:val="21"/>
                <w:szCs w:val="21"/>
                <w:highlight w:val="none"/>
              </w:rPr>
            </w:pPr>
          </w:p>
        </w:tc>
      </w:tr>
      <w:tr w14:paraId="234C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295A32CE">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6</w:t>
            </w:r>
          </w:p>
        </w:tc>
        <w:tc>
          <w:tcPr>
            <w:tcW w:w="3402" w:type="dxa"/>
            <w:shd w:val="clear" w:color="auto" w:fill="auto"/>
            <w:vAlign w:val="center"/>
          </w:tcPr>
          <w:p w14:paraId="045BC3E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835" w:type="dxa"/>
            <w:shd w:val="clear" w:color="auto" w:fill="auto"/>
            <w:noWrap/>
            <w:vAlign w:val="center"/>
          </w:tcPr>
          <w:p w14:paraId="4F766DA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709" w:type="dxa"/>
            <w:shd w:val="clear" w:color="auto" w:fill="auto"/>
            <w:noWrap/>
            <w:vAlign w:val="center"/>
          </w:tcPr>
          <w:p w14:paraId="0D5A3EA6">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5A220DA4">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67723447">
            <w:pPr>
              <w:widowControl/>
              <w:autoSpaceDE/>
              <w:autoSpaceDN/>
              <w:spacing w:line="240" w:lineRule="auto"/>
              <w:ind w:firstLine="0" w:firstLineChars="0"/>
              <w:rPr>
                <w:rFonts w:ascii="宋体" w:hAnsi="宋体" w:cs="宋体"/>
                <w:kern w:val="0"/>
                <w:sz w:val="21"/>
                <w:szCs w:val="21"/>
                <w:highlight w:val="none"/>
              </w:rPr>
            </w:pPr>
          </w:p>
        </w:tc>
      </w:tr>
      <w:tr w14:paraId="3894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46893BA8">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7</w:t>
            </w:r>
          </w:p>
        </w:tc>
        <w:tc>
          <w:tcPr>
            <w:tcW w:w="3402" w:type="dxa"/>
            <w:shd w:val="clear" w:color="auto" w:fill="auto"/>
            <w:vAlign w:val="center"/>
          </w:tcPr>
          <w:p w14:paraId="19C2893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835" w:type="dxa"/>
            <w:shd w:val="clear" w:color="auto" w:fill="auto"/>
            <w:noWrap/>
            <w:vAlign w:val="center"/>
          </w:tcPr>
          <w:p w14:paraId="57165C5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709" w:type="dxa"/>
            <w:shd w:val="clear" w:color="auto" w:fill="auto"/>
            <w:noWrap/>
            <w:vAlign w:val="center"/>
          </w:tcPr>
          <w:p w14:paraId="0FE073C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30C59545">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26FC4FF6">
            <w:pPr>
              <w:widowControl/>
              <w:autoSpaceDE/>
              <w:autoSpaceDN/>
              <w:spacing w:line="240" w:lineRule="auto"/>
              <w:ind w:firstLine="0" w:firstLineChars="0"/>
              <w:rPr>
                <w:rFonts w:ascii="宋体" w:hAnsi="宋体" w:cs="宋体"/>
                <w:kern w:val="0"/>
                <w:sz w:val="21"/>
                <w:szCs w:val="21"/>
                <w:highlight w:val="none"/>
              </w:rPr>
            </w:pPr>
          </w:p>
        </w:tc>
      </w:tr>
      <w:tr w14:paraId="7011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2B5A62E0">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8</w:t>
            </w:r>
          </w:p>
        </w:tc>
        <w:tc>
          <w:tcPr>
            <w:tcW w:w="3402" w:type="dxa"/>
            <w:shd w:val="clear" w:color="auto" w:fill="auto"/>
            <w:vAlign w:val="center"/>
          </w:tcPr>
          <w:p w14:paraId="458FEFD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835" w:type="dxa"/>
            <w:shd w:val="clear" w:color="auto" w:fill="auto"/>
            <w:noWrap/>
            <w:vAlign w:val="center"/>
          </w:tcPr>
          <w:p w14:paraId="3DF1A58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709" w:type="dxa"/>
            <w:shd w:val="clear" w:color="auto" w:fill="auto"/>
            <w:noWrap/>
            <w:vAlign w:val="center"/>
          </w:tcPr>
          <w:p w14:paraId="7A675D37">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6A7003E2">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6651ED82">
            <w:pPr>
              <w:widowControl/>
              <w:autoSpaceDE/>
              <w:autoSpaceDN/>
              <w:spacing w:line="240" w:lineRule="auto"/>
              <w:ind w:firstLine="0" w:firstLineChars="0"/>
              <w:rPr>
                <w:rFonts w:ascii="宋体" w:hAnsi="宋体" w:cs="宋体"/>
                <w:kern w:val="0"/>
                <w:sz w:val="21"/>
                <w:szCs w:val="21"/>
                <w:highlight w:val="none"/>
              </w:rPr>
            </w:pPr>
          </w:p>
        </w:tc>
      </w:tr>
      <w:tr w14:paraId="11F7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6CDFB87C">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9</w:t>
            </w:r>
          </w:p>
        </w:tc>
        <w:tc>
          <w:tcPr>
            <w:tcW w:w="3402" w:type="dxa"/>
            <w:shd w:val="clear" w:color="auto" w:fill="auto"/>
            <w:vAlign w:val="center"/>
          </w:tcPr>
          <w:p w14:paraId="5DB5611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835" w:type="dxa"/>
            <w:shd w:val="clear" w:color="auto" w:fill="auto"/>
            <w:noWrap/>
            <w:vAlign w:val="center"/>
          </w:tcPr>
          <w:p w14:paraId="125B56F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长度20米</w:t>
            </w:r>
          </w:p>
        </w:tc>
        <w:tc>
          <w:tcPr>
            <w:tcW w:w="709" w:type="dxa"/>
            <w:shd w:val="clear" w:color="auto" w:fill="auto"/>
            <w:noWrap/>
            <w:vAlign w:val="center"/>
          </w:tcPr>
          <w:p w14:paraId="552371B5">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4BCE06E4">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39EB4660">
            <w:pPr>
              <w:widowControl/>
              <w:autoSpaceDE/>
              <w:autoSpaceDN/>
              <w:spacing w:line="240" w:lineRule="auto"/>
              <w:ind w:firstLine="0" w:firstLineChars="0"/>
              <w:rPr>
                <w:rFonts w:ascii="宋体" w:hAnsi="宋体" w:cs="宋体"/>
                <w:kern w:val="0"/>
                <w:sz w:val="21"/>
                <w:szCs w:val="21"/>
                <w:highlight w:val="none"/>
              </w:rPr>
            </w:pPr>
          </w:p>
        </w:tc>
      </w:tr>
      <w:tr w14:paraId="2798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62D35D61">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10</w:t>
            </w:r>
          </w:p>
        </w:tc>
        <w:tc>
          <w:tcPr>
            <w:tcW w:w="3402" w:type="dxa"/>
            <w:shd w:val="clear" w:color="auto" w:fill="auto"/>
            <w:vAlign w:val="center"/>
          </w:tcPr>
          <w:p w14:paraId="61B2364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理线器</w:t>
            </w:r>
          </w:p>
        </w:tc>
        <w:tc>
          <w:tcPr>
            <w:tcW w:w="2835" w:type="dxa"/>
            <w:shd w:val="clear" w:color="auto" w:fill="auto"/>
            <w:noWrap/>
            <w:vAlign w:val="center"/>
          </w:tcPr>
          <w:p w14:paraId="0CD8BB5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71982DB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761E5390">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0478C137">
            <w:pPr>
              <w:widowControl/>
              <w:autoSpaceDE/>
              <w:autoSpaceDN/>
              <w:spacing w:line="240" w:lineRule="auto"/>
              <w:ind w:firstLine="0" w:firstLineChars="0"/>
              <w:rPr>
                <w:rFonts w:ascii="宋体" w:hAnsi="宋体" w:cs="宋体"/>
                <w:kern w:val="0"/>
                <w:sz w:val="21"/>
                <w:szCs w:val="21"/>
                <w:highlight w:val="none"/>
              </w:rPr>
            </w:pPr>
          </w:p>
        </w:tc>
      </w:tr>
      <w:tr w14:paraId="4FB7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33768B1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11</w:t>
            </w:r>
          </w:p>
        </w:tc>
        <w:tc>
          <w:tcPr>
            <w:tcW w:w="3402" w:type="dxa"/>
            <w:shd w:val="clear" w:color="auto" w:fill="auto"/>
            <w:vAlign w:val="center"/>
          </w:tcPr>
          <w:p w14:paraId="65C23E7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双层网格桥架</w:t>
            </w:r>
          </w:p>
        </w:tc>
        <w:tc>
          <w:tcPr>
            <w:tcW w:w="2835" w:type="dxa"/>
            <w:shd w:val="clear" w:color="auto" w:fill="auto"/>
            <w:noWrap/>
            <w:vAlign w:val="center"/>
          </w:tcPr>
          <w:p w14:paraId="67E3C1B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278B3278">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992" w:type="dxa"/>
          </w:tcPr>
          <w:p w14:paraId="221BE6C9">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2371618C">
            <w:pPr>
              <w:widowControl/>
              <w:autoSpaceDE/>
              <w:autoSpaceDN/>
              <w:spacing w:line="240" w:lineRule="auto"/>
              <w:ind w:firstLine="0" w:firstLineChars="0"/>
              <w:rPr>
                <w:rFonts w:ascii="宋体" w:hAnsi="宋体" w:cs="宋体"/>
                <w:kern w:val="0"/>
                <w:sz w:val="21"/>
                <w:szCs w:val="21"/>
                <w:highlight w:val="none"/>
              </w:rPr>
            </w:pPr>
          </w:p>
        </w:tc>
      </w:tr>
      <w:tr w14:paraId="23FF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5FB1DE0E">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12</w:t>
            </w:r>
          </w:p>
        </w:tc>
        <w:tc>
          <w:tcPr>
            <w:tcW w:w="3402" w:type="dxa"/>
            <w:shd w:val="clear" w:color="auto" w:fill="auto"/>
            <w:vAlign w:val="center"/>
          </w:tcPr>
          <w:p w14:paraId="45A0B8E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机柜挡板</w:t>
            </w:r>
          </w:p>
        </w:tc>
        <w:tc>
          <w:tcPr>
            <w:tcW w:w="2835" w:type="dxa"/>
            <w:shd w:val="clear" w:color="auto" w:fill="auto"/>
            <w:noWrap/>
            <w:vAlign w:val="center"/>
          </w:tcPr>
          <w:p w14:paraId="41E2F68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3B193745">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块</w:t>
            </w:r>
          </w:p>
        </w:tc>
        <w:tc>
          <w:tcPr>
            <w:tcW w:w="992" w:type="dxa"/>
          </w:tcPr>
          <w:p w14:paraId="516A26CF">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705FBDBF">
            <w:pPr>
              <w:widowControl/>
              <w:autoSpaceDE/>
              <w:autoSpaceDN/>
              <w:spacing w:line="240" w:lineRule="auto"/>
              <w:ind w:firstLine="0" w:firstLineChars="0"/>
              <w:rPr>
                <w:rFonts w:ascii="宋体" w:hAnsi="宋体" w:cs="宋体"/>
                <w:kern w:val="0"/>
                <w:sz w:val="21"/>
                <w:szCs w:val="21"/>
                <w:highlight w:val="none"/>
              </w:rPr>
            </w:pPr>
          </w:p>
        </w:tc>
      </w:tr>
      <w:tr w14:paraId="66B1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0F80096C">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13</w:t>
            </w:r>
          </w:p>
        </w:tc>
        <w:tc>
          <w:tcPr>
            <w:tcW w:w="3402" w:type="dxa"/>
            <w:shd w:val="clear" w:color="auto" w:fill="auto"/>
            <w:vAlign w:val="center"/>
          </w:tcPr>
          <w:p w14:paraId="3DF629E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电缆</w:t>
            </w:r>
          </w:p>
        </w:tc>
        <w:tc>
          <w:tcPr>
            <w:tcW w:w="2835" w:type="dxa"/>
            <w:shd w:val="clear" w:color="auto" w:fill="auto"/>
            <w:noWrap/>
            <w:vAlign w:val="center"/>
          </w:tcPr>
          <w:p w14:paraId="27B19F0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ZR-YJV3*6mm²</w:t>
            </w:r>
          </w:p>
        </w:tc>
        <w:tc>
          <w:tcPr>
            <w:tcW w:w="709" w:type="dxa"/>
            <w:shd w:val="clear" w:color="auto" w:fill="auto"/>
            <w:noWrap/>
            <w:vAlign w:val="center"/>
          </w:tcPr>
          <w:p w14:paraId="642F179A">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992" w:type="dxa"/>
          </w:tcPr>
          <w:p w14:paraId="7DA94808">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623D59FC">
            <w:pPr>
              <w:widowControl/>
              <w:autoSpaceDE/>
              <w:autoSpaceDN/>
              <w:spacing w:line="240" w:lineRule="auto"/>
              <w:ind w:firstLine="0" w:firstLineChars="0"/>
              <w:rPr>
                <w:rFonts w:ascii="宋体" w:hAnsi="宋体" w:cs="宋体"/>
                <w:kern w:val="0"/>
                <w:sz w:val="21"/>
                <w:szCs w:val="21"/>
                <w:highlight w:val="none"/>
              </w:rPr>
            </w:pPr>
          </w:p>
        </w:tc>
      </w:tr>
      <w:tr w14:paraId="1ECB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54088D7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14</w:t>
            </w:r>
          </w:p>
        </w:tc>
        <w:tc>
          <w:tcPr>
            <w:tcW w:w="3402" w:type="dxa"/>
            <w:shd w:val="clear" w:color="auto" w:fill="auto"/>
            <w:vAlign w:val="center"/>
          </w:tcPr>
          <w:p w14:paraId="6729301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电缆</w:t>
            </w:r>
          </w:p>
        </w:tc>
        <w:tc>
          <w:tcPr>
            <w:tcW w:w="2835" w:type="dxa"/>
            <w:shd w:val="clear" w:color="auto" w:fill="auto"/>
            <w:noWrap/>
            <w:vAlign w:val="center"/>
          </w:tcPr>
          <w:p w14:paraId="3227560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ZR-YJV3*10mm²</w:t>
            </w:r>
          </w:p>
        </w:tc>
        <w:tc>
          <w:tcPr>
            <w:tcW w:w="709" w:type="dxa"/>
            <w:shd w:val="clear" w:color="auto" w:fill="auto"/>
            <w:noWrap/>
            <w:vAlign w:val="center"/>
          </w:tcPr>
          <w:p w14:paraId="2A1BF255">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992" w:type="dxa"/>
          </w:tcPr>
          <w:p w14:paraId="0D2C6BAB">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7C2B28DA">
            <w:pPr>
              <w:widowControl/>
              <w:autoSpaceDE/>
              <w:autoSpaceDN/>
              <w:spacing w:line="240" w:lineRule="auto"/>
              <w:ind w:firstLine="0" w:firstLineChars="0"/>
              <w:rPr>
                <w:rFonts w:ascii="宋体" w:hAnsi="宋体" w:cs="宋体"/>
                <w:kern w:val="0"/>
                <w:sz w:val="21"/>
                <w:szCs w:val="21"/>
                <w:highlight w:val="none"/>
              </w:rPr>
            </w:pPr>
          </w:p>
        </w:tc>
      </w:tr>
      <w:tr w14:paraId="20B9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757F7637">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15</w:t>
            </w:r>
          </w:p>
        </w:tc>
        <w:tc>
          <w:tcPr>
            <w:tcW w:w="3402" w:type="dxa"/>
            <w:shd w:val="clear" w:color="auto" w:fill="auto"/>
            <w:vAlign w:val="center"/>
          </w:tcPr>
          <w:p w14:paraId="35E7063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PDU</w:t>
            </w:r>
          </w:p>
        </w:tc>
        <w:tc>
          <w:tcPr>
            <w:tcW w:w="2835" w:type="dxa"/>
            <w:shd w:val="clear" w:color="auto" w:fill="auto"/>
            <w:noWrap/>
            <w:vAlign w:val="center"/>
          </w:tcPr>
          <w:p w14:paraId="7AE6CEC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12位10A插座+4位16A插座</w:t>
            </w:r>
          </w:p>
        </w:tc>
        <w:tc>
          <w:tcPr>
            <w:tcW w:w="709" w:type="dxa"/>
            <w:shd w:val="clear" w:color="auto" w:fill="auto"/>
            <w:noWrap/>
            <w:vAlign w:val="center"/>
          </w:tcPr>
          <w:p w14:paraId="0397EE8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76A78909">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14411B1A">
            <w:pPr>
              <w:widowControl/>
              <w:autoSpaceDE/>
              <w:autoSpaceDN/>
              <w:spacing w:line="240" w:lineRule="auto"/>
              <w:ind w:firstLine="0" w:firstLineChars="0"/>
              <w:rPr>
                <w:rFonts w:ascii="宋体" w:hAnsi="宋体" w:cs="宋体"/>
                <w:kern w:val="0"/>
                <w:sz w:val="21"/>
                <w:szCs w:val="21"/>
                <w:highlight w:val="none"/>
              </w:rPr>
            </w:pPr>
          </w:p>
        </w:tc>
      </w:tr>
      <w:tr w14:paraId="2990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0760F18B">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16</w:t>
            </w:r>
          </w:p>
        </w:tc>
        <w:tc>
          <w:tcPr>
            <w:tcW w:w="3402" w:type="dxa"/>
            <w:shd w:val="clear" w:color="auto" w:fill="auto"/>
            <w:vAlign w:val="center"/>
          </w:tcPr>
          <w:p w14:paraId="2D1F169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MPO-LC 扇形多模光纤跳线</w:t>
            </w:r>
          </w:p>
        </w:tc>
        <w:tc>
          <w:tcPr>
            <w:tcW w:w="2835" w:type="dxa"/>
            <w:shd w:val="clear" w:color="auto" w:fill="auto"/>
            <w:noWrap/>
            <w:vAlign w:val="center"/>
          </w:tcPr>
          <w:p w14:paraId="1CB3A34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709" w:type="dxa"/>
            <w:shd w:val="clear" w:color="auto" w:fill="auto"/>
            <w:noWrap/>
            <w:vAlign w:val="center"/>
          </w:tcPr>
          <w:p w14:paraId="328BF2F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3DF510ED">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7D971F19">
            <w:pPr>
              <w:widowControl/>
              <w:autoSpaceDE/>
              <w:autoSpaceDN/>
              <w:spacing w:line="240" w:lineRule="auto"/>
              <w:ind w:firstLine="0" w:firstLineChars="0"/>
              <w:rPr>
                <w:rFonts w:ascii="宋体" w:hAnsi="宋体" w:cs="宋体"/>
                <w:kern w:val="0"/>
                <w:sz w:val="21"/>
                <w:szCs w:val="21"/>
                <w:highlight w:val="none"/>
              </w:rPr>
            </w:pPr>
          </w:p>
        </w:tc>
      </w:tr>
      <w:tr w14:paraId="2CC3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3A0BE7F6">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17</w:t>
            </w:r>
          </w:p>
        </w:tc>
        <w:tc>
          <w:tcPr>
            <w:tcW w:w="3402" w:type="dxa"/>
            <w:shd w:val="clear" w:color="auto" w:fill="auto"/>
            <w:vAlign w:val="center"/>
          </w:tcPr>
          <w:p w14:paraId="75CE992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MPO-LC 扇形多模光纤跳线</w:t>
            </w:r>
          </w:p>
        </w:tc>
        <w:tc>
          <w:tcPr>
            <w:tcW w:w="2835" w:type="dxa"/>
            <w:shd w:val="clear" w:color="auto" w:fill="auto"/>
            <w:noWrap/>
            <w:vAlign w:val="center"/>
          </w:tcPr>
          <w:p w14:paraId="11D5CC9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709" w:type="dxa"/>
            <w:shd w:val="clear" w:color="auto" w:fill="auto"/>
            <w:noWrap/>
            <w:vAlign w:val="center"/>
          </w:tcPr>
          <w:p w14:paraId="5215FCCB">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308FC5F9">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16AAAD36">
            <w:pPr>
              <w:widowControl/>
              <w:autoSpaceDE/>
              <w:autoSpaceDN/>
              <w:spacing w:line="240" w:lineRule="auto"/>
              <w:ind w:firstLine="0" w:firstLineChars="0"/>
              <w:rPr>
                <w:rFonts w:ascii="宋体" w:hAnsi="宋体" w:cs="宋体"/>
                <w:kern w:val="0"/>
                <w:sz w:val="21"/>
                <w:szCs w:val="21"/>
                <w:highlight w:val="none"/>
              </w:rPr>
            </w:pPr>
          </w:p>
        </w:tc>
      </w:tr>
      <w:tr w14:paraId="2AA5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6C26F41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18</w:t>
            </w:r>
          </w:p>
        </w:tc>
        <w:tc>
          <w:tcPr>
            <w:tcW w:w="3402" w:type="dxa"/>
            <w:shd w:val="clear" w:color="auto" w:fill="auto"/>
            <w:vAlign w:val="center"/>
          </w:tcPr>
          <w:p w14:paraId="2D6F5DF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835" w:type="dxa"/>
            <w:shd w:val="clear" w:color="auto" w:fill="auto"/>
            <w:noWrap/>
            <w:vAlign w:val="center"/>
          </w:tcPr>
          <w:p w14:paraId="2474A26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长度15米，母头-母头</w:t>
            </w:r>
          </w:p>
        </w:tc>
        <w:tc>
          <w:tcPr>
            <w:tcW w:w="709" w:type="dxa"/>
            <w:shd w:val="clear" w:color="auto" w:fill="auto"/>
            <w:noWrap/>
            <w:vAlign w:val="center"/>
          </w:tcPr>
          <w:p w14:paraId="298607F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15EBF5A2">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183B0119">
            <w:pPr>
              <w:widowControl/>
              <w:autoSpaceDE/>
              <w:autoSpaceDN/>
              <w:spacing w:line="240" w:lineRule="auto"/>
              <w:ind w:firstLine="0" w:firstLineChars="0"/>
              <w:rPr>
                <w:rFonts w:ascii="宋体" w:hAnsi="宋体" w:cs="宋体"/>
                <w:kern w:val="0"/>
                <w:sz w:val="21"/>
                <w:szCs w:val="21"/>
                <w:highlight w:val="none"/>
              </w:rPr>
            </w:pPr>
          </w:p>
        </w:tc>
      </w:tr>
      <w:tr w14:paraId="4F56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3A8ABF6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19</w:t>
            </w:r>
          </w:p>
        </w:tc>
        <w:tc>
          <w:tcPr>
            <w:tcW w:w="3402" w:type="dxa"/>
            <w:shd w:val="clear" w:color="auto" w:fill="auto"/>
            <w:vAlign w:val="center"/>
          </w:tcPr>
          <w:p w14:paraId="77DDE3DA">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835" w:type="dxa"/>
            <w:shd w:val="clear" w:color="auto" w:fill="auto"/>
            <w:noWrap/>
            <w:vAlign w:val="center"/>
          </w:tcPr>
          <w:p w14:paraId="167B11B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长度25米，母头-母头</w:t>
            </w:r>
          </w:p>
        </w:tc>
        <w:tc>
          <w:tcPr>
            <w:tcW w:w="709" w:type="dxa"/>
            <w:shd w:val="clear" w:color="auto" w:fill="auto"/>
            <w:noWrap/>
            <w:vAlign w:val="center"/>
          </w:tcPr>
          <w:p w14:paraId="0A62719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DAB9F57">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3C0CBA60">
            <w:pPr>
              <w:widowControl/>
              <w:autoSpaceDE/>
              <w:autoSpaceDN/>
              <w:spacing w:line="240" w:lineRule="auto"/>
              <w:ind w:firstLine="0" w:firstLineChars="0"/>
              <w:rPr>
                <w:rFonts w:ascii="宋体" w:hAnsi="宋体" w:cs="宋体"/>
                <w:kern w:val="0"/>
                <w:sz w:val="21"/>
                <w:szCs w:val="21"/>
                <w:highlight w:val="none"/>
              </w:rPr>
            </w:pPr>
          </w:p>
        </w:tc>
      </w:tr>
      <w:tr w14:paraId="25A8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50E04D2B">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20</w:t>
            </w:r>
          </w:p>
        </w:tc>
        <w:tc>
          <w:tcPr>
            <w:tcW w:w="3402" w:type="dxa"/>
            <w:shd w:val="clear" w:color="auto" w:fill="auto"/>
            <w:vAlign w:val="center"/>
          </w:tcPr>
          <w:p w14:paraId="47FD4BA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835" w:type="dxa"/>
            <w:shd w:val="clear" w:color="auto" w:fill="auto"/>
            <w:noWrap/>
            <w:vAlign w:val="center"/>
          </w:tcPr>
          <w:p w14:paraId="5B4C281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长度30米，母头-母头</w:t>
            </w:r>
          </w:p>
        </w:tc>
        <w:tc>
          <w:tcPr>
            <w:tcW w:w="709" w:type="dxa"/>
            <w:shd w:val="clear" w:color="auto" w:fill="auto"/>
            <w:noWrap/>
            <w:vAlign w:val="center"/>
          </w:tcPr>
          <w:p w14:paraId="13AC2107">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4D7BD55F">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22B57076">
            <w:pPr>
              <w:widowControl/>
              <w:autoSpaceDE/>
              <w:autoSpaceDN/>
              <w:spacing w:line="240" w:lineRule="auto"/>
              <w:ind w:firstLine="0" w:firstLineChars="0"/>
              <w:rPr>
                <w:rFonts w:ascii="宋体" w:hAnsi="宋体" w:cs="宋体"/>
                <w:kern w:val="0"/>
                <w:sz w:val="21"/>
                <w:szCs w:val="21"/>
                <w:highlight w:val="none"/>
              </w:rPr>
            </w:pPr>
          </w:p>
        </w:tc>
      </w:tr>
      <w:tr w14:paraId="01C6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3C44A69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21</w:t>
            </w:r>
          </w:p>
        </w:tc>
        <w:tc>
          <w:tcPr>
            <w:tcW w:w="3402" w:type="dxa"/>
            <w:shd w:val="clear" w:color="auto" w:fill="auto"/>
            <w:vAlign w:val="center"/>
          </w:tcPr>
          <w:p w14:paraId="30B80DB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835" w:type="dxa"/>
            <w:shd w:val="clear" w:color="auto" w:fill="auto"/>
            <w:noWrap/>
            <w:vAlign w:val="center"/>
          </w:tcPr>
          <w:p w14:paraId="1FF28F3B">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长度35米，母头-母头</w:t>
            </w:r>
          </w:p>
        </w:tc>
        <w:tc>
          <w:tcPr>
            <w:tcW w:w="709" w:type="dxa"/>
            <w:shd w:val="clear" w:color="auto" w:fill="auto"/>
            <w:noWrap/>
            <w:vAlign w:val="center"/>
          </w:tcPr>
          <w:p w14:paraId="376D7FE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ED1C1D2">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500598DD">
            <w:pPr>
              <w:widowControl/>
              <w:autoSpaceDE/>
              <w:autoSpaceDN/>
              <w:spacing w:line="240" w:lineRule="auto"/>
              <w:ind w:firstLine="0" w:firstLineChars="0"/>
              <w:rPr>
                <w:rFonts w:ascii="宋体" w:hAnsi="宋体" w:cs="宋体"/>
                <w:kern w:val="0"/>
                <w:sz w:val="21"/>
                <w:szCs w:val="21"/>
                <w:highlight w:val="none"/>
              </w:rPr>
            </w:pPr>
          </w:p>
        </w:tc>
      </w:tr>
      <w:tr w14:paraId="7101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2AF78FE3">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22</w:t>
            </w:r>
          </w:p>
        </w:tc>
        <w:tc>
          <w:tcPr>
            <w:tcW w:w="3402" w:type="dxa"/>
            <w:shd w:val="clear" w:color="auto" w:fill="auto"/>
            <w:vAlign w:val="center"/>
          </w:tcPr>
          <w:p w14:paraId="7657B02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835" w:type="dxa"/>
            <w:shd w:val="clear" w:color="auto" w:fill="auto"/>
            <w:noWrap/>
            <w:vAlign w:val="center"/>
          </w:tcPr>
          <w:p w14:paraId="1D0EFF2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长度1米，公头-公头</w:t>
            </w:r>
          </w:p>
        </w:tc>
        <w:tc>
          <w:tcPr>
            <w:tcW w:w="709" w:type="dxa"/>
            <w:shd w:val="clear" w:color="auto" w:fill="auto"/>
            <w:noWrap/>
            <w:vAlign w:val="center"/>
          </w:tcPr>
          <w:p w14:paraId="63601DD0">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964A4CD">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2513506C">
            <w:pPr>
              <w:widowControl/>
              <w:autoSpaceDE/>
              <w:autoSpaceDN/>
              <w:spacing w:line="240" w:lineRule="auto"/>
              <w:ind w:firstLine="0" w:firstLineChars="0"/>
              <w:rPr>
                <w:rFonts w:ascii="宋体" w:hAnsi="宋体" w:cs="宋体"/>
                <w:kern w:val="0"/>
                <w:sz w:val="21"/>
                <w:szCs w:val="21"/>
                <w:highlight w:val="none"/>
              </w:rPr>
            </w:pPr>
          </w:p>
        </w:tc>
      </w:tr>
      <w:tr w14:paraId="3039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516E081C">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23</w:t>
            </w:r>
          </w:p>
        </w:tc>
        <w:tc>
          <w:tcPr>
            <w:tcW w:w="3402" w:type="dxa"/>
            <w:shd w:val="clear" w:color="auto" w:fill="auto"/>
            <w:vAlign w:val="center"/>
          </w:tcPr>
          <w:p w14:paraId="0539F70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835" w:type="dxa"/>
            <w:shd w:val="clear" w:color="auto" w:fill="auto"/>
            <w:noWrap/>
            <w:vAlign w:val="center"/>
          </w:tcPr>
          <w:p w14:paraId="1BC5E39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709" w:type="dxa"/>
            <w:shd w:val="clear" w:color="auto" w:fill="auto"/>
            <w:noWrap/>
            <w:vAlign w:val="center"/>
          </w:tcPr>
          <w:p w14:paraId="11B8E5DC">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D56DFC4">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08D360E9">
            <w:pPr>
              <w:widowControl/>
              <w:autoSpaceDE/>
              <w:autoSpaceDN/>
              <w:spacing w:line="240" w:lineRule="auto"/>
              <w:ind w:firstLine="0" w:firstLineChars="0"/>
              <w:rPr>
                <w:rFonts w:ascii="宋体" w:hAnsi="宋体" w:cs="宋体"/>
                <w:kern w:val="0"/>
                <w:sz w:val="21"/>
                <w:szCs w:val="21"/>
                <w:highlight w:val="none"/>
              </w:rPr>
            </w:pPr>
          </w:p>
        </w:tc>
      </w:tr>
      <w:tr w14:paraId="07FE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298E3297">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24</w:t>
            </w:r>
          </w:p>
        </w:tc>
        <w:tc>
          <w:tcPr>
            <w:tcW w:w="3402" w:type="dxa"/>
            <w:shd w:val="clear" w:color="auto" w:fill="auto"/>
            <w:vAlign w:val="center"/>
          </w:tcPr>
          <w:p w14:paraId="4F378D7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835" w:type="dxa"/>
            <w:shd w:val="clear" w:color="auto" w:fill="auto"/>
            <w:noWrap/>
            <w:vAlign w:val="center"/>
          </w:tcPr>
          <w:p w14:paraId="213AFA6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709" w:type="dxa"/>
            <w:shd w:val="clear" w:color="auto" w:fill="auto"/>
            <w:noWrap/>
            <w:vAlign w:val="center"/>
          </w:tcPr>
          <w:p w14:paraId="6EA60C86">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33B6437">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488095C7">
            <w:pPr>
              <w:widowControl/>
              <w:autoSpaceDE/>
              <w:autoSpaceDN/>
              <w:spacing w:line="240" w:lineRule="auto"/>
              <w:ind w:firstLine="0" w:firstLineChars="0"/>
              <w:rPr>
                <w:rFonts w:ascii="宋体" w:hAnsi="宋体" w:cs="宋体"/>
                <w:kern w:val="0"/>
                <w:sz w:val="21"/>
                <w:szCs w:val="21"/>
                <w:highlight w:val="none"/>
              </w:rPr>
            </w:pPr>
          </w:p>
        </w:tc>
      </w:tr>
      <w:tr w14:paraId="6210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57FBC166">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25</w:t>
            </w:r>
          </w:p>
        </w:tc>
        <w:tc>
          <w:tcPr>
            <w:tcW w:w="3402" w:type="dxa"/>
            <w:shd w:val="clear" w:color="auto" w:fill="auto"/>
            <w:vAlign w:val="center"/>
          </w:tcPr>
          <w:p w14:paraId="7037422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835" w:type="dxa"/>
            <w:shd w:val="clear" w:color="auto" w:fill="auto"/>
            <w:noWrap/>
            <w:vAlign w:val="center"/>
          </w:tcPr>
          <w:p w14:paraId="12F141FD">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709" w:type="dxa"/>
            <w:shd w:val="clear" w:color="auto" w:fill="auto"/>
            <w:noWrap/>
            <w:vAlign w:val="center"/>
          </w:tcPr>
          <w:p w14:paraId="4C7D3165">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9DCC927">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261DD8BA">
            <w:pPr>
              <w:widowControl/>
              <w:autoSpaceDE/>
              <w:autoSpaceDN/>
              <w:spacing w:line="240" w:lineRule="auto"/>
              <w:ind w:firstLine="0" w:firstLineChars="0"/>
              <w:rPr>
                <w:rFonts w:ascii="宋体" w:hAnsi="宋体" w:cs="宋体"/>
                <w:kern w:val="0"/>
                <w:sz w:val="21"/>
                <w:szCs w:val="21"/>
                <w:highlight w:val="none"/>
              </w:rPr>
            </w:pPr>
          </w:p>
        </w:tc>
      </w:tr>
      <w:tr w14:paraId="6A11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1F8CBA1E">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26</w:t>
            </w:r>
          </w:p>
        </w:tc>
        <w:tc>
          <w:tcPr>
            <w:tcW w:w="3402" w:type="dxa"/>
            <w:shd w:val="clear" w:color="auto" w:fill="auto"/>
            <w:vAlign w:val="center"/>
          </w:tcPr>
          <w:p w14:paraId="74CCC3C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835" w:type="dxa"/>
            <w:shd w:val="clear" w:color="auto" w:fill="auto"/>
            <w:noWrap/>
            <w:vAlign w:val="center"/>
          </w:tcPr>
          <w:p w14:paraId="6E7F6994">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709" w:type="dxa"/>
            <w:shd w:val="clear" w:color="auto" w:fill="auto"/>
            <w:noWrap/>
            <w:vAlign w:val="center"/>
          </w:tcPr>
          <w:p w14:paraId="29024D46">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585B4FAB">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420C39C6">
            <w:pPr>
              <w:widowControl/>
              <w:autoSpaceDE/>
              <w:autoSpaceDN/>
              <w:spacing w:line="240" w:lineRule="auto"/>
              <w:ind w:firstLine="0" w:firstLineChars="0"/>
              <w:rPr>
                <w:rFonts w:ascii="宋体" w:hAnsi="宋体" w:cs="宋体"/>
                <w:kern w:val="0"/>
                <w:sz w:val="21"/>
                <w:szCs w:val="21"/>
                <w:highlight w:val="none"/>
              </w:rPr>
            </w:pPr>
          </w:p>
        </w:tc>
      </w:tr>
      <w:tr w14:paraId="75CE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3128335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27</w:t>
            </w:r>
          </w:p>
        </w:tc>
        <w:tc>
          <w:tcPr>
            <w:tcW w:w="3402" w:type="dxa"/>
            <w:shd w:val="clear" w:color="auto" w:fill="auto"/>
            <w:vAlign w:val="center"/>
          </w:tcPr>
          <w:p w14:paraId="6E45DF1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835" w:type="dxa"/>
            <w:shd w:val="clear" w:color="auto" w:fill="auto"/>
            <w:noWrap/>
            <w:vAlign w:val="center"/>
          </w:tcPr>
          <w:p w14:paraId="098BD9A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709" w:type="dxa"/>
            <w:shd w:val="clear" w:color="auto" w:fill="auto"/>
            <w:noWrap/>
            <w:vAlign w:val="center"/>
          </w:tcPr>
          <w:p w14:paraId="5528EDE6">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1E3B666D">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67D51D37">
            <w:pPr>
              <w:widowControl/>
              <w:autoSpaceDE/>
              <w:autoSpaceDN/>
              <w:spacing w:line="240" w:lineRule="auto"/>
              <w:ind w:firstLine="0" w:firstLineChars="0"/>
              <w:rPr>
                <w:rFonts w:ascii="宋体" w:hAnsi="宋体" w:cs="宋体"/>
                <w:kern w:val="0"/>
                <w:sz w:val="21"/>
                <w:szCs w:val="21"/>
                <w:highlight w:val="none"/>
              </w:rPr>
            </w:pPr>
          </w:p>
        </w:tc>
      </w:tr>
      <w:tr w14:paraId="5D8F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16E79CD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28</w:t>
            </w:r>
          </w:p>
        </w:tc>
        <w:tc>
          <w:tcPr>
            <w:tcW w:w="3402" w:type="dxa"/>
            <w:shd w:val="clear" w:color="auto" w:fill="auto"/>
            <w:vAlign w:val="center"/>
          </w:tcPr>
          <w:p w14:paraId="4E7837A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835" w:type="dxa"/>
            <w:shd w:val="clear" w:color="auto" w:fill="auto"/>
            <w:noWrap/>
            <w:vAlign w:val="center"/>
          </w:tcPr>
          <w:p w14:paraId="74FCA65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709" w:type="dxa"/>
            <w:shd w:val="clear" w:color="auto" w:fill="auto"/>
            <w:noWrap/>
            <w:vAlign w:val="center"/>
          </w:tcPr>
          <w:p w14:paraId="1B861DD1">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0332960C">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46B309E6">
            <w:pPr>
              <w:widowControl/>
              <w:autoSpaceDE/>
              <w:autoSpaceDN/>
              <w:spacing w:line="240" w:lineRule="auto"/>
              <w:ind w:firstLine="0" w:firstLineChars="0"/>
              <w:rPr>
                <w:rFonts w:ascii="宋体" w:hAnsi="宋体" w:cs="宋体"/>
                <w:kern w:val="0"/>
                <w:sz w:val="21"/>
                <w:szCs w:val="21"/>
                <w:highlight w:val="none"/>
              </w:rPr>
            </w:pPr>
          </w:p>
        </w:tc>
      </w:tr>
      <w:tr w14:paraId="5D0A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68B7874B">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29</w:t>
            </w:r>
          </w:p>
        </w:tc>
        <w:tc>
          <w:tcPr>
            <w:tcW w:w="3402" w:type="dxa"/>
            <w:shd w:val="clear" w:color="auto" w:fill="auto"/>
            <w:vAlign w:val="center"/>
          </w:tcPr>
          <w:p w14:paraId="63CE49B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835" w:type="dxa"/>
            <w:shd w:val="clear" w:color="auto" w:fill="auto"/>
            <w:noWrap/>
            <w:vAlign w:val="center"/>
          </w:tcPr>
          <w:p w14:paraId="7BEF133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长度20米</w:t>
            </w:r>
          </w:p>
        </w:tc>
        <w:tc>
          <w:tcPr>
            <w:tcW w:w="709" w:type="dxa"/>
            <w:shd w:val="clear" w:color="auto" w:fill="auto"/>
            <w:noWrap/>
            <w:vAlign w:val="center"/>
          </w:tcPr>
          <w:p w14:paraId="1DC25E4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44A8D171">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1B77C69A">
            <w:pPr>
              <w:widowControl/>
              <w:autoSpaceDE/>
              <w:autoSpaceDN/>
              <w:spacing w:line="240" w:lineRule="auto"/>
              <w:ind w:firstLine="0" w:firstLineChars="0"/>
              <w:rPr>
                <w:rFonts w:ascii="宋体" w:hAnsi="宋体" w:cs="宋体"/>
                <w:kern w:val="0"/>
                <w:sz w:val="21"/>
                <w:szCs w:val="21"/>
                <w:highlight w:val="none"/>
              </w:rPr>
            </w:pPr>
          </w:p>
        </w:tc>
      </w:tr>
      <w:tr w14:paraId="3F98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008DEE83">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30</w:t>
            </w:r>
          </w:p>
        </w:tc>
        <w:tc>
          <w:tcPr>
            <w:tcW w:w="3402" w:type="dxa"/>
            <w:shd w:val="clear" w:color="auto" w:fill="auto"/>
            <w:vAlign w:val="center"/>
          </w:tcPr>
          <w:p w14:paraId="6003C64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MPO光纤适配器</w:t>
            </w:r>
          </w:p>
        </w:tc>
        <w:tc>
          <w:tcPr>
            <w:tcW w:w="2835" w:type="dxa"/>
            <w:shd w:val="clear" w:color="auto" w:fill="auto"/>
            <w:noWrap/>
            <w:vAlign w:val="center"/>
          </w:tcPr>
          <w:p w14:paraId="0BDA2521">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B型，4口</w:t>
            </w:r>
          </w:p>
        </w:tc>
        <w:tc>
          <w:tcPr>
            <w:tcW w:w="709" w:type="dxa"/>
            <w:shd w:val="clear" w:color="auto" w:fill="auto"/>
            <w:noWrap/>
            <w:vAlign w:val="center"/>
          </w:tcPr>
          <w:p w14:paraId="4ACF1CAF">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068C3A2C">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4CA0603B">
            <w:pPr>
              <w:widowControl/>
              <w:autoSpaceDE/>
              <w:autoSpaceDN/>
              <w:spacing w:line="240" w:lineRule="auto"/>
              <w:ind w:firstLine="0" w:firstLineChars="0"/>
              <w:rPr>
                <w:rFonts w:ascii="宋体" w:hAnsi="宋体" w:cs="宋体"/>
                <w:kern w:val="0"/>
                <w:sz w:val="21"/>
                <w:szCs w:val="21"/>
                <w:highlight w:val="none"/>
              </w:rPr>
            </w:pPr>
          </w:p>
        </w:tc>
      </w:tr>
      <w:tr w14:paraId="3B34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5DF55A7A">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31</w:t>
            </w:r>
          </w:p>
        </w:tc>
        <w:tc>
          <w:tcPr>
            <w:tcW w:w="3402" w:type="dxa"/>
            <w:shd w:val="clear" w:color="auto" w:fill="auto"/>
            <w:vAlign w:val="center"/>
          </w:tcPr>
          <w:p w14:paraId="289CD669">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c14转c13欧标电源线</w:t>
            </w:r>
          </w:p>
        </w:tc>
        <w:tc>
          <w:tcPr>
            <w:tcW w:w="2835" w:type="dxa"/>
            <w:shd w:val="clear" w:color="auto" w:fill="auto"/>
            <w:noWrap/>
            <w:vAlign w:val="center"/>
          </w:tcPr>
          <w:p w14:paraId="23DA36B0">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0570CECA">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53B9CE7C">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1A33403E">
            <w:pPr>
              <w:widowControl/>
              <w:autoSpaceDE/>
              <w:autoSpaceDN/>
              <w:spacing w:line="240" w:lineRule="auto"/>
              <w:ind w:firstLine="0" w:firstLineChars="0"/>
              <w:rPr>
                <w:rFonts w:ascii="宋体" w:hAnsi="宋体" w:cs="宋体"/>
                <w:kern w:val="0"/>
                <w:sz w:val="21"/>
                <w:szCs w:val="21"/>
                <w:highlight w:val="none"/>
              </w:rPr>
            </w:pPr>
          </w:p>
        </w:tc>
      </w:tr>
      <w:tr w14:paraId="33D3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614094E2">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32</w:t>
            </w:r>
          </w:p>
        </w:tc>
        <w:tc>
          <w:tcPr>
            <w:tcW w:w="3402" w:type="dxa"/>
            <w:shd w:val="clear" w:color="auto" w:fill="auto"/>
            <w:vAlign w:val="center"/>
          </w:tcPr>
          <w:p w14:paraId="059C7F7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c20转c13欧标电源线</w:t>
            </w:r>
          </w:p>
        </w:tc>
        <w:tc>
          <w:tcPr>
            <w:tcW w:w="2835" w:type="dxa"/>
            <w:shd w:val="clear" w:color="auto" w:fill="auto"/>
            <w:noWrap/>
            <w:vAlign w:val="center"/>
          </w:tcPr>
          <w:p w14:paraId="5FD2B825">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31EF3AF5">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41B5A8D6">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711AFFCB">
            <w:pPr>
              <w:widowControl/>
              <w:autoSpaceDE/>
              <w:autoSpaceDN/>
              <w:spacing w:line="240" w:lineRule="auto"/>
              <w:ind w:firstLine="0" w:firstLineChars="0"/>
              <w:rPr>
                <w:rFonts w:ascii="宋体" w:hAnsi="宋体" w:cs="宋体"/>
                <w:kern w:val="0"/>
                <w:sz w:val="21"/>
                <w:szCs w:val="21"/>
                <w:highlight w:val="none"/>
              </w:rPr>
            </w:pPr>
          </w:p>
        </w:tc>
      </w:tr>
      <w:tr w14:paraId="08D8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65D33A1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33</w:t>
            </w:r>
          </w:p>
        </w:tc>
        <w:tc>
          <w:tcPr>
            <w:tcW w:w="3402" w:type="dxa"/>
            <w:shd w:val="clear" w:color="auto" w:fill="auto"/>
            <w:vAlign w:val="center"/>
          </w:tcPr>
          <w:p w14:paraId="7369566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48芯光纤配线架</w:t>
            </w:r>
          </w:p>
        </w:tc>
        <w:tc>
          <w:tcPr>
            <w:tcW w:w="2835" w:type="dxa"/>
            <w:shd w:val="clear" w:color="auto" w:fill="auto"/>
            <w:noWrap/>
            <w:vAlign w:val="center"/>
          </w:tcPr>
          <w:p w14:paraId="2B25A962">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5EDFCBF9">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4AA0F236">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1B78EAE5">
            <w:pPr>
              <w:widowControl/>
              <w:autoSpaceDE/>
              <w:autoSpaceDN/>
              <w:spacing w:line="240" w:lineRule="auto"/>
              <w:ind w:firstLine="0" w:firstLineChars="0"/>
              <w:rPr>
                <w:rFonts w:ascii="宋体" w:hAnsi="宋体" w:cs="宋体"/>
                <w:kern w:val="0"/>
                <w:sz w:val="21"/>
                <w:szCs w:val="21"/>
                <w:highlight w:val="none"/>
              </w:rPr>
            </w:pPr>
          </w:p>
        </w:tc>
      </w:tr>
      <w:tr w14:paraId="3FA5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63B27236">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34</w:t>
            </w:r>
          </w:p>
        </w:tc>
        <w:tc>
          <w:tcPr>
            <w:tcW w:w="3402" w:type="dxa"/>
            <w:shd w:val="clear" w:color="000000" w:fill="FFFFFF"/>
            <w:vAlign w:val="center"/>
          </w:tcPr>
          <w:p w14:paraId="4FD476A8">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服务器机柜</w:t>
            </w:r>
          </w:p>
        </w:tc>
        <w:tc>
          <w:tcPr>
            <w:tcW w:w="2835" w:type="dxa"/>
            <w:shd w:val="clear" w:color="auto" w:fill="auto"/>
            <w:noWrap/>
            <w:vAlign w:val="center"/>
          </w:tcPr>
          <w:p w14:paraId="24D8DA3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800mm x 1200mm x 2000mm</w:t>
            </w:r>
          </w:p>
        </w:tc>
        <w:tc>
          <w:tcPr>
            <w:tcW w:w="709" w:type="dxa"/>
            <w:shd w:val="clear" w:color="auto" w:fill="auto"/>
            <w:noWrap/>
            <w:vAlign w:val="center"/>
          </w:tcPr>
          <w:p w14:paraId="2E38E30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576B267D">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44B06F2A">
            <w:pPr>
              <w:widowControl/>
              <w:autoSpaceDE/>
              <w:autoSpaceDN/>
              <w:spacing w:line="240" w:lineRule="auto"/>
              <w:ind w:firstLine="0" w:firstLineChars="0"/>
              <w:rPr>
                <w:rFonts w:ascii="宋体" w:hAnsi="宋体" w:cs="宋体"/>
                <w:kern w:val="0"/>
                <w:sz w:val="21"/>
                <w:szCs w:val="21"/>
                <w:highlight w:val="none"/>
              </w:rPr>
            </w:pPr>
          </w:p>
        </w:tc>
      </w:tr>
      <w:tr w14:paraId="57A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48147EB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35</w:t>
            </w:r>
          </w:p>
        </w:tc>
        <w:tc>
          <w:tcPr>
            <w:tcW w:w="3402" w:type="dxa"/>
            <w:shd w:val="clear" w:color="auto" w:fill="auto"/>
            <w:vAlign w:val="center"/>
          </w:tcPr>
          <w:p w14:paraId="554EFC17">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空开</w:t>
            </w:r>
          </w:p>
        </w:tc>
        <w:tc>
          <w:tcPr>
            <w:tcW w:w="2835" w:type="dxa"/>
            <w:shd w:val="clear" w:color="auto" w:fill="auto"/>
            <w:noWrap/>
            <w:vAlign w:val="center"/>
          </w:tcPr>
          <w:p w14:paraId="5229D99E">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32A/1P</w:t>
            </w:r>
          </w:p>
        </w:tc>
        <w:tc>
          <w:tcPr>
            <w:tcW w:w="709" w:type="dxa"/>
            <w:shd w:val="clear" w:color="auto" w:fill="auto"/>
            <w:noWrap/>
            <w:vAlign w:val="center"/>
          </w:tcPr>
          <w:p w14:paraId="2A8E6561">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33D4120E">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69C5786D">
            <w:pPr>
              <w:widowControl/>
              <w:autoSpaceDE/>
              <w:autoSpaceDN/>
              <w:spacing w:line="240" w:lineRule="auto"/>
              <w:ind w:firstLine="0" w:firstLineChars="0"/>
              <w:rPr>
                <w:rFonts w:ascii="宋体" w:hAnsi="宋体" w:cs="宋体"/>
                <w:kern w:val="0"/>
                <w:sz w:val="21"/>
                <w:szCs w:val="21"/>
                <w:highlight w:val="none"/>
              </w:rPr>
            </w:pPr>
          </w:p>
        </w:tc>
      </w:tr>
      <w:tr w14:paraId="0397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2C70CA85">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36</w:t>
            </w:r>
          </w:p>
        </w:tc>
        <w:tc>
          <w:tcPr>
            <w:tcW w:w="3402" w:type="dxa"/>
            <w:shd w:val="clear" w:color="auto" w:fill="auto"/>
            <w:vAlign w:val="center"/>
          </w:tcPr>
          <w:p w14:paraId="7E16080F">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工业连接器</w:t>
            </w:r>
          </w:p>
        </w:tc>
        <w:tc>
          <w:tcPr>
            <w:tcW w:w="2835" w:type="dxa"/>
            <w:shd w:val="clear" w:color="auto" w:fill="auto"/>
            <w:noWrap/>
            <w:vAlign w:val="center"/>
          </w:tcPr>
          <w:p w14:paraId="2E402D0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32A/1P</w:t>
            </w:r>
          </w:p>
        </w:tc>
        <w:tc>
          <w:tcPr>
            <w:tcW w:w="709" w:type="dxa"/>
            <w:shd w:val="clear" w:color="auto" w:fill="auto"/>
            <w:noWrap/>
            <w:vAlign w:val="center"/>
          </w:tcPr>
          <w:p w14:paraId="6F0CFA1A">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5FE3A1FE">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3ACA7281">
            <w:pPr>
              <w:widowControl/>
              <w:autoSpaceDE/>
              <w:autoSpaceDN/>
              <w:spacing w:line="240" w:lineRule="auto"/>
              <w:ind w:firstLine="0" w:firstLineChars="0"/>
              <w:rPr>
                <w:rFonts w:ascii="宋体" w:hAnsi="宋体" w:cs="宋体"/>
                <w:kern w:val="0"/>
                <w:sz w:val="21"/>
                <w:szCs w:val="21"/>
                <w:highlight w:val="none"/>
              </w:rPr>
            </w:pPr>
          </w:p>
        </w:tc>
      </w:tr>
      <w:tr w14:paraId="04DF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6651CB06">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37</w:t>
            </w:r>
          </w:p>
        </w:tc>
        <w:tc>
          <w:tcPr>
            <w:tcW w:w="3402" w:type="dxa"/>
            <w:shd w:val="clear" w:color="auto" w:fill="auto"/>
            <w:vAlign w:val="center"/>
          </w:tcPr>
          <w:p w14:paraId="6AE685F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24芯多模光纤</w:t>
            </w:r>
          </w:p>
        </w:tc>
        <w:tc>
          <w:tcPr>
            <w:tcW w:w="2835" w:type="dxa"/>
            <w:shd w:val="clear" w:color="auto" w:fill="auto"/>
            <w:vAlign w:val="center"/>
          </w:tcPr>
          <w:p w14:paraId="28AF0876">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定制长度</w:t>
            </w:r>
          </w:p>
        </w:tc>
        <w:tc>
          <w:tcPr>
            <w:tcW w:w="709" w:type="dxa"/>
            <w:shd w:val="clear" w:color="auto" w:fill="auto"/>
            <w:noWrap/>
            <w:vAlign w:val="center"/>
          </w:tcPr>
          <w:p w14:paraId="5DE470B4">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992" w:type="dxa"/>
          </w:tcPr>
          <w:p w14:paraId="1FC4A16E">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5571ABFC">
            <w:pPr>
              <w:widowControl/>
              <w:autoSpaceDE/>
              <w:autoSpaceDN/>
              <w:spacing w:line="240" w:lineRule="auto"/>
              <w:ind w:firstLine="0" w:firstLineChars="0"/>
              <w:rPr>
                <w:rFonts w:ascii="宋体" w:hAnsi="宋体" w:cs="宋体"/>
                <w:kern w:val="0"/>
                <w:sz w:val="21"/>
                <w:szCs w:val="21"/>
                <w:highlight w:val="none"/>
              </w:rPr>
            </w:pPr>
          </w:p>
        </w:tc>
      </w:tr>
      <w:tr w14:paraId="04C9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1A4D2578">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38</w:t>
            </w:r>
          </w:p>
        </w:tc>
        <w:tc>
          <w:tcPr>
            <w:tcW w:w="3402" w:type="dxa"/>
            <w:shd w:val="clear" w:color="auto" w:fill="auto"/>
            <w:vAlign w:val="center"/>
          </w:tcPr>
          <w:p w14:paraId="1CA3389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24口网络配线架</w:t>
            </w:r>
          </w:p>
        </w:tc>
        <w:tc>
          <w:tcPr>
            <w:tcW w:w="2835" w:type="dxa"/>
            <w:shd w:val="clear" w:color="auto" w:fill="auto"/>
            <w:noWrap/>
            <w:vAlign w:val="center"/>
          </w:tcPr>
          <w:p w14:paraId="3CBE19E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63F54740">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53BB5E41">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561BD50E">
            <w:pPr>
              <w:widowControl/>
              <w:autoSpaceDE/>
              <w:autoSpaceDN/>
              <w:spacing w:line="240" w:lineRule="auto"/>
              <w:ind w:firstLine="0" w:firstLineChars="0"/>
              <w:rPr>
                <w:rFonts w:ascii="宋体" w:hAnsi="宋体" w:cs="宋体"/>
                <w:kern w:val="0"/>
                <w:sz w:val="21"/>
                <w:szCs w:val="21"/>
                <w:highlight w:val="none"/>
              </w:rPr>
            </w:pPr>
          </w:p>
        </w:tc>
      </w:tr>
      <w:tr w14:paraId="60F9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shd w:val="clear" w:color="auto" w:fill="auto"/>
            <w:noWrap/>
            <w:vAlign w:val="center"/>
          </w:tcPr>
          <w:p w14:paraId="3AAB3C83">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39</w:t>
            </w:r>
          </w:p>
        </w:tc>
        <w:tc>
          <w:tcPr>
            <w:tcW w:w="3402" w:type="dxa"/>
            <w:shd w:val="clear" w:color="auto" w:fill="auto"/>
            <w:vAlign w:val="center"/>
          </w:tcPr>
          <w:p w14:paraId="563D3EBC">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通用服务器L型支架</w:t>
            </w:r>
          </w:p>
        </w:tc>
        <w:tc>
          <w:tcPr>
            <w:tcW w:w="2835" w:type="dxa"/>
            <w:shd w:val="clear" w:color="auto" w:fill="auto"/>
            <w:noWrap/>
            <w:vAlign w:val="center"/>
          </w:tcPr>
          <w:p w14:paraId="069CA7A3">
            <w:pPr>
              <w:widowControl/>
              <w:autoSpaceDE/>
              <w:autoSpaceDN/>
              <w:spacing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带滑轨</w:t>
            </w:r>
          </w:p>
        </w:tc>
        <w:tc>
          <w:tcPr>
            <w:tcW w:w="709" w:type="dxa"/>
            <w:shd w:val="clear" w:color="auto" w:fill="auto"/>
            <w:noWrap/>
            <w:vAlign w:val="center"/>
          </w:tcPr>
          <w:p w14:paraId="42D7DCED">
            <w:pPr>
              <w:widowControl/>
              <w:autoSpaceDE/>
              <w:autoSpaceDN/>
              <w:spacing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6E43393A">
            <w:pPr>
              <w:widowControl/>
              <w:autoSpaceDE/>
              <w:autoSpaceDN/>
              <w:spacing w:line="240" w:lineRule="auto"/>
              <w:ind w:firstLine="0" w:firstLineChars="0"/>
              <w:rPr>
                <w:rFonts w:ascii="宋体" w:hAnsi="宋体" w:cs="宋体"/>
                <w:kern w:val="0"/>
                <w:sz w:val="21"/>
                <w:szCs w:val="21"/>
                <w:highlight w:val="none"/>
              </w:rPr>
            </w:pPr>
          </w:p>
        </w:tc>
        <w:tc>
          <w:tcPr>
            <w:tcW w:w="993" w:type="dxa"/>
          </w:tcPr>
          <w:p w14:paraId="23F74AB3">
            <w:pPr>
              <w:widowControl/>
              <w:autoSpaceDE/>
              <w:autoSpaceDN/>
              <w:spacing w:line="240" w:lineRule="auto"/>
              <w:ind w:firstLine="0" w:firstLineChars="0"/>
              <w:rPr>
                <w:rFonts w:ascii="宋体" w:hAnsi="宋体" w:cs="宋体"/>
                <w:kern w:val="0"/>
                <w:sz w:val="21"/>
                <w:szCs w:val="21"/>
                <w:highlight w:val="none"/>
              </w:rPr>
            </w:pPr>
          </w:p>
        </w:tc>
      </w:tr>
    </w:tbl>
    <w:p w14:paraId="609A2FF1">
      <w:pPr>
        <w:tabs>
          <w:tab w:val="left" w:pos="851"/>
        </w:tabs>
        <w:spacing w:line="360" w:lineRule="auto"/>
        <w:ind w:right="240" w:firstLine="480"/>
        <w:rPr>
          <w:rFonts w:ascii="宋体"/>
          <w:highlight w:val="none"/>
        </w:rPr>
      </w:pPr>
      <w:r>
        <w:rPr>
          <w:rFonts w:hint="eastAsia" w:ascii="宋体"/>
          <w:highlight w:val="none"/>
        </w:rPr>
        <w:t>不含税价格不因国家税率变化而变化，若在合同履行期间，如遇国家的税率调整，则含税价格应相应调整，以开具发票的时间为准。</w:t>
      </w:r>
    </w:p>
    <w:p w14:paraId="162E0A3E">
      <w:pPr>
        <w:tabs>
          <w:tab w:val="left" w:pos="851"/>
        </w:tabs>
        <w:spacing w:line="360" w:lineRule="auto"/>
        <w:ind w:right="240" w:firstLine="480"/>
        <w:rPr>
          <w:rFonts w:ascii="宋体"/>
          <w:highlight w:val="none"/>
        </w:rPr>
      </w:pPr>
      <w:r>
        <w:rPr>
          <w:rFonts w:hint="eastAsia" w:ascii="宋体"/>
          <w:highlight w:val="none"/>
        </w:rPr>
        <w:t>上述合同金额包含生产厂商提供的质保，</w:t>
      </w:r>
      <w:r>
        <w:rPr>
          <w:rFonts w:hint="eastAsia"/>
          <w:snapToGrid w:val="0"/>
          <w:kern w:val="0"/>
          <w:highlight w:val="none"/>
        </w:rPr>
        <w:t>各类网络布线产品（包括跳线、双绞线、光纤、配线架、理线器、光纤适配器）的免费质保期为25年，自甲方签收之日起算；其余产品免费质保期为3年，自产品验收之日起算，并且延期至质保到期当年6月30日或12月31日中较近日期</w:t>
      </w:r>
      <w:r>
        <w:rPr>
          <w:rFonts w:hint="eastAsia" w:ascii="宋体"/>
          <w:highlight w:val="none"/>
        </w:rPr>
        <w:t>。除此外甲方无需支付其他费用。</w:t>
      </w:r>
    </w:p>
    <w:p w14:paraId="7F4BB041">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付款方式</w:t>
      </w:r>
    </w:p>
    <w:p w14:paraId="15B5B59C">
      <w:pPr>
        <w:tabs>
          <w:tab w:val="left" w:pos="851"/>
        </w:tabs>
        <w:spacing w:line="360" w:lineRule="auto"/>
        <w:ind w:right="240" w:firstLine="480"/>
        <w:rPr>
          <w:rFonts w:ascii="宋体"/>
          <w:highlight w:val="none"/>
        </w:rPr>
      </w:pPr>
      <w:r>
        <w:rPr>
          <w:rFonts w:hint="eastAsia" w:ascii="宋体"/>
          <w:highlight w:val="none"/>
        </w:rPr>
        <w:t xml:space="preserve">3.1 </w:t>
      </w:r>
      <w:r>
        <w:rPr>
          <w:rFonts w:ascii="宋体"/>
          <w:highlight w:val="none"/>
        </w:rPr>
        <w:t>自合同签订之日起，每半年为一个</w:t>
      </w:r>
      <w:r>
        <w:rPr>
          <w:rFonts w:hint="eastAsia" w:ascii="宋体"/>
          <w:highlight w:val="none"/>
        </w:rPr>
        <w:t>付款</w:t>
      </w:r>
      <w:r>
        <w:rPr>
          <w:rFonts w:ascii="宋体"/>
          <w:highlight w:val="none"/>
        </w:rPr>
        <w:t>周期，</w:t>
      </w:r>
      <w:r>
        <w:rPr>
          <w:rFonts w:hint="eastAsia" w:ascii="宋体"/>
          <w:highlight w:val="none"/>
        </w:rPr>
        <w:t>甲方</w:t>
      </w:r>
      <w:r>
        <w:rPr>
          <w:rFonts w:ascii="宋体"/>
          <w:highlight w:val="none"/>
        </w:rPr>
        <w:t>对该周期内</w:t>
      </w:r>
      <w:r>
        <w:rPr>
          <w:rFonts w:hint="eastAsia" w:ascii="宋体"/>
          <w:bCs/>
          <w:highlight w:val="none"/>
        </w:rPr>
        <w:t>乙方已实际交付并经甲方验收合格的货物</w:t>
      </w:r>
      <w:r>
        <w:rPr>
          <w:rFonts w:ascii="宋体"/>
          <w:highlight w:val="none"/>
        </w:rPr>
        <w:t>支付货款。每个周期结束后，乙方向甲方提供当期货款的合法、全额增值税专用发票</w:t>
      </w:r>
      <w:r>
        <w:rPr>
          <w:rFonts w:hint="eastAsia" w:ascii="宋体"/>
          <w:highlight w:val="none"/>
        </w:rPr>
        <w:t>后</w:t>
      </w:r>
      <w:r>
        <w:rPr>
          <w:rFonts w:ascii="宋体"/>
          <w:highlight w:val="none"/>
        </w:rPr>
        <w:t>30个工作日内，甲方支付当期全部货款。</w:t>
      </w:r>
    </w:p>
    <w:p w14:paraId="7704EF38">
      <w:pPr>
        <w:tabs>
          <w:tab w:val="left" w:pos="851"/>
        </w:tabs>
        <w:spacing w:line="360" w:lineRule="auto"/>
        <w:ind w:right="240" w:firstLine="480"/>
        <w:rPr>
          <w:rFonts w:ascii="宋体"/>
          <w:highlight w:val="none"/>
        </w:rPr>
      </w:pPr>
      <w:r>
        <w:rPr>
          <w:rFonts w:hint="eastAsia" w:ascii="宋体"/>
          <w:highlight w:val="none"/>
        </w:rPr>
        <w:t xml:space="preserve">3.2 </w:t>
      </w:r>
      <w:r>
        <w:rPr>
          <w:rFonts w:ascii="Times New Roman" w:hAnsi="Times New Roman"/>
          <w:highlight w:val="none"/>
        </w:rPr>
        <w:t>货物运抵</w:t>
      </w:r>
      <w:r>
        <w:rPr>
          <w:rFonts w:hint="eastAsia" w:ascii="Times New Roman" w:hAnsi="Times New Roman"/>
          <w:highlight w:val="none"/>
        </w:rPr>
        <w:t>甲方</w:t>
      </w:r>
      <w:r>
        <w:rPr>
          <w:rFonts w:ascii="Times New Roman" w:hAnsi="Times New Roman"/>
          <w:highlight w:val="none"/>
        </w:rPr>
        <w:t>指定交货地点并签收前，所发生的包装、运输、装卸、保险费用及货物损毁或灭失风险均由</w:t>
      </w:r>
      <w:r>
        <w:rPr>
          <w:rFonts w:hint="eastAsia" w:ascii="Times New Roman" w:hAnsi="Times New Roman"/>
          <w:highlight w:val="none"/>
        </w:rPr>
        <w:t>乙方</w:t>
      </w:r>
      <w:r>
        <w:rPr>
          <w:rFonts w:ascii="Times New Roman" w:hAnsi="Times New Roman"/>
          <w:highlight w:val="none"/>
        </w:rPr>
        <w:t>承担。</w:t>
      </w:r>
    </w:p>
    <w:p w14:paraId="135A3779">
      <w:pPr>
        <w:tabs>
          <w:tab w:val="left" w:pos="851"/>
        </w:tabs>
        <w:spacing w:line="360" w:lineRule="auto"/>
        <w:ind w:right="240" w:firstLine="480"/>
        <w:rPr>
          <w:rFonts w:ascii="宋体"/>
          <w:highlight w:val="none"/>
        </w:rPr>
      </w:pPr>
      <w:r>
        <w:rPr>
          <w:rFonts w:hint="eastAsia" w:ascii="宋体"/>
          <w:highlight w:val="none"/>
        </w:rPr>
        <w:t>3.3 发票要求：</w:t>
      </w:r>
      <w:r>
        <w:rPr>
          <w:rFonts w:hint="eastAsia"/>
          <w:highlight w:val="none"/>
        </w:rPr>
        <w:t>乙方须严格按照合</w:t>
      </w:r>
      <w:r>
        <w:rPr>
          <w:rFonts w:hint="eastAsia" w:ascii="宋体"/>
          <w:highlight w:val="none"/>
        </w:rPr>
        <w:t>同内容开具</w:t>
      </w:r>
      <w:r>
        <w:rPr>
          <w:rFonts w:hint="eastAsia" w:ascii="宋体"/>
          <w:b/>
          <w:highlight w:val="none"/>
        </w:rPr>
        <w:t>税率为13%的增值税专用发票</w:t>
      </w:r>
      <w:r>
        <w:rPr>
          <w:rFonts w:hint="eastAsia"/>
          <w:highlight w:val="none"/>
        </w:rPr>
        <w:t>（若遇国家税率调整另议），乙方在甲方付款前30个工作日需向甲方交付相应的发票，否则甲方有权拒绝支付任何费用且不承担逾期付款违约责任。</w:t>
      </w:r>
    </w:p>
    <w:p w14:paraId="070EE7D0">
      <w:pPr>
        <w:tabs>
          <w:tab w:val="left" w:pos="851"/>
        </w:tabs>
        <w:spacing w:line="360" w:lineRule="auto"/>
        <w:ind w:right="240" w:firstLine="480"/>
        <w:rPr>
          <w:rFonts w:ascii="宋体"/>
          <w:highlight w:val="none"/>
        </w:rPr>
      </w:pPr>
      <w:r>
        <w:rPr>
          <w:rFonts w:hint="eastAsia" w:ascii="宋体"/>
          <w:highlight w:val="none"/>
        </w:rPr>
        <w:t xml:space="preserve">3.4 </w:t>
      </w:r>
      <w:r>
        <w:rPr>
          <w:highlight w:val="none"/>
        </w:rPr>
        <w:t>甲方</w:t>
      </w:r>
      <w:r>
        <w:rPr>
          <w:rFonts w:hint="eastAsia"/>
          <w:highlight w:val="none"/>
        </w:rPr>
        <w:t>按照</w:t>
      </w:r>
      <w:r>
        <w:rPr>
          <w:highlight w:val="none"/>
        </w:rPr>
        <w:t>本合同约定支付费用后，即视为已向乙方及生产厂商履行完所有付款义务，如有任何人向甲方主张费用的，由乙方负责，给甲方造成损失的，乙方应</w:t>
      </w:r>
      <w:r>
        <w:rPr>
          <w:rFonts w:hint="eastAsia"/>
          <w:highlight w:val="none"/>
        </w:rPr>
        <w:t>全额</w:t>
      </w:r>
      <w:r>
        <w:rPr>
          <w:highlight w:val="none"/>
        </w:rPr>
        <w:t>赔偿甲方。</w:t>
      </w:r>
    </w:p>
    <w:p w14:paraId="61DFDBA5">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履约保证金</w:t>
      </w:r>
    </w:p>
    <w:p w14:paraId="63FA34E9">
      <w:pPr>
        <w:tabs>
          <w:tab w:val="left" w:pos="851"/>
        </w:tabs>
        <w:spacing w:line="360" w:lineRule="auto"/>
        <w:ind w:firstLine="480"/>
        <w:rPr>
          <w:rFonts w:ascii="宋体" w:cs="宋体"/>
          <w:snapToGrid w:val="0"/>
          <w:kern w:val="0"/>
          <w:highlight w:val="none"/>
        </w:rPr>
      </w:pPr>
      <w:r>
        <w:rPr>
          <w:rFonts w:hint="eastAsia" w:ascii="宋体" w:cs="宋体"/>
          <w:snapToGrid w:val="0"/>
          <w:kern w:val="0"/>
          <w:highlight w:val="none"/>
        </w:rPr>
        <w:t>乙方在本合同签订后10自然日内向甲方支付1万元履约保证金。</w:t>
      </w:r>
    </w:p>
    <w:p w14:paraId="10CCC509">
      <w:pPr>
        <w:tabs>
          <w:tab w:val="left" w:pos="851"/>
        </w:tabs>
        <w:spacing w:line="360" w:lineRule="auto"/>
        <w:ind w:firstLine="480"/>
        <w:rPr>
          <w:rFonts w:ascii="宋体" w:cs="宋体"/>
          <w:snapToGrid w:val="0"/>
          <w:kern w:val="0"/>
          <w:highlight w:val="none"/>
        </w:rPr>
      </w:pPr>
      <w:r>
        <w:rPr>
          <w:rFonts w:hint="eastAsia" w:ascii="宋体" w:cs="宋体"/>
          <w:snapToGrid w:val="0"/>
          <w:kern w:val="0"/>
          <w:highlight w:val="none"/>
        </w:rPr>
        <w:t>4.1 履约保证金缴纳金额及收款账号</w:t>
      </w:r>
    </w:p>
    <w:p w14:paraId="1AAF9D73">
      <w:pPr>
        <w:tabs>
          <w:tab w:val="left" w:pos="851"/>
        </w:tabs>
        <w:spacing w:line="360" w:lineRule="auto"/>
        <w:ind w:firstLine="480"/>
        <w:rPr>
          <w:rFonts w:ascii="宋体" w:cs="宋体"/>
          <w:snapToGrid w:val="0"/>
          <w:kern w:val="0"/>
          <w:highlight w:val="none"/>
        </w:rPr>
      </w:pPr>
      <w:r>
        <w:rPr>
          <w:rFonts w:hint="eastAsia" w:ascii="宋体" w:cs="宋体"/>
          <w:snapToGrid w:val="0"/>
          <w:kern w:val="0"/>
          <w:highlight w:val="none"/>
        </w:rPr>
        <w:t>履约保证金金额</w:t>
      </w:r>
      <w:r>
        <w:rPr>
          <w:rFonts w:hint="eastAsia" w:ascii="宋体" w:cs="宋体"/>
          <w:bCs/>
          <w:snapToGrid w:val="0"/>
          <w:kern w:val="0"/>
          <w:highlight w:val="none"/>
        </w:rPr>
        <w:t>：10,000元（大写：壹万元）</w:t>
      </w:r>
    </w:p>
    <w:p w14:paraId="5E37FA93">
      <w:pPr>
        <w:tabs>
          <w:tab w:val="left" w:pos="851"/>
        </w:tabs>
        <w:spacing w:line="360" w:lineRule="auto"/>
        <w:ind w:firstLine="480"/>
        <w:rPr>
          <w:rFonts w:ascii="宋体" w:cs="宋体"/>
          <w:snapToGrid w:val="0"/>
          <w:kern w:val="0"/>
          <w:highlight w:val="none"/>
        </w:rPr>
      </w:pPr>
      <w:r>
        <w:rPr>
          <w:rFonts w:hint="eastAsia" w:ascii="宋体" w:cs="宋体"/>
          <w:snapToGrid w:val="0"/>
          <w:kern w:val="0"/>
          <w:highlight w:val="none"/>
        </w:rPr>
        <w:t>户名：重庆三峡银行股份有限公司</w:t>
      </w:r>
    </w:p>
    <w:p w14:paraId="2494C347">
      <w:pPr>
        <w:tabs>
          <w:tab w:val="left" w:pos="851"/>
        </w:tabs>
        <w:spacing w:line="360" w:lineRule="auto"/>
        <w:ind w:firstLine="480"/>
        <w:rPr>
          <w:rFonts w:ascii="宋体" w:cs="宋体"/>
          <w:snapToGrid w:val="0"/>
          <w:kern w:val="0"/>
          <w:highlight w:val="none"/>
        </w:rPr>
      </w:pPr>
      <w:r>
        <w:rPr>
          <w:rFonts w:hint="eastAsia" w:ascii="宋体" w:cs="宋体"/>
          <w:snapToGrid w:val="0"/>
          <w:kern w:val="0"/>
          <w:highlight w:val="none"/>
        </w:rPr>
        <w:t>账号：0101014040000043</w:t>
      </w:r>
    </w:p>
    <w:p w14:paraId="7A144784">
      <w:pPr>
        <w:tabs>
          <w:tab w:val="left" w:pos="851"/>
        </w:tabs>
        <w:spacing w:line="360" w:lineRule="auto"/>
        <w:ind w:firstLine="480"/>
        <w:rPr>
          <w:rFonts w:ascii="宋体" w:cs="宋体"/>
          <w:snapToGrid w:val="0"/>
          <w:kern w:val="0"/>
          <w:highlight w:val="none"/>
        </w:rPr>
      </w:pPr>
      <w:r>
        <w:rPr>
          <w:rFonts w:hint="eastAsia" w:ascii="宋体" w:cs="宋体"/>
          <w:snapToGrid w:val="0"/>
          <w:kern w:val="0"/>
          <w:highlight w:val="none"/>
        </w:rPr>
        <w:t>开户行：重庆三峡银行营业部</w:t>
      </w:r>
    </w:p>
    <w:p w14:paraId="77089327">
      <w:pPr>
        <w:tabs>
          <w:tab w:val="left" w:pos="851"/>
        </w:tabs>
        <w:spacing w:line="360" w:lineRule="auto"/>
        <w:ind w:firstLine="480"/>
        <w:rPr>
          <w:rFonts w:ascii="宋体" w:cs="宋体"/>
          <w:snapToGrid w:val="0"/>
          <w:kern w:val="0"/>
          <w:highlight w:val="none"/>
        </w:rPr>
      </w:pPr>
      <w:r>
        <w:rPr>
          <w:rFonts w:hint="eastAsia" w:ascii="宋体" w:cs="宋体"/>
          <w:snapToGrid w:val="0"/>
          <w:kern w:val="0"/>
          <w:highlight w:val="none"/>
        </w:rPr>
        <w:t>4.2 履约保证金退还时间：在甲方</w:t>
      </w:r>
      <w:r>
        <w:rPr>
          <w:rFonts w:ascii="宋体" w:cs="宋体"/>
          <w:snapToGrid w:val="0"/>
          <w:kern w:val="0"/>
          <w:highlight w:val="none"/>
        </w:rPr>
        <w:t>最后一个订单完成验收3年</w:t>
      </w:r>
      <w:r>
        <w:rPr>
          <w:rFonts w:hint="eastAsia" w:ascii="宋体" w:cs="宋体"/>
          <w:snapToGrid w:val="0"/>
          <w:kern w:val="0"/>
          <w:highlight w:val="none"/>
        </w:rPr>
        <w:t>后，乙方提出申请，甲方确认乙方有无违约行为，若无任何违约行为，则</w:t>
      </w:r>
      <w:r>
        <w:rPr>
          <w:rFonts w:hint="eastAsia" w:ascii="Times New Roman" w:hAnsi="Times New Roman"/>
          <w:highlight w:val="none"/>
        </w:rPr>
        <w:t>在</w:t>
      </w:r>
      <w:r>
        <w:rPr>
          <w:rFonts w:ascii="Times New Roman" w:hAnsi="Times New Roman"/>
          <w:highlight w:val="none"/>
        </w:rPr>
        <w:t>20个工作日内</w:t>
      </w:r>
      <w:r>
        <w:rPr>
          <w:rFonts w:hint="eastAsia" w:ascii="宋体" w:cs="宋体"/>
          <w:snapToGrid w:val="0"/>
          <w:kern w:val="0"/>
          <w:highlight w:val="none"/>
        </w:rPr>
        <w:t>一次性无息退还；如有违约，仅无息退还扣除违约金后的余额。</w:t>
      </w:r>
    </w:p>
    <w:p w14:paraId="1F023748">
      <w:pPr>
        <w:tabs>
          <w:tab w:val="left" w:pos="851"/>
        </w:tabs>
        <w:spacing w:line="360" w:lineRule="auto"/>
        <w:ind w:firstLine="480"/>
        <w:rPr>
          <w:rFonts w:ascii="宋体" w:cs="宋体"/>
          <w:snapToGrid w:val="0"/>
          <w:kern w:val="0"/>
          <w:highlight w:val="none"/>
        </w:rPr>
      </w:pPr>
      <w:r>
        <w:rPr>
          <w:rFonts w:hint="eastAsia" w:ascii="宋体" w:cs="宋体"/>
          <w:snapToGrid w:val="0"/>
          <w:kern w:val="0"/>
          <w:highlight w:val="none"/>
        </w:rPr>
        <w:t>4.3 履约保证金退还方式：达到退还条件后，由乙方向甲方出具退还申请，申请上应注明退还事由、缴纳金额、退还金额、收款账号、收款账户户名、收款行等信息并加盖乙方公司公章。</w:t>
      </w:r>
    </w:p>
    <w:p w14:paraId="330F7F3A">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订货方式</w:t>
      </w:r>
    </w:p>
    <w:p w14:paraId="7490A524">
      <w:pPr>
        <w:autoSpaceDE/>
        <w:autoSpaceDN/>
        <w:spacing w:before="163" w:line="360" w:lineRule="auto"/>
        <w:ind w:right="240" w:firstLine="480"/>
        <w:rPr>
          <w:rFonts w:ascii="宋体"/>
          <w:b/>
          <w:highlight w:val="none"/>
        </w:rPr>
      </w:pPr>
      <w:r>
        <w:rPr>
          <w:highlight w:val="none"/>
        </w:rPr>
        <w:t>甲方可通过书面、电话、短信、邮件等方式向</w:t>
      </w:r>
      <w:r>
        <w:rPr>
          <w:rFonts w:hint="eastAsia" w:ascii="宋体"/>
          <w:highlight w:val="none"/>
        </w:rPr>
        <w:t>乙方</w:t>
      </w:r>
      <w:r>
        <w:rPr>
          <w:rFonts w:hint="eastAsia"/>
          <w:highlight w:val="none"/>
        </w:rPr>
        <w:t>发出采购订单</w:t>
      </w:r>
      <w:r>
        <w:rPr>
          <w:highlight w:val="none"/>
        </w:rPr>
        <w:t>，</w:t>
      </w:r>
      <w:r>
        <w:rPr>
          <w:rFonts w:hint="eastAsia"/>
          <w:highlight w:val="none"/>
        </w:rPr>
        <w:t>订购</w:t>
      </w:r>
      <w:r>
        <w:rPr>
          <w:rFonts w:hint="eastAsia" w:ascii="宋体"/>
          <w:highlight w:val="none"/>
        </w:rPr>
        <w:t>本合同产品清单中的货物，</w:t>
      </w:r>
      <w:r>
        <w:rPr>
          <w:rFonts w:hint="eastAsia"/>
          <w:highlight w:val="none"/>
        </w:rPr>
        <w:t>订单</w:t>
      </w:r>
      <w:r>
        <w:rPr>
          <w:highlight w:val="none"/>
        </w:rPr>
        <w:t>应明确订购</w:t>
      </w:r>
      <w:r>
        <w:rPr>
          <w:rFonts w:hint="eastAsia"/>
          <w:highlight w:val="none"/>
        </w:rPr>
        <w:t>货物</w:t>
      </w:r>
      <w:r>
        <w:rPr>
          <w:highlight w:val="none"/>
        </w:rPr>
        <w:t>的名称、品牌、数量、型号及规格</w:t>
      </w:r>
      <w:r>
        <w:rPr>
          <w:rFonts w:hint="eastAsia"/>
          <w:highlight w:val="none"/>
        </w:rPr>
        <w:t>、</w:t>
      </w:r>
      <w:r>
        <w:rPr>
          <w:rFonts w:hint="eastAsia" w:ascii="宋体"/>
          <w:highlight w:val="none"/>
        </w:rPr>
        <w:t>收货地点、</w:t>
      </w:r>
      <w:r>
        <w:rPr>
          <w:rFonts w:hint="eastAsia"/>
          <w:highlight w:val="none"/>
        </w:rPr>
        <w:t>收货人</w:t>
      </w:r>
      <w:r>
        <w:rPr>
          <w:rFonts w:hint="eastAsia" w:ascii="宋体"/>
          <w:highlight w:val="none"/>
        </w:rPr>
        <w:t>联系人</w:t>
      </w:r>
      <w:r>
        <w:rPr>
          <w:highlight w:val="none"/>
        </w:rPr>
        <w:t>。</w:t>
      </w:r>
    </w:p>
    <w:p w14:paraId="6C1C4472">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收货方式和交货时间</w:t>
      </w:r>
    </w:p>
    <w:p w14:paraId="137AB8B0">
      <w:pPr>
        <w:tabs>
          <w:tab w:val="left" w:pos="851"/>
        </w:tabs>
        <w:spacing w:line="360" w:lineRule="auto"/>
        <w:ind w:right="240" w:rightChars="100" w:firstLine="480"/>
        <w:rPr>
          <w:rFonts w:ascii="宋体"/>
          <w:highlight w:val="none"/>
        </w:rPr>
      </w:pPr>
      <w:r>
        <w:rPr>
          <w:rFonts w:hint="eastAsia" w:ascii="宋体"/>
          <w:highlight w:val="none"/>
        </w:rPr>
        <w:t>6.1 乙方将货物送到甲方指定的收货地点，由甲方指定收货联系人签字确认。</w:t>
      </w:r>
    </w:p>
    <w:p w14:paraId="660BE15F">
      <w:pPr>
        <w:spacing w:line="360" w:lineRule="auto"/>
        <w:ind w:right="240" w:rightChars="100" w:firstLine="480"/>
        <w:rPr>
          <w:rFonts w:ascii="宋体"/>
          <w:highlight w:val="none"/>
        </w:rPr>
      </w:pPr>
      <w:r>
        <w:rPr>
          <w:rFonts w:hint="eastAsia" w:ascii="宋体"/>
          <w:highlight w:val="none"/>
        </w:rPr>
        <w:t>6.2 交货时间：</w:t>
      </w:r>
      <w:r>
        <w:rPr>
          <w:rFonts w:hint="eastAsia" w:ascii="宋体"/>
          <w:highlight w:val="none"/>
          <w:u w:val="single"/>
        </w:rPr>
        <w:t>甲方向乙方发出采购订单</w:t>
      </w:r>
      <w:r>
        <w:rPr>
          <w:rFonts w:hint="eastAsia" w:ascii="宋体" w:cs="宋体"/>
          <w:snapToGrid w:val="0"/>
          <w:kern w:val="0"/>
          <w:highlight w:val="none"/>
          <w:u w:val="single"/>
        </w:rPr>
        <w:t>后20个自然日内交货</w:t>
      </w:r>
      <w:r>
        <w:rPr>
          <w:rFonts w:hint="eastAsia" w:ascii="宋体"/>
          <w:highlight w:val="none"/>
        </w:rPr>
        <w:t>。</w:t>
      </w:r>
    </w:p>
    <w:p w14:paraId="70D1E482">
      <w:pPr>
        <w:numPr>
          <w:ilvl w:val="0"/>
          <w:numId w:val="27"/>
        </w:numPr>
        <w:tabs>
          <w:tab w:val="left" w:pos="993"/>
          <w:tab w:val="clear" w:pos="877"/>
        </w:tabs>
        <w:autoSpaceDE/>
        <w:autoSpaceDN/>
        <w:spacing w:before="163" w:line="360" w:lineRule="auto"/>
        <w:ind w:left="-480" w:leftChars="-200" w:right="240" w:firstLine="482" w:firstLineChars="0"/>
        <w:rPr>
          <w:b/>
          <w:highlight w:val="none"/>
        </w:rPr>
      </w:pPr>
      <w:r>
        <w:rPr>
          <w:rFonts w:hint="eastAsia"/>
          <w:b/>
          <w:highlight w:val="none"/>
        </w:rPr>
        <w:t>运输和包装</w:t>
      </w:r>
    </w:p>
    <w:p w14:paraId="3F3837C0">
      <w:pPr>
        <w:tabs>
          <w:tab w:val="left" w:pos="851"/>
        </w:tabs>
        <w:spacing w:line="360" w:lineRule="auto"/>
        <w:ind w:right="240" w:firstLine="480"/>
        <w:rPr>
          <w:rFonts w:ascii="宋体"/>
          <w:highlight w:val="none"/>
        </w:rPr>
      </w:pPr>
      <w:r>
        <w:rPr>
          <w:rFonts w:hint="eastAsia" w:ascii="宋体"/>
          <w:highlight w:val="none"/>
        </w:rPr>
        <w:t>乙方应根据货物特点和要求采取适当的包装，以使货物在正常装卸和搬运条件下能够安全抵达甲方指定的收货现场。</w:t>
      </w:r>
    </w:p>
    <w:p w14:paraId="6ABFA993">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货物的交付与验收</w:t>
      </w:r>
    </w:p>
    <w:p w14:paraId="55D94AA9">
      <w:pPr>
        <w:tabs>
          <w:tab w:val="left" w:pos="851"/>
        </w:tabs>
        <w:spacing w:line="360" w:lineRule="auto"/>
        <w:ind w:right="240" w:firstLine="480"/>
        <w:rPr>
          <w:rFonts w:ascii="宋体"/>
          <w:highlight w:val="none"/>
        </w:rPr>
      </w:pPr>
      <w:r>
        <w:rPr>
          <w:rFonts w:hint="eastAsia" w:ascii="宋体"/>
          <w:highlight w:val="none"/>
        </w:rPr>
        <w:t>8.1 乙方交付甲方的货物必须满足产品技术指标列表（具体</w:t>
      </w:r>
      <w:r>
        <w:rPr>
          <w:rFonts w:ascii="宋体"/>
          <w:highlight w:val="none"/>
        </w:rPr>
        <w:t>详见附件</w:t>
      </w:r>
      <w:r>
        <w:rPr>
          <w:rFonts w:hint="eastAsia" w:ascii="宋体"/>
          <w:highlight w:val="none"/>
        </w:rPr>
        <w:t>1）所列出的要求。</w:t>
      </w:r>
      <w:r>
        <w:rPr>
          <w:snapToGrid w:val="0"/>
          <w:kern w:val="0"/>
          <w:highlight w:val="none"/>
        </w:rPr>
        <w:t>在货物交付甲方之前，乙方应100%完成所有货物自检，保证所</w:t>
      </w:r>
      <w:r>
        <w:rPr>
          <w:rFonts w:hint="eastAsia"/>
          <w:snapToGrid w:val="0"/>
          <w:kern w:val="0"/>
          <w:highlight w:val="none"/>
        </w:rPr>
        <w:t>交付</w:t>
      </w:r>
      <w:r>
        <w:rPr>
          <w:snapToGrid w:val="0"/>
          <w:kern w:val="0"/>
          <w:highlight w:val="none"/>
        </w:rPr>
        <w:t>的货物的种类、数量、品牌、规格、技术指标以及相关文件资料已达到合同和甲方订单的要求。</w:t>
      </w:r>
    </w:p>
    <w:p w14:paraId="0C122292">
      <w:pPr>
        <w:tabs>
          <w:tab w:val="left" w:pos="851"/>
        </w:tabs>
        <w:spacing w:line="360" w:lineRule="auto"/>
        <w:ind w:right="240" w:firstLine="480"/>
        <w:rPr>
          <w:rFonts w:ascii="宋体"/>
          <w:highlight w:val="none"/>
        </w:rPr>
      </w:pPr>
      <w:r>
        <w:rPr>
          <w:rFonts w:hint="eastAsia" w:ascii="宋体"/>
          <w:highlight w:val="none"/>
        </w:rPr>
        <w:t xml:space="preserve">8.2 </w:t>
      </w:r>
      <w:r>
        <w:rPr>
          <w:snapToGrid w:val="0"/>
          <w:kern w:val="0"/>
          <w:highlight w:val="none"/>
        </w:rPr>
        <w:t>乙方</w:t>
      </w:r>
      <w:r>
        <w:rPr>
          <w:rFonts w:hint="eastAsia"/>
          <w:snapToGrid w:val="0"/>
          <w:kern w:val="0"/>
          <w:highlight w:val="none"/>
        </w:rPr>
        <w:t>交付甲方的每批货物应附带生产厂商出具的产品合格证。</w:t>
      </w:r>
    </w:p>
    <w:p w14:paraId="2EC4E11B">
      <w:pPr>
        <w:tabs>
          <w:tab w:val="left" w:pos="851"/>
        </w:tabs>
        <w:spacing w:line="360" w:lineRule="auto"/>
        <w:ind w:right="240" w:rightChars="100" w:firstLine="480"/>
        <w:rPr>
          <w:rFonts w:ascii="宋体"/>
          <w:highlight w:val="none"/>
        </w:rPr>
      </w:pPr>
      <w:r>
        <w:rPr>
          <w:rFonts w:hint="eastAsia" w:ascii="宋体"/>
          <w:highlight w:val="none"/>
        </w:rPr>
        <w:t>8.3 甲方在收到货物之日起20个工作日内（遇节假日顺延）进行到货签收并向乙方提供货物签收单，到货签收以甲方向乙方发出的采购订单为准。如甲方对到货签收结果有异议，则应在乙方交货后20个工作日内（遇节假日顺延）向乙方提出，</w:t>
      </w:r>
      <w:r>
        <w:rPr>
          <w:highlight w:val="none"/>
        </w:rPr>
        <w:t>乙方应负责更换或补充货物</w:t>
      </w:r>
      <w:r>
        <w:rPr>
          <w:rFonts w:hint="eastAsia" w:ascii="宋体"/>
          <w:highlight w:val="none"/>
        </w:rPr>
        <w:t>直至签收合格，由此产生的费用由乙方负责。</w:t>
      </w:r>
      <w:r>
        <w:rPr>
          <w:highlight w:val="none"/>
        </w:rPr>
        <w:t>若乙方未在</w:t>
      </w:r>
      <w:r>
        <w:rPr>
          <w:rFonts w:hint="eastAsia"/>
          <w:highlight w:val="none"/>
        </w:rPr>
        <w:t>甲方</w:t>
      </w:r>
      <w:r>
        <w:rPr>
          <w:rFonts w:hint="eastAsia" w:ascii="宋体"/>
          <w:highlight w:val="none"/>
        </w:rPr>
        <w:t>提出异议后</w:t>
      </w:r>
      <w:r>
        <w:rPr>
          <w:rFonts w:hint="eastAsia"/>
          <w:highlight w:val="none"/>
        </w:rPr>
        <w:t>10个工作日</w:t>
      </w:r>
      <w:r>
        <w:rPr>
          <w:highlight w:val="none"/>
        </w:rPr>
        <w:t>内更换或补充货物并</w:t>
      </w:r>
      <w:r>
        <w:rPr>
          <w:rFonts w:hint="eastAsia" w:ascii="宋体"/>
          <w:highlight w:val="none"/>
        </w:rPr>
        <w:t>签收合格</w:t>
      </w:r>
      <w:r>
        <w:rPr>
          <w:highlight w:val="none"/>
        </w:rPr>
        <w:t>，乙方应承担逾期交货违约责任。</w:t>
      </w:r>
    </w:p>
    <w:p w14:paraId="51FC86C6">
      <w:pPr>
        <w:tabs>
          <w:tab w:val="left" w:pos="851"/>
        </w:tabs>
        <w:spacing w:line="360" w:lineRule="auto"/>
        <w:ind w:right="240" w:rightChars="100" w:firstLine="480"/>
        <w:rPr>
          <w:rFonts w:ascii="宋体"/>
          <w:highlight w:val="none"/>
        </w:rPr>
      </w:pPr>
      <w:r>
        <w:rPr>
          <w:rFonts w:hint="eastAsia" w:ascii="宋体"/>
          <w:highlight w:val="none"/>
        </w:rPr>
        <w:t xml:space="preserve">8.4 </w:t>
      </w:r>
      <w:r>
        <w:rPr>
          <w:highlight w:val="none"/>
        </w:rPr>
        <w:t>甲方每订购一根跳线，乙方应附赠一对</w:t>
      </w:r>
      <w:r>
        <w:rPr>
          <w:snapToGrid w:val="0"/>
          <w:kern w:val="0"/>
          <w:highlight w:val="none"/>
        </w:rPr>
        <w:t>专为线缆标识而设计的</w:t>
      </w:r>
      <w:r>
        <w:rPr>
          <w:highlight w:val="none"/>
        </w:rPr>
        <w:t>标签（</w:t>
      </w:r>
      <w:r>
        <w:rPr>
          <w:snapToGrid w:val="0"/>
          <w:kern w:val="0"/>
          <w:highlight w:val="none"/>
        </w:rPr>
        <w:t>提供多种颜色供选</w:t>
      </w:r>
      <w:r>
        <w:rPr>
          <w:highlight w:val="none"/>
        </w:rPr>
        <w:t>）和一对扎带。</w:t>
      </w:r>
    </w:p>
    <w:p w14:paraId="5FCB3C16">
      <w:pPr>
        <w:tabs>
          <w:tab w:val="left" w:pos="851"/>
        </w:tabs>
        <w:spacing w:line="360" w:lineRule="auto"/>
        <w:ind w:right="240" w:rightChars="100" w:firstLine="480"/>
        <w:rPr>
          <w:rFonts w:ascii="宋体"/>
          <w:highlight w:val="none"/>
        </w:rPr>
      </w:pPr>
      <w:r>
        <w:rPr>
          <w:rFonts w:hint="eastAsia" w:ascii="宋体"/>
          <w:highlight w:val="none"/>
        </w:rPr>
        <w:t xml:space="preserve">8.5 </w:t>
      </w:r>
      <w:r>
        <w:rPr>
          <w:snapToGrid w:val="0"/>
          <w:kern w:val="0"/>
          <w:highlight w:val="none"/>
        </w:rPr>
        <w:t>乙方必须在</w:t>
      </w:r>
      <w:r>
        <w:rPr>
          <w:rFonts w:hint="eastAsia"/>
          <w:snapToGrid w:val="0"/>
          <w:kern w:val="0"/>
          <w:highlight w:val="none"/>
        </w:rPr>
        <w:t>各类网络布线产品（包括跳线、双绞线、光纤、配线架、理线器、光纤适配器）经</w:t>
      </w:r>
      <w:r>
        <w:rPr>
          <w:snapToGrid w:val="0"/>
          <w:kern w:val="0"/>
          <w:highlight w:val="none"/>
        </w:rPr>
        <w:t>甲方</w:t>
      </w:r>
      <w:r>
        <w:rPr>
          <w:rFonts w:hint="eastAsia"/>
          <w:snapToGrid w:val="0"/>
          <w:kern w:val="0"/>
          <w:highlight w:val="none"/>
        </w:rPr>
        <w:t>签收</w:t>
      </w:r>
      <w:r>
        <w:rPr>
          <w:snapToGrid w:val="0"/>
          <w:kern w:val="0"/>
          <w:highlight w:val="none"/>
        </w:rPr>
        <w:t>后，向</w:t>
      </w:r>
      <w:r>
        <w:rPr>
          <w:rFonts w:hint="eastAsia"/>
          <w:snapToGrid w:val="0"/>
          <w:kern w:val="0"/>
          <w:highlight w:val="none"/>
        </w:rPr>
        <w:t>产品制造商</w:t>
      </w:r>
      <w:r>
        <w:rPr>
          <w:snapToGrid w:val="0"/>
          <w:kern w:val="0"/>
          <w:highlight w:val="none"/>
        </w:rPr>
        <w:t>申请不低于25年的原厂售后服务承诺函，否则甲方有权不予验收，由此造成逾期交货违约责任</w:t>
      </w:r>
      <w:r>
        <w:rPr>
          <w:rFonts w:hint="eastAsia"/>
          <w:snapToGrid w:val="0"/>
          <w:kern w:val="0"/>
          <w:highlight w:val="none"/>
        </w:rPr>
        <w:t>由</w:t>
      </w:r>
      <w:r>
        <w:rPr>
          <w:snapToGrid w:val="0"/>
          <w:kern w:val="0"/>
          <w:highlight w:val="none"/>
        </w:rPr>
        <w:t>乙方应承担</w:t>
      </w:r>
      <w:r>
        <w:rPr>
          <w:rFonts w:hint="eastAsia" w:ascii="宋体"/>
          <w:highlight w:val="none"/>
        </w:rPr>
        <w:t>。</w:t>
      </w:r>
    </w:p>
    <w:p w14:paraId="12CCEFE3">
      <w:pPr>
        <w:spacing w:line="360" w:lineRule="auto"/>
        <w:ind w:firstLine="480"/>
        <w:jc w:val="left"/>
        <w:rPr>
          <w:snapToGrid w:val="0"/>
          <w:kern w:val="0"/>
          <w:highlight w:val="none"/>
        </w:rPr>
      </w:pPr>
      <w:r>
        <w:rPr>
          <w:rFonts w:hint="eastAsia" w:ascii="宋体"/>
          <w:highlight w:val="none"/>
        </w:rPr>
        <w:t>8.6 产品自签收之日起一个月内若甲方未对签收产品的质量、规格、品牌、技术指标以及配套资料等内容提出异议</w:t>
      </w:r>
      <w:r>
        <w:rPr>
          <w:snapToGrid w:val="0"/>
          <w:kern w:val="0"/>
          <w:highlight w:val="none"/>
        </w:rPr>
        <w:t>，乙方</w:t>
      </w:r>
      <w:r>
        <w:rPr>
          <w:rFonts w:hint="eastAsia"/>
          <w:snapToGrid w:val="0"/>
          <w:kern w:val="0"/>
          <w:highlight w:val="none"/>
        </w:rPr>
        <w:t>可</w:t>
      </w:r>
      <w:r>
        <w:rPr>
          <w:snapToGrid w:val="0"/>
          <w:kern w:val="0"/>
          <w:highlight w:val="none"/>
        </w:rPr>
        <w:t>向甲方申请验收，甲方应在收到乙方验收申请后10个工作日内组织验收。若甲方对货物质量、来源存疑，甲方有权</w:t>
      </w:r>
      <w:r>
        <w:rPr>
          <w:kern w:val="0"/>
          <w:highlight w:val="none"/>
        </w:rPr>
        <w:t>使用专业测试设备对货物进行检测或</w:t>
      </w:r>
      <w:r>
        <w:rPr>
          <w:snapToGrid w:val="0"/>
          <w:kern w:val="0"/>
          <w:highlight w:val="none"/>
        </w:rPr>
        <w:t>要求</w:t>
      </w:r>
      <w:r>
        <w:rPr>
          <w:kern w:val="0"/>
          <w:highlight w:val="none"/>
        </w:rPr>
        <w:t>乙方补充相应证明材料</w:t>
      </w:r>
      <w:r>
        <w:rPr>
          <w:snapToGrid w:val="0"/>
          <w:kern w:val="0"/>
          <w:highlight w:val="none"/>
        </w:rPr>
        <w:t>，乙方对此应无条件配合</w:t>
      </w:r>
      <w:r>
        <w:rPr>
          <w:rFonts w:hint="eastAsia"/>
          <w:snapToGrid w:val="0"/>
          <w:kern w:val="0"/>
          <w:highlight w:val="none"/>
        </w:rPr>
        <w:t>并</w:t>
      </w:r>
      <w:r>
        <w:rPr>
          <w:snapToGrid w:val="0"/>
          <w:kern w:val="0"/>
          <w:highlight w:val="none"/>
        </w:rPr>
        <w:t>提供检测所需的专用仪器和仪表等，相关费用包含在合同</w:t>
      </w:r>
      <w:r>
        <w:rPr>
          <w:rFonts w:hint="eastAsia"/>
          <w:snapToGrid w:val="0"/>
          <w:kern w:val="0"/>
          <w:highlight w:val="none"/>
        </w:rPr>
        <w:t>报</w:t>
      </w:r>
      <w:r>
        <w:rPr>
          <w:snapToGrid w:val="0"/>
          <w:kern w:val="0"/>
          <w:highlight w:val="none"/>
        </w:rPr>
        <w:t>价中，甲方不再另行支付。</w:t>
      </w:r>
      <w:r>
        <w:rPr>
          <w:rFonts w:hint="eastAsia" w:ascii="宋体"/>
          <w:highlight w:val="none"/>
        </w:rPr>
        <w:t>经甲方确认所有产品满足合同约定和订单要求后，双方签署最终验收表（具体</w:t>
      </w:r>
      <w:r>
        <w:rPr>
          <w:rFonts w:ascii="宋体"/>
          <w:highlight w:val="none"/>
        </w:rPr>
        <w:t>详见附件</w:t>
      </w:r>
      <w:r>
        <w:rPr>
          <w:rFonts w:hint="eastAsia" w:ascii="宋体"/>
          <w:highlight w:val="none"/>
        </w:rPr>
        <w:t>3），视为验收合格。</w:t>
      </w:r>
    </w:p>
    <w:p w14:paraId="5B1B8D69">
      <w:pPr>
        <w:tabs>
          <w:tab w:val="left" w:pos="851"/>
        </w:tabs>
        <w:spacing w:line="360" w:lineRule="auto"/>
        <w:ind w:right="240" w:rightChars="100" w:firstLine="480"/>
        <w:rPr>
          <w:highlight w:val="none"/>
        </w:rPr>
      </w:pPr>
      <w:r>
        <w:rPr>
          <w:rFonts w:hint="eastAsia" w:ascii="宋体"/>
          <w:highlight w:val="none"/>
        </w:rPr>
        <w:t xml:space="preserve">8.7 </w:t>
      </w:r>
      <w:r>
        <w:rPr>
          <w:rFonts w:hint="eastAsia"/>
          <w:highlight w:val="none"/>
        </w:rPr>
        <w:t>乙方在本项目中未使用第三方</w:t>
      </w:r>
      <w:r>
        <w:rPr>
          <w:highlight w:val="none"/>
        </w:rPr>
        <w:t>产品</w:t>
      </w:r>
      <w:r>
        <w:rPr>
          <w:rFonts w:hint="eastAsia"/>
          <w:highlight w:val="none"/>
        </w:rPr>
        <w:t>，</w:t>
      </w:r>
      <w:r>
        <w:rPr>
          <w:highlight w:val="none"/>
        </w:rPr>
        <w:t>包括第三方</w:t>
      </w:r>
      <w:r>
        <w:rPr>
          <w:rFonts w:hint="eastAsia"/>
          <w:highlight w:val="none"/>
        </w:rPr>
        <w:t>SDK、小程序、软件、开源组件等。</w:t>
      </w:r>
    </w:p>
    <w:p w14:paraId="4B0CECF4">
      <w:pPr>
        <w:tabs>
          <w:tab w:val="left" w:pos="851"/>
        </w:tabs>
        <w:spacing w:line="360" w:lineRule="auto"/>
        <w:ind w:right="240" w:rightChars="100" w:firstLine="480"/>
        <w:rPr>
          <w:highlight w:val="none"/>
        </w:rPr>
      </w:pPr>
      <w:r>
        <w:rPr>
          <w:rFonts w:hint="eastAsia" w:ascii="宋体"/>
          <w:highlight w:val="none"/>
        </w:rPr>
        <w:t xml:space="preserve">8.8 </w:t>
      </w:r>
      <w:r>
        <w:rPr>
          <w:rFonts w:hint="eastAsia"/>
          <w:highlight w:val="none"/>
        </w:rPr>
        <w:t>乙方保证向甲方提供的项目产品（含第三方产品）的安全性、合规性，保证无恶意脚本、后门及恶意漏洞，不携带任何病毒，不越权收集、处理客户信息。</w:t>
      </w:r>
    </w:p>
    <w:p w14:paraId="49EB377D">
      <w:pPr>
        <w:tabs>
          <w:tab w:val="left" w:pos="851"/>
        </w:tabs>
        <w:spacing w:line="360" w:lineRule="auto"/>
        <w:ind w:right="240" w:rightChars="100" w:firstLine="480"/>
        <w:rPr>
          <w:rFonts w:ascii="宋体"/>
          <w:highlight w:val="none"/>
        </w:rPr>
      </w:pPr>
      <w:r>
        <w:rPr>
          <w:rFonts w:hint="eastAsia" w:ascii="宋体"/>
          <w:highlight w:val="none"/>
        </w:rPr>
        <w:t>8.9 乙方向甲方提供的产品和服务不会有任何第三方主张权利，也不会侵害任何第三方的合法权益，包括知识产权。</w:t>
      </w:r>
    </w:p>
    <w:p w14:paraId="5FBC90FF">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质量保证和售后服务</w:t>
      </w:r>
    </w:p>
    <w:p w14:paraId="601377A0">
      <w:pPr>
        <w:tabs>
          <w:tab w:val="left" w:pos="851"/>
        </w:tabs>
        <w:spacing w:line="360" w:lineRule="auto"/>
        <w:ind w:right="240" w:rightChars="100" w:firstLine="480"/>
        <w:rPr>
          <w:rFonts w:ascii="宋体"/>
          <w:highlight w:val="none"/>
        </w:rPr>
      </w:pPr>
      <w:r>
        <w:rPr>
          <w:rFonts w:hint="eastAsia" w:ascii="宋体"/>
          <w:highlight w:val="none"/>
        </w:rPr>
        <w:t>9</w:t>
      </w:r>
      <w:r>
        <w:rPr>
          <w:rFonts w:ascii="宋体"/>
          <w:highlight w:val="none"/>
        </w:rPr>
        <w:t>.</w:t>
      </w:r>
      <w:r>
        <w:rPr>
          <w:rFonts w:hint="eastAsia" w:ascii="宋体"/>
          <w:highlight w:val="none"/>
        </w:rPr>
        <w:t>1 乙方所供产品由生产厂商提供免费质保，</w:t>
      </w:r>
      <w:r>
        <w:rPr>
          <w:rFonts w:hint="eastAsia"/>
          <w:snapToGrid w:val="0"/>
          <w:kern w:val="0"/>
          <w:highlight w:val="none"/>
        </w:rPr>
        <w:t>各类网络布线产品（包括跳线、双绞线、光纤、配线架、理线器、光纤适配器）</w:t>
      </w:r>
      <w:r>
        <w:rPr>
          <w:rFonts w:hint="eastAsia" w:ascii="宋体"/>
          <w:highlight w:val="none"/>
        </w:rPr>
        <w:t>质保期为自甲方签收之日起的25年，其余产品质保期为自验收通过之日起至3年后的</w:t>
      </w:r>
      <w:r>
        <w:rPr>
          <w:rFonts w:hint="eastAsia"/>
          <w:snapToGrid w:val="0"/>
          <w:kern w:val="0"/>
          <w:highlight w:val="none"/>
        </w:rPr>
        <w:t>6月30日或12月31日中较近日期。</w:t>
      </w:r>
    </w:p>
    <w:p w14:paraId="65E13207">
      <w:pPr>
        <w:tabs>
          <w:tab w:val="left" w:pos="851"/>
        </w:tabs>
        <w:spacing w:line="360" w:lineRule="auto"/>
        <w:ind w:right="240" w:rightChars="100" w:firstLine="480"/>
        <w:rPr>
          <w:rFonts w:ascii="宋体"/>
          <w:highlight w:val="none"/>
        </w:rPr>
      </w:pPr>
      <w:r>
        <w:rPr>
          <w:rFonts w:hint="eastAsia" w:ascii="宋体"/>
          <w:highlight w:val="none"/>
        </w:rPr>
        <w:t>9.2 乙方保证交付甲方的本合同项下的所有产品均符合国家相关技术标准和生产厂商的相关技术规范。因产品自身的质量、缺陷等问题对甲方造成经济损失的，甲方有权拒绝收货、不予支付任何费用并要求乙方进行赔偿，乙方应当承担相关赔偿责任。</w:t>
      </w:r>
    </w:p>
    <w:p w14:paraId="0B492EE2">
      <w:pPr>
        <w:tabs>
          <w:tab w:val="left" w:pos="851"/>
        </w:tabs>
        <w:spacing w:line="360" w:lineRule="auto"/>
        <w:ind w:right="240" w:rightChars="100" w:firstLine="480"/>
        <w:rPr>
          <w:rFonts w:ascii="宋体"/>
          <w:highlight w:val="none"/>
        </w:rPr>
      </w:pPr>
      <w:r>
        <w:rPr>
          <w:rFonts w:hint="eastAsia" w:ascii="宋体"/>
          <w:highlight w:val="none"/>
        </w:rPr>
        <w:t>9</w:t>
      </w:r>
      <w:r>
        <w:rPr>
          <w:rFonts w:ascii="宋体"/>
          <w:highlight w:val="none"/>
        </w:rPr>
        <w:t>.</w:t>
      </w:r>
      <w:r>
        <w:rPr>
          <w:rFonts w:hint="eastAsia" w:ascii="宋体"/>
          <w:highlight w:val="none"/>
        </w:rPr>
        <w:t>3</w:t>
      </w:r>
      <w:r>
        <w:rPr>
          <w:rFonts w:ascii="宋体"/>
          <w:highlight w:val="none"/>
        </w:rPr>
        <w:t xml:space="preserve"> 在质保期内如果合同</w:t>
      </w:r>
      <w:r>
        <w:rPr>
          <w:rFonts w:hint="eastAsia" w:ascii="宋体"/>
          <w:highlight w:val="none"/>
        </w:rPr>
        <w:t>产品</w:t>
      </w:r>
      <w:r>
        <w:rPr>
          <w:rFonts w:ascii="宋体"/>
          <w:highlight w:val="none"/>
        </w:rPr>
        <w:t>出现故障</w:t>
      </w:r>
      <w:r>
        <w:rPr>
          <w:rFonts w:hint="eastAsia" w:ascii="宋体"/>
          <w:highlight w:val="none"/>
        </w:rPr>
        <w:t>，</w:t>
      </w:r>
      <w:r>
        <w:rPr>
          <w:rFonts w:ascii="宋体"/>
          <w:highlight w:val="none"/>
        </w:rPr>
        <w:t>乙方应提供质保服务</w:t>
      </w:r>
      <w:r>
        <w:rPr>
          <w:rFonts w:hint="eastAsia" w:ascii="宋体"/>
          <w:highlight w:val="none"/>
        </w:rPr>
        <w:t>，</w:t>
      </w:r>
      <w:r>
        <w:rPr>
          <w:rFonts w:ascii="宋体"/>
          <w:highlight w:val="none"/>
        </w:rPr>
        <w:t>对合同</w:t>
      </w:r>
      <w:r>
        <w:rPr>
          <w:rFonts w:hint="eastAsia" w:ascii="宋体"/>
          <w:highlight w:val="none"/>
        </w:rPr>
        <w:t>产品</w:t>
      </w:r>
      <w:r>
        <w:rPr>
          <w:rFonts w:hint="eastAsia" w:ascii="宋体" w:hAnsi="宋体"/>
          <w:highlight w:val="none"/>
        </w:rPr>
        <w:t>在甲方报修后48小时内</w:t>
      </w:r>
      <w:r>
        <w:rPr>
          <w:rFonts w:ascii="宋体"/>
          <w:highlight w:val="none"/>
        </w:rPr>
        <w:t>进行修理或更换以消除故障</w:t>
      </w:r>
      <w:r>
        <w:rPr>
          <w:rFonts w:hint="eastAsia" w:ascii="宋体"/>
          <w:highlight w:val="none"/>
        </w:rPr>
        <w:t>。</w:t>
      </w:r>
    </w:p>
    <w:p w14:paraId="11983CA4">
      <w:pPr>
        <w:tabs>
          <w:tab w:val="left" w:pos="851"/>
        </w:tabs>
        <w:spacing w:line="360" w:lineRule="auto"/>
        <w:ind w:right="240" w:rightChars="100" w:firstLine="480"/>
        <w:rPr>
          <w:rFonts w:ascii="宋体"/>
          <w:highlight w:val="none"/>
        </w:rPr>
      </w:pPr>
      <w:r>
        <w:rPr>
          <w:rFonts w:hint="eastAsia" w:ascii="宋体"/>
          <w:highlight w:val="none"/>
        </w:rPr>
        <w:t>9</w:t>
      </w:r>
      <w:r>
        <w:rPr>
          <w:rFonts w:ascii="宋体"/>
          <w:highlight w:val="none"/>
        </w:rPr>
        <w:t>.</w:t>
      </w:r>
      <w:r>
        <w:rPr>
          <w:rFonts w:hint="eastAsia" w:ascii="宋体"/>
          <w:highlight w:val="none"/>
        </w:rPr>
        <w:t>4 乙方应具有相应的供货、运输、安装能力以及完善的售后服务体系，可提供本地化服务与技术支持，保证售后服务电话全年无间断有人接听，质量保修期内可提供7×24小时远程技术支持服务，如有必要需提供现场支持服务。</w:t>
      </w:r>
    </w:p>
    <w:p w14:paraId="185B1D52">
      <w:pPr>
        <w:tabs>
          <w:tab w:val="left" w:pos="851"/>
        </w:tabs>
        <w:spacing w:line="360" w:lineRule="auto"/>
        <w:ind w:right="240" w:rightChars="100" w:firstLine="480"/>
        <w:rPr>
          <w:rFonts w:ascii="宋体"/>
          <w:highlight w:val="none"/>
        </w:rPr>
      </w:pPr>
      <w:r>
        <w:rPr>
          <w:rFonts w:hint="eastAsia" w:ascii="宋体"/>
          <w:highlight w:val="none"/>
        </w:rPr>
        <w:t xml:space="preserve">9.5 </w:t>
      </w:r>
      <w:r>
        <w:rPr>
          <w:rFonts w:ascii="宋体"/>
          <w:highlight w:val="none"/>
        </w:rPr>
        <w:t>乙方每向甲方供应货物累计金额达到</w:t>
      </w:r>
      <w:r>
        <w:rPr>
          <w:rFonts w:hint="eastAsia" w:ascii="宋体"/>
          <w:highlight w:val="none"/>
        </w:rPr>
        <w:t>二</w:t>
      </w:r>
      <w:r>
        <w:rPr>
          <w:rFonts w:ascii="宋体"/>
          <w:highlight w:val="none"/>
        </w:rPr>
        <w:t>万元时，免费提供1人天的配套售后服务。该配套服务包括但不限于</w:t>
      </w:r>
      <w:r>
        <w:rPr>
          <w:rFonts w:hint="eastAsia" w:ascii="宋体"/>
          <w:highlight w:val="none"/>
        </w:rPr>
        <w:t>产品安装调试、协助甲方日常运维或其它</w:t>
      </w:r>
      <w:r>
        <w:rPr>
          <w:rFonts w:ascii="宋体"/>
          <w:highlight w:val="none"/>
        </w:rPr>
        <w:t>技术服务。乙方派出的服务人员须在服务期间遵从甲方的工作安排，按甲方要求完成相关工作内容</w:t>
      </w:r>
      <w:r>
        <w:rPr>
          <w:rFonts w:hint="eastAsia" w:ascii="宋体"/>
          <w:highlight w:val="none"/>
        </w:rPr>
        <w:t>，</w:t>
      </w:r>
      <w:r>
        <w:rPr>
          <w:rFonts w:ascii="宋体"/>
          <w:highlight w:val="none"/>
        </w:rPr>
        <w:t>上述配套服务不收取任何费用。</w:t>
      </w:r>
    </w:p>
    <w:p w14:paraId="7A80A009">
      <w:pPr>
        <w:tabs>
          <w:tab w:val="left" w:pos="851"/>
        </w:tabs>
        <w:spacing w:line="360" w:lineRule="auto"/>
        <w:ind w:right="240" w:rightChars="100" w:firstLine="480"/>
        <w:rPr>
          <w:rFonts w:ascii="宋体"/>
          <w:highlight w:val="none"/>
        </w:rPr>
      </w:pPr>
      <w:r>
        <w:rPr>
          <w:rFonts w:hint="eastAsia" w:ascii="宋体"/>
          <w:highlight w:val="none"/>
        </w:rPr>
        <w:t>9.6 质保期到期后5年内，</w:t>
      </w:r>
      <w:r>
        <w:rPr>
          <w:rFonts w:hint="eastAsia"/>
          <w:highlight w:val="none"/>
        </w:rPr>
        <w:t>如</w:t>
      </w:r>
      <w:r>
        <w:rPr>
          <w:rFonts w:hint="eastAsia" w:ascii="宋体"/>
          <w:highlight w:val="none"/>
        </w:rPr>
        <w:t>甲方需要乙方提供质保服务或代理生产厂商服务,乙方应予提供。质保期结束后，由双方另行协商并签订质保技术服务合同约定产品质保费用、期限和支付方式。甲方有权选择是否继续向乙方购买质保，乙方无权要求甲方对未使用质保服务的期间支付费用。</w:t>
      </w:r>
    </w:p>
    <w:p w14:paraId="338883E3">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保管风险</w:t>
      </w:r>
    </w:p>
    <w:p w14:paraId="173876CE">
      <w:pPr>
        <w:tabs>
          <w:tab w:val="left" w:pos="851"/>
        </w:tabs>
        <w:spacing w:line="360" w:lineRule="auto"/>
        <w:ind w:right="240" w:rightChars="100" w:firstLine="480"/>
        <w:rPr>
          <w:rFonts w:ascii="宋体"/>
          <w:highlight w:val="none"/>
        </w:rPr>
      </w:pPr>
      <w:r>
        <w:rPr>
          <w:rFonts w:hint="eastAsia" w:ascii="宋体"/>
          <w:highlight w:val="none"/>
        </w:rPr>
        <w:t>从本合同生效起，到乙方将产品交付甲方并</w:t>
      </w:r>
      <w:r>
        <w:rPr>
          <w:rFonts w:ascii="宋体"/>
          <w:highlight w:val="none"/>
        </w:rPr>
        <w:t>经甲方</w:t>
      </w:r>
      <w:r>
        <w:rPr>
          <w:rFonts w:hint="eastAsia" w:ascii="宋体"/>
          <w:highlight w:val="none"/>
        </w:rPr>
        <w:t>签收合格前，本合同中所列的产品的保管风险由乙方承担。在乙方将货物按本合同所定的交货地点交货由甲方签收合格后，货物的保管风险自动转移至甲方，乙方不再承担任何保管责任。</w:t>
      </w:r>
    </w:p>
    <w:p w14:paraId="6C32806B">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 xml:space="preserve"> 违约责任</w:t>
      </w:r>
    </w:p>
    <w:p w14:paraId="687582ED">
      <w:pPr>
        <w:tabs>
          <w:tab w:val="left" w:pos="851"/>
        </w:tabs>
        <w:spacing w:line="360" w:lineRule="auto"/>
        <w:ind w:right="240" w:rightChars="100" w:firstLine="480"/>
        <w:rPr>
          <w:rFonts w:ascii="宋体"/>
          <w:highlight w:val="none"/>
        </w:rPr>
      </w:pPr>
      <w:r>
        <w:rPr>
          <w:rFonts w:hint="eastAsia" w:ascii="宋体"/>
          <w:highlight w:val="none"/>
        </w:rPr>
        <w:t xml:space="preserve">11.1 </w:t>
      </w:r>
      <w:r>
        <w:rPr>
          <w:rFonts w:ascii="宋体"/>
          <w:highlight w:val="none"/>
        </w:rPr>
        <w:t>除本合同第十</w:t>
      </w:r>
      <w:r>
        <w:rPr>
          <w:rFonts w:hint="eastAsia" w:ascii="宋体"/>
          <w:highlight w:val="none"/>
        </w:rPr>
        <w:t>三</w:t>
      </w:r>
      <w:r>
        <w:rPr>
          <w:rFonts w:ascii="宋体"/>
          <w:highlight w:val="none"/>
        </w:rPr>
        <w:t>条约定的情形外，如果乙方拒绝甲方对本合同项下任何货物的订货申请，甲方有权终止合同，</w:t>
      </w:r>
      <w:r>
        <w:rPr>
          <w:rFonts w:hint="eastAsia" w:ascii="宋体"/>
          <w:highlight w:val="none"/>
        </w:rPr>
        <w:t>乙方须向甲方支付一万元的违约金。</w:t>
      </w:r>
    </w:p>
    <w:p w14:paraId="7F2CBA40">
      <w:pPr>
        <w:tabs>
          <w:tab w:val="left" w:pos="851"/>
        </w:tabs>
        <w:spacing w:line="360" w:lineRule="auto"/>
        <w:ind w:right="240" w:rightChars="100" w:firstLine="480"/>
        <w:rPr>
          <w:rFonts w:ascii="宋体"/>
          <w:highlight w:val="none"/>
        </w:rPr>
      </w:pPr>
      <w:r>
        <w:rPr>
          <w:rFonts w:hint="eastAsia" w:ascii="宋体"/>
          <w:highlight w:val="none"/>
        </w:rPr>
        <w:t>11.2 如果乙方无法按时交货（含</w:t>
      </w:r>
      <w:r>
        <w:rPr>
          <w:rFonts w:ascii="宋体"/>
          <w:highlight w:val="none"/>
        </w:rPr>
        <w:t>乙方交货后未通过甲方验收</w:t>
      </w:r>
      <w:r>
        <w:rPr>
          <w:rFonts w:hint="eastAsia" w:ascii="宋体"/>
          <w:highlight w:val="none"/>
        </w:rPr>
        <w:t>），每延迟五个工作日，乙方须向甲方支付迟交货物总额的百分之一的违约金。乙方延迟交货三十个工作日以上，甲方有权终止合同，不予支付任何费用，由此造成的甲方损失由乙方承担。</w:t>
      </w:r>
    </w:p>
    <w:p w14:paraId="71F228A0">
      <w:pPr>
        <w:tabs>
          <w:tab w:val="left" w:pos="851"/>
        </w:tabs>
        <w:spacing w:line="360" w:lineRule="auto"/>
        <w:ind w:right="240" w:rightChars="100" w:firstLine="480"/>
        <w:rPr>
          <w:rFonts w:ascii="宋体"/>
          <w:highlight w:val="none"/>
        </w:rPr>
      </w:pPr>
      <w:r>
        <w:rPr>
          <w:rFonts w:hint="eastAsia" w:ascii="宋体"/>
          <w:highlight w:val="none"/>
        </w:rPr>
        <w:t>11.3 如果乙方在质保期内未按合同附件要求提供服务（含生产厂商服务），每违反一次，乙方需向甲方支付五千元的违约金。若乙方未按约履行质保义务（含</w:t>
      </w:r>
      <w:r>
        <w:rPr>
          <w:rFonts w:ascii="宋体"/>
          <w:highlight w:val="none"/>
        </w:rPr>
        <w:t>生产厂商</w:t>
      </w:r>
      <w:r>
        <w:rPr>
          <w:rFonts w:hint="eastAsia" w:ascii="宋体"/>
          <w:highlight w:val="none"/>
        </w:rPr>
        <w:t>未履行质保），甲方有权自行或另行委托第三方维修，由此产生的费用由乙方承担。</w:t>
      </w:r>
    </w:p>
    <w:p w14:paraId="720D7A3B">
      <w:pPr>
        <w:tabs>
          <w:tab w:val="left" w:pos="851"/>
        </w:tabs>
        <w:spacing w:line="360" w:lineRule="auto"/>
        <w:ind w:right="240" w:rightChars="100" w:firstLine="480"/>
        <w:rPr>
          <w:rFonts w:ascii="宋体"/>
          <w:highlight w:val="none"/>
        </w:rPr>
      </w:pPr>
      <w:r>
        <w:rPr>
          <w:rFonts w:hint="eastAsia" w:ascii="宋体"/>
          <w:highlight w:val="none"/>
        </w:rPr>
        <w:t>11.4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产品。</w:t>
      </w:r>
    </w:p>
    <w:p w14:paraId="0A17303C">
      <w:pPr>
        <w:spacing w:line="360" w:lineRule="auto"/>
        <w:ind w:right="240" w:rightChars="100" w:firstLine="480"/>
        <w:rPr>
          <w:rFonts w:ascii="宋体"/>
          <w:highlight w:val="none"/>
        </w:rPr>
      </w:pPr>
      <w:r>
        <w:rPr>
          <w:rFonts w:hint="eastAsia" w:ascii="宋体"/>
          <w:highlight w:val="none"/>
        </w:rPr>
        <w:t>11.</w:t>
      </w:r>
      <w:r>
        <w:rPr>
          <w:rFonts w:ascii="宋体"/>
          <w:highlight w:val="none"/>
        </w:rPr>
        <w:t>5</w:t>
      </w:r>
      <w:r>
        <w:rPr>
          <w:rFonts w:hint="eastAsia" w:ascii="宋体"/>
          <w:highlight w:val="none"/>
        </w:rPr>
        <w:t xml:space="preserve"> 不得因乙方原因（含乙方合作的第三方）导致甲方数据中心设备发生故障，如因乙方直接或间接原因导致甲方数据中心设备发生故障，甲方有权终止合同，乙方须向甲方支付一万元的违约金并赔偿</w:t>
      </w:r>
      <w:r>
        <w:rPr>
          <w:highlight w:val="none"/>
        </w:rPr>
        <w:t>给甲方造成</w:t>
      </w:r>
      <w:r>
        <w:rPr>
          <w:rFonts w:hint="eastAsia"/>
          <w:highlight w:val="none"/>
        </w:rPr>
        <w:t>的</w:t>
      </w:r>
      <w:r>
        <w:rPr>
          <w:highlight w:val="none"/>
        </w:rPr>
        <w:t>损失</w:t>
      </w:r>
      <w:r>
        <w:rPr>
          <w:rFonts w:hint="eastAsia" w:ascii="宋体"/>
          <w:highlight w:val="none"/>
        </w:rPr>
        <w:t>。</w:t>
      </w:r>
    </w:p>
    <w:p w14:paraId="36A21895">
      <w:pPr>
        <w:spacing w:line="360" w:lineRule="auto"/>
        <w:ind w:right="240" w:rightChars="100" w:firstLine="480"/>
        <w:rPr>
          <w:rFonts w:ascii="宋体"/>
          <w:highlight w:val="none"/>
        </w:rPr>
      </w:pPr>
      <w:r>
        <w:rPr>
          <w:rFonts w:hint="eastAsia" w:ascii="宋体"/>
          <w:highlight w:val="none"/>
        </w:rPr>
        <w:t>11</w:t>
      </w:r>
      <w:r>
        <w:rPr>
          <w:rFonts w:ascii="宋体"/>
          <w:highlight w:val="none"/>
        </w:rPr>
        <w:t>.6 若乙方合作的第三方停止生产和维护本项目产品中的某些部件或组件</w:t>
      </w:r>
      <w:r>
        <w:rPr>
          <w:rFonts w:hint="eastAsia" w:ascii="宋体"/>
          <w:highlight w:val="none"/>
        </w:rPr>
        <w:t>，</w:t>
      </w:r>
      <w:r>
        <w:rPr>
          <w:rFonts w:ascii="宋体"/>
          <w:highlight w:val="none"/>
        </w:rPr>
        <w:t>乙方应立即采取替代方案消除对甲方产生的影响</w:t>
      </w:r>
      <w:r>
        <w:rPr>
          <w:rFonts w:hint="eastAsia" w:ascii="宋体"/>
          <w:highlight w:val="none"/>
        </w:rPr>
        <w:t>，</w:t>
      </w:r>
      <w:r>
        <w:rPr>
          <w:rFonts w:ascii="宋体"/>
          <w:highlight w:val="none"/>
        </w:rPr>
        <w:t>若因此给甲方造成</w:t>
      </w:r>
      <w:r>
        <w:rPr>
          <w:rFonts w:hint="eastAsia" w:ascii="宋体"/>
          <w:highlight w:val="none"/>
        </w:rPr>
        <w:t>任何损失，乙方应承担赔偿责任。</w:t>
      </w:r>
    </w:p>
    <w:p w14:paraId="0395DB1B">
      <w:pPr>
        <w:spacing w:line="360" w:lineRule="auto"/>
        <w:ind w:right="240" w:rightChars="100" w:firstLine="480"/>
        <w:rPr>
          <w:rFonts w:ascii="宋体"/>
          <w:highlight w:val="none"/>
        </w:rPr>
      </w:pPr>
      <w:r>
        <w:rPr>
          <w:rFonts w:hint="eastAsia" w:ascii="宋体"/>
          <w:highlight w:val="none"/>
        </w:rPr>
        <w:t xml:space="preserve">11.7 </w:t>
      </w:r>
      <w:r>
        <w:rPr>
          <w:rFonts w:ascii="宋体"/>
          <w:highlight w:val="none"/>
        </w:rPr>
        <w:t>本合同项下乙方应支付的违约金、赔偿金等，甲方均有权从乙方缴纳的履约保证金中优先扣除</w:t>
      </w:r>
      <w:r>
        <w:rPr>
          <w:rFonts w:hint="eastAsia" w:ascii="宋体"/>
          <w:highlight w:val="none"/>
        </w:rPr>
        <w:t>，</w:t>
      </w:r>
      <w:r>
        <w:rPr>
          <w:rFonts w:ascii="宋体"/>
          <w:highlight w:val="none"/>
        </w:rPr>
        <w:t>若履约保证金不足，甲方可从应支付给乙方的任意一笔款项中扣除</w:t>
      </w:r>
      <w:r>
        <w:rPr>
          <w:rFonts w:hint="eastAsia" w:ascii="宋体"/>
          <w:highlight w:val="none"/>
        </w:rPr>
        <w:t>，</w:t>
      </w:r>
      <w:r>
        <w:rPr>
          <w:rFonts w:ascii="宋体"/>
          <w:highlight w:val="none"/>
        </w:rPr>
        <w:t>如仍有不足，乙方应另行筹措资金补足。</w:t>
      </w:r>
    </w:p>
    <w:p w14:paraId="27035F85">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 xml:space="preserve"> 合作期限</w:t>
      </w:r>
    </w:p>
    <w:p w14:paraId="47743A72">
      <w:pPr>
        <w:autoSpaceDE/>
        <w:autoSpaceDN/>
        <w:spacing w:before="163" w:line="360" w:lineRule="auto"/>
        <w:ind w:right="240" w:rightChars="100" w:firstLine="480"/>
        <w:rPr>
          <w:rFonts w:ascii="宋体"/>
          <w:bCs/>
          <w:highlight w:val="none"/>
        </w:rPr>
      </w:pPr>
      <w:r>
        <w:rPr>
          <w:rFonts w:hint="eastAsia" w:ascii="宋体"/>
          <w:bCs/>
          <w:highlight w:val="none"/>
        </w:rPr>
        <w:t>12.1 合作期限：本合同签订之日起3年（即甲方向乙方发出采购订单的有效期），乙方提供服务的时间应直到甲方最后一个采购产品质保期到期。</w:t>
      </w:r>
    </w:p>
    <w:p w14:paraId="50F30C0B">
      <w:pPr>
        <w:autoSpaceDE/>
        <w:autoSpaceDN/>
        <w:spacing w:before="163" w:line="360" w:lineRule="auto"/>
        <w:ind w:right="240" w:rightChars="100" w:firstLine="480"/>
        <w:rPr>
          <w:rFonts w:ascii="宋体"/>
          <w:bCs/>
          <w:highlight w:val="none"/>
        </w:rPr>
      </w:pPr>
      <w:r>
        <w:rPr>
          <w:rFonts w:hint="eastAsia" w:ascii="宋体"/>
          <w:bCs/>
          <w:highlight w:val="none"/>
        </w:rPr>
        <w:t>12.2甲方有权在任何时间，以书面形式通知乙方终止本合同，且无需提供具体理由。在合同终止时，甲方仅需支付截至终止日期乙方已实际交付并经甲方验收合格的货物金额。乙方不得就此终止要求任何额外赔偿或补偿。</w:t>
      </w:r>
    </w:p>
    <w:p w14:paraId="1721D9AA">
      <w:pPr>
        <w:numPr>
          <w:ilvl w:val="0"/>
          <w:numId w:val="27"/>
        </w:numPr>
        <w:tabs>
          <w:tab w:val="left" w:pos="993"/>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 xml:space="preserve"> 不可抗力</w:t>
      </w:r>
    </w:p>
    <w:p w14:paraId="08A8162B">
      <w:pPr>
        <w:tabs>
          <w:tab w:val="left" w:pos="851"/>
        </w:tabs>
        <w:spacing w:line="360" w:lineRule="auto"/>
        <w:ind w:right="240" w:rightChars="100" w:firstLine="480"/>
        <w:rPr>
          <w:rFonts w:ascii="宋体"/>
          <w:highlight w:val="none"/>
        </w:rPr>
      </w:pPr>
      <w:r>
        <w:rPr>
          <w:rFonts w:hint="eastAsia" w:ascii="宋体"/>
          <w:highlight w:val="none"/>
        </w:rPr>
        <w:t>13.1 不可抗力是指本合同生效后，发生不能预见并且对其发生和后果不能防止或避免的事件，如地震、台风、水灾、火灾、战争、传染病等，致使直接影响本合同的履行或不能按约定的条件履行。</w:t>
      </w:r>
    </w:p>
    <w:p w14:paraId="33672712">
      <w:pPr>
        <w:tabs>
          <w:tab w:val="left" w:pos="851"/>
        </w:tabs>
        <w:spacing w:line="360" w:lineRule="auto"/>
        <w:ind w:right="240" w:rightChars="100" w:firstLine="480"/>
        <w:rPr>
          <w:rFonts w:ascii="宋体"/>
          <w:highlight w:val="none"/>
        </w:rPr>
      </w:pPr>
      <w:r>
        <w:rPr>
          <w:rFonts w:hint="eastAsia" w:ascii="宋体"/>
          <w:highlight w:val="none"/>
        </w:rPr>
        <w:t>13.2 发生不可抗力的一方应立即通知对方，并在十五天内提供不可抗力的详情及将有关证明文件送交对方。</w:t>
      </w:r>
    </w:p>
    <w:p w14:paraId="1752A0E7">
      <w:pPr>
        <w:tabs>
          <w:tab w:val="left" w:pos="851"/>
        </w:tabs>
        <w:spacing w:line="360" w:lineRule="auto"/>
        <w:ind w:right="240" w:rightChars="100" w:firstLine="480"/>
        <w:rPr>
          <w:rFonts w:ascii="宋体"/>
          <w:highlight w:val="none"/>
        </w:rPr>
      </w:pPr>
      <w:r>
        <w:rPr>
          <w:rFonts w:hint="eastAsia" w:ascii="宋体"/>
          <w:highlight w:val="none"/>
        </w:rPr>
        <w:t>13.3 发生不可抗力事件时，甲乙双方应协商以寻找一个合理的解决方法，并尽一切努力减轻不可抗力产生的后果。</w:t>
      </w:r>
    </w:p>
    <w:p w14:paraId="57F37CB5">
      <w:pPr>
        <w:tabs>
          <w:tab w:val="left" w:pos="851"/>
        </w:tabs>
        <w:spacing w:line="360" w:lineRule="auto"/>
        <w:ind w:right="240" w:rightChars="100" w:firstLine="480"/>
        <w:rPr>
          <w:rFonts w:ascii="宋体"/>
          <w:highlight w:val="none"/>
        </w:rPr>
      </w:pPr>
      <w:r>
        <w:rPr>
          <w:rFonts w:hint="eastAsia" w:ascii="宋体"/>
          <w:highlight w:val="none"/>
        </w:rPr>
        <w:t>13.4 如不可抗力事件持续三十天时，甲乙双方应友好协商解决本合同是否继续履行或终止的问题。</w:t>
      </w:r>
    </w:p>
    <w:p w14:paraId="33040DD6">
      <w:pPr>
        <w:numPr>
          <w:ilvl w:val="0"/>
          <w:numId w:val="27"/>
        </w:numPr>
        <w:tabs>
          <w:tab w:val="left" w:pos="1276"/>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争议解决</w:t>
      </w:r>
    </w:p>
    <w:p w14:paraId="3D939BAA">
      <w:pPr>
        <w:pStyle w:val="15"/>
        <w:spacing w:line="360" w:lineRule="auto"/>
        <w:ind w:left="0" w:leftChars="0" w:right="240" w:rightChars="100" w:firstLine="480"/>
        <w:rPr>
          <w:rFonts w:ascii="宋体"/>
          <w:sz w:val="24"/>
          <w:szCs w:val="24"/>
          <w:highlight w:val="none"/>
        </w:rPr>
      </w:pPr>
      <w:r>
        <w:rPr>
          <w:rFonts w:hint="eastAsia" w:ascii="宋体"/>
          <w:sz w:val="24"/>
          <w:szCs w:val="24"/>
          <w:highlight w:val="none"/>
        </w:rPr>
        <w:t>因本合同引起的或与本合同有关的任何争议，双方可通过协商解决，协商不成，任何一方均可向</w:t>
      </w:r>
      <w:r>
        <w:rPr>
          <w:rFonts w:ascii="宋体"/>
          <w:sz w:val="24"/>
          <w:szCs w:val="24"/>
          <w:highlight w:val="none"/>
        </w:rPr>
        <w:t>重庆仲裁委员会按照该会届时有效的仲裁规则申请仲裁</w:t>
      </w:r>
      <w:r>
        <w:rPr>
          <w:rFonts w:hint="eastAsia" w:ascii="宋体"/>
          <w:sz w:val="24"/>
          <w:szCs w:val="24"/>
          <w:highlight w:val="none"/>
        </w:rPr>
        <w:t>。</w:t>
      </w:r>
    </w:p>
    <w:p w14:paraId="62C7A930">
      <w:pPr>
        <w:numPr>
          <w:ilvl w:val="0"/>
          <w:numId w:val="27"/>
        </w:numPr>
        <w:tabs>
          <w:tab w:val="left" w:pos="1276"/>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保密</w:t>
      </w:r>
    </w:p>
    <w:p w14:paraId="20B28DE0">
      <w:pPr>
        <w:pStyle w:val="15"/>
        <w:spacing w:line="360" w:lineRule="auto"/>
        <w:ind w:left="0" w:leftChars="0" w:firstLine="480"/>
        <w:rPr>
          <w:rFonts w:ascii="宋体"/>
          <w:sz w:val="24"/>
          <w:szCs w:val="24"/>
          <w:highlight w:val="none"/>
        </w:rPr>
      </w:pPr>
      <w:r>
        <w:rPr>
          <w:rFonts w:hint="eastAsia" w:ascii="宋体"/>
          <w:sz w:val="24"/>
          <w:szCs w:val="24"/>
          <w:highlight w:val="none"/>
        </w:rPr>
        <w:t>15.1 乙方须对本合同项下的所有条款保密。</w:t>
      </w:r>
    </w:p>
    <w:p w14:paraId="7CF99261">
      <w:pPr>
        <w:pStyle w:val="15"/>
        <w:spacing w:line="360" w:lineRule="auto"/>
        <w:ind w:left="0" w:leftChars="0" w:firstLine="480"/>
        <w:rPr>
          <w:rFonts w:ascii="宋体"/>
          <w:sz w:val="24"/>
          <w:szCs w:val="24"/>
          <w:highlight w:val="none"/>
        </w:rPr>
      </w:pPr>
      <w:r>
        <w:rPr>
          <w:rFonts w:hint="eastAsia" w:ascii="宋体"/>
          <w:sz w:val="24"/>
          <w:szCs w:val="24"/>
          <w:highlight w:val="none"/>
        </w:rPr>
        <w:t>15.2 乙方不得在合同允许范围外使用或披露甲方以及甲方客户信息、技术框架、系统架构、业务流程等核心信息。</w:t>
      </w:r>
    </w:p>
    <w:p w14:paraId="0D71826F">
      <w:pPr>
        <w:pStyle w:val="15"/>
        <w:spacing w:line="360" w:lineRule="auto"/>
        <w:ind w:left="0" w:leftChars="0" w:firstLine="480"/>
        <w:rPr>
          <w:rFonts w:ascii="宋体"/>
          <w:sz w:val="24"/>
          <w:szCs w:val="24"/>
          <w:highlight w:val="none"/>
        </w:rPr>
      </w:pPr>
      <w:r>
        <w:rPr>
          <w:rFonts w:hint="eastAsia" w:ascii="宋体"/>
          <w:sz w:val="24"/>
          <w:szCs w:val="24"/>
          <w:highlight w:val="none"/>
        </w:rPr>
        <w:t>15.3 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56A5A514">
      <w:pPr>
        <w:pStyle w:val="15"/>
        <w:spacing w:line="360" w:lineRule="auto"/>
        <w:ind w:left="0" w:leftChars="0" w:firstLine="480"/>
        <w:rPr>
          <w:rFonts w:ascii="宋体"/>
          <w:sz w:val="24"/>
          <w:szCs w:val="24"/>
          <w:highlight w:val="none"/>
        </w:rPr>
      </w:pPr>
      <w:r>
        <w:rPr>
          <w:rFonts w:hint="eastAsia" w:ascii="宋体"/>
          <w:sz w:val="24"/>
          <w:szCs w:val="24"/>
          <w:highlight w:val="none"/>
        </w:rPr>
        <w:t>15.4 乙方知道违反本条规定将给甲方客户权利以及甲方造成难以弥补的损失，为此同意承担由此产生的经济上和法律上的责任和</w:t>
      </w:r>
      <w:r>
        <w:rPr>
          <w:rFonts w:ascii="宋体"/>
          <w:sz w:val="24"/>
          <w:szCs w:val="24"/>
          <w:highlight w:val="none"/>
        </w:rPr>
        <w:t>损失</w:t>
      </w:r>
      <w:r>
        <w:rPr>
          <w:rFonts w:hint="eastAsia" w:ascii="宋体"/>
          <w:sz w:val="24"/>
          <w:szCs w:val="24"/>
          <w:highlight w:val="none"/>
        </w:rPr>
        <w:t>。</w:t>
      </w:r>
    </w:p>
    <w:p w14:paraId="2BBAD86B">
      <w:pPr>
        <w:pStyle w:val="15"/>
        <w:spacing w:line="360" w:lineRule="auto"/>
        <w:ind w:left="0" w:leftChars="0" w:firstLine="480"/>
        <w:rPr>
          <w:rFonts w:ascii="宋体"/>
          <w:sz w:val="24"/>
          <w:szCs w:val="24"/>
          <w:highlight w:val="none"/>
        </w:rPr>
      </w:pPr>
      <w:r>
        <w:rPr>
          <w:rFonts w:hint="eastAsia" w:ascii="宋体"/>
          <w:sz w:val="24"/>
          <w:szCs w:val="24"/>
          <w:highlight w:val="none"/>
        </w:rPr>
        <w:t>15.5 乙方承认本合同中的技术资料和技术秘密为甲方所专有，将其对乙方进行披露并不意味着任何所有权、专利权的转让。</w:t>
      </w:r>
    </w:p>
    <w:p w14:paraId="3A0D46C8">
      <w:pPr>
        <w:pStyle w:val="15"/>
        <w:spacing w:line="360" w:lineRule="auto"/>
        <w:ind w:left="0" w:leftChars="0" w:firstLine="480"/>
        <w:rPr>
          <w:rFonts w:ascii="宋体"/>
          <w:sz w:val="24"/>
          <w:szCs w:val="24"/>
          <w:highlight w:val="none"/>
        </w:rPr>
      </w:pPr>
      <w:r>
        <w:rPr>
          <w:rFonts w:hint="eastAsia" w:ascii="宋体"/>
          <w:sz w:val="24"/>
          <w:szCs w:val="24"/>
          <w:highlight w:val="none"/>
        </w:rPr>
        <w:t>15.6 在本合同约定的合作期限到期后，乙方应归还甲方提供的所有技术资料或文件等，并承诺不保留任何复印件。</w:t>
      </w:r>
    </w:p>
    <w:p w14:paraId="2A612C31">
      <w:pPr>
        <w:pStyle w:val="15"/>
        <w:spacing w:line="360" w:lineRule="auto"/>
        <w:ind w:left="0" w:leftChars="0" w:firstLine="480"/>
        <w:rPr>
          <w:rFonts w:ascii="宋体"/>
          <w:sz w:val="24"/>
          <w:szCs w:val="24"/>
          <w:highlight w:val="none"/>
        </w:rPr>
      </w:pPr>
      <w:r>
        <w:rPr>
          <w:rFonts w:hint="eastAsia" w:ascii="宋体"/>
          <w:sz w:val="24"/>
          <w:szCs w:val="24"/>
          <w:highlight w:val="none"/>
        </w:rPr>
        <w:t>15.7 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CE91CDA">
      <w:pPr>
        <w:pStyle w:val="15"/>
        <w:spacing w:line="360" w:lineRule="auto"/>
        <w:ind w:left="0" w:leftChars="0" w:firstLine="480"/>
        <w:rPr>
          <w:rFonts w:ascii="宋体"/>
          <w:sz w:val="24"/>
          <w:szCs w:val="24"/>
          <w:highlight w:val="none"/>
        </w:rPr>
      </w:pPr>
      <w:r>
        <w:rPr>
          <w:rFonts w:hint="eastAsia" w:ascii="宋体"/>
          <w:sz w:val="24"/>
          <w:szCs w:val="24"/>
          <w:highlight w:val="none"/>
        </w:rPr>
        <w:t>15.8 除非甲方特别声明，乙方对于保密信息的保密义务为无限期保密，直至甲方宣布解密或者保密信息实际上已经公开。</w:t>
      </w:r>
    </w:p>
    <w:p w14:paraId="4604DB38">
      <w:pPr>
        <w:numPr>
          <w:ilvl w:val="0"/>
          <w:numId w:val="27"/>
        </w:numPr>
        <w:tabs>
          <w:tab w:val="left" w:pos="1276"/>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通知与送达</w:t>
      </w:r>
    </w:p>
    <w:p w14:paraId="435ACF48">
      <w:pPr>
        <w:pStyle w:val="15"/>
        <w:spacing w:line="360" w:lineRule="auto"/>
        <w:ind w:left="0" w:leftChars="0" w:firstLine="480"/>
        <w:rPr>
          <w:rFonts w:ascii="宋体"/>
          <w:sz w:val="24"/>
          <w:szCs w:val="24"/>
          <w:highlight w:val="none"/>
        </w:rPr>
      </w:pPr>
      <w:r>
        <w:rPr>
          <w:rFonts w:hint="eastAsia" w:ascii="宋体"/>
          <w:sz w:val="24"/>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0DCED221">
      <w:pPr>
        <w:pStyle w:val="15"/>
        <w:spacing w:line="360" w:lineRule="auto"/>
        <w:ind w:left="0" w:leftChars="0" w:firstLine="480"/>
        <w:rPr>
          <w:rFonts w:ascii="宋体"/>
          <w:sz w:val="24"/>
          <w:highlight w:val="none"/>
        </w:rPr>
      </w:pPr>
      <w:r>
        <w:rPr>
          <w:rFonts w:hint="eastAsia" w:ascii="宋体"/>
          <w:sz w:val="24"/>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525FEEB7">
      <w:pPr>
        <w:numPr>
          <w:ilvl w:val="0"/>
          <w:numId w:val="27"/>
        </w:numPr>
        <w:tabs>
          <w:tab w:val="left" w:pos="1276"/>
          <w:tab w:val="clear" w:pos="877"/>
        </w:tabs>
        <w:autoSpaceDE/>
        <w:autoSpaceDN/>
        <w:spacing w:before="163" w:line="360" w:lineRule="auto"/>
        <w:ind w:left="-480" w:leftChars="-200" w:right="240" w:firstLine="482" w:firstLineChars="0"/>
        <w:rPr>
          <w:rFonts w:ascii="宋体"/>
          <w:b/>
          <w:highlight w:val="none"/>
        </w:rPr>
      </w:pPr>
      <w:bookmarkStart w:id="96" w:name="_Toc388368880"/>
      <w:r>
        <w:rPr>
          <w:rFonts w:hint="eastAsia" w:ascii="宋体"/>
          <w:b/>
          <w:highlight w:val="none"/>
        </w:rPr>
        <w:t>反商业贿赂</w:t>
      </w:r>
      <w:bookmarkEnd w:id="96"/>
    </w:p>
    <w:p w14:paraId="4555BB32">
      <w:pPr>
        <w:spacing w:line="360" w:lineRule="auto"/>
        <w:ind w:right="240" w:firstLine="480"/>
        <w:rPr>
          <w:rFonts w:ascii="宋体"/>
          <w:kern w:val="0"/>
          <w:highlight w:val="none"/>
        </w:rPr>
      </w:pPr>
      <w:r>
        <w:rPr>
          <w:rFonts w:hint="eastAsia" w:ascii="宋体"/>
          <w:kern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04FB4968">
      <w:pPr>
        <w:numPr>
          <w:ilvl w:val="0"/>
          <w:numId w:val="27"/>
        </w:numPr>
        <w:tabs>
          <w:tab w:val="left" w:pos="1276"/>
          <w:tab w:val="clear" w:pos="877"/>
        </w:tabs>
        <w:autoSpaceDE/>
        <w:autoSpaceDN/>
        <w:spacing w:before="163" w:line="360" w:lineRule="auto"/>
        <w:ind w:left="-480" w:leftChars="-200" w:right="240" w:firstLine="482" w:firstLineChars="0"/>
        <w:rPr>
          <w:rFonts w:ascii="宋体"/>
          <w:b/>
          <w:highlight w:val="none"/>
        </w:rPr>
      </w:pPr>
      <w:r>
        <w:rPr>
          <w:rFonts w:hint="eastAsia" w:ascii="宋体"/>
          <w:b/>
          <w:highlight w:val="none"/>
        </w:rPr>
        <w:t>附件</w:t>
      </w:r>
    </w:p>
    <w:p w14:paraId="373BBEE6">
      <w:pPr>
        <w:spacing w:line="360" w:lineRule="auto"/>
        <w:ind w:right="240" w:firstLine="480"/>
        <w:rPr>
          <w:rFonts w:ascii="宋体"/>
          <w:highlight w:val="none"/>
        </w:rPr>
      </w:pPr>
      <w:r>
        <w:rPr>
          <w:rFonts w:hint="eastAsia" w:ascii="宋体"/>
          <w:kern w:val="0"/>
          <w:highlight w:val="none"/>
        </w:rPr>
        <w:t>本合同的附件如下，</w:t>
      </w:r>
      <w:r>
        <w:rPr>
          <w:rFonts w:hint="eastAsia" w:ascii="宋体"/>
          <w:highlight w:val="none"/>
        </w:rPr>
        <w:t>附件与合同正本具有同等法律效力，主合同与附件如有冲突，以主合同为准。</w:t>
      </w:r>
    </w:p>
    <w:p w14:paraId="0A17462A">
      <w:pPr>
        <w:spacing w:line="360" w:lineRule="auto"/>
        <w:ind w:right="240" w:firstLine="480"/>
        <w:rPr>
          <w:rFonts w:ascii="宋体"/>
          <w:kern w:val="0"/>
          <w:highlight w:val="none"/>
        </w:rPr>
      </w:pPr>
      <w:r>
        <w:rPr>
          <w:rFonts w:hint="eastAsia" w:ascii="宋体"/>
          <w:kern w:val="0"/>
          <w:highlight w:val="none"/>
        </w:rPr>
        <w:t>附件1：产品技术指标列表</w:t>
      </w:r>
    </w:p>
    <w:p w14:paraId="39EB6D1C">
      <w:pPr>
        <w:spacing w:line="360" w:lineRule="auto"/>
        <w:ind w:right="240" w:firstLine="480"/>
        <w:rPr>
          <w:rFonts w:ascii="宋体"/>
          <w:kern w:val="0"/>
          <w:highlight w:val="none"/>
        </w:rPr>
      </w:pPr>
      <w:r>
        <w:rPr>
          <w:rFonts w:hint="eastAsia" w:ascii="宋体"/>
          <w:kern w:val="0"/>
          <w:highlight w:val="none"/>
        </w:rPr>
        <w:t>附件2：货物签收表</w:t>
      </w:r>
    </w:p>
    <w:p w14:paraId="17C59953">
      <w:pPr>
        <w:spacing w:line="360" w:lineRule="auto"/>
        <w:ind w:right="240" w:firstLine="480"/>
        <w:rPr>
          <w:rFonts w:ascii="宋体"/>
          <w:kern w:val="0"/>
          <w:highlight w:val="none"/>
        </w:rPr>
      </w:pPr>
      <w:r>
        <w:rPr>
          <w:rFonts w:hint="eastAsia" w:ascii="宋体"/>
          <w:kern w:val="0"/>
          <w:highlight w:val="none"/>
        </w:rPr>
        <w:t>附件3：最终验收表</w:t>
      </w:r>
    </w:p>
    <w:p w14:paraId="1297C9F1">
      <w:pPr>
        <w:spacing w:line="360" w:lineRule="auto"/>
        <w:ind w:right="240" w:firstLine="480"/>
        <w:rPr>
          <w:rFonts w:ascii="宋体"/>
          <w:kern w:val="0"/>
          <w:highlight w:val="none"/>
        </w:rPr>
      </w:pPr>
      <w:r>
        <w:rPr>
          <w:rFonts w:hint="eastAsia" w:ascii="宋体"/>
          <w:kern w:val="0"/>
          <w:highlight w:val="none"/>
        </w:rPr>
        <w:t>附件4：</w:t>
      </w:r>
      <w:r>
        <w:rPr>
          <w:rFonts w:hint="eastAsia"/>
          <w:color w:val="000000"/>
          <w:highlight w:val="none"/>
        </w:rPr>
        <w:t>服务连续性预案</w:t>
      </w:r>
    </w:p>
    <w:p w14:paraId="642ACC49">
      <w:pPr>
        <w:numPr>
          <w:ilvl w:val="0"/>
          <w:numId w:val="27"/>
        </w:numPr>
        <w:tabs>
          <w:tab w:val="left" w:pos="1276"/>
          <w:tab w:val="clear" w:pos="877"/>
        </w:tabs>
        <w:autoSpaceDE/>
        <w:autoSpaceDN/>
        <w:spacing w:before="163" w:line="360" w:lineRule="auto"/>
        <w:ind w:left="-360" w:leftChars="-150" w:right="240" w:firstLine="482" w:firstLineChars="0"/>
        <w:rPr>
          <w:rFonts w:ascii="宋体"/>
          <w:b/>
          <w:highlight w:val="none"/>
        </w:rPr>
      </w:pPr>
      <w:r>
        <w:rPr>
          <w:rFonts w:hint="eastAsia" w:ascii="宋体"/>
          <w:b/>
          <w:highlight w:val="none"/>
        </w:rPr>
        <w:t>其他事宜</w:t>
      </w:r>
    </w:p>
    <w:p w14:paraId="58EBED07">
      <w:pPr>
        <w:tabs>
          <w:tab w:val="left" w:pos="851"/>
        </w:tabs>
        <w:spacing w:line="360" w:lineRule="auto"/>
        <w:ind w:right="240" w:rightChars="100" w:firstLine="480"/>
        <w:rPr>
          <w:rFonts w:ascii="宋体"/>
          <w:highlight w:val="none"/>
        </w:rPr>
      </w:pPr>
      <w:r>
        <w:rPr>
          <w:rFonts w:hint="eastAsia" w:ascii="宋体"/>
          <w:highlight w:val="none"/>
        </w:rPr>
        <w:t>19.1 本合同在甲乙双方加盖公章或合同章后生效。</w:t>
      </w:r>
    </w:p>
    <w:p w14:paraId="6DF0FD95">
      <w:pPr>
        <w:tabs>
          <w:tab w:val="left" w:pos="851"/>
        </w:tabs>
        <w:spacing w:line="360" w:lineRule="auto"/>
        <w:ind w:right="240" w:rightChars="100" w:firstLine="480"/>
        <w:rPr>
          <w:rFonts w:ascii="宋体"/>
          <w:highlight w:val="none"/>
        </w:rPr>
      </w:pPr>
      <w:r>
        <w:rPr>
          <w:rFonts w:hint="eastAsia" w:ascii="宋体"/>
          <w:highlight w:val="none"/>
        </w:rPr>
        <w:t>19.2 本合同双方在未取得对方事先书面同意的前提下，均不得将各自本合同项下的任何权利或义务转让给第三方。</w:t>
      </w:r>
    </w:p>
    <w:p w14:paraId="513D2760">
      <w:pPr>
        <w:tabs>
          <w:tab w:val="left" w:pos="851"/>
        </w:tabs>
        <w:spacing w:line="360" w:lineRule="auto"/>
        <w:ind w:right="240" w:rightChars="100" w:firstLine="480"/>
        <w:rPr>
          <w:rFonts w:ascii="宋体"/>
          <w:highlight w:val="none"/>
        </w:rPr>
      </w:pPr>
      <w:r>
        <w:rPr>
          <w:rFonts w:hint="eastAsia" w:ascii="宋体"/>
          <w:highlight w:val="none"/>
        </w:rPr>
        <w:t>19.3 本合同之未尽事宜双方协商解决，对本合同及其附件的内容进行变更，必须经双方协商一致并签订补充协议。</w:t>
      </w:r>
    </w:p>
    <w:p w14:paraId="321C7D98">
      <w:pPr>
        <w:tabs>
          <w:tab w:val="left" w:pos="851"/>
        </w:tabs>
        <w:spacing w:line="360" w:lineRule="auto"/>
        <w:ind w:right="240" w:rightChars="100" w:firstLine="480"/>
        <w:rPr>
          <w:rFonts w:ascii="宋体"/>
          <w:highlight w:val="none"/>
        </w:rPr>
      </w:pPr>
      <w:r>
        <w:rPr>
          <w:rFonts w:hint="eastAsia" w:ascii="宋体"/>
          <w:highlight w:val="none"/>
        </w:rPr>
        <w:t>19.4 本合同一式肆份，甲、乙双方各贰份，具有同等法律效力。</w:t>
      </w:r>
    </w:p>
    <w:p w14:paraId="0A0B0365">
      <w:pPr>
        <w:tabs>
          <w:tab w:val="left" w:pos="851"/>
        </w:tabs>
        <w:spacing w:line="360" w:lineRule="auto"/>
        <w:ind w:right="240" w:rightChars="100" w:firstLine="480"/>
        <w:rPr>
          <w:rFonts w:ascii="宋体"/>
          <w:highlight w:val="none"/>
        </w:rPr>
      </w:pPr>
      <w:r>
        <w:rPr>
          <w:rFonts w:hint="eastAsia" w:ascii="宋体"/>
          <w:highlight w:val="none"/>
        </w:rPr>
        <w:t>19.5 本合同传真件和复印件无效。</w:t>
      </w:r>
    </w:p>
    <w:p w14:paraId="638DDEA1">
      <w:pPr>
        <w:tabs>
          <w:tab w:val="left" w:pos="851"/>
        </w:tabs>
        <w:spacing w:line="360" w:lineRule="auto"/>
        <w:ind w:right="240" w:rightChars="100" w:firstLine="480"/>
        <w:rPr>
          <w:rFonts w:ascii="宋体"/>
          <w:highlight w:val="none"/>
        </w:rPr>
      </w:pPr>
      <w:r>
        <w:rPr>
          <w:rFonts w:hint="eastAsia" w:ascii="宋体"/>
          <w:highlight w:val="none"/>
        </w:rPr>
        <w:t xml:space="preserve">19.6 </w:t>
      </w:r>
      <w:r>
        <w:rPr>
          <w:rFonts w:hint="eastAsia" w:ascii="宋体"/>
          <w:bCs/>
          <w:highlight w:val="none"/>
        </w:rPr>
        <w:t>乙方保证遵守甲方《重庆三峡银行员工回避管理办法》中招录回避、任职回避、公务回避的相关要求。若发现乙方人员与甲方内部人员存在亲属关系，乙方应主动报告，并采取相应回避措施。</w:t>
      </w:r>
    </w:p>
    <w:p w14:paraId="54A2B562">
      <w:pPr>
        <w:spacing w:line="360" w:lineRule="auto"/>
        <w:ind w:right="240" w:firstLine="482"/>
        <w:rPr>
          <w:rFonts w:ascii="宋体"/>
          <w:b/>
          <w:highlight w:val="none"/>
        </w:rPr>
      </w:pPr>
      <w:r>
        <w:rPr>
          <w:rFonts w:hint="eastAsia" w:ascii="宋体"/>
          <w:b/>
          <w:highlight w:val="none"/>
        </w:rPr>
        <w:t>（以下无正文）</w:t>
      </w:r>
    </w:p>
    <w:p w14:paraId="011543DA">
      <w:pPr>
        <w:spacing w:line="360" w:lineRule="auto"/>
        <w:ind w:left="240" w:right="240" w:firstLine="0" w:firstLineChars="0"/>
        <w:rPr>
          <w:rFonts w:ascii="宋体"/>
          <w:b/>
          <w:highlight w:val="none"/>
        </w:rPr>
      </w:pPr>
    </w:p>
    <w:p w14:paraId="27D8AE1B">
      <w:pPr>
        <w:spacing w:line="360" w:lineRule="auto"/>
        <w:ind w:left="240" w:right="240" w:firstLine="0" w:firstLineChars="0"/>
        <w:rPr>
          <w:rFonts w:ascii="宋体"/>
          <w:b/>
          <w:highlight w:val="none"/>
        </w:rPr>
      </w:pPr>
    </w:p>
    <w:p w14:paraId="3E9C0638">
      <w:pPr>
        <w:spacing w:line="360" w:lineRule="auto"/>
        <w:ind w:left="4939" w:right="240" w:hanging="4939" w:hangingChars="2050"/>
        <w:rPr>
          <w:rFonts w:ascii="宋体"/>
          <w:b/>
          <w:highlight w:val="none"/>
          <w:u w:val="single"/>
        </w:rPr>
      </w:pPr>
      <w:r>
        <w:rPr>
          <w:rFonts w:hint="eastAsia" w:ascii="宋体"/>
          <w:b/>
          <w:highlight w:val="none"/>
        </w:rPr>
        <w:t>甲方：</w:t>
      </w:r>
      <w:r>
        <w:rPr>
          <w:rFonts w:hint="eastAsia" w:ascii="宋体"/>
          <w:b/>
          <w:highlight w:val="none"/>
          <w:u w:val="single"/>
        </w:rPr>
        <w:t>重庆三峡银行股份有限公司</w:t>
      </w:r>
      <w:r>
        <w:rPr>
          <w:rFonts w:hint="eastAsia" w:ascii="宋体"/>
          <w:b/>
          <w:highlight w:val="none"/>
        </w:rPr>
        <w:t xml:space="preserve">        乙方：</w:t>
      </w:r>
      <w:r>
        <w:rPr>
          <w:rFonts w:hint="eastAsia" w:ascii="宋体"/>
          <w:b/>
          <w:highlight w:val="none"/>
          <w:u w:val="single"/>
        </w:rPr>
        <w:t xml:space="preserve">        xxxxx公司       </w:t>
      </w:r>
    </w:p>
    <w:p w14:paraId="02A77178">
      <w:pPr>
        <w:spacing w:line="360" w:lineRule="auto"/>
        <w:ind w:left="240" w:right="240" w:firstLine="482"/>
        <w:rPr>
          <w:rFonts w:ascii="宋体"/>
          <w:b/>
          <w:highlight w:val="none"/>
        </w:rPr>
      </w:pPr>
    </w:p>
    <w:p w14:paraId="6CB8BF97">
      <w:pPr>
        <w:spacing w:line="360" w:lineRule="auto"/>
        <w:ind w:left="240" w:right="240" w:firstLine="482"/>
        <w:rPr>
          <w:rFonts w:ascii="宋体"/>
          <w:b/>
          <w:highlight w:val="none"/>
        </w:rPr>
      </w:pPr>
      <w:r>
        <w:rPr>
          <w:rFonts w:hint="eastAsia" w:ascii="宋体"/>
          <w:b/>
          <w:highlight w:val="none"/>
        </w:rPr>
        <w:t>（签章）：</w:t>
      </w:r>
      <w:r>
        <w:rPr>
          <w:rFonts w:hint="eastAsia" w:ascii="宋体"/>
          <w:b/>
          <w:highlight w:val="none"/>
          <w:u w:val="single"/>
        </w:rPr>
        <w:t xml:space="preserve">           </w:t>
      </w:r>
      <w:r>
        <w:rPr>
          <w:rFonts w:hint="eastAsia" w:ascii="宋体"/>
          <w:b/>
          <w:highlight w:val="none"/>
        </w:rPr>
        <w:t xml:space="preserve">               （签章）：</w:t>
      </w:r>
      <w:r>
        <w:rPr>
          <w:rFonts w:hint="eastAsia" w:ascii="宋体"/>
          <w:b/>
          <w:highlight w:val="none"/>
          <w:u w:val="single"/>
        </w:rPr>
        <w:t xml:space="preserve">           </w:t>
      </w:r>
    </w:p>
    <w:p w14:paraId="069AEA24">
      <w:pPr>
        <w:spacing w:line="360" w:lineRule="auto"/>
        <w:ind w:left="240" w:right="240" w:firstLine="482"/>
        <w:rPr>
          <w:rFonts w:ascii="宋体"/>
          <w:b/>
          <w:highlight w:val="none"/>
        </w:rPr>
      </w:pPr>
      <w:r>
        <w:rPr>
          <w:rFonts w:hint="eastAsia" w:ascii="宋体"/>
          <w:b/>
          <w:highlight w:val="none"/>
        </w:rPr>
        <w:tab/>
      </w:r>
      <w:r>
        <w:rPr>
          <w:rFonts w:hint="eastAsia" w:ascii="宋体"/>
          <w:b/>
          <w:highlight w:val="none"/>
        </w:rPr>
        <w:tab/>
      </w:r>
      <w:r>
        <w:rPr>
          <w:rFonts w:hint="eastAsia" w:ascii="宋体"/>
          <w:b/>
          <w:highlight w:val="none"/>
        </w:rPr>
        <w:tab/>
      </w:r>
      <w:r>
        <w:rPr>
          <w:rFonts w:hint="eastAsia" w:ascii="宋体"/>
          <w:b/>
          <w:highlight w:val="none"/>
        </w:rPr>
        <w:tab/>
      </w:r>
      <w:r>
        <w:rPr>
          <w:rFonts w:hint="eastAsia" w:ascii="宋体"/>
          <w:b/>
          <w:highlight w:val="none"/>
        </w:rPr>
        <w:tab/>
      </w:r>
      <w:r>
        <w:rPr>
          <w:rFonts w:hint="eastAsia" w:ascii="宋体"/>
          <w:b/>
          <w:highlight w:val="none"/>
        </w:rPr>
        <w:tab/>
      </w:r>
      <w:r>
        <w:rPr>
          <w:rFonts w:hint="eastAsia" w:ascii="宋体"/>
          <w:b/>
          <w:highlight w:val="none"/>
        </w:rPr>
        <w:t xml:space="preserve"> </w:t>
      </w:r>
      <w:r>
        <w:rPr>
          <w:rFonts w:hint="eastAsia" w:ascii="宋体"/>
          <w:b/>
          <w:sz w:val="18"/>
          <w:highlight w:val="none"/>
        </w:rPr>
        <w:t xml:space="preserve"> </w:t>
      </w:r>
      <w:r>
        <w:rPr>
          <w:rFonts w:hint="eastAsia" w:ascii="宋体"/>
          <w:b/>
          <w:highlight w:val="none"/>
        </w:rPr>
        <w:t xml:space="preserve">     </w:t>
      </w:r>
    </w:p>
    <w:p w14:paraId="001508E0">
      <w:pPr>
        <w:spacing w:line="360" w:lineRule="auto"/>
        <w:ind w:left="240" w:right="240" w:firstLine="482"/>
        <w:jc w:val="right"/>
        <w:rPr>
          <w:rFonts w:ascii="宋体"/>
          <w:b/>
          <w:highlight w:val="none"/>
        </w:rPr>
      </w:pPr>
      <w:r>
        <w:rPr>
          <w:rFonts w:hint="eastAsia" w:ascii="宋体"/>
          <w:b/>
          <w:highlight w:val="none"/>
        </w:rPr>
        <w:t xml:space="preserve">         日期：</w:t>
      </w:r>
      <w:r>
        <w:rPr>
          <w:rFonts w:hint="eastAsia" w:ascii="宋体"/>
          <w:b/>
          <w:highlight w:val="none"/>
          <w:u w:val="single"/>
        </w:rPr>
        <w:t xml:space="preserve">      </w:t>
      </w:r>
      <w:r>
        <w:rPr>
          <w:rFonts w:hint="eastAsia" w:ascii="宋体"/>
          <w:b/>
          <w:highlight w:val="none"/>
        </w:rPr>
        <w:t>年</w:t>
      </w:r>
      <w:r>
        <w:rPr>
          <w:rFonts w:hint="eastAsia" w:ascii="宋体"/>
          <w:b/>
          <w:highlight w:val="none"/>
          <w:u w:val="single"/>
        </w:rPr>
        <w:t xml:space="preserve">    </w:t>
      </w:r>
      <w:r>
        <w:rPr>
          <w:rFonts w:hint="eastAsia" w:ascii="宋体"/>
          <w:b/>
          <w:highlight w:val="none"/>
        </w:rPr>
        <w:t>月</w:t>
      </w:r>
      <w:r>
        <w:rPr>
          <w:rFonts w:hint="eastAsia" w:ascii="宋体"/>
          <w:b/>
          <w:highlight w:val="none"/>
          <w:u w:val="single"/>
        </w:rPr>
        <w:t xml:space="preserve">    </w:t>
      </w:r>
      <w:r>
        <w:rPr>
          <w:rFonts w:hint="eastAsia" w:ascii="宋体"/>
          <w:b/>
          <w:highlight w:val="none"/>
        </w:rPr>
        <w:t>日</w:t>
      </w:r>
    </w:p>
    <w:p w14:paraId="420229C7">
      <w:pPr>
        <w:widowControl/>
        <w:autoSpaceDE/>
        <w:autoSpaceDN/>
        <w:spacing w:line="240" w:lineRule="auto"/>
        <w:ind w:firstLine="0" w:firstLineChars="0"/>
        <w:jc w:val="left"/>
        <w:rPr>
          <w:rFonts w:ascii="宋体"/>
          <w:b/>
          <w:highlight w:val="none"/>
        </w:rPr>
      </w:pPr>
      <w:r>
        <w:rPr>
          <w:rFonts w:hint="eastAsia" w:ascii="宋体"/>
          <w:b/>
          <w:highlight w:val="none"/>
        </w:rPr>
        <w:br w:type="page"/>
      </w:r>
      <w:r>
        <w:rPr>
          <w:rFonts w:hint="eastAsia" w:ascii="宋体"/>
          <w:b/>
          <w:highlight w:val="none"/>
        </w:rPr>
        <w:t>附件1 产品技术指标列表</w:t>
      </w:r>
    </w:p>
    <w:p w14:paraId="68099E2B">
      <w:pPr>
        <w:widowControl/>
        <w:autoSpaceDE/>
        <w:autoSpaceDN/>
        <w:spacing w:line="240" w:lineRule="auto"/>
        <w:ind w:firstLine="0" w:firstLineChars="0"/>
        <w:jc w:val="left"/>
        <w:rPr>
          <w:rFonts w:ascii="宋体"/>
          <w:b/>
          <w:sz w:val="28"/>
          <w:szCs w:val="28"/>
          <w:highlight w:val="none"/>
        </w:rPr>
      </w:pPr>
    </w:p>
    <w:tbl>
      <w:tblPr>
        <w:tblStyle w:val="17"/>
        <w:tblW w:w="9014" w:type="dxa"/>
        <w:tblInd w:w="-294" w:type="dxa"/>
        <w:tblLayout w:type="autofit"/>
        <w:tblCellMar>
          <w:top w:w="0" w:type="dxa"/>
          <w:left w:w="108" w:type="dxa"/>
          <w:bottom w:w="0" w:type="dxa"/>
          <w:right w:w="108" w:type="dxa"/>
        </w:tblCellMar>
      </w:tblPr>
      <w:tblGrid>
        <w:gridCol w:w="794"/>
        <w:gridCol w:w="1240"/>
        <w:gridCol w:w="6980"/>
      </w:tblGrid>
      <w:tr w14:paraId="285BE091">
        <w:tblPrEx>
          <w:tblCellMar>
            <w:top w:w="0" w:type="dxa"/>
            <w:left w:w="108" w:type="dxa"/>
            <w:bottom w:w="0" w:type="dxa"/>
            <w:right w:w="108" w:type="dxa"/>
          </w:tblCellMar>
        </w:tblPrEx>
        <w:trPr>
          <w:trHeight w:val="263" w:hRule="atLeast"/>
        </w:trPr>
        <w:tc>
          <w:tcPr>
            <w:tcW w:w="794" w:type="dxa"/>
            <w:tcBorders>
              <w:top w:val="single" w:color="auto" w:sz="8" w:space="0"/>
              <w:left w:val="single" w:color="auto" w:sz="8" w:space="0"/>
              <w:bottom w:val="single" w:color="auto" w:sz="8" w:space="0"/>
              <w:right w:val="single" w:color="auto" w:sz="8" w:space="0"/>
            </w:tcBorders>
            <w:shd w:val="clear" w:color="auto" w:fill="auto"/>
            <w:vAlign w:val="center"/>
          </w:tcPr>
          <w:p w14:paraId="5405CE28">
            <w:pPr>
              <w:widowControl/>
              <w:autoSpaceDE/>
              <w:autoSpaceDN/>
              <w:spacing w:line="240" w:lineRule="auto"/>
              <w:ind w:firstLine="0" w:firstLineChars="0"/>
              <w:jc w:val="center"/>
              <w:rPr>
                <w:rFonts w:ascii="宋体" w:hAnsi="宋体" w:cs="宋体"/>
                <w:b/>
                <w:bCs/>
                <w:kern w:val="0"/>
                <w:sz w:val="20"/>
                <w:highlight w:val="none"/>
              </w:rPr>
            </w:pPr>
            <w:r>
              <w:rPr>
                <w:rFonts w:hint="eastAsia" w:ascii="宋体" w:hAnsi="宋体" w:cs="宋体"/>
                <w:b/>
                <w:bCs/>
                <w:kern w:val="0"/>
                <w:sz w:val="20"/>
                <w:highlight w:val="none"/>
              </w:rPr>
              <w:t>序号</w:t>
            </w:r>
          </w:p>
        </w:tc>
        <w:tc>
          <w:tcPr>
            <w:tcW w:w="1240" w:type="dxa"/>
            <w:tcBorders>
              <w:top w:val="single" w:color="auto" w:sz="8" w:space="0"/>
              <w:left w:val="nil"/>
              <w:bottom w:val="single" w:color="auto" w:sz="8" w:space="0"/>
              <w:right w:val="single" w:color="auto" w:sz="8" w:space="0"/>
            </w:tcBorders>
            <w:shd w:val="clear" w:color="auto" w:fill="auto"/>
            <w:vAlign w:val="center"/>
          </w:tcPr>
          <w:p w14:paraId="7DC2BC01">
            <w:pPr>
              <w:widowControl/>
              <w:autoSpaceDE/>
              <w:autoSpaceDN/>
              <w:spacing w:line="240" w:lineRule="auto"/>
              <w:ind w:firstLine="0" w:firstLineChars="0"/>
              <w:jc w:val="center"/>
              <w:rPr>
                <w:rFonts w:ascii="宋体" w:hAnsi="宋体" w:cs="宋体"/>
                <w:b/>
                <w:bCs/>
                <w:kern w:val="0"/>
                <w:sz w:val="20"/>
                <w:highlight w:val="none"/>
              </w:rPr>
            </w:pPr>
            <w:r>
              <w:rPr>
                <w:rFonts w:hint="eastAsia" w:ascii="宋体" w:hAnsi="宋体" w:cs="宋体"/>
                <w:b/>
                <w:bCs/>
                <w:kern w:val="0"/>
                <w:sz w:val="20"/>
                <w:highlight w:val="none"/>
              </w:rPr>
              <w:t>品名</w:t>
            </w:r>
          </w:p>
        </w:tc>
        <w:tc>
          <w:tcPr>
            <w:tcW w:w="6980" w:type="dxa"/>
            <w:tcBorders>
              <w:top w:val="single" w:color="auto" w:sz="8" w:space="0"/>
              <w:left w:val="nil"/>
              <w:bottom w:val="single" w:color="auto" w:sz="8" w:space="0"/>
              <w:right w:val="single" w:color="auto" w:sz="8" w:space="0"/>
            </w:tcBorders>
            <w:shd w:val="clear" w:color="auto" w:fill="auto"/>
            <w:vAlign w:val="center"/>
          </w:tcPr>
          <w:p w14:paraId="32B36CA6">
            <w:pPr>
              <w:widowControl/>
              <w:autoSpaceDE/>
              <w:autoSpaceDN/>
              <w:spacing w:line="240" w:lineRule="auto"/>
              <w:ind w:firstLine="0" w:firstLineChars="0"/>
              <w:jc w:val="center"/>
              <w:rPr>
                <w:rFonts w:ascii="宋体" w:hAnsi="宋体" w:cs="宋体"/>
                <w:b/>
                <w:bCs/>
                <w:kern w:val="0"/>
                <w:sz w:val="20"/>
                <w:highlight w:val="none"/>
              </w:rPr>
            </w:pPr>
            <w:r>
              <w:rPr>
                <w:rFonts w:hint="eastAsia" w:ascii="宋体" w:hAnsi="宋体" w:cs="宋体"/>
                <w:b/>
                <w:bCs/>
                <w:kern w:val="0"/>
                <w:sz w:val="20"/>
                <w:highlight w:val="none"/>
              </w:rPr>
              <w:t>技术参数</w:t>
            </w:r>
          </w:p>
        </w:tc>
      </w:tr>
      <w:tr w14:paraId="6D9EDBA2">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67C2E05B">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3A26006A">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LC尾纤（含熔接）</w:t>
            </w:r>
          </w:p>
        </w:tc>
        <w:tc>
          <w:tcPr>
            <w:tcW w:w="6980" w:type="dxa"/>
            <w:tcBorders>
              <w:top w:val="nil"/>
              <w:left w:val="nil"/>
              <w:bottom w:val="nil"/>
              <w:right w:val="single" w:color="auto" w:sz="8" w:space="0"/>
            </w:tcBorders>
            <w:shd w:val="clear" w:color="auto" w:fill="auto"/>
            <w:vAlign w:val="center"/>
          </w:tcPr>
          <w:p w14:paraId="5EEAB7ED">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性能标准：满足ISO/IEC 11801标准要求。</w:t>
            </w:r>
          </w:p>
        </w:tc>
      </w:tr>
      <w:tr w14:paraId="69772EB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25CBC35">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AACF587">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853FF55">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光纤规格：50/125um-OM3，1米。</w:t>
            </w:r>
          </w:p>
        </w:tc>
      </w:tr>
      <w:tr w14:paraId="3787CAC0">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1C478C8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7FE6E869">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86F0E6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光纤接口：1LC-Pigtail。</w:t>
            </w:r>
          </w:p>
        </w:tc>
      </w:tr>
      <w:tr w14:paraId="3CFD141A">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F79F8F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5513E67">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8D3B616">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插入损耗：≤0.30dB。</w:t>
            </w:r>
          </w:p>
        </w:tc>
      </w:tr>
      <w:tr w14:paraId="304B7C8B">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53F9066E">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37893C3">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13C9659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回波损耗：≥26.0dB。</w:t>
            </w:r>
          </w:p>
        </w:tc>
      </w:tr>
      <w:tr w14:paraId="3B73582A">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5AF5B1CB">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2</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1EB295A9">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通风地板(含底座)</w:t>
            </w:r>
          </w:p>
        </w:tc>
        <w:tc>
          <w:tcPr>
            <w:tcW w:w="6980" w:type="dxa"/>
            <w:tcBorders>
              <w:top w:val="nil"/>
              <w:left w:val="nil"/>
              <w:bottom w:val="nil"/>
              <w:right w:val="single" w:color="auto" w:sz="8" w:space="0"/>
            </w:tcBorders>
            <w:shd w:val="clear" w:color="auto" w:fill="auto"/>
            <w:vAlign w:val="center"/>
          </w:tcPr>
          <w:p w14:paraId="442430DD">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尺寸：600mm x 600mm。</w:t>
            </w:r>
          </w:p>
        </w:tc>
      </w:tr>
      <w:tr w14:paraId="289DFF3A">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30A20D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69AD34A">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CA88909">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材质：高强度钢材或铝合金。</w:t>
            </w:r>
          </w:p>
        </w:tc>
      </w:tr>
      <w:tr w14:paraId="7F4F0DAF">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0552F8F">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F0E527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37EB76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通风率：≥40%，提供高效的空气流通。</w:t>
            </w:r>
          </w:p>
        </w:tc>
      </w:tr>
      <w:tr w14:paraId="561E5FFA">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16CCEAE9">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E5CBBB1">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6996757">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表面处理：防腐蚀涂层，耐磨防滑。</w:t>
            </w:r>
          </w:p>
        </w:tc>
      </w:tr>
      <w:tr w14:paraId="66E7141C">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6654DED2">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0F518CC">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35C52346">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应用：数据中心地面通风冷却。</w:t>
            </w:r>
          </w:p>
        </w:tc>
      </w:tr>
      <w:tr w14:paraId="01D656D1">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49FB74A7">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3</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4EB6F585">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静电地板(含底座)</w:t>
            </w:r>
          </w:p>
        </w:tc>
        <w:tc>
          <w:tcPr>
            <w:tcW w:w="6980" w:type="dxa"/>
            <w:tcBorders>
              <w:top w:val="nil"/>
              <w:left w:val="nil"/>
              <w:bottom w:val="nil"/>
              <w:right w:val="single" w:color="auto" w:sz="8" w:space="0"/>
            </w:tcBorders>
            <w:shd w:val="clear" w:color="auto" w:fill="auto"/>
            <w:vAlign w:val="center"/>
          </w:tcPr>
          <w:p w14:paraId="5BF5DAC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尺寸：600mm x 600mm</w:t>
            </w:r>
          </w:p>
        </w:tc>
      </w:tr>
      <w:tr w14:paraId="5A227258">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16CD399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A27090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6926B1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材质：高强度钢材，表面导电涂层</w:t>
            </w:r>
          </w:p>
        </w:tc>
      </w:tr>
      <w:tr w14:paraId="2CB5FCF3">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6898DE1">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614F0DE">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C693F8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抗静电性能：表面电阻符合国家标准，防止静电积累</w:t>
            </w:r>
          </w:p>
        </w:tc>
      </w:tr>
      <w:tr w14:paraId="268F2571">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5CB5BBE2">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2F5C37D">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69596BF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表面处理：耐磨、防腐蚀涂层。</w:t>
            </w:r>
          </w:p>
        </w:tc>
      </w:tr>
      <w:tr w14:paraId="428B20B4">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5C9C238F">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4</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6D0D1809">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六类非屏蔽双绞线</w:t>
            </w:r>
          </w:p>
        </w:tc>
        <w:tc>
          <w:tcPr>
            <w:tcW w:w="6980" w:type="dxa"/>
            <w:tcBorders>
              <w:top w:val="nil"/>
              <w:left w:val="nil"/>
              <w:bottom w:val="nil"/>
              <w:right w:val="single" w:color="auto" w:sz="8" w:space="0"/>
            </w:tcBorders>
            <w:shd w:val="clear" w:color="auto" w:fill="auto"/>
            <w:vAlign w:val="center"/>
          </w:tcPr>
          <w:p w14:paraId="2A601179">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性能标准：满足ISO/IEC 11801、GB/T 50312标准要求，信道带宽≥250MHz。</w:t>
            </w:r>
          </w:p>
        </w:tc>
      </w:tr>
      <w:tr w14:paraId="4502B54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E7279BF">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8B584DB">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6B691C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线缆结构：四对非屏蔽双绞线，线对之间被内部十字支撑架分隔。</w:t>
            </w:r>
          </w:p>
        </w:tc>
      </w:tr>
      <w:tr w14:paraId="161CDD77">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13F0B9DD">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51703B1">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EF55DD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导体线规：23AWG。</w:t>
            </w:r>
          </w:p>
        </w:tc>
      </w:tr>
      <w:tr w14:paraId="21931AB3">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C68DD1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DF6CAC6">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4FCDB484">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阻燃等级：LSZH低烟无卤，满足IEC60332-3标准。</w:t>
            </w:r>
          </w:p>
        </w:tc>
      </w:tr>
      <w:tr w14:paraId="10DB6E62">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3740A5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5BD5FC2">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D0F592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包装结构：箱装并贴有质检合格的QC二维码标签，易于抽出线缆，方便施工。</w:t>
            </w:r>
          </w:p>
        </w:tc>
      </w:tr>
      <w:tr w14:paraId="3E3622B0">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4D2650D6">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1F7F42A">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305EC19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长度标记：递减的长度尺寸标识，简化安装，减少浪费。</w:t>
            </w:r>
          </w:p>
        </w:tc>
      </w:tr>
      <w:tr w14:paraId="00D65A96">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right w:val="single" w:color="auto" w:sz="8" w:space="0"/>
            </w:tcBorders>
            <w:shd w:val="clear" w:color="auto" w:fill="auto"/>
            <w:vAlign w:val="center"/>
          </w:tcPr>
          <w:p w14:paraId="3DDD8970">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5</w:t>
            </w:r>
          </w:p>
        </w:tc>
        <w:tc>
          <w:tcPr>
            <w:tcW w:w="1240" w:type="dxa"/>
            <w:vMerge w:val="restart"/>
            <w:tcBorders>
              <w:top w:val="nil"/>
              <w:left w:val="single" w:color="auto" w:sz="8" w:space="0"/>
              <w:right w:val="single" w:color="auto" w:sz="8" w:space="0"/>
            </w:tcBorders>
            <w:shd w:val="clear" w:color="auto" w:fill="auto"/>
            <w:vAlign w:val="center"/>
          </w:tcPr>
          <w:p w14:paraId="76EE5CCF">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六类非屏蔽双绞线跳线</w:t>
            </w:r>
          </w:p>
        </w:tc>
        <w:tc>
          <w:tcPr>
            <w:tcW w:w="6980" w:type="dxa"/>
            <w:tcBorders>
              <w:top w:val="nil"/>
              <w:left w:val="nil"/>
              <w:bottom w:val="nil"/>
              <w:right w:val="single" w:color="auto" w:sz="8" w:space="0"/>
            </w:tcBorders>
            <w:shd w:val="clear" w:color="auto" w:fill="auto"/>
            <w:vAlign w:val="center"/>
          </w:tcPr>
          <w:p w14:paraId="316B6A36">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性能标准：满足ISO/IEC 11801标准要求，信道带宽≥250MHz。</w:t>
            </w:r>
          </w:p>
        </w:tc>
      </w:tr>
      <w:tr w14:paraId="221D21ED">
        <w:tblPrEx>
          <w:tblCellMar>
            <w:top w:w="0" w:type="dxa"/>
            <w:left w:w="108" w:type="dxa"/>
            <w:bottom w:w="0" w:type="dxa"/>
            <w:right w:w="108" w:type="dxa"/>
          </w:tblCellMar>
        </w:tblPrEx>
        <w:trPr>
          <w:trHeight w:val="255" w:hRule="atLeast"/>
        </w:trPr>
        <w:tc>
          <w:tcPr>
            <w:tcW w:w="794" w:type="dxa"/>
            <w:vMerge w:val="continue"/>
            <w:tcBorders>
              <w:left w:val="single" w:color="auto" w:sz="8" w:space="0"/>
              <w:right w:val="single" w:color="auto" w:sz="8" w:space="0"/>
            </w:tcBorders>
            <w:vAlign w:val="center"/>
          </w:tcPr>
          <w:p w14:paraId="3A5DCC1D">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left w:val="single" w:color="auto" w:sz="8" w:space="0"/>
              <w:right w:val="single" w:color="auto" w:sz="8" w:space="0"/>
            </w:tcBorders>
            <w:vAlign w:val="center"/>
          </w:tcPr>
          <w:p w14:paraId="3B6C410A">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4307ED0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PoE应用：符合802.3bt type 4 (PoE++)标准要求的PoE应用。</w:t>
            </w:r>
          </w:p>
        </w:tc>
      </w:tr>
      <w:tr w14:paraId="61A510D0">
        <w:tblPrEx>
          <w:tblCellMar>
            <w:top w:w="0" w:type="dxa"/>
            <w:left w:w="108" w:type="dxa"/>
            <w:bottom w:w="0" w:type="dxa"/>
            <w:right w:w="108" w:type="dxa"/>
          </w:tblCellMar>
        </w:tblPrEx>
        <w:trPr>
          <w:trHeight w:val="255" w:hRule="atLeast"/>
        </w:trPr>
        <w:tc>
          <w:tcPr>
            <w:tcW w:w="794" w:type="dxa"/>
            <w:vMerge w:val="continue"/>
            <w:tcBorders>
              <w:left w:val="single" w:color="auto" w:sz="8" w:space="0"/>
              <w:right w:val="single" w:color="auto" w:sz="8" w:space="0"/>
            </w:tcBorders>
            <w:vAlign w:val="center"/>
          </w:tcPr>
          <w:p w14:paraId="52AB48A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left w:val="single" w:color="auto" w:sz="8" w:space="0"/>
              <w:right w:val="single" w:color="auto" w:sz="8" w:space="0"/>
            </w:tcBorders>
            <w:vAlign w:val="center"/>
          </w:tcPr>
          <w:p w14:paraId="100F1A6B">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E7535F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耐用次数：≥2500次。</w:t>
            </w:r>
          </w:p>
        </w:tc>
      </w:tr>
      <w:tr w14:paraId="601DE1EE">
        <w:tblPrEx>
          <w:tblCellMar>
            <w:top w:w="0" w:type="dxa"/>
            <w:left w:w="108" w:type="dxa"/>
            <w:bottom w:w="0" w:type="dxa"/>
            <w:right w:w="108" w:type="dxa"/>
          </w:tblCellMar>
        </w:tblPrEx>
        <w:trPr>
          <w:trHeight w:val="255" w:hRule="atLeast"/>
        </w:trPr>
        <w:tc>
          <w:tcPr>
            <w:tcW w:w="794" w:type="dxa"/>
            <w:vMerge w:val="continue"/>
            <w:tcBorders>
              <w:left w:val="single" w:color="auto" w:sz="8" w:space="0"/>
              <w:right w:val="single" w:color="auto" w:sz="8" w:space="0"/>
            </w:tcBorders>
            <w:vAlign w:val="center"/>
          </w:tcPr>
          <w:p w14:paraId="1482D69A">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left w:val="single" w:color="auto" w:sz="8" w:space="0"/>
              <w:right w:val="single" w:color="auto" w:sz="8" w:space="0"/>
            </w:tcBorders>
            <w:vAlign w:val="center"/>
          </w:tcPr>
          <w:p w14:paraId="7A6FA00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75AC3FF">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阻燃等级：LSZH低烟无卤。</w:t>
            </w:r>
          </w:p>
        </w:tc>
      </w:tr>
      <w:tr w14:paraId="52A4FDDD">
        <w:tblPrEx>
          <w:tblCellMar>
            <w:top w:w="0" w:type="dxa"/>
            <w:left w:w="108" w:type="dxa"/>
            <w:bottom w:w="0" w:type="dxa"/>
            <w:right w:w="108" w:type="dxa"/>
          </w:tblCellMar>
        </w:tblPrEx>
        <w:trPr>
          <w:trHeight w:val="255" w:hRule="atLeast"/>
        </w:trPr>
        <w:tc>
          <w:tcPr>
            <w:tcW w:w="794" w:type="dxa"/>
            <w:vMerge w:val="continue"/>
            <w:tcBorders>
              <w:left w:val="single" w:color="auto" w:sz="8" w:space="0"/>
              <w:right w:val="single" w:color="auto" w:sz="8" w:space="0"/>
            </w:tcBorders>
            <w:vAlign w:val="center"/>
          </w:tcPr>
          <w:p w14:paraId="75714E8F">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left w:val="single" w:color="auto" w:sz="8" w:space="0"/>
              <w:right w:val="single" w:color="auto" w:sz="8" w:space="0"/>
            </w:tcBorders>
            <w:vAlign w:val="center"/>
          </w:tcPr>
          <w:p w14:paraId="16DFC1C2">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118E20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导线规格：28AWG，细缆。</w:t>
            </w:r>
          </w:p>
        </w:tc>
      </w:tr>
      <w:tr w14:paraId="191E1E05">
        <w:tblPrEx>
          <w:tblCellMar>
            <w:top w:w="0" w:type="dxa"/>
            <w:left w:w="108" w:type="dxa"/>
            <w:bottom w:w="0" w:type="dxa"/>
            <w:right w:w="108" w:type="dxa"/>
          </w:tblCellMar>
        </w:tblPrEx>
        <w:trPr>
          <w:trHeight w:val="510" w:hRule="atLeast"/>
        </w:trPr>
        <w:tc>
          <w:tcPr>
            <w:tcW w:w="794" w:type="dxa"/>
            <w:vMerge w:val="continue"/>
            <w:tcBorders>
              <w:left w:val="single" w:color="auto" w:sz="8" w:space="0"/>
              <w:right w:val="single" w:color="auto" w:sz="8" w:space="0"/>
            </w:tcBorders>
            <w:vAlign w:val="center"/>
          </w:tcPr>
          <w:p w14:paraId="1EABEBC4">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left w:val="single" w:color="auto" w:sz="8" w:space="0"/>
              <w:right w:val="single" w:color="auto" w:sz="8" w:space="0"/>
            </w:tcBorders>
            <w:vAlign w:val="center"/>
          </w:tcPr>
          <w:p w14:paraId="448087EF">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1EBAB7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线对解绞：线对解绞长度须控制在至多5mm(线缆外皮距离水晶头金针之间)，透明可见。</w:t>
            </w:r>
          </w:p>
        </w:tc>
      </w:tr>
      <w:tr w14:paraId="3B34701D">
        <w:tblPrEx>
          <w:tblCellMar>
            <w:top w:w="0" w:type="dxa"/>
            <w:left w:w="108" w:type="dxa"/>
            <w:bottom w:w="0" w:type="dxa"/>
            <w:right w:w="108" w:type="dxa"/>
          </w:tblCellMar>
        </w:tblPrEx>
        <w:trPr>
          <w:trHeight w:val="255" w:hRule="atLeast"/>
        </w:trPr>
        <w:tc>
          <w:tcPr>
            <w:tcW w:w="794" w:type="dxa"/>
            <w:vMerge w:val="continue"/>
            <w:tcBorders>
              <w:left w:val="single" w:color="auto" w:sz="8" w:space="0"/>
              <w:right w:val="single" w:color="auto" w:sz="8" w:space="0"/>
            </w:tcBorders>
            <w:vAlign w:val="center"/>
          </w:tcPr>
          <w:p w14:paraId="33727039">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left w:val="single" w:color="auto" w:sz="8" w:space="0"/>
              <w:right w:val="single" w:color="auto" w:sz="8" w:space="0"/>
            </w:tcBorders>
            <w:vAlign w:val="center"/>
          </w:tcPr>
          <w:p w14:paraId="4847FC5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CA89A4F">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针脚工艺：W形排列，降低串扰，镀有50微英寸黄金。</w:t>
            </w:r>
          </w:p>
        </w:tc>
      </w:tr>
      <w:tr w14:paraId="3D1C5807">
        <w:tblPrEx>
          <w:tblCellMar>
            <w:top w:w="0" w:type="dxa"/>
            <w:left w:w="108" w:type="dxa"/>
            <w:bottom w:w="0" w:type="dxa"/>
            <w:right w:w="108" w:type="dxa"/>
          </w:tblCellMar>
        </w:tblPrEx>
        <w:trPr>
          <w:trHeight w:val="30" w:hRule="atLeast"/>
        </w:trPr>
        <w:tc>
          <w:tcPr>
            <w:tcW w:w="794" w:type="dxa"/>
            <w:vMerge w:val="continue"/>
            <w:tcBorders>
              <w:left w:val="single" w:color="auto" w:sz="8" w:space="0"/>
              <w:bottom w:val="single" w:color="000000" w:sz="8" w:space="0"/>
              <w:right w:val="single" w:color="auto" w:sz="8" w:space="0"/>
            </w:tcBorders>
            <w:vAlign w:val="center"/>
          </w:tcPr>
          <w:p w14:paraId="65BDD0D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left w:val="single" w:color="auto" w:sz="8" w:space="0"/>
              <w:bottom w:val="single" w:color="000000" w:sz="8" w:space="0"/>
              <w:right w:val="single" w:color="auto" w:sz="8" w:space="0"/>
            </w:tcBorders>
            <w:vAlign w:val="center"/>
          </w:tcPr>
          <w:p w14:paraId="3E01ACCF">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14F5FD5">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色彩管理：蓝色。</w:t>
            </w:r>
          </w:p>
        </w:tc>
      </w:tr>
      <w:tr w14:paraId="3F0B4F46">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0369E2BB">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6</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102BDFC7">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理线器</w:t>
            </w:r>
          </w:p>
        </w:tc>
        <w:tc>
          <w:tcPr>
            <w:tcW w:w="6980" w:type="dxa"/>
            <w:tcBorders>
              <w:top w:val="single" w:color="auto" w:sz="8" w:space="0"/>
              <w:left w:val="nil"/>
              <w:bottom w:val="nil"/>
              <w:right w:val="single" w:color="auto" w:sz="8" w:space="0"/>
            </w:tcBorders>
            <w:shd w:val="clear" w:color="auto" w:fill="auto"/>
            <w:vAlign w:val="center"/>
          </w:tcPr>
          <w:p w14:paraId="7E347F79">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安装方式：机架式19英寸安装，高度1U。</w:t>
            </w:r>
          </w:p>
        </w:tc>
      </w:tr>
      <w:tr w14:paraId="3865776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FED1642">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57BB60C">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603BC8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理线盖板：双铰链设计，可双手上下开合盖板。</w:t>
            </w:r>
          </w:p>
        </w:tc>
      </w:tr>
      <w:tr w14:paraId="07D963C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7A20F12">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F28F3EB">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12231B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理线容量：理线架容量大，深度需达85mm以上，能管理更多跳线。</w:t>
            </w:r>
          </w:p>
        </w:tc>
      </w:tr>
      <w:tr w14:paraId="6050F116">
        <w:tblPrEx>
          <w:tblCellMar>
            <w:top w:w="0" w:type="dxa"/>
            <w:left w:w="108" w:type="dxa"/>
            <w:bottom w:w="0" w:type="dxa"/>
            <w:right w:w="108" w:type="dxa"/>
          </w:tblCellMar>
        </w:tblPrEx>
        <w:trPr>
          <w:trHeight w:val="518" w:hRule="atLeast"/>
        </w:trPr>
        <w:tc>
          <w:tcPr>
            <w:tcW w:w="794" w:type="dxa"/>
            <w:vMerge w:val="continue"/>
            <w:tcBorders>
              <w:top w:val="nil"/>
              <w:left w:val="single" w:color="auto" w:sz="8" w:space="0"/>
              <w:bottom w:val="single" w:color="000000" w:sz="8" w:space="0"/>
              <w:right w:val="single" w:color="auto" w:sz="8" w:space="0"/>
            </w:tcBorders>
            <w:vAlign w:val="center"/>
          </w:tcPr>
          <w:p w14:paraId="39D51179">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E0C1C6F">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71ABA11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边缘处理：所有理线手指的边缘必须是光滑的圆弧形，保护线缆以免缠结和损坏。</w:t>
            </w:r>
          </w:p>
        </w:tc>
      </w:tr>
      <w:tr w14:paraId="09C4EAB0">
        <w:tblPrEx>
          <w:tblCellMar>
            <w:top w:w="0" w:type="dxa"/>
            <w:left w:w="108" w:type="dxa"/>
            <w:bottom w:w="0" w:type="dxa"/>
            <w:right w:w="108" w:type="dxa"/>
          </w:tblCellMar>
        </w:tblPrEx>
        <w:trPr>
          <w:trHeight w:val="255" w:hRule="atLeast"/>
        </w:trPr>
        <w:tc>
          <w:tcPr>
            <w:tcW w:w="79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1C3DB621">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7</w:t>
            </w:r>
          </w:p>
        </w:tc>
        <w:tc>
          <w:tcPr>
            <w:tcW w:w="1240"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0680E15D">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双层网格桥架</w:t>
            </w:r>
          </w:p>
        </w:tc>
        <w:tc>
          <w:tcPr>
            <w:tcW w:w="6980" w:type="dxa"/>
            <w:tcBorders>
              <w:top w:val="single" w:color="auto" w:sz="4" w:space="0"/>
              <w:left w:val="nil"/>
              <w:bottom w:val="nil"/>
              <w:right w:val="single" w:color="auto" w:sz="8" w:space="0"/>
            </w:tcBorders>
            <w:shd w:val="clear" w:color="auto" w:fill="auto"/>
            <w:vAlign w:val="center"/>
          </w:tcPr>
          <w:p w14:paraId="19526A4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材质：镀锌钢或不锈钢</w:t>
            </w:r>
          </w:p>
        </w:tc>
      </w:tr>
      <w:tr w14:paraId="23614C7F">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26C05D4">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528701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B6095D7">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结构：双层设计，便于区分电缆布线</w:t>
            </w:r>
          </w:p>
        </w:tc>
      </w:tr>
      <w:tr w14:paraId="79AD2518">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6C0737C">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01B439A">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0FD1F79">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表面处理：镀锌或防腐涂层，增加耐用性</w:t>
            </w:r>
          </w:p>
        </w:tc>
      </w:tr>
      <w:tr w14:paraId="108ABF82">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275048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E3B7DCB">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B55AAE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承载能力：适合数据中心多根电缆集中敷设</w:t>
            </w:r>
          </w:p>
        </w:tc>
      </w:tr>
      <w:tr w14:paraId="3F2835BD">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35E1924D">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9B6770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5801265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应用：数据中心电缆管理与布线</w:t>
            </w:r>
          </w:p>
        </w:tc>
      </w:tr>
      <w:tr w14:paraId="67E5148E">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04A2699B">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8</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65BA1FE5">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机柜挡板</w:t>
            </w:r>
          </w:p>
        </w:tc>
        <w:tc>
          <w:tcPr>
            <w:tcW w:w="6980" w:type="dxa"/>
            <w:tcBorders>
              <w:top w:val="nil"/>
              <w:left w:val="nil"/>
              <w:bottom w:val="nil"/>
              <w:right w:val="single" w:color="auto" w:sz="8" w:space="0"/>
            </w:tcBorders>
            <w:shd w:val="clear" w:color="auto" w:fill="auto"/>
            <w:vAlign w:val="center"/>
          </w:tcPr>
          <w:p w14:paraId="30668410">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尺寸：2000mm x 1200mm（可定制）</w:t>
            </w:r>
          </w:p>
        </w:tc>
      </w:tr>
      <w:tr w14:paraId="5BDE88E7">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A527502">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85FBD5F">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BF0B1B6">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材质：优质冷轧钢板</w:t>
            </w:r>
          </w:p>
        </w:tc>
      </w:tr>
      <w:tr w14:paraId="583BB95B">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336F471">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E4C437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EC4A004">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功能：隔离气流，优化冷却效果</w:t>
            </w:r>
          </w:p>
        </w:tc>
      </w:tr>
      <w:tr w14:paraId="62926B9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642B44D">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80B9217">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EF044F5">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表面处理：喷塑防腐处理，耐用防火</w:t>
            </w:r>
          </w:p>
        </w:tc>
      </w:tr>
      <w:tr w14:paraId="1D445CD1">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2636014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0DBEBF2">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0FF74CA7">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应用：机柜与地板之间的密封，提升冷却效率</w:t>
            </w:r>
          </w:p>
        </w:tc>
      </w:tr>
      <w:tr w14:paraId="5B130CEF">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62A97B1A">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9</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1AE48D58">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电缆</w:t>
            </w:r>
          </w:p>
        </w:tc>
        <w:tc>
          <w:tcPr>
            <w:tcW w:w="6980" w:type="dxa"/>
            <w:tcBorders>
              <w:top w:val="nil"/>
              <w:left w:val="nil"/>
              <w:bottom w:val="nil"/>
              <w:right w:val="single" w:color="auto" w:sz="8" w:space="0"/>
            </w:tcBorders>
            <w:shd w:val="clear" w:color="auto" w:fill="auto"/>
            <w:vAlign w:val="center"/>
          </w:tcPr>
          <w:p w14:paraId="4D0F328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防火等级：ZR级（阻燃型）。</w:t>
            </w:r>
          </w:p>
        </w:tc>
      </w:tr>
      <w:tr w14:paraId="02901BF3">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4E41222">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C9845A5">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8B4939F">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额定电压：450V。</w:t>
            </w:r>
          </w:p>
        </w:tc>
      </w:tr>
      <w:tr w14:paraId="0D8400E3">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D8CDCF1">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004F513">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93ABD7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工作温度范围：-15°C至+90°C</w:t>
            </w:r>
          </w:p>
        </w:tc>
      </w:tr>
      <w:tr w14:paraId="11C5DDD2">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1C22B8D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7B19E8AB">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BFFDCC9">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绝缘材料：交联聚乙烯（XLPE），具备良好的耐热性和耐化学性。</w:t>
            </w:r>
          </w:p>
        </w:tc>
      </w:tr>
      <w:tr w14:paraId="7C6C7590">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6EDB69BF">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7274C7E2">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052520E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护套材料：PVC，具有耐磨、防潮、防腐蚀性能。</w:t>
            </w:r>
          </w:p>
        </w:tc>
      </w:tr>
      <w:tr w14:paraId="028CDFD9">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67E71D3B">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10</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28594D75">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PDU</w:t>
            </w:r>
          </w:p>
        </w:tc>
        <w:tc>
          <w:tcPr>
            <w:tcW w:w="6980" w:type="dxa"/>
            <w:tcBorders>
              <w:top w:val="nil"/>
              <w:left w:val="nil"/>
              <w:bottom w:val="nil"/>
              <w:right w:val="single" w:color="auto" w:sz="8" w:space="0"/>
            </w:tcBorders>
            <w:shd w:val="clear" w:color="auto" w:fill="auto"/>
            <w:vAlign w:val="center"/>
          </w:tcPr>
          <w:p w14:paraId="04FD3FFF">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安装方式：垂直安装。</w:t>
            </w:r>
          </w:p>
        </w:tc>
      </w:tr>
      <w:tr w14:paraId="427338EB">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17442DF">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4366A51">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6994EDD">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输入电流：32A。</w:t>
            </w:r>
          </w:p>
        </w:tc>
      </w:tr>
      <w:tr w14:paraId="4517E166">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95B77E5">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51374F1">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67A18D7">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输入插头：IEC 60309标准的3P+E插头。</w:t>
            </w:r>
          </w:p>
        </w:tc>
      </w:tr>
      <w:tr w14:paraId="1CE7DDC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402ED21B">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F3F3DA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82D4CC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输出数量：16个。</w:t>
            </w:r>
          </w:p>
        </w:tc>
      </w:tr>
      <w:tr w14:paraId="411BEC6A">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6336FC3">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7E53513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D5FD930">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输出插座：12个C13 10A插座 + 4个C19 16A插座。</w:t>
            </w:r>
          </w:p>
        </w:tc>
      </w:tr>
      <w:tr w14:paraId="057B4372">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7498083">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9D411E9">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7BFD5D6">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工作温度：0°至55°C。</w:t>
            </w:r>
          </w:p>
        </w:tc>
      </w:tr>
      <w:tr w14:paraId="62472453">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4D71194">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9CA383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4DDAE9C6">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防护等级：IP20。</w:t>
            </w:r>
          </w:p>
        </w:tc>
      </w:tr>
      <w:tr w14:paraId="77BB22CB">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5E49645C">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09BFFF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3BB7080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电源线长: 不少于1.5米</w:t>
            </w:r>
          </w:p>
        </w:tc>
      </w:tr>
      <w:tr w14:paraId="532AAFDB">
        <w:tblPrEx>
          <w:tblCellMar>
            <w:top w:w="0" w:type="dxa"/>
            <w:left w:w="108" w:type="dxa"/>
            <w:bottom w:w="0" w:type="dxa"/>
            <w:right w:w="108" w:type="dxa"/>
          </w:tblCellMar>
        </w:tblPrEx>
        <w:trPr>
          <w:trHeight w:val="510"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6132BF6E">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11</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72E6B833">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OM4 MPO-LC 扇形多模光纤跳线</w:t>
            </w:r>
          </w:p>
        </w:tc>
        <w:tc>
          <w:tcPr>
            <w:tcW w:w="6980" w:type="dxa"/>
            <w:tcBorders>
              <w:top w:val="nil"/>
              <w:left w:val="nil"/>
              <w:bottom w:val="nil"/>
              <w:right w:val="single" w:color="auto" w:sz="8" w:space="0"/>
            </w:tcBorders>
            <w:shd w:val="clear" w:color="auto" w:fill="auto"/>
            <w:vAlign w:val="center"/>
          </w:tcPr>
          <w:p w14:paraId="1835632F">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性能标准：ISO/IEC-11801，TIA/EIA-568-C.3，TIA-604-5 (FOCIS-5)，TIA-604-10（FOCIS-10）。</w:t>
            </w:r>
          </w:p>
        </w:tc>
      </w:tr>
      <w:tr w14:paraId="6D9E51C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7A93DBA">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2B1C1E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8681FF2">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光纤规格：50.0/125um-OM4。</w:t>
            </w:r>
          </w:p>
        </w:tc>
      </w:tr>
      <w:tr w14:paraId="1716651F">
        <w:tblPrEx>
          <w:tblCellMar>
            <w:top w:w="0" w:type="dxa"/>
            <w:left w:w="108" w:type="dxa"/>
            <w:bottom w:w="0" w:type="dxa"/>
            <w:right w:w="108" w:type="dxa"/>
          </w:tblCellMar>
        </w:tblPrEx>
        <w:trPr>
          <w:trHeight w:val="510" w:hRule="atLeast"/>
        </w:trPr>
        <w:tc>
          <w:tcPr>
            <w:tcW w:w="794" w:type="dxa"/>
            <w:vMerge w:val="continue"/>
            <w:tcBorders>
              <w:top w:val="nil"/>
              <w:left w:val="single" w:color="auto" w:sz="8" w:space="0"/>
              <w:bottom w:val="single" w:color="000000" w:sz="8" w:space="0"/>
              <w:right w:val="single" w:color="auto" w:sz="8" w:space="0"/>
            </w:tcBorders>
            <w:vAlign w:val="center"/>
          </w:tcPr>
          <w:p w14:paraId="6DB3B7A6">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299476E">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D55FEA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光缆极性：B极性，现场可变极性，当翻转MPO插头极性时须能够同时改变4对DLC的左右极性。</w:t>
            </w:r>
          </w:p>
        </w:tc>
      </w:tr>
      <w:tr w14:paraId="3EF651DC">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13208D6">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789EAE3">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104C494">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插头公母：A端为Female MPO母头，8芯，现场可变公母。B端为4对LC接头。</w:t>
            </w:r>
          </w:p>
        </w:tc>
      </w:tr>
      <w:tr w14:paraId="12D031E9">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AAF3493">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7E80A219">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7D789D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阻燃等级：低烟无卤阻燃LSZH。</w:t>
            </w:r>
          </w:p>
        </w:tc>
      </w:tr>
      <w:tr w14:paraId="117B7A3B">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8177695">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72D2226">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983D47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光缆芯数：8芯。</w:t>
            </w:r>
          </w:p>
        </w:tc>
      </w:tr>
      <w:tr w14:paraId="30C8E12F">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490CF376">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0E4E16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7A785E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插入损耗：MPO ≤0.35dB，LC ≤0.15dB。</w:t>
            </w:r>
          </w:p>
        </w:tc>
      </w:tr>
      <w:tr w14:paraId="5718855F">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573A1FD">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01A3F8C">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A04D97D">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回波损耗：MPO ≥25.0dB。</w:t>
            </w:r>
          </w:p>
        </w:tc>
      </w:tr>
      <w:tr w14:paraId="55735886">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2C17C1B">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3C2F58C">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952B840">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接插次数：MPO满足TIA/EIA-568C.3之A.4.9要求的500次接插耐用性。</w:t>
            </w:r>
          </w:p>
        </w:tc>
      </w:tr>
      <w:tr w14:paraId="71A8897C">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4517EE63">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2212069">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BE52AD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出厂检测：100%出厂检测，并附有检测标签。</w:t>
            </w:r>
          </w:p>
        </w:tc>
      </w:tr>
      <w:tr w14:paraId="3DF70E3E">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69AF5A06">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12</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071D7B50">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OM4 MPO 多模光纤跳线</w:t>
            </w:r>
          </w:p>
        </w:tc>
        <w:tc>
          <w:tcPr>
            <w:tcW w:w="6980" w:type="dxa"/>
            <w:tcBorders>
              <w:top w:val="single" w:color="auto" w:sz="8" w:space="0"/>
              <w:left w:val="nil"/>
              <w:bottom w:val="nil"/>
              <w:right w:val="single" w:color="auto" w:sz="8" w:space="0"/>
            </w:tcBorders>
            <w:shd w:val="clear" w:color="auto" w:fill="auto"/>
            <w:vAlign w:val="center"/>
          </w:tcPr>
          <w:p w14:paraId="11106B74">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性能标准：ISO/IEC-11801，TIA/EIA-568-C.3，TIA-604-5 (FOCIS-5)。</w:t>
            </w:r>
          </w:p>
        </w:tc>
      </w:tr>
      <w:tr w14:paraId="20FD4DE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49EA36D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946B989">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948980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光缆类型：圆形小外径互连型预端接光缆，不带牵引拉索。</w:t>
            </w:r>
          </w:p>
        </w:tc>
      </w:tr>
      <w:tr w14:paraId="7DC8EAA5">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30A1D54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B800080">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8A00412">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光纤规格：50.0/125um-OM4。</w:t>
            </w:r>
          </w:p>
        </w:tc>
      </w:tr>
      <w:tr w14:paraId="0300ABE2">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1FDEC06B">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F8881BE">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2E62AB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光纤接口：MPO</w:t>
            </w:r>
          </w:p>
        </w:tc>
      </w:tr>
      <w:tr w14:paraId="7001508E">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4BCEC003">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5A914CC">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28FC18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阻燃等级：低烟无卤阻燃LSZH, 环保无毒，满足 IEC 60332-3标准。</w:t>
            </w:r>
          </w:p>
        </w:tc>
      </w:tr>
      <w:tr w14:paraId="11A497DB">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D7C4DF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4C82300">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CF36CE0">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光缆芯数：8芯。</w:t>
            </w:r>
          </w:p>
        </w:tc>
      </w:tr>
      <w:tr w14:paraId="229B7CF5">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2627529">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635A679">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3403E1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抗拉强度：220N。</w:t>
            </w:r>
          </w:p>
        </w:tc>
      </w:tr>
      <w:tr w14:paraId="3C695176">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4215931A">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0B92CF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AFE64A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插入损耗：≤0.35dB。</w:t>
            </w:r>
          </w:p>
        </w:tc>
      </w:tr>
      <w:tr w14:paraId="5DBF8386">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F66E539">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9748EE1">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79A190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回波损耗：≥26dB。</w:t>
            </w:r>
          </w:p>
        </w:tc>
      </w:tr>
      <w:tr w14:paraId="593C952B">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1725A54B">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A42DA2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1B7F4F2">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出厂检测：100%出厂检测，并附有检测标签。</w:t>
            </w:r>
          </w:p>
        </w:tc>
      </w:tr>
      <w:tr w14:paraId="35AE93B6">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043387BD">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13</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47EB0D77">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OM4 LC-LC 多模双工光纤跳线</w:t>
            </w:r>
          </w:p>
        </w:tc>
        <w:tc>
          <w:tcPr>
            <w:tcW w:w="6980" w:type="dxa"/>
            <w:tcBorders>
              <w:top w:val="single" w:color="auto" w:sz="8" w:space="0"/>
              <w:left w:val="nil"/>
              <w:bottom w:val="nil"/>
              <w:right w:val="single" w:color="auto" w:sz="8" w:space="0"/>
            </w:tcBorders>
            <w:shd w:val="clear" w:color="auto" w:fill="auto"/>
            <w:vAlign w:val="center"/>
          </w:tcPr>
          <w:p w14:paraId="1F7063B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性能标准：满足ISO/IEC 11801标准要求。</w:t>
            </w:r>
          </w:p>
        </w:tc>
      </w:tr>
      <w:tr w14:paraId="6BEA5D18">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5658F5A">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4392831">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FC7B7F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光纤规格：50/125um-OM4。</w:t>
            </w:r>
          </w:p>
        </w:tc>
      </w:tr>
      <w:tr w14:paraId="1C8BEBC9">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1902490C">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7B9176C">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2C43757">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接口类型：2LC-2LC。</w:t>
            </w:r>
          </w:p>
        </w:tc>
      </w:tr>
      <w:tr w14:paraId="081A877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3EE13611">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0E3FEEB">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5B767E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插入损耗：≤0.3dB。</w:t>
            </w:r>
          </w:p>
        </w:tc>
      </w:tr>
      <w:tr w14:paraId="79EE8200">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CCB21E3">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7DFFCE0">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6F4D726">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回波损耗：≥26.0dB。</w:t>
            </w:r>
          </w:p>
        </w:tc>
      </w:tr>
      <w:tr w14:paraId="1561C4DC">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4DFE38DA">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CD7F0F7">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344118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阻燃等级：LSZH低烟无卤。</w:t>
            </w:r>
          </w:p>
        </w:tc>
      </w:tr>
      <w:tr w14:paraId="5907E77D">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62C9EAC9">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14</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77410A11">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OM3 LC-LC 多模双工光纤跳线</w:t>
            </w:r>
          </w:p>
        </w:tc>
        <w:tc>
          <w:tcPr>
            <w:tcW w:w="6980" w:type="dxa"/>
            <w:tcBorders>
              <w:top w:val="single" w:color="auto" w:sz="8" w:space="0"/>
              <w:left w:val="nil"/>
              <w:bottom w:val="nil"/>
              <w:right w:val="single" w:color="auto" w:sz="8" w:space="0"/>
            </w:tcBorders>
            <w:shd w:val="clear" w:color="auto" w:fill="auto"/>
            <w:vAlign w:val="center"/>
          </w:tcPr>
          <w:p w14:paraId="152C215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性能标准：满足ISO/IEC 11801标准要求。</w:t>
            </w:r>
          </w:p>
        </w:tc>
      </w:tr>
      <w:tr w14:paraId="615F7E7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1F487AEE">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AA0D21B">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46A920E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光纤规格：50/125um-OM3。</w:t>
            </w:r>
          </w:p>
        </w:tc>
      </w:tr>
      <w:tr w14:paraId="591D7D1D">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78307C0">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8CD21E5">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09A438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接口类型：2LC-2LC。</w:t>
            </w:r>
          </w:p>
        </w:tc>
      </w:tr>
      <w:tr w14:paraId="4982CF13">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B55B10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1753E2D">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9DEF5A7">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插入损耗：≤0.3dB。</w:t>
            </w:r>
          </w:p>
        </w:tc>
      </w:tr>
      <w:tr w14:paraId="12B9A53E">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3A4EF53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22210F5">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FF12F8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回波损耗：≥26.0dB。</w:t>
            </w:r>
          </w:p>
        </w:tc>
      </w:tr>
      <w:tr w14:paraId="4EBF82BA">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7704F97C">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4E41292">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CA91CB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阻燃等级：LSZH低烟无卤。</w:t>
            </w:r>
          </w:p>
        </w:tc>
      </w:tr>
      <w:tr w14:paraId="4077DF74">
        <w:tblPrEx>
          <w:tblCellMar>
            <w:top w:w="0" w:type="dxa"/>
            <w:left w:w="108" w:type="dxa"/>
            <w:bottom w:w="0" w:type="dxa"/>
            <w:right w:w="108" w:type="dxa"/>
          </w:tblCellMar>
        </w:tblPrEx>
        <w:trPr>
          <w:trHeight w:val="510"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24070924">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15</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3CF66F50">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MPO光纤适配器</w:t>
            </w:r>
          </w:p>
        </w:tc>
        <w:tc>
          <w:tcPr>
            <w:tcW w:w="6980" w:type="dxa"/>
            <w:tcBorders>
              <w:top w:val="single" w:color="auto" w:sz="8" w:space="0"/>
              <w:left w:val="nil"/>
              <w:bottom w:val="nil"/>
              <w:right w:val="single" w:color="auto" w:sz="8" w:space="0"/>
            </w:tcBorders>
            <w:shd w:val="clear" w:color="auto" w:fill="auto"/>
            <w:vAlign w:val="center"/>
          </w:tcPr>
          <w:p w14:paraId="5519239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性能标准：所有适配器满足并超越TIA/EIA-568-C.3性能要求，并符合接口规范LC TIA/EIA-604-FOCIS-10。</w:t>
            </w:r>
          </w:p>
        </w:tc>
      </w:tr>
      <w:tr w14:paraId="00E16FCC">
        <w:tblPrEx>
          <w:tblCellMar>
            <w:top w:w="0" w:type="dxa"/>
            <w:left w:w="108" w:type="dxa"/>
            <w:bottom w:w="0" w:type="dxa"/>
            <w:right w:w="108" w:type="dxa"/>
          </w:tblCellMar>
        </w:tblPrEx>
        <w:trPr>
          <w:trHeight w:val="510" w:hRule="atLeast"/>
        </w:trPr>
        <w:tc>
          <w:tcPr>
            <w:tcW w:w="794" w:type="dxa"/>
            <w:vMerge w:val="continue"/>
            <w:tcBorders>
              <w:top w:val="nil"/>
              <w:left w:val="single" w:color="auto" w:sz="8" w:space="0"/>
              <w:bottom w:val="single" w:color="000000" w:sz="8" w:space="0"/>
              <w:right w:val="single" w:color="auto" w:sz="8" w:space="0"/>
            </w:tcBorders>
            <w:vAlign w:val="center"/>
          </w:tcPr>
          <w:p w14:paraId="51C43F6E">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70C2341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554CA4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安装方式：每组板载式光纤适配器两端都带有活动按钮，便于快速安装或取下，无需任何工具。</w:t>
            </w:r>
          </w:p>
        </w:tc>
      </w:tr>
      <w:tr w14:paraId="19AF7E1E">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38AA2B3">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89092B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D58FB5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接口规格：FAP装有六（4）个向上/向上MPO光纤适配器，灰色，B型</w:t>
            </w:r>
          </w:p>
        </w:tc>
      </w:tr>
      <w:tr w14:paraId="74CCE8C1">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C86173E">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F36974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C55DB5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尺寸规格：统一的外观尺寸为W109mm×H35mm。</w:t>
            </w:r>
          </w:p>
        </w:tc>
      </w:tr>
      <w:tr w14:paraId="44E3492C">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40A24E1">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435B3D0">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B4017F0">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光学性能：均支持对应的光纤连接器的插入损耗及回波损耗性能。</w:t>
            </w:r>
          </w:p>
        </w:tc>
      </w:tr>
      <w:tr w14:paraId="034953F5">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5E7B07E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0EB30D7">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49BD6E9D">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质检标识：每个模块都具有激光刻印的质检编号。</w:t>
            </w:r>
          </w:p>
        </w:tc>
      </w:tr>
      <w:tr w14:paraId="1E1A047B">
        <w:tblPrEx>
          <w:tblCellMar>
            <w:top w:w="0" w:type="dxa"/>
            <w:left w:w="108" w:type="dxa"/>
            <w:bottom w:w="0" w:type="dxa"/>
            <w:right w:w="108" w:type="dxa"/>
          </w:tblCellMar>
        </w:tblPrEx>
        <w:trPr>
          <w:trHeight w:val="270"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2F268618">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16</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73F30103">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c14转c13欧标电源线</w:t>
            </w:r>
          </w:p>
        </w:tc>
        <w:tc>
          <w:tcPr>
            <w:tcW w:w="6980" w:type="dxa"/>
            <w:tcBorders>
              <w:top w:val="nil"/>
              <w:left w:val="nil"/>
              <w:bottom w:val="nil"/>
              <w:right w:val="single" w:color="auto" w:sz="8" w:space="0"/>
            </w:tcBorders>
            <w:shd w:val="clear" w:color="auto" w:fill="auto"/>
            <w:vAlign w:val="center"/>
          </w:tcPr>
          <w:p w14:paraId="4C7ACD12">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安全认证：</w:t>
            </w:r>
            <w:r>
              <w:rPr>
                <w:rFonts w:ascii="宋体" w:hAnsi="宋体" w:cs="宋体"/>
                <w:kern w:val="0"/>
                <w:sz w:val="20"/>
                <w:highlight w:val="none"/>
              </w:rPr>
              <w:t>3C</w:t>
            </w:r>
            <w:r>
              <w:rPr>
                <w:rFonts w:hint="eastAsia" w:ascii="宋体" w:hAnsi="宋体" w:cs="宋体"/>
                <w:kern w:val="0"/>
                <w:sz w:val="20"/>
                <w:highlight w:val="none"/>
              </w:rPr>
              <w:t>强电安全认证。</w:t>
            </w:r>
          </w:p>
        </w:tc>
      </w:tr>
      <w:tr w14:paraId="50D2A176">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672AAD76">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B4D6C5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4425C1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产品线长：</w:t>
            </w:r>
            <w:r>
              <w:rPr>
                <w:rFonts w:ascii="宋体" w:hAnsi="宋体" w:cs="宋体"/>
                <w:kern w:val="0"/>
                <w:sz w:val="20"/>
                <w:highlight w:val="none"/>
              </w:rPr>
              <w:t>1.5</w:t>
            </w:r>
            <w:r>
              <w:rPr>
                <w:rFonts w:hint="eastAsia" w:ascii="宋体" w:hAnsi="宋体" w:cs="宋体"/>
                <w:kern w:val="0"/>
                <w:sz w:val="20"/>
                <w:highlight w:val="none"/>
              </w:rPr>
              <w:t>米。</w:t>
            </w:r>
          </w:p>
        </w:tc>
      </w:tr>
      <w:tr w14:paraId="4A5038DB">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3B8908EE">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3285CDE">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E7F724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线芯规格：</w:t>
            </w:r>
            <w:r>
              <w:rPr>
                <w:rFonts w:ascii="宋体" w:hAnsi="宋体" w:cs="宋体"/>
                <w:kern w:val="0"/>
                <w:sz w:val="20"/>
                <w:highlight w:val="none"/>
              </w:rPr>
              <w:t>3 x 1.5 mm</w:t>
            </w:r>
            <w:r>
              <w:rPr>
                <w:rFonts w:hint="eastAsia" w:ascii="宋体" w:hAnsi="宋体" w:cs="宋体"/>
                <w:kern w:val="0"/>
                <w:sz w:val="20"/>
                <w:highlight w:val="none"/>
              </w:rPr>
              <w:t>²。</w:t>
            </w:r>
          </w:p>
        </w:tc>
      </w:tr>
      <w:tr w14:paraId="7812A2F2">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02A1F75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A9A668D">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05CED9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额定电流：</w:t>
            </w:r>
            <w:r>
              <w:rPr>
                <w:rFonts w:ascii="宋体" w:hAnsi="宋体" w:cs="宋体"/>
                <w:kern w:val="0"/>
                <w:sz w:val="20"/>
                <w:highlight w:val="none"/>
              </w:rPr>
              <w:t>10A</w:t>
            </w:r>
            <w:r>
              <w:rPr>
                <w:rFonts w:hint="eastAsia" w:ascii="宋体" w:hAnsi="宋体" w:cs="宋体"/>
                <w:kern w:val="0"/>
                <w:sz w:val="20"/>
                <w:highlight w:val="none"/>
              </w:rPr>
              <w:t>。</w:t>
            </w:r>
          </w:p>
        </w:tc>
      </w:tr>
      <w:tr w14:paraId="4596BE32">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7E0224DB">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34CEB02">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8E07289">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额定电压：</w:t>
            </w:r>
            <w:r>
              <w:rPr>
                <w:rFonts w:ascii="宋体" w:hAnsi="宋体" w:cs="宋体"/>
                <w:kern w:val="0"/>
                <w:sz w:val="20"/>
                <w:highlight w:val="none"/>
              </w:rPr>
              <w:t>250V</w:t>
            </w:r>
          </w:p>
        </w:tc>
      </w:tr>
      <w:tr w14:paraId="5B65B601">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430B687E">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7B48BEE">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469015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产品线被：环保阻燃</w:t>
            </w:r>
            <w:r>
              <w:rPr>
                <w:rFonts w:ascii="宋体" w:hAnsi="宋体" w:cs="宋体"/>
                <w:kern w:val="0"/>
                <w:sz w:val="20"/>
                <w:highlight w:val="none"/>
              </w:rPr>
              <w:t>PVC</w:t>
            </w:r>
            <w:r>
              <w:rPr>
                <w:rFonts w:hint="eastAsia" w:ascii="宋体" w:hAnsi="宋体" w:cs="宋体"/>
                <w:kern w:val="0"/>
                <w:sz w:val="20"/>
                <w:highlight w:val="none"/>
              </w:rPr>
              <w:t>。</w:t>
            </w:r>
          </w:p>
        </w:tc>
      </w:tr>
      <w:tr w14:paraId="11F3C3BA">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68043C2C">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5854ED6">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62E1BF7">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线缆接口：</w:t>
            </w:r>
            <w:r>
              <w:rPr>
                <w:rFonts w:ascii="宋体" w:hAnsi="宋体" w:cs="宋体"/>
                <w:kern w:val="0"/>
                <w:sz w:val="20"/>
                <w:highlight w:val="none"/>
              </w:rPr>
              <w:t>C13/C14</w:t>
            </w:r>
            <w:r>
              <w:rPr>
                <w:rFonts w:hint="eastAsia" w:ascii="宋体" w:hAnsi="宋体" w:cs="宋体"/>
                <w:kern w:val="0"/>
                <w:sz w:val="20"/>
                <w:highlight w:val="none"/>
              </w:rPr>
              <w:t>。</w:t>
            </w:r>
          </w:p>
        </w:tc>
      </w:tr>
      <w:tr w14:paraId="5E16E4E9">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4FA866C0">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A7AA5BA">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1E34791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线芯材质：纯铜。</w:t>
            </w:r>
          </w:p>
        </w:tc>
      </w:tr>
      <w:tr w14:paraId="66C8DBD9">
        <w:tblPrEx>
          <w:tblCellMar>
            <w:top w:w="0" w:type="dxa"/>
            <w:left w:w="108" w:type="dxa"/>
            <w:bottom w:w="0" w:type="dxa"/>
            <w:right w:w="108" w:type="dxa"/>
          </w:tblCellMar>
        </w:tblPrEx>
        <w:trPr>
          <w:trHeight w:val="270"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2F58B243">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17</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78BB723A">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c20转c13欧标电源线</w:t>
            </w:r>
          </w:p>
        </w:tc>
        <w:tc>
          <w:tcPr>
            <w:tcW w:w="6980" w:type="dxa"/>
            <w:tcBorders>
              <w:top w:val="nil"/>
              <w:left w:val="nil"/>
              <w:bottom w:val="nil"/>
              <w:right w:val="single" w:color="auto" w:sz="8" w:space="0"/>
            </w:tcBorders>
            <w:shd w:val="clear" w:color="auto" w:fill="auto"/>
            <w:vAlign w:val="center"/>
          </w:tcPr>
          <w:p w14:paraId="4A1A1C9F">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安全认证：</w:t>
            </w:r>
            <w:r>
              <w:rPr>
                <w:rFonts w:ascii="宋体" w:hAnsi="宋体" w:cs="宋体"/>
                <w:kern w:val="0"/>
                <w:sz w:val="20"/>
                <w:highlight w:val="none"/>
              </w:rPr>
              <w:t>3C</w:t>
            </w:r>
            <w:r>
              <w:rPr>
                <w:rFonts w:hint="eastAsia" w:ascii="宋体" w:hAnsi="宋体" w:cs="宋体"/>
                <w:kern w:val="0"/>
                <w:sz w:val="20"/>
                <w:highlight w:val="none"/>
              </w:rPr>
              <w:t>强电安全认证。</w:t>
            </w:r>
          </w:p>
        </w:tc>
      </w:tr>
      <w:tr w14:paraId="10F4287F">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42A6F6BD">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A548183">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6F931B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产品线长：</w:t>
            </w:r>
            <w:r>
              <w:rPr>
                <w:rFonts w:ascii="宋体" w:hAnsi="宋体" w:cs="宋体"/>
                <w:kern w:val="0"/>
                <w:sz w:val="20"/>
                <w:highlight w:val="none"/>
              </w:rPr>
              <w:t>1.5</w:t>
            </w:r>
            <w:r>
              <w:rPr>
                <w:rFonts w:hint="eastAsia" w:ascii="宋体" w:hAnsi="宋体" w:cs="宋体"/>
                <w:kern w:val="0"/>
                <w:sz w:val="20"/>
                <w:highlight w:val="none"/>
              </w:rPr>
              <w:t>米。</w:t>
            </w:r>
          </w:p>
        </w:tc>
      </w:tr>
      <w:tr w14:paraId="31629337">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01C257C6">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7ADECEC">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666D0BD">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线芯规格：</w:t>
            </w:r>
            <w:r>
              <w:rPr>
                <w:rFonts w:ascii="宋体" w:hAnsi="宋体" w:cs="宋体"/>
                <w:kern w:val="0"/>
                <w:sz w:val="20"/>
                <w:highlight w:val="none"/>
              </w:rPr>
              <w:t>3 x 1.5 mm</w:t>
            </w:r>
            <w:r>
              <w:rPr>
                <w:rFonts w:hint="eastAsia" w:ascii="宋体" w:hAnsi="宋体" w:cs="宋体"/>
                <w:kern w:val="0"/>
                <w:sz w:val="20"/>
                <w:highlight w:val="none"/>
              </w:rPr>
              <w:t>²。</w:t>
            </w:r>
          </w:p>
        </w:tc>
      </w:tr>
      <w:tr w14:paraId="379826E2">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2DB6736F">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B77239E">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49E4A60">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额定电流：</w:t>
            </w:r>
            <w:r>
              <w:rPr>
                <w:rFonts w:ascii="宋体" w:hAnsi="宋体" w:cs="宋体"/>
                <w:kern w:val="0"/>
                <w:sz w:val="20"/>
                <w:highlight w:val="none"/>
              </w:rPr>
              <w:t>16A</w:t>
            </w:r>
            <w:r>
              <w:rPr>
                <w:rFonts w:hint="eastAsia" w:ascii="宋体" w:hAnsi="宋体" w:cs="宋体"/>
                <w:kern w:val="0"/>
                <w:sz w:val="20"/>
                <w:highlight w:val="none"/>
              </w:rPr>
              <w:t>。</w:t>
            </w:r>
          </w:p>
        </w:tc>
      </w:tr>
      <w:tr w14:paraId="64BCB652">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6318760E">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C75DBA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077F347">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额定电压：</w:t>
            </w:r>
            <w:r>
              <w:rPr>
                <w:rFonts w:ascii="宋体" w:hAnsi="宋体" w:cs="宋体"/>
                <w:kern w:val="0"/>
                <w:sz w:val="20"/>
                <w:highlight w:val="none"/>
              </w:rPr>
              <w:t>250V</w:t>
            </w:r>
          </w:p>
        </w:tc>
      </w:tr>
      <w:tr w14:paraId="74CD5579">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36AB453A">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38B88F3">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B11CC0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产品线被：环保阻燃</w:t>
            </w:r>
            <w:r>
              <w:rPr>
                <w:rFonts w:ascii="宋体" w:hAnsi="宋体" w:cs="宋体"/>
                <w:kern w:val="0"/>
                <w:sz w:val="20"/>
                <w:highlight w:val="none"/>
              </w:rPr>
              <w:t>PVC</w:t>
            </w:r>
            <w:r>
              <w:rPr>
                <w:rFonts w:hint="eastAsia" w:ascii="宋体" w:hAnsi="宋体" w:cs="宋体"/>
                <w:kern w:val="0"/>
                <w:sz w:val="20"/>
                <w:highlight w:val="none"/>
              </w:rPr>
              <w:t>。</w:t>
            </w:r>
          </w:p>
        </w:tc>
      </w:tr>
      <w:tr w14:paraId="49F414D0">
        <w:tblPrEx>
          <w:tblCellMar>
            <w:top w:w="0" w:type="dxa"/>
            <w:left w:w="108" w:type="dxa"/>
            <w:bottom w:w="0" w:type="dxa"/>
            <w:right w:w="108" w:type="dxa"/>
          </w:tblCellMar>
        </w:tblPrEx>
        <w:trPr>
          <w:trHeight w:val="270" w:hRule="atLeast"/>
        </w:trPr>
        <w:tc>
          <w:tcPr>
            <w:tcW w:w="794" w:type="dxa"/>
            <w:vMerge w:val="continue"/>
            <w:tcBorders>
              <w:top w:val="nil"/>
              <w:left w:val="single" w:color="auto" w:sz="8" w:space="0"/>
              <w:bottom w:val="single" w:color="000000" w:sz="8" w:space="0"/>
              <w:right w:val="single" w:color="auto" w:sz="8" w:space="0"/>
            </w:tcBorders>
            <w:vAlign w:val="center"/>
          </w:tcPr>
          <w:p w14:paraId="04550BDB">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DB47EA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06B284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线缆接口：</w:t>
            </w:r>
            <w:r>
              <w:rPr>
                <w:rFonts w:ascii="宋体" w:hAnsi="宋体" w:cs="宋体"/>
                <w:kern w:val="0"/>
                <w:sz w:val="20"/>
                <w:highlight w:val="none"/>
              </w:rPr>
              <w:t>C20/C14</w:t>
            </w:r>
            <w:r>
              <w:rPr>
                <w:rFonts w:hint="eastAsia" w:ascii="宋体" w:hAnsi="宋体" w:cs="宋体"/>
                <w:kern w:val="0"/>
                <w:sz w:val="20"/>
                <w:highlight w:val="none"/>
              </w:rPr>
              <w:t>。</w:t>
            </w:r>
          </w:p>
        </w:tc>
      </w:tr>
      <w:tr w14:paraId="14923202">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33CF492E">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237267B">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08CBFC14">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线芯材质：纯铜。</w:t>
            </w:r>
          </w:p>
        </w:tc>
      </w:tr>
      <w:tr w14:paraId="62E8F515">
        <w:tblPrEx>
          <w:tblCellMar>
            <w:top w:w="0" w:type="dxa"/>
            <w:left w:w="108" w:type="dxa"/>
            <w:bottom w:w="0" w:type="dxa"/>
            <w:right w:w="108" w:type="dxa"/>
          </w:tblCellMar>
        </w:tblPrEx>
        <w:trPr>
          <w:trHeight w:val="510"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479526AE">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18</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3FF9C4A4">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48芯光纤配线架</w:t>
            </w:r>
          </w:p>
        </w:tc>
        <w:tc>
          <w:tcPr>
            <w:tcW w:w="6980" w:type="dxa"/>
            <w:tcBorders>
              <w:top w:val="nil"/>
              <w:left w:val="nil"/>
              <w:bottom w:val="nil"/>
              <w:right w:val="single" w:color="auto" w:sz="8" w:space="0"/>
            </w:tcBorders>
            <w:shd w:val="clear" w:color="auto" w:fill="auto"/>
            <w:vAlign w:val="center"/>
          </w:tcPr>
          <w:p w14:paraId="6BF9A2D7">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安装方式：19英寸安装，抽屉式光纤箱，箱体及顶盖均为优质钢板，硬质黑色粉末喷涂。</w:t>
            </w:r>
          </w:p>
        </w:tc>
      </w:tr>
      <w:tr w14:paraId="6A9E407C">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1E0F24E3">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606CE6A">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E2989F5">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面板类型：自带光纤面板并满配耦合器</w:t>
            </w:r>
          </w:p>
        </w:tc>
      </w:tr>
      <w:tr w14:paraId="661287F3">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41CD5FF">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714A88A0">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3685F0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光纤容量：预装24个2LC耦合器,48芯LC/1RU。</w:t>
            </w:r>
          </w:p>
        </w:tc>
      </w:tr>
      <w:tr w14:paraId="7B5CE420">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FF67181">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C6D6835">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C43AD5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耦合元件：氧化锆陶瓷耦合套管</w:t>
            </w:r>
          </w:p>
        </w:tc>
      </w:tr>
      <w:tr w14:paraId="3456A55F">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35A88873">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D87821D">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297604F">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进线方式：在机箱后部和侧面提供多个线缆入口装置</w:t>
            </w:r>
          </w:p>
        </w:tc>
      </w:tr>
      <w:tr w14:paraId="2B5E0626">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7B12EBEC">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FF1C8B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19AD608F">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物理安全：端口可加锁。</w:t>
            </w:r>
          </w:p>
        </w:tc>
      </w:tr>
      <w:tr w14:paraId="185B53F0">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511E9C1F">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19</w:t>
            </w:r>
          </w:p>
        </w:tc>
        <w:tc>
          <w:tcPr>
            <w:tcW w:w="1240" w:type="dxa"/>
            <w:vMerge w:val="restart"/>
            <w:tcBorders>
              <w:top w:val="nil"/>
              <w:left w:val="single" w:color="auto" w:sz="8" w:space="0"/>
              <w:bottom w:val="single" w:color="000000" w:sz="8" w:space="0"/>
              <w:right w:val="single" w:color="auto" w:sz="8" w:space="0"/>
            </w:tcBorders>
            <w:shd w:val="clear" w:color="000000" w:fill="FFFFFF"/>
            <w:vAlign w:val="center"/>
          </w:tcPr>
          <w:p w14:paraId="1E583392">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服务器机柜</w:t>
            </w:r>
          </w:p>
        </w:tc>
        <w:tc>
          <w:tcPr>
            <w:tcW w:w="6980" w:type="dxa"/>
            <w:tcBorders>
              <w:top w:val="nil"/>
              <w:left w:val="nil"/>
              <w:bottom w:val="nil"/>
              <w:right w:val="single" w:color="auto" w:sz="8" w:space="0"/>
            </w:tcBorders>
            <w:shd w:val="clear" w:color="auto" w:fill="auto"/>
            <w:vAlign w:val="center"/>
          </w:tcPr>
          <w:p w14:paraId="38BF278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标准合规：EIA-310-E、TIA/EIA-942。</w:t>
            </w:r>
          </w:p>
        </w:tc>
      </w:tr>
      <w:tr w14:paraId="361F463E">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2AFCA06">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CE6059F">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F727C82">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机柜尺寸：42RU， W800mm × D1200mm × H2000mm。</w:t>
            </w:r>
          </w:p>
        </w:tc>
      </w:tr>
      <w:tr w14:paraId="6DB33679">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8D68925">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9583B5E">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8EA405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额定负载：静态1500Kg，动态500Kg。</w:t>
            </w:r>
          </w:p>
        </w:tc>
      </w:tr>
      <w:tr w14:paraId="2DACCC7F">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F3DBD3E">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E919B9C">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430B9054">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机柜材质：钢材。</w:t>
            </w:r>
          </w:p>
        </w:tc>
      </w:tr>
      <w:tr w14:paraId="5E6A3FC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92DDFC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FEEC59C">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61FD63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通风比率：69%。</w:t>
            </w:r>
          </w:p>
        </w:tc>
      </w:tr>
      <w:tr w14:paraId="3968F0E7">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D1D341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4645A27">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8E3776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物流包装：可支持船运的组装，每个托盘一台机柜。</w:t>
            </w:r>
          </w:p>
        </w:tc>
      </w:tr>
      <w:tr w14:paraId="7022B39F">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9EEAE21">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49AE42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52FA6E6">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机柜门板：机柜采用单铰链穿孔前门，对开穿孔后门。</w:t>
            </w:r>
          </w:p>
        </w:tc>
      </w:tr>
      <w:tr w14:paraId="2F8018A8">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E51D471">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44FF2A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A1CD765">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侧部面板：采用水平分体式侧板，提供对已安装设备的安全访问。</w:t>
            </w:r>
          </w:p>
        </w:tc>
      </w:tr>
      <w:tr w14:paraId="49CBDB4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03EAC23">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F5EA303">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4CA0A44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顶部面板：机柜顶部包括电刷电缆入口点，以防止空气泄漏。</w:t>
            </w:r>
          </w:p>
        </w:tc>
      </w:tr>
      <w:tr w14:paraId="752DC7EC">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CA78982">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25316D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8A03569">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PDU支架：全高PDU支架，用于固定和捆绑电缆。</w:t>
            </w:r>
          </w:p>
        </w:tc>
      </w:tr>
      <w:tr w14:paraId="73C06719">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85B8D36">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B4540C8">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AD335B6">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设备轨道：带有RU标记的完全可调设备轨道，以确保IT设备的正确位置。</w:t>
            </w:r>
          </w:p>
        </w:tc>
      </w:tr>
      <w:tr w14:paraId="380B05FA">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37401E12">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1CE7946">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90F390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线缆管理：机柜正面的左右立柱分别装配有垂直理线棘爪。</w:t>
            </w:r>
          </w:p>
        </w:tc>
      </w:tr>
      <w:tr w14:paraId="39C511EE">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19F11227">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0521CD6">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79292032">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双面喷涂：机柜具有双面坚固耐用的聚酯环氧粉末涂料。</w:t>
            </w:r>
          </w:p>
        </w:tc>
      </w:tr>
      <w:tr w14:paraId="1B3A9464">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584DA35D">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20</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358100B3">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空开</w:t>
            </w:r>
          </w:p>
        </w:tc>
        <w:tc>
          <w:tcPr>
            <w:tcW w:w="6980" w:type="dxa"/>
            <w:tcBorders>
              <w:top w:val="nil"/>
              <w:left w:val="nil"/>
              <w:bottom w:val="nil"/>
              <w:right w:val="single" w:color="auto" w:sz="8" w:space="0"/>
            </w:tcBorders>
            <w:shd w:val="clear" w:color="auto" w:fill="auto"/>
            <w:vAlign w:val="center"/>
          </w:tcPr>
          <w:p w14:paraId="3104ABA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额定电流：32A。</w:t>
            </w:r>
          </w:p>
        </w:tc>
      </w:tr>
      <w:tr w14:paraId="0422D807">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315B8EEE">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08708B2">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77654C0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极数：1P。</w:t>
            </w:r>
          </w:p>
        </w:tc>
      </w:tr>
      <w:tr w14:paraId="2EF065E0">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47C6479B">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21</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1CB5CE97">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工业连接器</w:t>
            </w:r>
          </w:p>
        </w:tc>
        <w:tc>
          <w:tcPr>
            <w:tcW w:w="6980" w:type="dxa"/>
            <w:tcBorders>
              <w:top w:val="nil"/>
              <w:left w:val="nil"/>
              <w:bottom w:val="nil"/>
              <w:right w:val="single" w:color="auto" w:sz="8" w:space="0"/>
            </w:tcBorders>
            <w:shd w:val="clear" w:color="auto" w:fill="auto"/>
            <w:vAlign w:val="center"/>
          </w:tcPr>
          <w:p w14:paraId="05C34310">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额定电流：32A。</w:t>
            </w:r>
          </w:p>
        </w:tc>
      </w:tr>
      <w:tr w14:paraId="34B8D0D3">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7810A8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C7DDA2D">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327B0D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极数：1P。</w:t>
            </w:r>
          </w:p>
        </w:tc>
      </w:tr>
      <w:tr w14:paraId="17490D11">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312FED85">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6B7CA01">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3CD552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连接方式：快速插拔式。</w:t>
            </w:r>
          </w:p>
        </w:tc>
      </w:tr>
      <w:tr w14:paraId="1474956D">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88712B9">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0E64356">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CB204F2">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耐用性：高强度材料，适合长期使用。</w:t>
            </w:r>
          </w:p>
        </w:tc>
      </w:tr>
      <w:tr w14:paraId="2F8D2D59">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57954472">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46FBF0E">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1E01364F">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防护等级：IP44。</w:t>
            </w:r>
          </w:p>
        </w:tc>
      </w:tr>
      <w:tr w14:paraId="5B3642F8">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56116F18">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22</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75DFDBA9">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24芯多模光纤</w:t>
            </w:r>
          </w:p>
        </w:tc>
        <w:tc>
          <w:tcPr>
            <w:tcW w:w="6980" w:type="dxa"/>
            <w:tcBorders>
              <w:top w:val="nil"/>
              <w:left w:val="nil"/>
              <w:bottom w:val="nil"/>
              <w:right w:val="single" w:color="auto" w:sz="8" w:space="0"/>
            </w:tcBorders>
            <w:shd w:val="clear" w:color="auto" w:fill="auto"/>
            <w:vAlign w:val="center"/>
          </w:tcPr>
          <w:p w14:paraId="27FACA79">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性能标准：满足ISO/IEC 11801、GB/T 50312标准要求。</w:t>
            </w:r>
          </w:p>
        </w:tc>
      </w:tr>
      <w:tr w14:paraId="7206C82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4BB41B14">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77FB930">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9F047F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光纤规格：50/125um-OM3。</w:t>
            </w:r>
          </w:p>
        </w:tc>
      </w:tr>
      <w:tr w14:paraId="6862863F">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9390A5D">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C4F39DF">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66C00A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光纤衰减：3.0dB/Km @ 850nm，1.0dB/Km @ 1300nm。</w:t>
            </w:r>
          </w:p>
        </w:tc>
      </w:tr>
      <w:tr w14:paraId="0095D30E">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6C50ED5">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70D6C317">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A072EA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传输距离：支持10G传输达300米。</w:t>
            </w:r>
          </w:p>
        </w:tc>
      </w:tr>
      <w:tr w14:paraId="7BEFCB5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ECE627B">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EA4CA79">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2F8555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光纤带宽：EMB ≥2000MHz*Km@850nm。</w:t>
            </w:r>
          </w:p>
        </w:tc>
      </w:tr>
      <w:tr w14:paraId="534DD2B9">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39584559">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A6931E4">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0ABA10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光缆芯数：24芯。</w:t>
            </w:r>
          </w:p>
        </w:tc>
      </w:tr>
      <w:tr w14:paraId="74764F4D">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B99F81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CCFA3D0">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4CC160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阻燃等级：LSZH低烟无卤，满足 IEC 60332-3标准。</w:t>
            </w:r>
          </w:p>
        </w:tc>
      </w:tr>
      <w:tr w14:paraId="7190FE05">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9CD3CB9">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19F79DF">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E1332C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燃烧性能：满足GB31247 B1级。</w:t>
            </w:r>
          </w:p>
        </w:tc>
      </w:tr>
      <w:tr w14:paraId="688A7482">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626E0950">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26839E0">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3810AD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抗拉强度：安装660N，长期200N。</w:t>
            </w:r>
          </w:p>
        </w:tc>
      </w:tr>
      <w:tr w14:paraId="1218AF97">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2A4903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1E3D8AE3">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A05F870">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抗压强度：500N。</w:t>
            </w:r>
          </w:p>
        </w:tc>
      </w:tr>
      <w:tr w14:paraId="4E36140A">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814F198">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68547D6">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2219AA2">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弯曲半径：安装20倍外径，长期10倍外径。</w:t>
            </w:r>
          </w:p>
        </w:tc>
      </w:tr>
      <w:tr w14:paraId="79EDECD7">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0BAB9FA6">
            <w:pPr>
              <w:widowControl/>
              <w:autoSpaceDE/>
              <w:autoSpaceDN/>
              <w:spacing w:line="240" w:lineRule="auto"/>
              <w:ind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21858E1">
            <w:pPr>
              <w:widowControl/>
              <w:autoSpaceDE/>
              <w:autoSpaceDN/>
              <w:spacing w:line="240" w:lineRule="auto"/>
              <w:ind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0B1684B6">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操作温度：-20～70℃。</w:t>
            </w:r>
          </w:p>
        </w:tc>
      </w:tr>
      <w:tr w14:paraId="62E3061A">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37A3F32F">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23</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27B52E50">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24口网络配线架</w:t>
            </w:r>
          </w:p>
        </w:tc>
        <w:tc>
          <w:tcPr>
            <w:tcW w:w="6980" w:type="dxa"/>
            <w:tcBorders>
              <w:top w:val="nil"/>
              <w:left w:val="nil"/>
              <w:bottom w:val="nil"/>
              <w:right w:val="single" w:color="auto" w:sz="8" w:space="0"/>
            </w:tcBorders>
            <w:shd w:val="clear" w:color="auto" w:fill="auto"/>
            <w:vAlign w:val="center"/>
          </w:tcPr>
          <w:p w14:paraId="6CBE7D8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安装方式：机架式19 英寸安装。</w:t>
            </w:r>
          </w:p>
        </w:tc>
      </w:tr>
      <w:tr w14:paraId="6EA8C73D">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3A6DEDBC">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6461A6B">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A703B8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产品规格：平面配线架，24口/1RU，可单独安装或拆卸每一个RJ45 模块。</w:t>
            </w:r>
          </w:p>
        </w:tc>
      </w:tr>
      <w:tr w14:paraId="1752A2D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BF07282">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265CF1A">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06C6E52D">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端口管理：模块化，精确到每1个RJ45端口的独立模块。</w:t>
            </w:r>
          </w:p>
        </w:tc>
      </w:tr>
      <w:tr w14:paraId="762E21F5">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83D4A53">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42592B8B">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1E841B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色彩管理：色彩化，精确到每1个RJ45 端口的独立模块。</w:t>
            </w:r>
          </w:p>
        </w:tc>
      </w:tr>
      <w:tr w14:paraId="6C52ED37">
        <w:tblPrEx>
          <w:tblCellMar>
            <w:top w:w="0" w:type="dxa"/>
            <w:left w:w="108" w:type="dxa"/>
            <w:bottom w:w="0" w:type="dxa"/>
            <w:right w:w="108" w:type="dxa"/>
          </w:tblCellMar>
        </w:tblPrEx>
        <w:trPr>
          <w:trHeight w:val="510" w:hRule="atLeast"/>
        </w:trPr>
        <w:tc>
          <w:tcPr>
            <w:tcW w:w="794" w:type="dxa"/>
            <w:vMerge w:val="continue"/>
            <w:tcBorders>
              <w:top w:val="nil"/>
              <w:left w:val="single" w:color="auto" w:sz="8" w:space="0"/>
              <w:bottom w:val="single" w:color="000000" w:sz="8" w:space="0"/>
              <w:right w:val="single" w:color="auto" w:sz="8" w:space="0"/>
            </w:tcBorders>
            <w:vAlign w:val="center"/>
          </w:tcPr>
          <w:p w14:paraId="62D9A66B">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2D23ECC">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6BFEF79">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端口布局：整体的 24口 R45 模块排列，全部为同一水平直线，全部为同一垂直平面，整文划一。</w:t>
            </w:r>
          </w:p>
        </w:tc>
      </w:tr>
      <w:tr w14:paraId="43B8C70F">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44634546">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F6576A8">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285D7E8">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端口兼容：RJ45模块须在配线架及工作区都能兼容安装。</w:t>
            </w:r>
          </w:p>
        </w:tc>
      </w:tr>
      <w:tr w14:paraId="28DB64A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2B953E2">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AD3B8E1">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76856E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标识管理：配线架自带至少4个活动透明标签槽，便于端口标识和更换标签。</w:t>
            </w:r>
          </w:p>
        </w:tc>
      </w:tr>
      <w:tr w14:paraId="31AF4F51">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03B0B74E">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D74E901">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91B91A5">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性能标准：满足ISO/IEC 11801标准要求，信道带宽≥250MHz。</w:t>
            </w:r>
          </w:p>
        </w:tc>
      </w:tr>
      <w:tr w14:paraId="79A82FC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2D82B151">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9D93091">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6C28F0BB">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PoE应用：符合802.3bt type 4 (PoE++)标准要求的PoE应用。</w:t>
            </w:r>
          </w:p>
        </w:tc>
      </w:tr>
      <w:tr w14:paraId="7FC81E34">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443D5988">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00A07C78">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27D3B4B4">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接插次数：≥2500次。</w:t>
            </w:r>
          </w:p>
        </w:tc>
      </w:tr>
      <w:tr w14:paraId="596E71D7">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3B3B9ACD">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78AE8DE6">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B86B22E">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端接方式：T568A或T568B。</w:t>
            </w:r>
          </w:p>
        </w:tc>
      </w:tr>
      <w:tr w14:paraId="55939670">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7D122ADB">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3D030706">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38314793">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线规匹配：22～26AWG。</w:t>
            </w:r>
          </w:p>
        </w:tc>
      </w:tr>
      <w:tr w14:paraId="561C0F03">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19FF1DD5">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B28315E">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FFADDCD">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插座针脚：RJ45插座内8芯插针镀有50微英寸黄金。</w:t>
            </w:r>
          </w:p>
        </w:tc>
      </w:tr>
      <w:tr w14:paraId="152057E6">
        <w:tblPrEx>
          <w:tblCellMar>
            <w:top w:w="0" w:type="dxa"/>
            <w:left w:w="108" w:type="dxa"/>
            <w:bottom w:w="0" w:type="dxa"/>
            <w:right w:w="108" w:type="dxa"/>
          </w:tblCellMar>
        </w:tblPrEx>
        <w:trPr>
          <w:trHeight w:val="510" w:hRule="atLeast"/>
        </w:trPr>
        <w:tc>
          <w:tcPr>
            <w:tcW w:w="794" w:type="dxa"/>
            <w:vMerge w:val="continue"/>
            <w:tcBorders>
              <w:top w:val="nil"/>
              <w:left w:val="single" w:color="auto" w:sz="8" w:space="0"/>
              <w:bottom w:val="single" w:color="000000" w:sz="8" w:space="0"/>
              <w:right w:val="single" w:color="auto" w:sz="8" w:space="0"/>
            </w:tcBorders>
            <w:vAlign w:val="center"/>
          </w:tcPr>
          <w:p w14:paraId="0D78C494">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D1A171D">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1CF599F7">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物理安全：可额外加装RJ45端口锁，防止未经授权的接入铜缆跳线，并提供制造商的物理网络安全解决方案技术彩页。</w:t>
            </w:r>
          </w:p>
        </w:tc>
      </w:tr>
      <w:tr w14:paraId="017F1689">
        <w:tblPrEx>
          <w:tblCellMar>
            <w:top w:w="0" w:type="dxa"/>
            <w:left w:w="108" w:type="dxa"/>
            <w:bottom w:w="0" w:type="dxa"/>
            <w:right w:w="108" w:type="dxa"/>
          </w:tblCellMar>
        </w:tblPrEx>
        <w:trPr>
          <w:trHeight w:val="518" w:hRule="atLeast"/>
        </w:trPr>
        <w:tc>
          <w:tcPr>
            <w:tcW w:w="794" w:type="dxa"/>
            <w:vMerge w:val="continue"/>
            <w:tcBorders>
              <w:top w:val="nil"/>
              <w:left w:val="single" w:color="auto" w:sz="8" w:space="0"/>
              <w:bottom w:val="single" w:color="000000" w:sz="8" w:space="0"/>
              <w:right w:val="single" w:color="auto" w:sz="8" w:space="0"/>
            </w:tcBorders>
            <w:vAlign w:val="center"/>
          </w:tcPr>
          <w:p w14:paraId="14D8CAC1">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5BE70A6E">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49880044">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色彩管理：可提供6种以上不同颜色以区分不同网络或不同功能区域，方便管理维护。</w:t>
            </w:r>
          </w:p>
        </w:tc>
      </w:tr>
      <w:tr w14:paraId="3B698066">
        <w:tblPrEx>
          <w:tblCellMar>
            <w:top w:w="0" w:type="dxa"/>
            <w:left w:w="108" w:type="dxa"/>
            <w:bottom w:w="0" w:type="dxa"/>
            <w:right w:w="108" w:type="dxa"/>
          </w:tblCellMar>
        </w:tblPrEx>
        <w:trPr>
          <w:trHeight w:val="255" w:hRule="atLeast"/>
        </w:trPr>
        <w:tc>
          <w:tcPr>
            <w:tcW w:w="794" w:type="dxa"/>
            <w:vMerge w:val="restart"/>
            <w:tcBorders>
              <w:top w:val="nil"/>
              <w:left w:val="single" w:color="auto" w:sz="8" w:space="0"/>
              <w:bottom w:val="single" w:color="000000" w:sz="8" w:space="0"/>
              <w:right w:val="single" w:color="auto" w:sz="8" w:space="0"/>
            </w:tcBorders>
            <w:shd w:val="clear" w:color="auto" w:fill="auto"/>
            <w:vAlign w:val="center"/>
          </w:tcPr>
          <w:p w14:paraId="0390337B">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24</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14:paraId="4E13A184">
            <w:pPr>
              <w:widowControl/>
              <w:autoSpaceDE/>
              <w:autoSpaceDN/>
              <w:spacing w:line="240" w:lineRule="auto"/>
              <w:ind w:firstLine="0" w:firstLineChars="0"/>
              <w:jc w:val="left"/>
              <w:rPr>
                <w:rFonts w:ascii="宋体" w:hAnsi="宋体" w:cs="宋体"/>
                <w:b/>
                <w:bCs/>
                <w:kern w:val="0"/>
                <w:sz w:val="20"/>
                <w:highlight w:val="none"/>
              </w:rPr>
            </w:pPr>
            <w:r>
              <w:rPr>
                <w:rFonts w:hint="eastAsia" w:ascii="宋体" w:hAnsi="宋体" w:cs="宋体"/>
                <w:b/>
                <w:bCs/>
                <w:kern w:val="0"/>
                <w:sz w:val="20"/>
                <w:highlight w:val="none"/>
              </w:rPr>
              <w:t>通用服务器L型支架</w:t>
            </w:r>
          </w:p>
        </w:tc>
        <w:tc>
          <w:tcPr>
            <w:tcW w:w="6980" w:type="dxa"/>
            <w:tcBorders>
              <w:top w:val="nil"/>
              <w:left w:val="nil"/>
              <w:bottom w:val="nil"/>
              <w:right w:val="single" w:color="auto" w:sz="8" w:space="0"/>
            </w:tcBorders>
            <w:shd w:val="clear" w:color="auto" w:fill="auto"/>
            <w:vAlign w:val="center"/>
          </w:tcPr>
          <w:p w14:paraId="62283441">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结构：L型设计，带滑轨。</w:t>
            </w:r>
          </w:p>
        </w:tc>
      </w:tr>
      <w:tr w14:paraId="50154AC1">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96F9A47">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297E6BBD">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71F7F23F">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材质：优质冷轧钢，具备高承载能力。</w:t>
            </w:r>
          </w:p>
        </w:tc>
      </w:tr>
      <w:tr w14:paraId="0E1ED751">
        <w:tblPrEx>
          <w:tblCellMar>
            <w:top w:w="0" w:type="dxa"/>
            <w:left w:w="108" w:type="dxa"/>
            <w:bottom w:w="0" w:type="dxa"/>
            <w:right w:w="108" w:type="dxa"/>
          </w:tblCellMar>
        </w:tblPrEx>
        <w:trPr>
          <w:trHeight w:val="255" w:hRule="atLeast"/>
        </w:trPr>
        <w:tc>
          <w:tcPr>
            <w:tcW w:w="794" w:type="dxa"/>
            <w:vMerge w:val="continue"/>
            <w:tcBorders>
              <w:top w:val="nil"/>
              <w:left w:val="single" w:color="auto" w:sz="8" w:space="0"/>
              <w:bottom w:val="single" w:color="000000" w:sz="8" w:space="0"/>
              <w:right w:val="single" w:color="auto" w:sz="8" w:space="0"/>
            </w:tcBorders>
            <w:vAlign w:val="center"/>
          </w:tcPr>
          <w:p w14:paraId="5BE1AF4B">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7C0EC0A3">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nil"/>
              <w:right w:val="single" w:color="auto" w:sz="8" w:space="0"/>
            </w:tcBorders>
            <w:shd w:val="clear" w:color="auto" w:fill="auto"/>
            <w:vAlign w:val="center"/>
          </w:tcPr>
          <w:p w14:paraId="5D0118BC">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功能：支持服务器设备稳固安装，方便前后滑动。</w:t>
            </w:r>
          </w:p>
        </w:tc>
      </w:tr>
      <w:tr w14:paraId="56E84A41">
        <w:tblPrEx>
          <w:tblCellMar>
            <w:top w:w="0" w:type="dxa"/>
            <w:left w:w="108" w:type="dxa"/>
            <w:bottom w:w="0" w:type="dxa"/>
            <w:right w:w="108" w:type="dxa"/>
          </w:tblCellMar>
        </w:tblPrEx>
        <w:trPr>
          <w:trHeight w:val="263" w:hRule="atLeast"/>
        </w:trPr>
        <w:tc>
          <w:tcPr>
            <w:tcW w:w="794" w:type="dxa"/>
            <w:vMerge w:val="continue"/>
            <w:tcBorders>
              <w:top w:val="nil"/>
              <w:left w:val="single" w:color="auto" w:sz="8" w:space="0"/>
              <w:bottom w:val="single" w:color="000000" w:sz="8" w:space="0"/>
              <w:right w:val="single" w:color="auto" w:sz="8" w:space="0"/>
            </w:tcBorders>
            <w:vAlign w:val="center"/>
          </w:tcPr>
          <w:p w14:paraId="5036EAEF">
            <w:pPr>
              <w:widowControl/>
              <w:autoSpaceDE/>
              <w:autoSpaceDN/>
              <w:spacing w:line="240" w:lineRule="auto"/>
              <w:ind w:left="240" w:firstLine="0" w:firstLineChars="0"/>
              <w:jc w:val="left"/>
              <w:rPr>
                <w:rFonts w:ascii="宋体" w:hAnsi="宋体" w:cs="宋体"/>
                <w:b/>
                <w:bCs/>
                <w:kern w:val="0"/>
                <w:sz w:val="20"/>
                <w:highlight w:val="none"/>
              </w:rPr>
            </w:pPr>
          </w:p>
        </w:tc>
        <w:tc>
          <w:tcPr>
            <w:tcW w:w="1240" w:type="dxa"/>
            <w:vMerge w:val="continue"/>
            <w:tcBorders>
              <w:top w:val="nil"/>
              <w:left w:val="single" w:color="auto" w:sz="8" w:space="0"/>
              <w:bottom w:val="single" w:color="000000" w:sz="8" w:space="0"/>
              <w:right w:val="single" w:color="auto" w:sz="8" w:space="0"/>
            </w:tcBorders>
            <w:vAlign w:val="center"/>
          </w:tcPr>
          <w:p w14:paraId="65DFA89D">
            <w:pPr>
              <w:widowControl/>
              <w:autoSpaceDE/>
              <w:autoSpaceDN/>
              <w:spacing w:line="240" w:lineRule="auto"/>
              <w:ind w:left="240" w:firstLine="0" w:firstLineChars="0"/>
              <w:jc w:val="left"/>
              <w:rPr>
                <w:rFonts w:ascii="宋体" w:hAnsi="宋体" w:cs="宋体"/>
                <w:b/>
                <w:bCs/>
                <w:kern w:val="0"/>
                <w:sz w:val="20"/>
                <w:highlight w:val="none"/>
              </w:rPr>
            </w:pPr>
          </w:p>
        </w:tc>
        <w:tc>
          <w:tcPr>
            <w:tcW w:w="6980" w:type="dxa"/>
            <w:tcBorders>
              <w:top w:val="nil"/>
              <w:left w:val="nil"/>
              <w:bottom w:val="single" w:color="auto" w:sz="8" w:space="0"/>
              <w:right w:val="single" w:color="auto" w:sz="8" w:space="0"/>
            </w:tcBorders>
            <w:shd w:val="clear" w:color="auto" w:fill="auto"/>
            <w:vAlign w:val="center"/>
          </w:tcPr>
          <w:p w14:paraId="50548E6A">
            <w:pPr>
              <w:widowControl/>
              <w:autoSpaceDE/>
              <w:autoSpaceDN/>
              <w:spacing w:line="240" w:lineRule="auto"/>
              <w:ind w:firstLine="0" w:firstLineChars="0"/>
              <w:jc w:val="left"/>
              <w:rPr>
                <w:rFonts w:ascii="宋体" w:hAnsi="宋体" w:cs="宋体"/>
                <w:kern w:val="0"/>
                <w:sz w:val="20"/>
                <w:highlight w:val="none"/>
              </w:rPr>
            </w:pPr>
            <w:r>
              <w:rPr>
                <w:rFonts w:hint="eastAsia" w:ascii="宋体" w:hAnsi="宋体" w:cs="宋体"/>
                <w:kern w:val="0"/>
                <w:sz w:val="20"/>
                <w:highlight w:val="none"/>
              </w:rPr>
              <w:t>表面处理：防腐、防锈处理。</w:t>
            </w:r>
          </w:p>
        </w:tc>
      </w:tr>
    </w:tbl>
    <w:p w14:paraId="28757FF9">
      <w:pPr>
        <w:widowControl/>
        <w:autoSpaceDE/>
        <w:autoSpaceDN/>
        <w:spacing w:line="240" w:lineRule="auto"/>
        <w:ind w:firstLine="0" w:firstLineChars="0"/>
        <w:jc w:val="left"/>
        <w:rPr>
          <w:rFonts w:ascii="宋体"/>
          <w:b/>
          <w:highlight w:val="none"/>
        </w:rPr>
      </w:pPr>
    </w:p>
    <w:p w14:paraId="3EBB3D90">
      <w:pPr>
        <w:widowControl/>
        <w:autoSpaceDE/>
        <w:autoSpaceDN/>
        <w:spacing w:line="240" w:lineRule="auto"/>
        <w:ind w:firstLine="0" w:firstLineChars="0"/>
        <w:jc w:val="left"/>
        <w:rPr>
          <w:rFonts w:ascii="宋体"/>
          <w:b/>
          <w:highlight w:val="none"/>
        </w:rPr>
      </w:pPr>
      <w:r>
        <w:rPr>
          <w:rFonts w:ascii="宋体"/>
          <w:b/>
          <w:highlight w:val="none"/>
        </w:rPr>
        <w:br w:type="page"/>
      </w:r>
      <w:r>
        <w:rPr>
          <w:rFonts w:hint="eastAsia" w:ascii="宋体"/>
          <w:b/>
          <w:highlight w:val="none"/>
        </w:rPr>
        <w:t>附件2 货物签收表</w:t>
      </w:r>
    </w:p>
    <w:tbl>
      <w:tblPr>
        <w:tblStyle w:val="17"/>
        <w:tblW w:w="9701" w:type="dxa"/>
        <w:tblInd w:w="-851" w:type="dxa"/>
        <w:tblLayout w:type="fixed"/>
        <w:tblCellMar>
          <w:top w:w="0" w:type="dxa"/>
          <w:left w:w="108" w:type="dxa"/>
          <w:bottom w:w="0" w:type="dxa"/>
          <w:right w:w="108" w:type="dxa"/>
        </w:tblCellMar>
      </w:tblPr>
      <w:tblGrid>
        <w:gridCol w:w="1135"/>
        <w:gridCol w:w="566"/>
        <w:gridCol w:w="1135"/>
        <w:gridCol w:w="2689"/>
        <w:gridCol w:w="996"/>
        <w:gridCol w:w="993"/>
        <w:gridCol w:w="992"/>
        <w:gridCol w:w="699"/>
        <w:gridCol w:w="496"/>
      </w:tblGrid>
      <w:tr w14:paraId="10E67C82">
        <w:tblPrEx>
          <w:tblCellMar>
            <w:top w:w="0" w:type="dxa"/>
            <w:left w:w="108" w:type="dxa"/>
            <w:bottom w:w="0" w:type="dxa"/>
            <w:right w:w="108" w:type="dxa"/>
          </w:tblCellMar>
        </w:tblPrEx>
        <w:trPr>
          <w:gridBefore w:val="1"/>
          <w:gridAfter w:val="1"/>
          <w:wBefore w:w="1135" w:type="dxa"/>
          <w:wAfter w:w="496" w:type="dxa"/>
          <w:trHeight w:val="300" w:hRule="atLeast"/>
        </w:trPr>
        <w:tc>
          <w:tcPr>
            <w:tcW w:w="8070" w:type="dxa"/>
            <w:gridSpan w:val="7"/>
            <w:tcBorders>
              <w:top w:val="nil"/>
              <w:left w:val="nil"/>
              <w:bottom w:val="nil"/>
              <w:right w:val="nil"/>
            </w:tcBorders>
            <w:vAlign w:val="center"/>
          </w:tcPr>
          <w:p w14:paraId="30358971">
            <w:pPr>
              <w:widowControl/>
              <w:ind w:left="240" w:right="240" w:firstLine="880"/>
              <w:jc w:val="center"/>
              <w:rPr>
                <w:rFonts w:ascii="方正小标宋_GBK" w:eastAsia="方正小标宋_GBK" w:cs="宋体"/>
                <w:kern w:val="0"/>
                <w:sz w:val="44"/>
                <w:szCs w:val="44"/>
                <w:highlight w:val="none"/>
              </w:rPr>
            </w:pPr>
            <w:r>
              <w:rPr>
                <w:rFonts w:hint="eastAsia" w:ascii="方正小标宋_GBK" w:eastAsia="方正小标宋_GBK" w:cs="宋体"/>
                <w:kern w:val="0"/>
                <w:sz w:val="44"/>
                <w:szCs w:val="44"/>
                <w:highlight w:val="none"/>
              </w:rPr>
              <w:t>货物签收表</w:t>
            </w:r>
          </w:p>
        </w:tc>
      </w:tr>
      <w:tr w14:paraId="799288AD">
        <w:tblPrEx>
          <w:tblCellMar>
            <w:top w:w="0" w:type="dxa"/>
            <w:left w:w="108" w:type="dxa"/>
            <w:bottom w:w="0" w:type="dxa"/>
            <w:right w:w="108" w:type="dxa"/>
          </w:tblCellMar>
        </w:tblPrEx>
        <w:trPr>
          <w:trHeight w:val="563" w:hRule="atLeast"/>
        </w:trPr>
        <w:tc>
          <w:tcPr>
            <w:tcW w:w="1135" w:type="dxa"/>
            <w:tcBorders>
              <w:top w:val="single" w:color="auto" w:sz="4" w:space="0"/>
              <w:left w:val="single" w:color="auto" w:sz="4" w:space="0"/>
              <w:bottom w:val="single" w:color="auto" w:sz="4" w:space="0"/>
              <w:right w:val="single" w:color="auto" w:sz="4" w:space="0"/>
            </w:tcBorders>
            <w:vAlign w:val="center"/>
          </w:tcPr>
          <w:p w14:paraId="75435380">
            <w:pPr>
              <w:spacing w:line="240" w:lineRule="auto"/>
              <w:ind w:right="240" w:firstLine="0" w:firstLineChars="0"/>
              <w:jc w:val="center"/>
              <w:rPr>
                <w:rFonts w:ascii="宋体"/>
                <w:b/>
                <w:bCs/>
                <w:szCs w:val="24"/>
                <w:highlight w:val="none"/>
              </w:rPr>
            </w:pPr>
            <w:r>
              <w:rPr>
                <w:rFonts w:hint="eastAsia" w:ascii="宋体"/>
                <w:b/>
                <w:bCs/>
                <w:szCs w:val="24"/>
                <w:highlight w:val="none"/>
              </w:rPr>
              <w:t>项目名称</w:t>
            </w:r>
          </w:p>
        </w:tc>
        <w:tc>
          <w:tcPr>
            <w:tcW w:w="5386" w:type="dxa"/>
            <w:gridSpan w:val="4"/>
            <w:tcBorders>
              <w:top w:val="single" w:color="auto" w:sz="4" w:space="0"/>
              <w:left w:val="single" w:color="auto" w:sz="4" w:space="0"/>
              <w:bottom w:val="single" w:color="auto" w:sz="4" w:space="0"/>
              <w:right w:val="single" w:color="auto" w:sz="4" w:space="0"/>
            </w:tcBorders>
            <w:vAlign w:val="center"/>
          </w:tcPr>
          <w:p w14:paraId="32E75242">
            <w:pPr>
              <w:spacing w:line="240" w:lineRule="auto"/>
              <w:ind w:left="240" w:right="240" w:firstLine="0" w:firstLineChars="0"/>
              <w:jc w:val="left"/>
              <w:rPr>
                <w:rFonts w:ascii="宋体"/>
                <w:szCs w:val="24"/>
                <w:highlight w:val="none"/>
              </w:rPr>
            </w:pPr>
            <w:r>
              <w:rPr>
                <w:rFonts w:hint="eastAsia" w:ascii="宋体"/>
                <w:szCs w:val="24"/>
                <w:highlight w:val="none"/>
              </w:rPr>
              <w:t>重庆三峡银行2025-2028年度数据中心运维耗材采购项目</w:t>
            </w:r>
          </w:p>
        </w:tc>
        <w:tc>
          <w:tcPr>
            <w:tcW w:w="993" w:type="dxa"/>
            <w:tcBorders>
              <w:top w:val="single" w:color="auto" w:sz="4" w:space="0"/>
              <w:left w:val="single" w:color="auto" w:sz="4" w:space="0"/>
              <w:bottom w:val="single" w:color="auto" w:sz="4" w:space="0"/>
              <w:right w:val="single" w:color="auto" w:sz="4" w:space="0"/>
            </w:tcBorders>
            <w:vAlign w:val="center"/>
          </w:tcPr>
          <w:p w14:paraId="6F4B7215">
            <w:pPr>
              <w:spacing w:line="240" w:lineRule="auto"/>
              <w:ind w:right="240" w:firstLine="0" w:firstLineChars="0"/>
              <w:jc w:val="center"/>
              <w:rPr>
                <w:rFonts w:ascii="宋体"/>
                <w:b/>
                <w:bCs/>
                <w:szCs w:val="24"/>
                <w:highlight w:val="none"/>
              </w:rPr>
            </w:pPr>
            <w:r>
              <w:rPr>
                <w:rFonts w:hint="eastAsia" w:ascii="宋体"/>
                <w:b/>
                <w:bCs/>
                <w:szCs w:val="24"/>
                <w:highlight w:val="none"/>
              </w:rPr>
              <w:t>交付时间</w:t>
            </w:r>
          </w:p>
        </w:tc>
        <w:tc>
          <w:tcPr>
            <w:tcW w:w="2187" w:type="dxa"/>
            <w:gridSpan w:val="3"/>
            <w:tcBorders>
              <w:top w:val="single" w:color="auto" w:sz="4" w:space="0"/>
              <w:left w:val="single" w:color="auto" w:sz="4" w:space="0"/>
              <w:bottom w:val="single" w:color="auto" w:sz="4" w:space="0"/>
              <w:right w:val="single" w:color="auto" w:sz="4" w:space="0"/>
            </w:tcBorders>
            <w:vAlign w:val="center"/>
          </w:tcPr>
          <w:p w14:paraId="3C64941A">
            <w:pPr>
              <w:spacing w:line="240" w:lineRule="auto"/>
              <w:ind w:left="240" w:right="240" w:firstLine="0" w:firstLineChars="0"/>
              <w:rPr>
                <w:rFonts w:ascii="宋体"/>
                <w:szCs w:val="24"/>
                <w:highlight w:val="none"/>
              </w:rPr>
            </w:pPr>
          </w:p>
        </w:tc>
      </w:tr>
      <w:tr w14:paraId="4DA00F16">
        <w:tblPrEx>
          <w:tblCellMar>
            <w:top w:w="0" w:type="dxa"/>
            <w:left w:w="108" w:type="dxa"/>
            <w:bottom w:w="0" w:type="dxa"/>
            <w:right w:w="108" w:type="dxa"/>
          </w:tblCellMar>
        </w:tblPrEx>
        <w:trPr>
          <w:trHeight w:val="169" w:hRule="atLeast"/>
        </w:trPr>
        <w:tc>
          <w:tcPr>
            <w:tcW w:w="1135" w:type="dxa"/>
            <w:tcBorders>
              <w:top w:val="single" w:color="auto" w:sz="4" w:space="0"/>
              <w:left w:val="single" w:color="auto" w:sz="4" w:space="0"/>
              <w:bottom w:val="single" w:color="auto" w:sz="4" w:space="0"/>
              <w:right w:val="single" w:color="auto" w:sz="4" w:space="0"/>
            </w:tcBorders>
            <w:vAlign w:val="center"/>
          </w:tcPr>
          <w:p w14:paraId="05924FE2">
            <w:pPr>
              <w:spacing w:line="240" w:lineRule="auto"/>
              <w:ind w:right="240" w:firstLine="0" w:firstLineChars="0"/>
              <w:jc w:val="center"/>
              <w:rPr>
                <w:rFonts w:ascii="宋体"/>
                <w:b/>
                <w:bCs/>
                <w:szCs w:val="24"/>
                <w:highlight w:val="none"/>
              </w:rPr>
            </w:pPr>
            <w:r>
              <w:rPr>
                <w:rFonts w:hint="eastAsia" w:ascii="宋体"/>
                <w:b/>
                <w:bCs/>
                <w:szCs w:val="24"/>
                <w:highlight w:val="none"/>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90F4E77">
            <w:pPr>
              <w:spacing w:line="240" w:lineRule="auto"/>
              <w:ind w:right="240" w:firstLine="0" w:firstLineChars="0"/>
              <w:jc w:val="center"/>
              <w:rPr>
                <w:rFonts w:ascii="宋体"/>
                <w:b/>
                <w:bCs/>
                <w:szCs w:val="24"/>
                <w:highlight w:val="none"/>
              </w:rPr>
            </w:pPr>
            <w:r>
              <w:rPr>
                <w:rFonts w:hint="eastAsia" w:ascii="宋体" w:cs="宋体"/>
                <w:b/>
                <w:bCs/>
                <w:kern w:val="0"/>
                <w:szCs w:val="24"/>
                <w:highlight w:val="none"/>
              </w:rPr>
              <w:t>货物名称</w:t>
            </w:r>
          </w:p>
        </w:tc>
        <w:tc>
          <w:tcPr>
            <w:tcW w:w="2689" w:type="dxa"/>
            <w:tcBorders>
              <w:top w:val="single" w:color="auto" w:sz="4" w:space="0"/>
              <w:left w:val="single" w:color="auto" w:sz="4" w:space="0"/>
              <w:bottom w:val="single" w:color="auto" w:sz="4" w:space="0"/>
              <w:right w:val="single" w:color="auto" w:sz="4" w:space="0"/>
            </w:tcBorders>
            <w:vAlign w:val="center"/>
          </w:tcPr>
          <w:p w14:paraId="3B42225E">
            <w:pPr>
              <w:spacing w:line="240" w:lineRule="auto"/>
              <w:ind w:right="240" w:firstLine="0" w:firstLineChars="0"/>
              <w:jc w:val="center"/>
              <w:rPr>
                <w:rFonts w:ascii="宋体"/>
                <w:b/>
                <w:bCs/>
                <w:szCs w:val="24"/>
                <w:highlight w:val="none"/>
              </w:rPr>
            </w:pPr>
            <w:r>
              <w:rPr>
                <w:rFonts w:hint="eastAsia" w:ascii="宋体" w:cs="宋体"/>
                <w:b/>
                <w:bCs/>
                <w:kern w:val="0"/>
                <w:szCs w:val="24"/>
                <w:highlight w:val="none"/>
              </w:rPr>
              <w:t>序列号或生产批次号</w:t>
            </w:r>
          </w:p>
        </w:tc>
        <w:tc>
          <w:tcPr>
            <w:tcW w:w="996" w:type="dxa"/>
            <w:tcBorders>
              <w:top w:val="single" w:color="auto" w:sz="4" w:space="0"/>
              <w:left w:val="single" w:color="auto" w:sz="4" w:space="0"/>
              <w:bottom w:val="single" w:color="auto" w:sz="4" w:space="0"/>
              <w:right w:val="single" w:color="auto" w:sz="4" w:space="0"/>
            </w:tcBorders>
            <w:vAlign w:val="center"/>
          </w:tcPr>
          <w:p w14:paraId="732D42A4">
            <w:pPr>
              <w:spacing w:line="240" w:lineRule="auto"/>
              <w:ind w:right="240" w:firstLine="0" w:firstLineChars="0"/>
              <w:jc w:val="center"/>
              <w:rPr>
                <w:rFonts w:ascii="宋体"/>
                <w:b/>
                <w:bCs/>
                <w:szCs w:val="24"/>
                <w:highlight w:val="none"/>
              </w:rPr>
            </w:pPr>
            <w:r>
              <w:rPr>
                <w:rFonts w:hint="eastAsia" w:ascii="宋体" w:cs="宋体"/>
                <w:b/>
                <w:bCs/>
                <w:kern w:val="0"/>
                <w:szCs w:val="24"/>
                <w:highlight w:val="none"/>
              </w:rPr>
              <w:t>单价</w:t>
            </w:r>
          </w:p>
        </w:tc>
        <w:tc>
          <w:tcPr>
            <w:tcW w:w="993" w:type="dxa"/>
            <w:tcBorders>
              <w:top w:val="single" w:color="auto" w:sz="4" w:space="0"/>
              <w:left w:val="single" w:color="auto" w:sz="4" w:space="0"/>
              <w:bottom w:val="single" w:color="auto" w:sz="4" w:space="0"/>
              <w:right w:val="single" w:color="auto" w:sz="4" w:space="0"/>
            </w:tcBorders>
            <w:vAlign w:val="center"/>
          </w:tcPr>
          <w:p w14:paraId="2A628D42">
            <w:pPr>
              <w:spacing w:line="240" w:lineRule="auto"/>
              <w:ind w:right="240" w:firstLine="0" w:firstLineChars="0"/>
              <w:jc w:val="center"/>
              <w:rPr>
                <w:rFonts w:ascii="宋体"/>
                <w:b/>
                <w:bCs/>
                <w:szCs w:val="24"/>
                <w:highlight w:val="none"/>
              </w:rPr>
            </w:pPr>
            <w:r>
              <w:rPr>
                <w:rFonts w:hint="eastAsia" w:ascii="宋体"/>
                <w:b/>
                <w:bCs/>
                <w:szCs w:val="24"/>
                <w:highlight w:val="none"/>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21D1E43C">
            <w:pPr>
              <w:spacing w:line="240" w:lineRule="auto"/>
              <w:ind w:right="240" w:firstLine="0" w:firstLineChars="0"/>
              <w:jc w:val="center"/>
              <w:rPr>
                <w:rFonts w:ascii="宋体" w:cs="宋体"/>
                <w:b/>
                <w:bCs/>
                <w:kern w:val="0"/>
                <w:szCs w:val="24"/>
                <w:highlight w:val="none"/>
              </w:rPr>
            </w:pPr>
            <w:r>
              <w:rPr>
                <w:rFonts w:hint="eastAsia" w:ascii="宋体" w:cs="宋体"/>
                <w:b/>
                <w:bCs/>
                <w:kern w:val="0"/>
                <w:szCs w:val="24"/>
                <w:highlight w:val="none"/>
              </w:rPr>
              <w:t>合价</w:t>
            </w: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0C2DA1AD">
            <w:pPr>
              <w:spacing w:line="240" w:lineRule="auto"/>
              <w:ind w:right="240" w:firstLine="0" w:firstLineChars="0"/>
              <w:jc w:val="center"/>
              <w:rPr>
                <w:rFonts w:ascii="宋体"/>
                <w:b/>
                <w:bCs/>
                <w:szCs w:val="24"/>
                <w:highlight w:val="none"/>
              </w:rPr>
            </w:pPr>
            <w:r>
              <w:rPr>
                <w:rFonts w:hint="eastAsia" w:ascii="宋体" w:cs="宋体"/>
                <w:b/>
                <w:bCs/>
                <w:kern w:val="0"/>
                <w:szCs w:val="24"/>
                <w:highlight w:val="none"/>
              </w:rPr>
              <w:t>检验结果</w:t>
            </w:r>
          </w:p>
        </w:tc>
      </w:tr>
      <w:tr w14:paraId="0263B00A">
        <w:tblPrEx>
          <w:tblCellMar>
            <w:top w:w="0" w:type="dxa"/>
            <w:left w:w="108" w:type="dxa"/>
            <w:bottom w:w="0" w:type="dxa"/>
            <w:right w:w="108" w:type="dxa"/>
          </w:tblCellMar>
        </w:tblPrEx>
        <w:trPr>
          <w:trHeight w:val="458" w:hRule="atLeast"/>
        </w:trPr>
        <w:tc>
          <w:tcPr>
            <w:tcW w:w="1135" w:type="dxa"/>
            <w:tcBorders>
              <w:top w:val="single" w:color="auto" w:sz="4" w:space="0"/>
              <w:left w:val="single" w:color="auto" w:sz="4" w:space="0"/>
              <w:bottom w:val="single" w:color="auto" w:sz="4" w:space="0"/>
              <w:right w:val="single" w:color="auto" w:sz="4" w:space="0"/>
            </w:tcBorders>
            <w:vAlign w:val="center"/>
          </w:tcPr>
          <w:p w14:paraId="106FA366">
            <w:pPr>
              <w:ind w:left="240" w:right="240" w:firstLine="480"/>
              <w:jc w:val="center"/>
              <w:rPr>
                <w:rFonts w:ascii="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5DC42D1">
            <w:pPr>
              <w:ind w:left="240" w:right="240" w:firstLine="480"/>
              <w:rPr>
                <w:rFonts w:ascii="宋体"/>
                <w:highlight w:val="none"/>
              </w:rPr>
            </w:pPr>
          </w:p>
        </w:tc>
        <w:tc>
          <w:tcPr>
            <w:tcW w:w="2689" w:type="dxa"/>
            <w:tcBorders>
              <w:top w:val="single" w:color="auto" w:sz="4" w:space="0"/>
              <w:left w:val="single" w:color="auto" w:sz="4" w:space="0"/>
              <w:bottom w:val="single" w:color="auto" w:sz="4" w:space="0"/>
              <w:right w:val="single" w:color="auto" w:sz="4" w:space="0"/>
            </w:tcBorders>
            <w:vAlign w:val="center"/>
          </w:tcPr>
          <w:p w14:paraId="0DFC1FB3">
            <w:pPr>
              <w:ind w:left="240" w:right="240" w:firstLine="480"/>
              <w:rPr>
                <w:rFonts w:ascii="宋体"/>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1C58CC5A">
            <w:pPr>
              <w:ind w:left="240" w:right="240" w:firstLine="480"/>
              <w:rPr>
                <w:rFonts w:ascii="宋体"/>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15A466A0">
            <w:pPr>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F01B801">
            <w:pPr>
              <w:ind w:left="240" w:right="240" w:firstLine="480"/>
              <w:rPr>
                <w:rFonts w:ascii="宋体"/>
                <w:highlight w:val="none"/>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5FFCDAD3">
            <w:pPr>
              <w:ind w:left="240" w:right="240" w:firstLine="480"/>
              <w:rPr>
                <w:rFonts w:ascii="宋体"/>
                <w:highlight w:val="none"/>
              </w:rPr>
            </w:pPr>
          </w:p>
        </w:tc>
      </w:tr>
      <w:tr w14:paraId="5A2460DF">
        <w:tblPrEx>
          <w:tblCellMar>
            <w:top w:w="0" w:type="dxa"/>
            <w:left w:w="108" w:type="dxa"/>
            <w:bottom w:w="0" w:type="dxa"/>
            <w:right w:w="108" w:type="dxa"/>
          </w:tblCellMar>
        </w:tblPrEx>
        <w:trPr>
          <w:trHeight w:val="458" w:hRule="atLeast"/>
        </w:trPr>
        <w:tc>
          <w:tcPr>
            <w:tcW w:w="1135" w:type="dxa"/>
            <w:tcBorders>
              <w:top w:val="single" w:color="auto" w:sz="4" w:space="0"/>
              <w:left w:val="single" w:color="auto" w:sz="4" w:space="0"/>
              <w:bottom w:val="single" w:color="auto" w:sz="4" w:space="0"/>
              <w:right w:val="single" w:color="auto" w:sz="4" w:space="0"/>
            </w:tcBorders>
            <w:vAlign w:val="center"/>
          </w:tcPr>
          <w:p w14:paraId="45652BE0">
            <w:pPr>
              <w:ind w:left="240" w:right="240" w:firstLine="480"/>
              <w:jc w:val="center"/>
              <w:rPr>
                <w:rFonts w:ascii="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5510BB7">
            <w:pPr>
              <w:ind w:left="240" w:right="240" w:firstLine="480"/>
              <w:rPr>
                <w:rFonts w:ascii="宋体"/>
                <w:highlight w:val="none"/>
              </w:rPr>
            </w:pPr>
          </w:p>
        </w:tc>
        <w:tc>
          <w:tcPr>
            <w:tcW w:w="2689" w:type="dxa"/>
            <w:tcBorders>
              <w:top w:val="single" w:color="auto" w:sz="4" w:space="0"/>
              <w:left w:val="single" w:color="auto" w:sz="4" w:space="0"/>
              <w:bottom w:val="single" w:color="auto" w:sz="4" w:space="0"/>
              <w:right w:val="single" w:color="auto" w:sz="4" w:space="0"/>
            </w:tcBorders>
            <w:vAlign w:val="center"/>
          </w:tcPr>
          <w:p w14:paraId="213B4612">
            <w:pPr>
              <w:ind w:left="240" w:right="240" w:firstLine="480"/>
              <w:rPr>
                <w:rFonts w:ascii="宋体"/>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79FBEB2A">
            <w:pPr>
              <w:ind w:left="240" w:right="240" w:firstLine="480"/>
              <w:rPr>
                <w:rFonts w:ascii="宋体"/>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5079A72A">
            <w:pPr>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60EC84D">
            <w:pPr>
              <w:ind w:left="240" w:right="240" w:firstLine="480"/>
              <w:rPr>
                <w:rFonts w:ascii="宋体"/>
                <w:highlight w:val="none"/>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60272E34">
            <w:pPr>
              <w:ind w:left="240" w:right="240" w:firstLine="480"/>
              <w:rPr>
                <w:rFonts w:ascii="宋体"/>
                <w:highlight w:val="none"/>
              </w:rPr>
            </w:pPr>
          </w:p>
        </w:tc>
      </w:tr>
      <w:tr w14:paraId="493A3774">
        <w:tblPrEx>
          <w:tblCellMar>
            <w:top w:w="0" w:type="dxa"/>
            <w:left w:w="108" w:type="dxa"/>
            <w:bottom w:w="0" w:type="dxa"/>
            <w:right w:w="108" w:type="dxa"/>
          </w:tblCellMar>
        </w:tblPrEx>
        <w:trPr>
          <w:trHeight w:val="458" w:hRule="atLeast"/>
        </w:trPr>
        <w:tc>
          <w:tcPr>
            <w:tcW w:w="1135" w:type="dxa"/>
            <w:tcBorders>
              <w:top w:val="single" w:color="auto" w:sz="4" w:space="0"/>
              <w:left w:val="single" w:color="auto" w:sz="4" w:space="0"/>
              <w:bottom w:val="single" w:color="auto" w:sz="4" w:space="0"/>
              <w:right w:val="single" w:color="auto" w:sz="4" w:space="0"/>
            </w:tcBorders>
            <w:vAlign w:val="center"/>
          </w:tcPr>
          <w:p w14:paraId="40A53F00">
            <w:pPr>
              <w:ind w:left="240" w:right="240" w:firstLine="480"/>
              <w:jc w:val="center"/>
              <w:rPr>
                <w:rFonts w:ascii="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E6EC3BC">
            <w:pPr>
              <w:ind w:left="240" w:right="240" w:firstLine="480"/>
              <w:rPr>
                <w:rFonts w:ascii="宋体"/>
                <w:highlight w:val="none"/>
              </w:rPr>
            </w:pPr>
          </w:p>
        </w:tc>
        <w:tc>
          <w:tcPr>
            <w:tcW w:w="2689" w:type="dxa"/>
            <w:tcBorders>
              <w:top w:val="single" w:color="auto" w:sz="4" w:space="0"/>
              <w:left w:val="single" w:color="auto" w:sz="4" w:space="0"/>
              <w:bottom w:val="single" w:color="auto" w:sz="4" w:space="0"/>
              <w:right w:val="single" w:color="auto" w:sz="4" w:space="0"/>
            </w:tcBorders>
            <w:vAlign w:val="center"/>
          </w:tcPr>
          <w:p w14:paraId="1A57C9E2">
            <w:pPr>
              <w:ind w:left="240" w:right="240" w:firstLine="480"/>
              <w:rPr>
                <w:rFonts w:ascii="宋体"/>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34E89AA0">
            <w:pPr>
              <w:ind w:left="240" w:right="240" w:firstLine="480"/>
              <w:rPr>
                <w:rFonts w:ascii="宋体"/>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5A80B674">
            <w:pPr>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6E4612D">
            <w:pPr>
              <w:ind w:left="240" w:right="240" w:firstLine="480"/>
              <w:rPr>
                <w:rFonts w:ascii="宋体"/>
                <w:highlight w:val="none"/>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5270B770">
            <w:pPr>
              <w:ind w:left="240" w:right="240" w:firstLine="480"/>
              <w:rPr>
                <w:rFonts w:ascii="宋体"/>
                <w:highlight w:val="none"/>
              </w:rPr>
            </w:pPr>
          </w:p>
        </w:tc>
      </w:tr>
      <w:tr w14:paraId="1C40831E">
        <w:tblPrEx>
          <w:tblCellMar>
            <w:top w:w="0" w:type="dxa"/>
            <w:left w:w="108" w:type="dxa"/>
            <w:bottom w:w="0" w:type="dxa"/>
            <w:right w:w="108" w:type="dxa"/>
          </w:tblCellMar>
        </w:tblPrEx>
        <w:trPr>
          <w:trHeight w:val="458" w:hRule="atLeast"/>
        </w:trPr>
        <w:tc>
          <w:tcPr>
            <w:tcW w:w="1135" w:type="dxa"/>
            <w:tcBorders>
              <w:top w:val="single" w:color="auto" w:sz="4" w:space="0"/>
              <w:left w:val="single" w:color="auto" w:sz="4" w:space="0"/>
              <w:bottom w:val="single" w:color="auto" w:sz="4" w:space="0"/>
              <w:right w:val="single" w:color="auto" w:sz="4" w:space="0"/>
            </w:tcBorders>
            <w:vAlign w:val="center"/>
          </w:tcPr>
          <w:p w14:paraId="596E28F8">
            <w:pPr>
              <w:ind w:left="240" w:right="240" w:firstLine="480"/>
              <w:jc w:val="center"/>
              <w:rPr>
                <w:rFonts w:ascii="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2268509">
            <w:pPr>
              <w:ind w:left="240" w:right="240" w:firstLine="480"/>
              <w:rPr>
                <w:rFonts w:ascii="宋体"/>
                <w:highlight w:val="none"/>
              </w:rPr>
            </w:pPr>
          </w:p>
        </w:tc>
        <w:tc>
          <w:tcPr>
            <w:tcW w:w="2689" w:type="dxa"/>
            <w:tcBorders>
              <w:top w:val="single" w:color="auto" w:sz="4" w:space="0"/>
              <w:left w:val="single" w:color="auto" w:sz="4" w:space="0"/>
              <w:bottom w:val="single" w:color="auto" w:sz="4" w:space="0"/>
              <w:right w:val="single" w:color="auto" w:sz="4" w:space="0"/>
            </w:tcBorders>
            <w:vAlign w:val="center"/>
          </w:tcPr>
          <w:p w14:paraId="4ACAAD65">
            <w:pPr>
              <w:ind w:left="240" w:right="240" w:firstLine="480"/>
              <w:rPr>
                <w:rFonts w:ascii="宋体"/>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5C6AD0BC">
            <w:pPr>
              <w:ind w:left="240" w:right="240" w:firstLine="480"/>
              <w:rPr>
                <w:rFonts w:ascii="宋体"/>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8D69C5C">
            <w:pPr>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C3923A7">
            <w:pPr>
              <w:ind w:left="240" w:right="240" w:firstLine="480"/>
              <w:rPr>
                <w:rFonts w:ascii="宋体"/>
                <w:highlight w:val="none"/>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27199A48">
            <w:pPr>
              <w:ind w:left="240" w:right="240" w:firstLine="480"/>
              <w:rPr>
                <w:rFonts w:ascii="宋体"/>
                <w:highlight w:val="none"/>
              </w:rPr>
            </w:pPr>
          </w:p>
        </w:tc>
      </w:tr>
      <w:tr w14:paraId="04D34FA7">
        <w:tblPrEx>
          <w:tblCellMar>
            <w:top w:w="0" w:type="dxa"/>
            <w:left w:w="108" w:type="dxa"/>
            <w:bottom w:w="0" w:type="dxa"/>
            <w:right w:w="108" w:type="dxa"/>
          </w:tblCellMar>
        </w:tblPrEx>
        <w:trPr>
          <w:trHeight w:val="458" w:hRule="atLeast"/>
        </w:trPr>
        <w:tc>
          <w:tcPr>
            <w:tcW w:w="1135" w:type="dxa"/>
            <w:tcBorders>
              <w:top w:val="single" w:color="auto" w:sz="4" w:space="0"/>
              <w:left w:val="single" w:color="auto" w:sz="4" w:space="0"/>
              <w:bottom w:val="single" w:color="auto" w:sz="4" w:space="0"/>
              <w:right w:val="single" w:color="auto" w:sz="4" w:space="0"/>
            </w:tcBorders>
            <w:vAlign w:val="center"/>
          </w:tcPr>
          <w:p w14:paraId="71F2C9E5">
            <w:pPr>
              <w:ind w:left="240" w:right="240" w:firstLine="480"/>
              <w:jc w:val="center"/>
              <w:rPr>
                <w:rFonts w:ascii="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A3858A5">
            <w:pPr>
              <w:ind w:left="240" w:right="240" w:firstLine="480"/>
              <w:rPr>
                <w:rFonts w:ascii="宋体"/>
                <w:highlight w:val="none"/>
              </w:rPr>
            </w:pPr>
          </w:p>
        </w:tc>
        <w:tc>
          <w:tcPr>
            <w:tcW w:w="2689" w:type="dxa"/>
            <w:tcBorders>
              <w:top w:val="single" w:color="auto" w:sz="4" w:space="0"/>
              <w:left w:val="single" w:color="auto" w:sz="4" w:space="0"/>
              <w:bottom w:val="single" w:color="auto" w:sz="4" w:space="0"/>
              <w:right w:val="single" w:color="auto" w:sz="4" w:space="0"/>
            </w:tcBorders>
            <w:vAlign w:val="center"/>
          </w:tcPr>
          <w:p w14:paraId="2EAD6E8F">
            <w:pPr>
              <w:ind w:left="240" w:right="240" w:firstLine="480"/>
              <w:rPr>
                <w:rFonts w:ascii="宋体"/>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4E773BC4">
            <w:pPr>
              <w:ind w:left="240" w:right="240" w:firstLine="480"/>
              <w:rPr>
                <w:rFonts w:ascii="宋体"/>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F3CA38C">
            <w:pPr>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45B076D">
            <w:pPr>
              <w:ind w:left="240" w:right="240" w:firstLine="480"/>
              <w:rPr>
                <w:rFonts w:ascii="宋体"/>
                <w:highlight w:val="none"/>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1338CB13">
            <w:pPr>
              <w:ind w:left="240" w:right="240" w:firstLine="480"/>
              <w:rPr>
                <w:rFonts w:ascii="宋体"/>
                <w:highlight w:val="none"/>
              </w:rPr>
            </w:pPr>
          </w:p>
        </w:tc>
      </w:tr>
      <w:tr w14:paraId="1EF4EEA6">
        <w:tblPrEx>
          <w:tblCellMar>
            <w:top w:w="0" w:type="dxa"/>
            <w:left w:w="108" w:type="dxa"/>
            <w:bottom w:w="0" w:type="dxa"/>
            <w:right w:w="108" w:type="dxa"/>
          </w:tblCellMar>
        </w:tblPrEx>
        <w:trPr>
          <w:trHeight w:val="458" w:hRule="atLeast"/>
        </w:trPr>
        <w:tc>
          <w:tcPr>
            <w:tcW w:w="1135" w:type="dxa"/>
            <w:tcBorders>
              <w:top w:val="single" w:color="auto" w:sz="4" w:space="0"/>
              <w:left w:val="single" w:color="auto" w:sz="4" w:space="0"/>
              <w:bottom w:val="single" w:color="auto" w:sz="4" w:space="0"/>
              <w:right w:val="single" w:color="auto" w:sz="4" w:space="0"/>
            </w:tcBorders>
            <w:vAlign w:val="center"/>
          </w:tcPr>
          <w:p w14:paraId="39A3728A">
            <w:pPr>
              <w:ind w:left="240" w:right="240" w:firstLine="480"/>
              <w:jc w:val="center"/>
              <w:rPr>
                <w:rFonts w:ascii="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E6DECCD">
            <w:pPr>
              <w:ind w:left="240" w:right="240" w:firstLine="480"/>
              <w:rPr>
                <w:rFonts w:ascii="宋体"/>
                <w:highlight w:val="none"/>
              </w:rPr>
            </w:pPr>
          </w:p>
        </w:tc>
        <w:tc>
          <w:tcPr>
            <w:tcW w:w="2689" w:type="dxa"/>
            <w:tcBorders>
              <w:top w:val="single" w:color="auto" w:sz="4" w:space="0"/>
              <w:left w:val="single" w:color="auto" w:sz="4" w:space="0"/>
              <w:bottom w:val="single" w:color="auto" w:sz="4" w:space="0"/>
              <w:right w:val="single" w:color="auto" w:sz="4" w:space="0"/>
            </w:tcBorders>
            <w:vAlign w:val="center"/>
          </w:tcPr>
          <w:p w14:paraId="6A22580D">
            <w:pPr>
              <w:ind w:left="240" w:right="240" w:firstLine="480"/>
              <w:rPr>
                <w:rFonts w:ascii="宋体"/>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4298D3EC">
            <w:pPr>
              <w:ind w:left="240" w:right="240" w:firstLine="480"/>
              <w:rPr>
                <w:rFonts w:ascii="宋体"/>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C06DF78">
            <w:pPr>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EB7FD86">
            <w:pPr>
              <w:ind w:left="240" w:right="240" w:firstLine="480"/>
              <w:rPr>
                <w:rFonts w:ascii="宋体"/>
                <w:highlight w:val="none"/>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6385CC21">
            <w:pPr>
              <w:ind w:left="240" w:right="240" w:firstLine="480"/>
              <w:rPr>
                <w:rFonts w:ascii="宋体"/>
                <w:highlight w:val="none"/>
              </w:rPr>
            </w:pPr>
          </w:p>
        </w:tc>
      </w:tr>
      <w:tr w14:paraId="7DFDD7C3">
        <w:tblPrEx>
          <w:tblCellMar>
            <w:top w:w="0" w:type="dxa"/>
            <w:left w:w="108" w:type="dxa"/>
            <w:bottom w:w="0" w:type="dxa"/>
            <w:right w:w="108" w:type="dxa"/>
          </w:tblCellMar>
        </w:tblPrEx>
        <w:trPr>
          <w:trHeight w:val="409" w:hRule="atLeast"/>
        </w:trPr>
        <w:tc>
          <w:tcPr>
            <w:tcW w:w="1135" w:type="dxa"/>
            <w:tcBorders>
              <w:top w:val="single" w:color="auto" w:sz="4" w:space="0"/>
              <w:left w:val="single" w:color="auto" w:sz="4" w:space="0"/>
              <w:bottom w:val="single" w:color="auto" w:sz="4" w:space="0"/>
              <w:right w:val="single" w:color="auto" w:sz="4" w:space="0"/>
            </w:tcBorders>
            <w:vAlign w:val="center"/>
          </w:tcPr>
          <w:p w14:paraId="357415EB">
            <w:pPr>
              <w:ind w:left="240" w:right="240" w:firstLine="480"/>
              <w:jc w:val="center"/>
              <w:rPr>
                <w:rFonts w:ascii="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179BA61">
            <w:pPr>
              <w:ind w:left="240" w:right="240" w:firstLine="480"/>
              <w:rPr>
                <w:rFonts w:ascii="宋体"/>
                <w:highlight w:val="none"/>
              </w:rPr>
            </w:pPr>
          </w:p>
        </w:tc>
        <w:tc>
          <w:tcPr>
            <w:tcW w:w="2689" w:type="dxa"/>
            <w:tcBorders>
              <w:top w:val="single" w:color="auto" w:sz="4" w:space="0"/>
              <w:left w:val="single" w:color="auto" w:sz="4" w:space="0"/>
              <w:bottom w:val="single" w:color="auto" w:sz="4" w:space="0"/>
              <w:right w:val="single" w:color="auto" w:sz="4" w:space="0"/>
            </w:tcBorders>
            <w:vAlign w:val="center"/>
          </w:tcPr>
          <w:p w14:paraId="75EFE531">
            <w:pPr>
              <w:ind w:left="240" w:right="240" w:firstLine="480"/>
              <w:rPr>
                <w:rFonts w:ascii="宋体"/>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0F386D5C">
            <w:pPr>
              <w:ind w:left="240" w:right="240" w:firstLine="480"/>
              <w:rPr>
                <w:rFonts w:ascii="宋体"/>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2C80CE9">
            <w:pPr>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FA3F9BF">
            <w:pPr>
              <w:ind w:left="240" w:right="240" w:firstLine="480"/>
              <w:rPr>
                <w:rFonts w:ascii="宋体"/>
                <w:highlight w:val="none"/>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60B0E995">
            <w:pPr>
              <w:ind w:left="240" w:right="240" w:firstLine="480"/>
              <w:rPr>
                <w:rFonts w:ascii="宋体"/>
                <w:highlight w:val="none"/>
              </w:rPr>
            </w:pPr>
          </w:p>
        </w:tc>
      </w:tr>
      <w:tr w14:paraId="52D6A4B4">
        <w:tblPrEx>
          <w:tblCellMar>
            <w:top w:w="0" w:type="dxa"/>
            <w:left w:w="108" w:type="dxa"/>
            <w:bottom w:w="0" w:type="dxa"/>
            <w:right w:w="108" w:type="dxa"/>
          </w:tblCellMar>
        </w:tblPrEx>
        <w:trPr>
          <w:trHeight w:val="452" w:hRule="atLeast"/>
        </w:trPr>
        <w:tc>
          <w:tcPr>
            <w:tcW w:w="1135" w:type="dxa"/>
            <w:tcBorders>
              <w:top w:val="single" w:color="auto" w:sz="4" w:space="0"/>
              <w:left w:val="single" w:color="auto" w:sz="4" w:space="0"/>
              <w:bottom w:val="single" w:color="auto" w:sz="4" w:space="0"/>
              <w:right w:val="single" w:color="auto" w:sz="4" w:space="0"/>
            </w:tcBorders>
            <w:vAlign w:val="center"/>
          </w:tcPr>
          <w:p w14:paraId="0E4B3D7E">
            <w:pPr>
              <w:ind w:left="240" w:right="240" w:firstLine="480"/>
              <w:jc w:val="center"/>
              <w:rPr>
                <w:rFonts w:ascii="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782C2BE">
            <w:pPr>
              <w:ind w:left="240" w:right="240" w:firstLine="480"/>
              <w:rPr>
                <w:rFonts w:ascii="宋体"/>
                <w:highlight w:val="none"/>
              </w:rPr>
            </w:pPr>
          </w:p>
        </w:tc>
        <w:tc>
          <w:tcPr>
            <w:tcW w:w="2689" w:type="dxa"/>
            <w:tcBorders>
              <w:top w:val="single" w:color="auto" w:sz="4" w:space="0"/>
              <w:left w:val="single" w:color="auto" w:sz="4" w:space="0"/>
              <w:bottom w:val="single" w:color="auto" w:sz="4" w:space="0"/>
              <w:right w:val="single" w:color="auto" w:sz="4" w:space="0"/>
            </w:tcBorders>
            <w:vAlign w:val="center"/>
          </w:tcPr>
          <w:p w14:paraId="6E75E729">
            <w:pPr>
              <w:ind w:left="240" w:right="240" w:firstLine="480"/>
              <w:rPr>
                <w:rFonts w:ascii="宋体"/>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3C31FEB7">
            <w:pPr>
              <w:ind w:left="240" w:right="240" w:firstLine="480"/>
              <w:rPr>
                <w:rFonts w:ascii="宋体"/>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65057ED5">
            <w:pPr>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EDF8EBE">
            <w:pPr>
              <w:ind w:left="240" w:right="240" w:firstLine="480"/>
              <w:rPr>
                <w:rFonts w:ascii="宋体"/>
                <w:highlight w:val="none"/>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0173CEF1">
            <w:pPr>
              <w:ind w:left="240" w:right="240" w:firstLine="480"/>
              <w:rPr>
                <w:rFonts w:ascii="宋体"/>
                <w:highlight w:val="none"/>
              </w:rPr>
            </w:pPr>
          </w:p>
        </w:tc>
      </w:tr>
      <w:tr w14:paraId="2A8DBBBA">
        <w:tblPrEx>
          <w:tblCellMar>
            <w:top w:w="0" w:type="dxa"/>
            <w:left w:w="108" w:type="dxa"/>
            <w:bottom w:w="0" w:type="dxa"/>
            <w:right w:w="108" w:type="dxa"/>
          </w:tblCellMar>
        </w:tblPrEx>
        <w:trPr>
          <w:trHeight w:val="452" w:hRule="atLeast"/>
        </w:trPr>
        <w:tc>
          <w:tcPr>
            <w:tcW w:w="1135" w:type="dxa"/>
            <w:tcBorders>
              <w:top w:val="single" w:color="auto" w:sz="4" w:space="0"/>
              <w:left w:val="single" w:color="auto" w:sz="4" w:space="0"/>
              <w:bottom w:val="single" w:color="auto" w:sz="4" w:space="0"/>
              <w:right w:val="single" w:color="auto" w:sz="4" w:space="0"/>
            </w:tcBorders>
            <w:vAlign w:val="center"/>
          </w:tcPr>
          <w:p w14:paraId="0F796D3A">
            <w:pPr>
              <w:ind w:left="240" w:right="240" w:firstLine="480"/>
              <w:jc w:val="center"/>
              <w:rPr>
                <w:rFonts w:ascii="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0601539">
            <w:pPr>
              <w:ind w:left="240" w:right="240" w:firstLine="480"/>
              <w:rPr>
                <w:rFonts w:ascii="宋体"/>
                <w:highlight w:val="none"/>
              </w:rPr>
            </w:pPr>
          </w:p>
        </w:tc>
        <w:tc>
          <w:tcPr>
            <w:tcW w:w="2689" w:type="dxa"/>
            <w:tcBorders>
              <w:top w:val="single" w:color="auto" w:sz="4" w:space="0"/>
              <w:left w:val="single" w:color="auto" w:sz="4" w:space="0"/>
              <w:bottom w:val="single" w:color="auto" w:sz="4" w:space="0"/>
              <w:right w:val="single" w:color="auto" w:sz="4" w:space="0"/>
            </w:tcBorders>
            <w:vAlign w:val="center"/>
          </w:tcPr>
          <w:p w14:paraId="411B0CAA">
            <w:pPr>
              <w:ind w:left="240" w:right="240" w:firstLine="480"/>
              <w:rPr>
                <w:rFonts w:ascii="宋体"/>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45C1B13F">
            <w:pPr>
              <w:ind w:left="240" w:right="240" w:firstLine="480"/>
              <w:rPr>
                <w:rFonts w:ascii="宋体"/>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32B98F69">
            <w:pPr>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3BF7A9A">
            <w:pPr>
              <w:ind w:left="240" w:right="240" w:firstLine="480"/>
              <w:rPr>
                <w:rFonts w:ascii="宋体"/>
                <w:highlight w:val="none"/>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33CF160D">
            <w:pPr>
              <w:ind w:left="240" w:right="240" w:firstLine="480"/>
              <w:rPr>
                <w:rFonts w:ascii="宋体"/>
                <w:highlight w:val="none"/>
              </w:rPr>
            </w:pPr>
          </w:p>
        </w:tc>
      </w:tr>
      <w:tr w14:paraId="5856ED04">
        <w:tblPrEx>
          <w:tblCellMar>
            <w:top w:w="0" w:type="dxa"/>
            <w:left w:w="108" w:type="dxa"/>
            <w:bottom w:w="0" w:type="dxa"/>
            <w:right w:w="108" w:type="dxa"/>
          </w:tblCellMar>
        </w:tblPrEx>
        <w:trPr>
          <w:trHeight w:val="452" w:hRule="atLeast"/>
        </w:trPr>
        <w:tc>
          <w:tcPr>
            <w:tcW w:w="1135" w:type="dxa"/>
            <w:tcBorders>
              <w:top w:val="single" w:color="auto" w:sz="4" w:space="0"/>
              <w:left w:val="single" w:color="auto" w:sz="4" w:space="0"/>
              <w:bottom w:val="single" w:color="auto" w:sz="4" w:space="0"/>
              <w:right w:val="single" w:color="auto" w:sz="4" w:space="0"/>
            </w:tcBorders>
            <w:vAlign w:val="center"/>
          </w:tcPr>
          <w:p w14:paraId="1A67A198">
            <w:pPr>
              <w:ind w:left="240" w:right="240" w:firstLine="480"/>
              <w:jc w:val="center"/>
              <w:rPr>
                <w:rFonts w:ascii="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4AF0197">
            <w:pPr>
              <w:ind w:left="240" w:right="240" w:firstLine="480"/>
              <w:rPr>
                <w:rFonts w:ascii="宋体"/>
                <w:highlight w:val="none"/>
              </w:rPr>
            </w:pPr>
          </w:p>
        </w:tc>
        <w:tc>
          <w:tcPr>
            <w:tcW w:w="2689" w:type="dxa"/>
            <w:tcBorders>
              <w:top w:val="single" w:color="auto" w:sz="4" w:space="0"/>
              <w:left w:val="single" w:color="auto" w:sz="4" w:space="0"/>
              <w:bottom w:val="single" w:color="auto" w:sz="4" w:space="0"/>
              <w:right w:val="single" w:color="auto" w:sz="4" w:space="0"/>
            </w:tcBorders>
            <w:vAlign w:val="center"/>
          </w:tcPr>
          <w:p w14:paraId="18DCA845">
            <w:pPr>
              <w:ind w:left="240" w:right="240" w:firstLine="480"/>
              <w:rPr>
                <w:rFonts w:ascii="宋体"/>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64300B33">
            <w:pPr>
              <w:ind w:left="240" w:right="240" w:firstLine="480"/>
              <w:rPr>
                <w:rFonts w:ascii="宋体"/>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222A7CD8">
            <w:pPr>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30431BA">
            <w:pPr>
              <w:ind w:left="240" w:right="240" w:firstLine="480"/>
              <w:rPr>
                <w:rFonts w:ascii="宋体"/>
                <w:highlight w:val="none"/>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14:paraId="62F47C71">
            <w:pPr>
              <w:ind w:left="240" w:right="240" w:firstLine="480"/>
              <w:rPr>
                <w:rFonts w:ascii="宋体"/>
                <w:highlight w:val="none"/>
              </w:rPr>
            </w:pPr>
          </w:p>
        </w:tc>
      </w:tr>
      <w:tr w14:paraId="341A6558">
        <w:tblPrEx>
          <w:tblCellMar>
            <w:top w:w="0" w:type="dxa"/>
            <w:left w:w="108" w:type="dxa"/>
            <w:bottom w:w="0" w:type="dxa"/>
            <w:right w:w="108" w:type="dxa"/>
          </w:tblCellMar>
        </w:tblPrEx>
        <w:trPr>
          <w:trHeight w:val="848" w:hRule="atLeast"/>
        </w:trPr>
        <w:tc>
          <w:tcPr>
            <w:tcW w:w="1701" w:type="dxa"/>
            <w:gridSpan w:val="2"/>
            <w:tcBorders>
              <w:top w:val="single" w:color="auto" w:sz="4" w:space="0"/>
              <w:left w:val="single" w:color="auto" w:sz="4" w:space="0"/>
              <w:bottom w:val="single" w:color="auto" w:sz="4" w:space="0"/>
              <w:right w:val="single" w:color="auto" w:sz="4" w:space="0"/>
            </w:tcBorders>
          </w:tcPr>
          <w:p w14:paraId="19CF96DC">
            <w:pPr>
              <w:widowControl/>
              <w:spacing w:before="163" w:beforeLines="50" w:line="360" w:lineRule="auto"/>
              <w:ind w:left="240" w:right="240" w:firstLine="0" w:firstLineChars="0"/>
              <w:jc w:val="left"/>
              <w:rPr>
                <w:rFonts w:ascii="宋体"/>
                <w:highlight w:val="none"/>
              </w:rPr>
            </w:pPr>
            <w:r>
              <w:rPr>
                <w:rFonts w:hint="eastAsia" w:ascii="宋体"/>
                <w:highlight w:val="none"/>
              </w:rPr>
              <w:t>总价</w:t>
            </w:r>
          </w:p>
        </w:tc>
        <w:tc>
          <w:tcPr>
            <w:tcW w:w="8000" w:type="dxa"/>
            <w:gridSpan w:val="7"/>
            <w:tcBorders>
              <w:top w:val="single" w:color="auto" w:sz="4" w:space="0"/>
              <w:left w:val="single" w:color="auto" w:sz="4" w:space="0"/>
              <w:bottom w:val="single" w:color="auto" w:sz="4" w:space="0"/>
              <w:right w:val="single" w:color="auto" w:sz="4" w:space="0"/>
            </w:tcBorders>
          </w:tcPr>
          <w:p w14:paraId="4BDB38AF">
            <w:pPr>
              <w:widowControl/>
              <w:spacing w:before="163" w:beforeLines="50" w:line="360" w:lineRule="auto"/>
              <w:ind w:left="240" w:right="240" w:firstLine="0" w:firstLineChars="0"/>
              <w:jc w:val="left"/>
              <w:rPr>
                <w:rFonts w:ascii="宋体"/>
                <w:highlight w:val="none"/>
              </w:rPr>
            </w:pPr>
            <w:r>
              <w:rPr>
                <w:rFonts w:hint="eastAsia" w:ascii="宋体"/>
                <w:highlight w:val="none"/>
              </w:rPr>
              <w:t>________元（大写：_________）（税率：13%）</w:t>
            </w:r>
          </w:p>
        </w:tc>
      </w:tr>
      <w:tr w14:paraId="11AEA3F6">
        <w:tblPrEx>
          <w:tblCellMar>
            <w:top w:w="0" w:type="dxa"/>
            <w:left w:w="108" w:type="dxa"/>
            <w:bottom w:w="0" w:type="dxa"/>
            <w:right w:w="108" w:type="dxa"/>
          </w:tblCellMar>
        </w:tblPrEx>
        <w:trPr>
          <w:trHeight w:val="848" w:hRule="atLeast"/>
        </w:trPr>
        <w:tc>
          <w:tcPr>
            <w:tcW w:w="9701" w:type="dxa"/>
            <w:gridSpan w:val="9"/>
            <w:tcBorders>
              <w:top w:val="single" w:color="auto" w:sz="4" w:space="0"/>
              <w:left w:val="single" w:color="auto" w:sz="4" w:space="0"/>
              <w:bottom w:val="single" w:color="auto" w:sz="4" w:space="0"/>
              <w:right w:val="single" w:color="auto" w:sz="4" w:space="0"/>
            </w:tcBorders>
          </w:tcPr>
          <w:p w14:paraId="73AEBDA7">
            <w:pPr>
              <w:widowControl/>
              <w:spacing w:before="163" w:beforeLines="50" w:line="360" w:lineRule="auto"/>
              <w:ind w:left="240" w:right="240" w:firstLine="0" w:firstLineChars="0"/>
              <w:jc w:val="left"/>
              <w:rPr>
                <w:rFonts w:ascii="宋体"/>
                <w:highlight w:val="none"/>
              </w:rPr>
            </w:pPr>
            <w:r>
              <w:rPr>
                <w:rFonts w:hint="eastAsia" w:ascii="宋体"/>
                <w:highlight w:val="none"/>
              </w:rPr>
              <w:t>签收说明：我单位已收到货物，型号无误、数量齐全、检验通过，可进行签收。</w:t>
            </w:r>
          </w:p>
        </w:tc>
      </w:tr>
      <w:tr w14:paraId="6F23960F">
        <w:tblPrEx>
          <w:tblCellMar>
            <w:top w:w="0" w:type="dxa"/>
            <w:left w:w="108" w:type="dxa"/>
            <w:bottom w:w="0" w:type="dxa"/>
            <w:right w:w="108" w:type="dxa"/>
          </w:tblCellMar>
        </w:tblPrEx>
        <w:trPr>
          <w:trHeight w:val="1840" w:hRule="atLeast"/>
        </w:trPr>
        <w:tc>
          <w:tcPr>
            <w:tcW w:w="6521" w:type="dxa"/>
            <w:gridSpan w:val="5"/>
            <w:tcBorders>
              <w:top w:val="single" w:color="auto" w:sz="4" w:space="0"/>
              <w:left w:val="single" w:color="auto" w:sz="4" w:space="0"/>
              <w:bottom w:val="single" w:color="auto" w:sz="4" w:space="0"/>
              <w:right w:val="single" w:color="auto" w:sz="4" w:space="0"/>
            </w:tcBorders>
          </w:tcPr>
          <w:p w14:paraId="73D4C43E">
            <w:pPr>
              <w:spacing w:line="400" w:lineRule="exact"/>
              <w:ind w:left="240" w:right="240" w:firstLine="480"/>
              <w:rPr>
                <w:rFonts w:ascii="宋体"/>
                <w:highlight w:val="none"/>
              </w:rPr>
            </w:pPr>
            <w:r>
              <w:rPr>
                <w:rFonts w:hint="eastAsia" w:ascii="宋体"/>
                <w:highlight w:val="none"/>
              </w:rPr>
              <w:t>签收人：</w:t>
            </w:r>
          </w:p>
          <w:p w14:paraId="44798159">
            <w:pPr>
              <w:spacing w:line="400" w:lineRule="exact"/>
              <w:ind w:left="240" w:right="240" w:firstLine="480"/>
              <w:rPr>
                <w:rFonts w:ascii="宋体"/>
                <w:highlight w:val="none"/>
              </w:rPr>
            </w:pPr>
          </w:p>
          <w:p w14:paraId="046412DF">
            <w:pPr>
              <w:spacing w:line="400" w:lineRule="exact"/>
              <w:ind w:left="240" w:right="240" w:firstLine="480"/>
              <w:rPr>
                <w:rFonts w:ascii="宋体"/>
                <w:highlight w:val="none"/>
              </w:rPr>
            </w:pPr>
          </w:p>
          <w:p w14:paraId="0E3498D5">
            <w:pPr>
              <w:spacing w:line="400" w:lineRule="exact"/>
              <w:ind w:left="240" w:right="240" w:firstLine="480"/>
              <w:rPr>
                <w:rFonts w:ascii="宋体"/>
                <w:highlight w:val="none"/>
              </w:rPr>
            </w:pPr>
          </w:p>
          <w:p w14:paraId="12D7D01D">
            <w:pPr>
              <w:spacing w:line="400" w:lineRule="exact"/>
              <w:ind w:left="240" w:right="240" w:firstLine="2280" w:firstLineChars="950"/>
              <w:rPr>
                <w:rFonts w:ascii="宋体"/>
                <w:highlight w:val="none"/>
              </w:rPr>
            </w:pPr>
            <w:r>
              <w:rPr>
                <w:rFonts w:hint="eastAsia" w:ascii="宋体"/>
                <w:highlight w:val="none"/>
              </w:rPr>
              <w:t>年  月  日</w:t>
            </w:r>
          </w:p>
        </w:tc>
        <w:tc>
          <w:tcPr>
            <w:tcW w:w="3180" w:type="dxa"/>
            <w:gridSpan w:val="4"/>
            <w:tcBorders>
              <w:top w:val="single" w:color="auto" w:sz="4" w:space="0"/>
              <w:left w:val="single" w:color="auto" w:sz="4" w:space="0"/>
              <w:bottom w:val="single" w:color="auto" w:sz="4" w:space="0"/>
              <w:right w:val="single" w:color="auto" w:sz="4" w:space="0"/>
            </w:tcBorders>
          </w:tcPr>
          <w:p w14:paraId="7C57ACDE">
            <w:pPr>
              <w:widowControl/>
              <w:spacing w:before="163" w:beforeLines="50" w:line="360" w:lineRule="auto"/>
              <w:ind w:left="240" w:right="240" w:firstLine="480"/>
              <w:jc w:val="left"/>
              <w:rPr>
                <w:rFonts w:ascii="宋体"/>
                <w:highlight w:val="none"/>
              </w:rPr>
            </w:pPr>
            <w:r>
              <w:rPr>
                <w:rFonts w:hint="eastAsia" w:ascii="宋体"/>
                <w:highlight w:val="none"/>
              </w:rPr>
              <w:t>复核人：</w:t>
            </w:r>
          </w:p>
          <w:p w14:paraId="4A8FB3AA">
            <w:pPr>
              <w:widowControl/>
              <w:ind w:left="240" w:right="240" w:firstLine="480"/>
              <w:jc w:val="left"/>
              <w:rPr>
                <w:rFonts w:ascii="宋体"/>
                <w:highlight w:val="none"/>
              </w:rPr>
            </w:pPr>
          </w:p>
          <w:p w14:paraId="05EC53B5">
            <w:pPr>
              <w:spacing w:line="400" w:lineRule="exact"/>
              <w:ind w:left="240" w:right="240" w:firstLine="0" w:firstLineChars="0"/>
              <w:rPr>
                <w:rFonts w:ascii="宋体"/>
                <w:highlight w:val="none"/>
              </w:rPr>
            </w:pPr>
          </w:p>
          <w:p w14:paraId="5653FD27">
            <w:pPr>
              <w:spacing w:line="400" w:lineRule="exact"/>
              <w:ind w:left="240" w:right="240" w:firstLine="0" w:firstLineChars="0"/>
              <w:rPr>
                <w:rFonts w:ascii="宋体"/>
                <w:highlight w:val="none"/>
              </w:rPr>
            </w:pPr>
            <w:r>
              <w:rPr>
                <w:rFonts w:hint="eastAsia" w:ascii="宋体"/>
                <w:highlight w:val="none"/>
              </w:rPr>
              <w:t xml:space="preserve">   年  月  日</w:t>
            </w:r>
          </w:p>
        </w:tc>
      </w:tr>
    </w:tbl>
    <w:p w14:paraId="4340B5EF">
      <w:pPr>
        <w:tabs>
          <w:tab w:val="left" w:pos="2505"/>
        </w:tabs>
        <w:spacing w:line="360" w:lineRule="auto"/>
        <w:ind w:left="240" w:right="240" w:firstLineChars="435"/>
        <w:rPr>
          <w:rFonts w:ascii="宋体"/>
          <w:highlight w:val="none"/>
        </w:rPr>
      </w:pPr>
    </w:p>
    <w:p w14:paraId="24906EAA">
      <w:pPr>
        <w:spacing w:line="360" w:lineRule="auto"/>
        <w:ind w:right="240" w:firstLine="0" w:firstLineChars="0"/>
        <w:rPr>
          <w:rFonts w:ascii="宋体"/>
          <w:highlight w:val="none"/>
        </w:rPr>
      </w:pPr>
      <w:r>
        <w:rPr>
          <w:rFonts w:hint="eastAsia" w:ascii="宋体"/>
          <w:highlight w:val="none"/>
        </w:rPr>
        <w:br w:type="page"/>
      </w:r>
      <w:r>
        <w:rPr>
          <w:rFonts w:hint="eastAsia" w:ascii="宋体"/>
          <w:b/>
          <w:highlight w:val="none"/>
        </w:rPr>
        <w:t>附件3  最终验收表</w:t>
      </w:r>
    </w:p>
    <w:tbl>
      <w:tblPr>
        <w:tblStyle w:val="17"/>
        <w:tblW w:w="9371" w:type="dxa"/>
        <w:tblInd w:w="-459" w:type="dxa"/>
        <w:tblLayout w:type="fixed"/>
        <w:tblCellMar>
          <w:top w:w="0" w:type="dxa"/>
          <w:left w:w="108" w:type="dxa"/>
          <w:bottom w:w="0" w:type="dxa"/>
          <w:right w:w="108" w:type="dxa"/>
        </w:tblCellMar>
      </w:tblPr>
      <w:tblGrid>
        <w:gridCol w:w="566"/>
        <w:gridCol w:w="886"/>
        <w:gridCol w:w="1701"/>
        <w:gridCol w:w="958"/>
        <w:gridCol w:w="629"/>
        <w:gridCol w:w="114"/>
        <w:gridCol w:w="992"/>
        <w:gridCol w:w="1809"/>
        <w:gridCol w:w="601"/>
        <w:gridCol w:w="672"/>
        <w:gridCol w:w="443"/>
      </w:tblGrid>
      <w:tr w14:paraId="0B8C22FB">
        <w:tblPrEx>
          <w:tblCellMar>
            <w:top w:w="0" w:type="dxa"/>
            <w:left w:w="108" w:type="dxa"/>
            <w:bottom w:w="0" w:type="dxa"/>
            <w:right w:w="108" w:type="dxa"/>
          </w:tblCellMar>
        </w:tblPrEx>
        <w:trPr>
          <w:gridBefore w:val="1"/>
          <w:gridAfter w:val="1"/>
          <w:wBefore w:w="566" w:type="dxa"/>
          <w:wAfter w:w="443" w:type="dxa"/>
          <w:trHeight w:val="300" w:hRule="atLeast"/>
        </w:trPr>
        <w:tc>
          <w:tcPr>
            <w:tcW w:w="8362" w:type="dxa"/>
            <w:gridSpan w:val="9"/>
            <w:tcBorders>
              <w:top w:val="nil"/>
              <w:left w:val="nil"/>
              <w:bottom w:val="nil"/>
              <w:right w:val="nil"/>
            </w:tcBorders>
            <w:vAlign w:val="center"/>
          </w:tcPr>
          <w:p w14:paraId="53F22541">
            <w:pPr>
              <w:widowControl/>
              <w:ind w:left="240" w:right="240" w:firstLine="880"/>
              <w:jc w:val="center"/>
              <w:rPr>
                <w:rFonts w:ascii="方正小标宋_GBK" w:eastAsia="方正小标宋_GBK" w:cs="宋体"/>
                <w:kern w:val="0"/>
                <w:sz w:val="44"/>
                <w:szCs w:val="44"/>
                <w:highlight w:val="none"/>
              </w:rPr>
            </w:pPr>
            <w:r>
              <w:rPr>
                <w:rFonts w:hint="eastAsia" w:ascii="方正小标宋_GBK" w:eastAsia="方正小标宋_GBK" w:cs="宋体"/>
                <w:kern w:val="0"/>
                <w:sz w:val="44"/>
                <w:szCs w:val="44"/>
                <w:highlight w:val="none"/>
              </w:rPr>
              <w:t>最终验收表</w:t>
            </w:r>
          </w:p>
        </w:tc>
      </w:tr>
      <w:tr w14:paraId="34757D5A">
        <w:tblPrEx>
          <w:tblCellMar>
            <w:top w:w="0" w:type="dxa"/>
            <w:left w:w="108" w:type="dxa"/>
            <w:bottom w:w="0" w:type="dxa"/>
            <w:right w:w="108" w:type="dxa"/>
          </w:tblCellMar>
        </w:tblPrEx>
        <w:trPr>
          <w:trHeight w:val="847" w:hRule="atLeast"/>
        </w:trPr>
        <w:tc>
          <w:tcPr>
            <w:tcW w:w="1452" w:type="dxa"/>
            <w:gridSpan w:val="2"/>
            <w:tcBorders>
              <w:top w:val="single" w:color="auto" w:sz="4" w:space="0"/>
              <w:left w:val="single" w:color="auto" w:sz="4" w:space="0"/>
              <w:bottom w:val="single" w:color="auto" w:sz="4" w:space="0"/>
              <w:right w:val="single" w:color="auto" w:sz="4" w:space="0"/>
            </w:tcBorders>
            <w:vAlign w:val="center"/>
          </w:tcPr>
          <w:p w14:paraId="1A26AE09">
            <w:pPr>
              <w:spacing w:line="240" w:lineRule="auto"/>
              <w:ind w:right="240" w:firstLine="0" w:firstLineChars="0"/>
              <w:jc w:val="left"/>
              <w:rPr>
                <w:rFonts w:ascii="宋体"/>
                <w:b/>
                <w:bCs/>
                <w:highlight w:val="none"/>
              </w:rPr>
            </w:pPr>
            <w:r>
              <w:rPr>
                <w:rFonts w:hint="eastAsia" w:ascii="宋体"/>
                <w:b/>
                <w:bCs/>
                <w:highlight w:val="none"/>
              </w:rPr>
              <w:t>项目名称</w:t>
            </w:r>
          </w:p>
        </w:tc>
        <w:tc>
          <w:tcPr>
            <w:tcW w:w="4394" w:type="dxa"/>
            <w:gridSpan w:val="5"/>
            <w:tcBorders>
              <w:top w:val="single" w:color="auto" w:sz="4" w:space="0"/>
              <w:left w:val="single" w:color="auto" w:sz="4" w:space="0"/>
              <w:bottom w:val="single" w:color="auto" w:sz="4" w:space="0"/>
              <w:right w:val="single" w:color="auto" w:sz="4" w:space="0"/>
            </w:tcBorders>
            <w:vAlign w:val="center"/>
          </w:tcPr>
          <w:p w14:paraId="58EF413F">
            <w:pPr>
              <w:spacing w:line="240" w:lineRule="auto"/>
              <w:ind w:left="240" w:right="240" w:firstLine="482"/>
              <w:jc w:val="center"/>
              <w:rPr>
                <w:rFonts w:ascii="宋体"/>
                <w:b/>
                <w:bCs/>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6DA6EDA5">
            <w:pPr>
              <w:spacing w:line="240" w:lineRule="auto"/>
              <w:ind w:left="240" w:right="240" w:firstLine="0" w:firstLineChars="0"/>
              <w:rPr>
                <w:rFonts w:ascii="宋体"/>
                <w:b/>
                <w:bCs/>
                <w:highlight w:val="none"/>
              </w:rPr>
            </w:pPr>
            <w:r>
              <w:rPr>
                <w:rFonts w:hint="eastAsia" w:ascii="宋体"/>
                <w:b/>
                <w:bCs/>
                <w:highlight w:val="none"/>
              </w:rPr>
              <w:t>验收时间</w:t>
            </w:r>
          </w:p>
        </w:tc>
        <w:tc>
          <w:tcPr>
            <w:tcW w:w="1716" w:type="dxa"/>
            <w:gridSpan w:val="3"/>
            <w:tcBorders>
              <w:top w:val="single" w:color="auto" w:sz="4" w:space="0"/>
              <w:left w:val="single" w:color="auto" w:sz="4" w:space="0"/>
              <w:bottom w:val="single" w:color="auto" w:sz="4" w:space="0"/>
              <w:right w:val="single" w:color="auto" w:sz="4" w:space="0"/>
            </w:tcBorders>
            <w:vAlign w:val="center"/>
          </w:tcPr>
          <w:p w14:paraId="37F7B207">
            <w:pPr>
              <w:spacing w:line="240" w:lineRule="auto"/>
              <w:ind w:left="240" w:right="240" w:firstLine="480"/>
              <w:jc w:val="center"/>
              <w:rPr>
                <w:rFonts w:ascii="宋体"/>
                <w:highlight w:val="none"/>
              </w:rPr>
            </w:pPr>
          </w:p>
        </w:tc>
      </w:tr>
      <w:tr w14:paraId="7360357E">
        <w:tblPrEx>
          <w:tblCellMar>
            <w:top w:w="0" w:type="dxa"/>
            <w:left w:w="108" w:type="dxa"/>
            <w:bottom w:w="0" w:type="dxa"/>
            <w:right w:w="108" w:type="dxa"/>
          </w:tblCellMar>
        </w:tblPrEx>
        <w:trPr>
          <w:trHeight w:val="844" w:hRule="atLeast"/>
        </w:trPr>
        <w:tc>
          <w:tcPr>
            <w:tcW w:w="1452" w:type="dxa"/>
            <w:gridSpan w:val="2"/>
            <w:tcBorders>
              <w:top w:val="single" w:color="auto" w:sz="4" w:space="0"/>
              <w:left w:val="single" w:color="auto" w:sz="4" w:space="0"/>
              <w:bottom w:val="single" w:color="auto" w:sz="4" w:space="0"/>
              <w:right w:val="single" w:color="auto" w:sz="4" w:space="0"/>
            </w:tcBorders>
            <w:vAlign w:val="center"/>
          </w:tcPr>
          <w:p w14:paraId="1A56B220">
            <w:pPr>
              <w:spacing w:line="240" w:lineRule="auto"/>
              <w:ind w:right="240" w:firstLine="0" w:firstLineChars="0"/>
              <w:jc w:val="left"/>
              <w:rPr>
                <w:rFonts w:ascii="宋体"/>
                <w:b/>
                <w:bCs/>
                <w:highlight w:val="none"/>
              </w:rPr>
            </w:pPr>
            <w:r>
              <w:rPr>
                <w:rFonts w:hint="eastAsia" w:ascii="宋体"/>
                <w:b/>
                <w:bCs/>
                <w:highlight w:val="none"/>
              </w:rPr>
              <w:t>验收地点</w:t>
            </w:r>
          </w:p>
        </w:tc>
        <w:tc>
          <w:tcPr>
            <w:tcW w:w="2659" w:type="dxa"/>
            <w:gridSpan w:val="2"/>
            <w:tcBorders>
              <w:top w:val="single" w:color="auto" w:sz="4" w:space="0"/>
              <w:left w:val="single" w:color="auto" w:sz="4" w:space="0"/>
              <w:bottom w:val="single" w:color="auto" w:sz="4" w:space="0"/>
              <w:right w:val="single" w:color="auto" w:sz="4" w:space="0"/>
            </w:tcBorders>
            <w:vAlign w:val="center"/>
          </w:tcPr>
          <w:p w14:paraId="0AFC3398">
            <w:pPr>
              <w:spacing w:line="240" w:lineRule="auto"/>
              <w:ind w:right="240" w:firstLine="482"/>
              <w:jc w:val="center"/>
              <w:rPr>
                <w:rFonts w:ascii="宋体"/>
                <w:b/>
                <w:bCs/>
                <w:highlight w:val="none"/>
              </w:rPr>
            </w:pPr>
          </w:p>
        </w:tc>
        <w:tc>
          <w:tcPr>
            <w:tcW w:w="1735" w:type="dxa"/>
            <w:gridSpan w:val="3"/>
            <w:tcBorders>
              <w:top w:val="single" w:color="auto" w:sz="4" w:space="0"/>
              <w:left w:val="single" w:color="auto" w:sz="4" w:space="0"/>
              <w:bottom w:val="single" w:color="auto" w:sz="4" w:space="0"/>
              <w:right w:val="single" w:color="auto" w:sz="4" w:space="0"/>
            </w:tcBorders>
            <w:vAlign w:val="center"/>
          </w:tcPr>
          <w:p w14:paraId="08540A04">
            <w:pPr>
              <w:spacing w:line="240" w:lineRule="auto"/>
              <w:ind w:right="240" w:firstLine="0" w:firstLineChars="0"/>
              <w:rPr>
                <w:rFonts w:ascii="宋体"/>
                <w:b/>
                <w:bCs/>
                <w:highlight w:val="none"/>
              </w:rPr>
            </w:pPr>
            <w:r>
              <w:rPr>
                <w:rFonts w:hint="eastAsia" w:ascii="宋体"/>
                <w:b/>
                <w:bCs/>
                <w:highlight w:val="none"/>
              </w:rPr>
              <w:t>项目经理</w:t>
            </w:r>
          </w:p>
        </w:tc>
        <w:tc>
          <w:tcPr>
            <w:tcW w:w="3525" w:type="dxa"/>
            <w:gridSpan w:val="4"/>
            <w:tcBorders>
              <w:top w:val="single" w:color="auto" w:sz="4" w:space="0"/>
              <w:left w:val="single" w:color="auto" w:sz="4" w:space="0"/>
              <w:bottom w:val="single" w:color="auto" w:sz="4" w:space="0"/>
              <w:right w:val="single" w:color="auto" w:sz="4" w:space="0"/>
            </w:tcBorders>
            <w:vAlign w:val="center"/>
          </w:tcPr>
          <w:p w14:paraId="1B10ECFC">
            <w:pPr>
              <w:spacing w:line="240" w:lineRule="auto"/>
              <w:ind w:right="240" w:firstLine="0" w:firstLineChars="0"/>
              <w:rPr>
                <w:rFonts w:ascii="宋体"/>
                <w:b/>
                <w:bCs/>
                <w:highlight w:val="none"/>
              </w:rPr>
            </w:pPr>
          </w:p>
        </w:tc>
      </w:tr>
      <w:tr w14:paraId="7D2D471C">
        <w:tblPrEx>
          <w:tblCellMar>
            <w:top w:w="0" w:type="dxa"/>
            <w:left w:w="108" w:type="dxa"/>
            <w:bottom w:w="0" w:type="dxa"/>
            <w:right w:w="108" w:type="dxa"/>
          </w:tblCellMar>
        </w:tblPrEx>
        <w:trPr>
          <w:trHeight w:val="439" w:hRule="atLeast"/>
        </w:trPr>
        <w:tc>
          <w:tcPr>
            <w:tcW w:w="1452" w:type="dxa"/>
            <w:gridSpan w:val="2"/>
            <w:vMerge w:val="restart"/>
            <w:tcBorders>
              <w:top w:val="single" w:color="auto" w:sz="4" w:space="0"/>
              <w:left w:val="single" w:color="auto" w:sz="4" w:space="0"/>
              <w:bottom w:val="single" w:color="auto" w:sz="4" w:space="0"/>
              <w:right w:val="single" w:color="auto" w:sz="4" w:space="0"/>
            </w:tcBorders>
            <w:vAlign w:val="center"/>
          </w:tcPr>
          <w:p w14:paraId="4CF11A95">
            <w:pPr>
              <w:spacing w:line="240" w:lineRule="auto"/>
              <w:ind w:right="240" w:firstLine="0" w:firstLineChars="0"/>
              <w:jc w:val="left"/>
              <w:rPr>
                <w:rFonts w:ascii="宋体"/>
                <w:b/>
                <w:bCs/>
                <w:highlight w:val="none"/>
              </w:rPr>
            </w:pPr>
            <w:r>
              <w:rPr>
                <w:rFonts w:hint="eastAsia" w:ascii="宋体"/>
                <w:b/>
                <w:bCs/>
                <w:highlight w:val="none"/>
              </w:rPr>
              <w:t>产品使用情况</w:t>
            </w:r>
          </w:p>
          <w:p w14:paraId="5895B10D">
            <w:pPr>
              <w:spacing w:line="240" w:lineRule="auto"/>
              <w:ind w:right="240" w:firstLine="0" w:firstLineChars="0"/>
              <w:jc w:val="left"/>
              <w:rPr>
                <w:rFonts w:ascii="宋体"/>
                <w:b/>
                <w:bCs/>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1B62149">
            <w:pPr>
              <w:spacing w:line="240" w:lineRule="auto"/>
              <w:ind w:right="240" w:firstLine="0" w:firstLineChars="0"/>
              <w:jc w:val="left"/>
              <w:rPr>
                <w:rFonts w:ascii="宋体"/>
                <w:b/>
                <w:bCs/>
                <w:highlight w:val="none"/>
              </w:rPr>
            </w:pPr>
            <w:r>
              <w:rPr>
                <w:rFonts w:hint="eastAsia" w:ascii="宋体"/>
                <w:b/>
                <w:bCs/>
                <w:highlight w:val="none"/>
              </w:rPr>
              <w:t>产品名称</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43278DAA">
            <w:pPr>
              <w:spacing w:line="240" w:lineRule="auto"/>
              <w:ind w:right="240" w:firstLine="0" w:firstLineChars="0"/>
              <w:jc w:val="left"/>
              <w:rPr>
                <w:rFonts w:ascii="宋体"/>
                <w:b/>
                <w:bCs/>
                <w:highlight w:val="none"/>
              </w:rPr>
            </w:pPr>
            <w:r>
              <w:rPr>
                <w:rFonts w:hint="eastAsia" w:ascii="宋体"/>
                <w:b/>
                <w:bCs/>
                <w:highlight w:val="none"/>
              </w:rPr>
              <w:t>序列号或生产批次号</w:t>
            </w:r>
          </w:p>
        </w:tc>
        <w:tc>
          <w:tcPr>
            <w:tcW w:w="992" w:type="dxa"/>
            <w:tcBorders>
              <w:top w:val="single" w:color="auto" w:sz="4" w:space="0"/>
              <w:left w:val="single" w:color="auto" w:sz="4" w:space="0"/>
              <w:bottom w:val="single" w:color="auto" w:sz="4" w:space="0"/>
              <w:right w:val="single" w:color="auto" w:sz="4" w:space="0"/>
            </w:tcBorders>
            <w:vAlign w:val="center"/>
          </w:tcPr>
          <w:p w14:paraId="5F7289AD">
            <w:pPr>
              <w:spacing w:line="240" w:lineRule="auto"/>
              <w:ind w:right="240" w:firstLine="0" w:firstLineChars="0"/>
              <w:jc w:val="left"/>
              <w:rPr>
                <w:rFonts w:ascii="宋体"/>
                <w:b/>
                <w:bCs/>
                <w:highlight w:val="none"/>
              </w:rPr>
            </w:pPr>
            <w:r>
              <w:rPr>
                <w:rFonts w:hint="eastAsia" w:ascii="宋体"/>
                <w:b/>
                <w:bCs/>
                <w:highlight w:val="none"/>
              </w:rPr>
              <w:t>数量</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818974D">
            <w:pPr>
              <w:spacing w:line="240" w:lineRule="auto"/>
              <w:ind w:right="240" w:firstLine="0" w:firstLineChars="0"/>
              <w:jc w:val="left"/>
              <w:rPr>
                <w:rFonts w:ascii="宋体"/>
                <w:b/>
                <w:bCs/>
                <w:highlight w:val="none"/>
              </w:rPr>
            </w:pPr>
            <w:r>
              <w:rPr>
                <w:rFonts w:hint="eastAsia" w:ascii="宋体"/>
                <w:b/>
                <w:bCs/>
                <w:highlight w:val="none"/>
              </w:rPr>
              <w:t>免费质保起止时间</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72713C90">
            <w:pPr>
              <w:spacing w:line="240" w:lineRule="auto"/>
              <w:ind w:right="240" w:firstLine="0" w:firstLineChars="0"/>
              <w:jc w:val="left"/>
              <w:rPr>
                <w:rFonts w:ascii="宋体"/>
                <w:b/>
                <w:bCs/>
                <w:highlight w:val="none"/>
              </w:rPr>
            </w:pPr>
            <w:r>
              <w:rPr>
                <w:rFonts w:hint="eastAsia" w:ascii="宋体"/>
                <w:b/>
                <w:bCs/>
                <w:highlight w:val="none"/>
              </w:rPr>
              <w:t>使用情况</w:t>
            </w:r>
          </w:p>
        </w:tc>
      </w:tr>
      <w:tr w14:paraId="68161A35">
        <w:tblPrEx>
          <w:tblCellMar>
            <w:top w:w="0" w:type="dxa"/>
            <w:left w:w="108" w:type="dxa"/>
            <w:bottom w:w="0" w:type="dxa"/>
            <w:right w:w="108" w:type="dxa"/>
          </w:tblCellMar>
        </w:tblPrEx>
        <w:trPr>
          <w:trHeight w:val="884" w:hRule="atLeast"/>
        </w:trPr>
        <w:tc>
          <w:tcPr>
            <w:tcW w:w="1452" w:type="dxa"/>
            <w:gridSpan w:val="2"/>
            <w:vMerge w:val="continue"/>
            <w:tcBorders>
              <w:top w:val="single" w:color="auto" w:sz="4" w:space="0"/>
              <w:left w:val="single" w:color="auto" w:sz="4" w:space="0"/>
              <w:bottom w:val="single" w:color="auto" w:sz="4" w:space="0"/>
              <w:right w:val="single" w:color="auto" w:sz="4" w:space="0"/>
            </w:tcBorders>
            <w:vAlign w:val="center"/>
          </w:tcPr>
          <w:p w14:paraId="4D0E0577">
            <w:pPr>
              <w:spacing w:line="240" w:lineRule="auto"/>
              <w:ind w:left="240" w:right="240" w:firstLine="482"/>
              <w:rPr>
                <w:b/>
                <w:bCs/>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DF48FA8">
            <w:pPr>
              <w:spacing w:line="240" w:lineRule="auto"/>
              <w:ind w:left="240" w:right="240" w:firstLine="480"/>
              <w:rPr>
                <w:rFonts w:ascii="宋体"/>
                <w:highlight w:val="none"/>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A37E950">
            <w:pPr>
              <w:spacing w:line="240" w:lineRule="auto"/>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DFE6E43">
            <w:pPr>
              <w:spacing w:line="240" w:lineRule="auto"/>
              <w:ind w:left="240" w:right="240" w:firstLine="480"/>
              <w:rPr>
                <w:rFonts w:ascii="宋体"/>
                <w:highlight w:val="none"/>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54D8F620">
            <w:pPr>
              <w:spacing w:line="240" w:lineRule="auto"/>
              <w:ind w:left="240" w:right="240" w:firstLine="480"/>
              <w:rPr>
                <w:rFonts w:ascii="宋体"/>
                <w:highlight w:val="none"/>
              </w:rPr>
            </w:pP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22671825">
            <w:pPr>
              <w:spacing w:line="240" w:lineRule="auto"/>
              <w:ind w:left="240" w:right="240" w:firstLine="480"/>
              <w:rPr>
                <w:rFonts w:ascii="宋体"/>
                <w:highlight w:val="none"/>
              </w:rPr>
            </w:pPr>
          </w:p>
        </w:tc>
      </w:tr>
      <w:tr w14:paraId="60992A68">
        <w:tblPrEx>
          <w:tblCellMar>
            <w:top w:w="0" w:type="dxa"/>
            <w:left w:w="108" w:type="dxa"/>
            <w:bottom w:w="0" w:type="dxa"/>
            <w:right w:w="108" w:type="dxa"/>
          </w:tblCellMar>
        </w:tblPrEx>
        <w:trPr>
          <w:trHeight w:val="884" w:hRule="atLeast"/>
        </w:trPr>
        <w:tc>
          <w:tcPr>
            <w:tcW w:w="1452" w:type="dxa"/>
            <w:gridSpan w:val="2"/>
            <w:vMerge w:val="continue"/>
            <w:tcBorders>
              <w:top w:val="single" w:color="auto" w:sz="4" w:space="0"/>
              <w:left w:val="single" w:color="auto" w:sz="4" w:space="0"/>
              <w:bottom w:val="single" w:color="auto" w:sz="4" w:space="0"/>
              <w:right w:val="single" w:color="auto" w:sz="4" w:space="0"/>
            </w:tcBorders>
            <w:vAlign w:val="center"/>
          </w:tcPr>
          <w:p w14:paraId="32F84A22">
            <w:pPr>
              <w:spacing w:line="240" w:lineRule="auto"/>
              <w:ind w:left="240" w:right="240" w:firstLine="482"/>
              <w:rPr>
                <w:b/>
                <w:bCs/>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A40BCE2">
            <w:pPr>
              <w:spacing w:line="240" w:lineRule="auto"/>
              <w:ind w:left="240" w:right="240" w:firstLine="480"/>
              <w:rPr>
                <w:rFonts w:ascii="宋体"/>
                <w:highlight w:val="none"/>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209B35B2">
            <w:pPr>
              <w:spacing w:line="240" w:lineRule="auto"/>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D67B06C">
            <w:pPr>
              <w:spacing w:line="240" w:lineRule="auto"/>
              <w:ind w:left="240" w:right="240" w:firstLine="480"/>
              <w:rPr>
                <w:rFonts w:ascii="宋体"/>
                <w:highlight w:val="none"/>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DE8195F">
            <w:pPr>
              <w:spacing w:line="240" w:lineRule="auto"/>
              <w:ind w:left="240" w:right="240" w:firstLine="480"/>
              <w:rPr>
                <w:rFonts w:ascii="宋体"/>
                <w:highlight w:val="none"/>
              </w:rPr>
            </w:pP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1C2207FD">
            <w:pPr>
              <w:spacing w:line="240" w:lineRule="auto"/>
              <w:ind w:left="240" w:right="240" w:firstLine="480"/>
              <w:rPr>
                <w:rFonts w:ascii="宋体"/>
                <w:highlight w:val="none"/>
              </w:rPr>
            </w:pPr>
          </w:p>
        </w:tc>
      </w:tr>
      <w:tr w14:paraId="046A97BB">
        <w:tblPrEx>
          <w:tblCellMar>
            <w:top w:w="0" w:type="dxa"/>
            <w:left w:w="108" w:type="dxa"/>
            <w:bottom w:w="0" w:type="dxa"/>
            <w:right w:w="108" w:type="dxa"/>
          </w:tblCellMar>
        </w:tblPrEx>
        <w:trPr>
          <w:trHeight w:val="854" w:hRule="atLeast"/>
        </w:trPr>
        <w:tc>
          <w:tcPr>
            <w:tcW w:w="1452" w:type="dxa"/>
            <w:gridSpan w:val="2"/>
            <w:vMerge w:val="continue"/>
            <w:tcBorders>
              <w:top w:val="single" w:color="auto" w:sz="4" w:space="0"/>
              <w:left w:val="single" w:color="auto" w:sz="4" w:space="0"/>
              <w:bottom w:val="single" w:color="auto" w:sz="4" w:space="0"/>
              <w:right w:val="single" w:color="auto" w:sz="4" w:space="0"/>
            </w:tcBorders>
            <w:vAlign w:val="center"/>
          </w:tcPr>
          <w:p w14:paraId="6EFCCC24">
            <w:pPr>
              <w:spacing w:line="240" w:lineRule="auto"/>
              <w:ind w:left="240" w:right="240" w:firstLine="482"/>
              <w:rPr>
                <w:b/>
                <w:bCs/>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33084A6">
            <w:pPr>
              <w:spacing w:line="240" w:lineRule="auto"/>
              <w:ind w:left="240" w:right="240" w:firstLine="480"/>
              <w:rPr>
                <w:rFonts w:ascii="宋体"/>
                <w:highlight w:val="none"/>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275DD303">
            <w:pPr>
              <w:spacing w:line="240" w:lineRule="auto"/>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574D38F">
            <w:pPr>
              <w:spacing w:line="240" w:lineRule="auto"/>
              <w:ind w:left="240" w:right="240" w:firstLine="480"/>
              <w:rPr>
                <w:rFonts w:ascii="宋体"/>
                <w:highlight w:val="none"/>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7DE4FB00">
            <w:pPr>
              <w:spacing w:line="240" w:lineRule="auto"/>
              <w:ind w:left="240" w:right="240" w:firstLine="480"/>
              <w:rPr>
                <w:rFonts w:ascii="宋体"/>
                <w:highlight w:val="none"/>
              </w:rPr>
            </w:pP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547E17F9">
            <w:pPr>
              <w:spacing w:line="240" w:lineRule="auto"/>
              <w:ind w:left="240" w:right="240" w:firstLine="480"/>
              <w:rPr>
                <w:rFonts w:ascii="宋体"/>
                <w:highlight w:val="none"/>
              </w:rPr>
            </w:pPr>
          </w:p>
        </w:tc>
      </w:tr>
      <w:tr w14:paraId="08DFBBBA">
        <w:tblPrEx>
          <w:tblCellMar>
            <w:top w:w="0" w:type="dxa"/>
            <w:left w:w="108" w:type="dxa"/>
            <w:bottom w:w="0" w:type="dxa"/>
            <w:right w:w="108" w:type="dxa"/>
          </w:tblCellMar>
        </w:tblPrEx>
        <w:trPr>
          <w:trHeight w:val="838" w:hRule="atLeast"/>
        </w:trPr>
        <w:tc>
          <w:tcPr>
            <w:tcW w:w="1452" w:type="dxa"/>
            <w:gridSpan w:val="2"/>
            <w:vMerge w:val="continue"/>
            <w:tcBorders>
              <w:top w:val="single" w:color="auto" w:sz="4" w:space="0"/>
              <w:left w:val="single" w:color="auto" w:sz="4" w:space="0"/>
              <w:bottom w:val="single" w:color="auto" w:sz="4" w:space="0"/>
              <w:right w:val="single" w:color="auto" w:sz="4" w:space="0"/>
            </w:tcBorders>
            <w:vAlign w:val="center"/>
          </w:tcPr>
          <w:p w14:paraId="084BA679">
            <w:pPr>
              <w:spacing w:line="240" w:lineRule="auto"/>
              <w:ind w:left="240" w:right="240" w:firstLine="482"/>
              <w:rPr>
                <w:b/>
                <w:bCs/>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93E12A6">
            <w:pPr>
              <w:spacing w:line="240" w:lineRule="auto"/>
              <w:ind w:left="240" w:right="240" w:firstLine="480"/>
              <w:rPr>
                <w:rFonts w:ascii="宋体"/>
                <w:highlight w:val="none"/>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D5E47F7">
            <w:pPr>
              <w:spacing w:line="240" w:lineRule="auto"/>
              <w:ind w:left="240" w:right="240" w:firstLine="480"/>
              <w:rPr>
                <w:rFonts w:ascii="宋体"/>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4FBAA84">
            <w:pPr>
              <w:spacing w:line="240" w:lineRule="auto"/>
              <w:ind w:left="240" w:right="240" w:firstLine="480"/>
              <w:rPr>
                <w:rFonts w:ascii="宋体"/>
                <w:highlight w:val="none"/>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5C9775A">
            <w:pPr>
              <w:spacing w:line="240" w:lineRule="auto"/>
              <w:ind w:left="240" w:right="240" w:firstLine="480"/>
              <w:rPr>
                <w:rFonts w:ascii="宋体"/>
                <w:highlight w:val="none"/>
              </w:rPr>
            </w:pP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3CF472AA">
            <w:pPr>
              <w:spacing w:line="240" w:lineRule="auto"/>
              <w:ind w:left="240" w:right="240" w:firstLine="480"/>
              <w:rPr>
                <w:rFonts w:ascii="宋体"/>
                <w:highlight w:val="none"/>
              </w:rPr>
            </w:pPr>
          </w:p>
        </w:tc>
      </w:tr>
      <w:tr w14:paraId="16319F63">
        <w:tblPrEx>
          <w:tblCellMar>
            <w:top w:w="0" w:type="dxa"/>
            <w:left w:w="108" w:type="dxa"/>
            <w:bottom w:w="0" w:type="dxa"/>
            <w:right w:w="108" w:type="dxa"/>
          </w:tblCellMar>
        </w:tblPrEx>
        <w:trPr>
          <w:trHeight w:val="2993" w:hRule="atLeast"/>
        </w:trPr>
        <w:tc>
          <w:tcPr>
            <w:tcW w:w="1452" w:type="dxa"/>
            <w:gridSpan w:val="2"/>
            <w:tcBorders>
              <w:top w:val="single" w:color="auto" w:sz="4" w:space="0"/>
              <w:left w:val="single" w:color="auto" w:sz="4" w:space="0"/>
              <w:bottom w:val="single" w:color="auto" w:sz="4" w:space="0"/>
              <w:right w:val="single" w:color="auto" w:sz="4" w:space="0"/>
            </w:tcBorders>
            <w:vAlign w:val="center"/>
          </w:tcPr>
          <w:p w14:paraId="0A318B7E">
            <w:pPr>
              <w:spacing w:line="240" w:lineRule="auto"/>
              <w:ind w:right="240" w:firstLine="0" w:firstLineChars="0"/>
              <w:jc w:val="left"/>
              <w:rPr>
                <w:rFonts w:ascii="宋体"/>
                <w:b/>
                <w:bCs/>
                <w:highlight w:val="none"/>
              </w:rPr>
            </w:pPr>
            <w:r>
              <w:rPr>
                <w:rFonts w:hint="eastAsia" w:ascii="宋体"/>
                <w:b/>
                <w:bCs/>
                <w:highlight w:val="none"/>
              </w:rPr>
              <w:t>最终验收评审结论</w:t>
            </w:r>
          </w:p>
        </w:tc>
        <w:tc>
          <w:tcPr>
            <w:tcW w:w="7919" w:type="dxa"/>
            <w:gridSpan w:val="9"/>
            <w:tcBorders>
              <w:top w:val="single" w:color="auto" w:sz="4" w:space="0"/>
              <w:left w:val="single" w:color="auto" w:sz="4" w:space="0"/>
              <w:bottom w:val="single" w:color="auto" w:sz="4" w:space="0"/>
              <w:right w:val="single" w:color="auto" w:sz="4" w:space="0"/>
            </w:tcBorders>
          </w:tcPr>
          <w:p w14:paraId="29C107BD">
            <w:pPr>
              <w:spacing w:line="240" w:lineRule="auto"/>
              <w:ind w:left="240" w:right="240" w:firstLine="480"/>
              <w:rPr>
                <w:rFonts w:ascii="宋体"/>
                <w:highlight w:val="none"/>
              </w:rPr>
            </w:pPr>
          </w:p>
          <w:p w14:paraId="6D52A284">
            <w:pPr>
              <w:spacing w:line="240" w:lineRule="auto"/>
              <w:ind w:left="240" w:right="240" w:firstLine="480"/>
              <w:rPr>
                <w:rFonts w:ascii="宋体"/>
                <w:highlight w:val="none"/>
              </w:rPr>
            </w:pPr>
            <w:r>
              <w:rPr>
                <w:rFonts w:hint="eastAsia" w:ascii="宋体"/>
                <w:highlight w:val="none"/>
              </w:rPr>
              <w:t>（可另附验收情况报告）</w:t>
            </w:r>
          </w:p>
        </w:tc>
      </w:tr>
      <w:tr w14:paraId="5BBE6C8E">
        <w:tblPrEx>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cBorders>
          </w:tcPr>
          <w:p w14:paraId="08BC4F24">
            <w:pPr>
              <w:spacing w:before="163" w:line="240" w:lineRule="auto"/>
              <w:ind w:right="240" w:firstLine="0" w:firstLineChars="0"/>
              <w:jc w:val="left"/>
              <w:rPr>
                <w:rFonts w:ascii="宋体"/>
                <w:b/>
                <w:bCs/>
                <w:highlight w:val="none"/>
              </w:rPr>
            </w:pPr>
            <w:r>
              <w:rPr>
                <w:rFonts w:hint="eastAsia" w:ascii="宋体"/>
                <w:b/>
                <w:bCs/>
                <w:highlight w:val="none"/>
              </w:rPr>
              <w:t>参验人员：</w:t>
            </w:r>
          </w:p>
          <w:p w14:paraId="3B34D811">
            <w:pPr>
              <w:spacing w:before="163" w:line="240" w:lineRule="auto"/>
              <w:ind w:right="240" w:firstLine="0" w:firstLineChars="0"/>
              <w:jc w:val="left"/>
              <w:rPr>
                <w:rFonts w:ascii="宋体"/>
                <w:b/>
                <w:bCs/>
                <w:highlight w:val="none"/>
              </w:rPr>
            </w:pPr>
          </w:p>
          <w:p w14:paraId="7551E2A8">
            <w:pPr>
              <w:spacing w:before="163" w:line="240" w:lineRule="auto"/>
              <w:ind w:right="240" w:firstLine="0" w:firstLineChars="0"/>
              <w:jc w:val="left"/>
              <w:rPr>
                <w:rFonts w:ascii="宋体"/>
                <w:b/>
                <w:bCs/>
                <w:highlight w:val="none"/>
              </w:rPr>
            </w:pPr>
          </w:p>
          <w:p w14:paraId="6171491B">
            <w:pPr>
              <w:spacing w:before="163" w:line="240" w:lineRule="auto"/>
              <w:ind w:right="240" w:firstLine="0" w:firstLineChars="0"/>
              <w:jc w:val="left"/>
              <w:rPr>
                <w:rFonts w:ascii="宋体"/>
                <w:b/>
                <w:bCs/>
                <w:highlight w:val="none"/>
              </w:rPr>
            </w:pPr>
          </w:p>
          <w:p w14:paraId="520E773C">
            <w:pPr>
              <w:spacing w:before="163" w:line="240" w:lineRule="auto"/>
              <w:ind w:right="240" w:firstLine="0" w:firstLineChars="0"/>
              <w:jc w:val="right"/>
              <w:rPr>
                <w:rFonts w:ascii="宋体"/>
                <w:b/>
                <w:bCs/>
                <w:highlight w:val="none"/>
              </w:rPr>
            </w:pPr>
            <w:r>
              <w:rPr>
                <w:rFonts w:hint="eastAsia" w:ascii="宋体"/>
                <w:b/>
                <w:bCs/>
                <w:highlight w:val="none"/>
              </w:rPr>
              <w:t>年  月  日</w:t>
            </w:r>
          </w:p>
        </w:tc>
        <w:tc>
          <w:tcPr>
            <w:tcW w:w="4631" w:type="dxa"/>
            <w:gridSpan w:val="6"/>
            <w:tcBorders>
              <w:top w:val="single" w:color="auto" w:sz="4" w:space="0"/>
              <w:left w:val="single" w:color="auto" w:sz="4" w:space="0"/>
              <w:bottom w:val="single" w:color="auto" w:sz="4" w:space="0"/>
              <w:right w:val="single" w:color="auto" w:sz="4" w:space="0"/>
            </w:tcBorders>
          </w:tcPr>
          <w:p w14:paraId="10011E41">
            <w:pPr>
              <w:widowControl/>
              <w:spacing w:before="163" w:beforeLines="50" w:line="240" w:lineRule="auto"/>
              <w:ind w:right="240" w:firstLine="0" w:firstLineChars="0"/>
              <w:jc w:val="left"/>
              <w:rPr>
                <w:rFonts w:ascii="宋体"/>
                <w:b/>
                <w:bCs/>
                <w:highlight w:val="none"/>
              </w:rPr>
            </w:pPr>
            <w:r>
              <w:rPr>
                <w:rFonts w:hint="eastAsia" w:ascii="宋体"/>
                <w:b/>
                <w:bCs/>
                <w:highlight w:val="none"/>
              </w:rPr>
              <w:t>部门负责人：</w:t>
            </w:r>
          </w:p>
          <w:p w14:paraId="15F254D8">
            <w:pPr>
              <w:spacing w:before="163" w:line="240" w:lineRule="auto"/>
              <w:ind w:right="240" w:firstLine="0" w:firstLineChars="0"/>
              <w:jc w:val="left"/>
              <w:rPr>
                <w:rFonts w:ascii="宋体"/>
                <w:b/>
                <w:bCs/>
                <w:highlight w:val="none"/>
              </w:rPr>
            </w:pPr>
          </w:p>
          <w:p w14:paraId="0CADA2E9">
            <w:pPr>
              <w:spacing w:before="163" w:line="240" w:lineRule="auto"/>
              <w:ind w:right="240" w:firstLine="0" w:firstLineChars="0"/>
              <w:jc w:val="left"/>
              <w:rPr>
                <w:rFonts w:ascii="宋体"/>
                <w:b/>
                <w:bCs/>
                <w:highlight w:val="none"/>
              </w:rPr>
            </w:pPr>
          </w:p>
          <w:p w14:paraId="7C4F8036">
            <w:pPr>
              <w:spacing w:before="163" w:line="240" w:lineRule="auto"/>
              <w:ind w:right="240" w:firstLine="0" w:firstLineChars="0"/>
              <w:jc w:val="left"/>
              <w:rPr>
                <w:rFonts w:ascii="宋体"/>
                <w:b/>
                <w:bCs/>
                <w:highlight w:val="none"/>
              </w:rPr>
            </w:pPr>
          </w:p>
          <w:p w14:paraId="10F680F8">
            <w:pPr>
              <w:spacing w:before="163" w:line="240" w:lineRule="auto"/>
              <w:ind w:right="240" w:firstLine="0" w:firstLineChars="0"/>
              <w:jc w:val="right"/>
              <w:rPr>
                <w:rFonts w:ascii="宋体"/>
                <w:b/>
                <w:bCs/>
                <w:highlight w:val="none"/>
              </w:rPr>
            </w:pPr>
            <w:r>
              <w:rPr>
                <w:rFonts w:hint="eastAsia" w:ascii="宋体"/>
                <w:b/>
                <w:bCs/>
                <w:highlight w:val="none"/>
              </w:rPr>
              <w:t>年  月  日</w:t>
            </w:r>
          </w:p>
        </w:tc>
      </w:tr>
    </w:tbl>
    <w:p w14:paraId="335761D9">
      <w:pPr>
        <w:ind w:firstLine="480"/>
        <w:rPr>
          <w:highlight w:val="none"/>
        </w:rPr>
      </w:pPr>
      <w:bookmarkStart w:id="97" w:name="_Toc182213447"/>
    </w:p>
    <w:p w14:paraId="3A5188A4">
      <w:pPr>
        <w:widowControl/>
        <w:autoSpaceDE/>
        <w:autoSpaceDN/>
        <w:spacing w:line="240" w:lineRule="auto"/>
        <w:ind w:firstLine="0" w:firstLineChars="0"/>
        <w:jc w:val="left"/>
        <w:rPr>
          <w:highlight w:val="none"/>
        </w:rPr>
      </w:pPr>
      <w:r>
        <w:rPr>
          <w:rFonts w:hint="eastAsia" w:ascii="宋体"/>
          <w:b/>
          <w:highlight w:val="none"/>
        </w:rPr>
        <w:t>附件4 服务连续性预案</w:t>
      </w:r>
    </w:p>
    <w:p w14:paraId="64F3C801">
      <w:pPr>
        <w:ind w:firstLine="480"/>
        <w:jc w:val="center"/>
        <w:rPr>
          <w:rFonts w:ascii="方正小标宋_GBK" w:eastAsia="方正小标宋_GBK"/>
          <w:color w:val="auto"/>
          <w:highlight w:val="none"/>
        </w:rPr>
      </w:pPr>
    </w:p>
    <w:p w14:paraId="774CB2B0">
      <w:pPr>
        <w:ind w:firstLine="480"/>
        <w:jc w:val="center"/>
        <w:rPr>
          <w:rFonts w:ascii="方正小标宋_GBK" w:eastAsia="方正小标宋_GBK"/>
          <w:color w:val="auto"/>
          <w:highlight w:val="none"/>
        </w:rPr>
      </w:pPr>
      <w:r>
        <w:rPr>
          <w:rFonts w:hint="eastAsia" w:ascii="方正小标宋_GBK" w:eastAsia="方正小标宋_GBK"/>
          <w:color w:val="auto"/>
          <w:highlight w:val="none"/>
        </w:rPr>
        <w:t>（应考虑供应链风险产生的影响）</w:t>
      </w:r>
    </w:p>
    <w:p w14:paraId="54701275">
      <w:pPr>
        <w:ind w:firstLine="0" w:firstLineChars="0"/>
        <w:rPr>
          <w:highlight w:val="none"/>
        </w:rPr>
      </w:pPr>
    </w:p>
    <w:p w14:paraId="6A80EA8B">
      <w:pPr>
        <w:widowControl/>
        <w:autoSpaceDE/>
        <w:autoSpaceDN/>
        <w:spacing w:line="240" w:lineRule="auto"/>
        <w:ind w:firstLine="0" w:firstLineChars="0"/>
        <w:jc w:val="left"/>
        <w:rPr>
          <w:rFonts w:ascii="Times New Roman" w:hAnsi="Times New Roman" w:cs="等线 Light"/>
          <w:b/>
          <w:snapToGrid w:val="0"/>
          <w:kern w:val="0"/>
          <w:sz w:val="44"/>
          <w:szCs w:val="44"/>
          <w:highlight w:val="none"/>
        </w:rPr>
      </w:pPr>
      <w:r>
        <w:rPr>
          <w:rFonts w:ascii="Times New Roman" w:hAnsi="Times New Roman"/>
          <w:highlight w:val="none"/>
        </w:rPr>
        <w:br w:type="page"/>
      </w:r>
    </w:p>
    <w:p w14:paraId="6EB2C0BE">
      <w:pPr>
        <w:pStyle w:val="2"/>
        <w:ind w:left="240" w:right="240"/>
        <w:rPr>
          <w:rFonts w:ascii="Times New Roman" w:hAnsi="Times New Roman"/>
          <w:highlight w:val="none"/>
        </w:rPr>
      </w:pPr>
      <w:bookmarkStart w:id="98" w:name="_Toc19094"/>
      <w:r>
        <w:rPr>
          <w:rFonts w:hint="eastAsia" w:ascii="Times New Roman" w:hAnsi="Times New Roman"/>
          <w:highlight w:val="none"/>
        </w:rPr>
        <w:t>第六章 参选文件</w:t>
      </w:r>
      <w:bookmarkEnd w:id="90"/>
      <w:bookmarkEnd w:id="91"/>
      <w:bookmarkStart w:id="99" w:name="_Toc303066035"/>
      <w:r>
        <w:rPr>
          <w:rFonts w:hint="eastAsia" w:ascii="Times New Roman" w:hAnsi="Times New Roman"/>
          <w:highlight w:val="none"/>
        </w:rPr>
        <w:t>格式</w:t>
      </w:r>
      <w:bookmarkEnd w:id="97"/>
      <w:bookmarkEnd w:id="98"/>
    </w:p>
    <w:bookmarkEnd w:id="99"/>
    <w:p w14:paraId="5A992897">
      <w:pPr>
        <w:tabs>
          <w:tab w:val="left" w:pos="6516"/>
        </w:tabs>
        <w:adjustRightInd w:val="0"/>
        <w:snapToGrid w:val="0"/>
        <w:spacing w:line="360" w:lineRule="auto"/>
        <w:ind w:left="240" w:right="240" w:firstLine="0" w:firstLineChars="0"/>
        <w:jc w:val="center"/>
        <w:rPr>
          <w:rFonts w:ascii="Times New Roman" w:hAnsi="Times New Roman"/>
          <w:b/>
          <w:kern w:val="0"/>
          <w:highlight w:val="none"/>
          <w:u w:val="single"/>
        </w:rPr>
      </w:pPr>
    </w:p>
    <w:p w14:paraId="40B71487">
      <w:pPr>
        <w:tabs>
          <w:tab w:val="left" w:pos="6516"/>
        </w:tabs>
        <w:adjustRightInd w:val="0"/>
        <w:snapToGrid w:val="0"/>
        <w:spacing w:line="360" w:lineRule="auto"/>
        <w:ind w:left="240" w:right="240" w:firstLine="0" w:firstLineChars="0"/>
        <w:jc w:val="center"/>
        <w:rPr>
          <w:rFonts w:ascii="Times New Roman" w:hAnsi="Times New Roman"/>
          <w:b/>
          <w:kern w:val="0"/>
          <w:highlight w:val="none"/>
          <w:u w:val="single"/>
        </w:rPr>
      </w:pPr>
    </w:p>
    <w:p w14:paraId="4A9B598E">
      <w:pPr>
        <w:tabs>
          <w:tab w:val="left" w:pos="6516"/>
        </w:tabs>
        <w:adjustRightInd w:val="0"/>
        <w:snapToGrid w:val="0"/>
        <w:spacing w:line="360" w:lineRule="auto"/>
        <w:ind w:right="240" w:firstLine="0" w:firstLineChars="0"/>
        <w:rPr>
          <w:rFonts w:ascii="Times New Roman" w:hAnsi="Times New Roman"/>
          <w:b/>
          <w:kern w:val="0"/>
          <w:highlight w:val="none"/>
          <w:u w:val="single"/>
        </w:rPr>
      </w:pPr>
    </w:p>
    <w:p w14:paraId="44C7869C">
      <w:pPr>
        <w:tabs>
          <w:tab w:val="left" w:pos="6516"/>
        </w:tabs>
        <w:adjustRightInd w:val="0"/>
        <w:snapToGrid w:val="0"/>
        <w:spacing w:line="360" w:lineRule="auto"/>
        <w:ind w:right="240" w:firstLine="0" w:firstLineChars="0"/>
        <w:rPr>
          <w:rFonts w:ascii="Times New Roman" w:hAnsi="Times New Roman"/>
          <w:b/>
          <w:kern w:val="0"/>
          <w:highlight w:val="none"/>
          <w:u w:val="single"/>
        </w:rPr>
      </w:pPr>
    </w:p>
    <w:p w14:paraId="3583E956">
      <w:pPr>
        <w:tabs>
          <w:tab w:val="left" w:pos="6516"/>
        </w:tabs>
        <w:adjustRightInd w:val="0"/>
        <w:snapToGrid w:val="0"/>
        <w:spacing w:line="360" w:lineRule="auto"/>
        <w:ind w:left="240" w:right="240" w:firstLine="0" w:firstLineChars="0"/>
        <w:jc w:val="center"/>
        <w:rPr>
          <w:rFonts w:ascii="Times New Roman" w:hAnsi="Times New Roman"/>
          <w:b/>
          <w:kern w:val="0"/>
          <w:highlight w:val="none"/>
          <w:u w:val="single"/>
        </w:rPr>
      </w:pPr>
    </w:p>
    <w:p w14:paraId="209B59D7">
      <w:pPr>
        <w:spacing w:line="360" w:lineRule="auto"/>
        <w:ind w:right="240"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02D25F88">
      <w:pPr>
        <w:spacing w:line="360" w:lineRule="auto"/>
        <w:ind w:right="240"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2025-2028年度数据中心运维耗材采购项目</w:t>
      </w:r>
    </w:p>
    <w:p w14:paraId="5BA79063">
      <w:pPr>
        <w:tabs>
          <w:tab w:val="left" w:pos="3600"/>
          <w:tab w:val="left" w:pos="4480"/>
          <w:tab w:val="left" w:pos="5360"/>
        </w:tabs>
        <w:adjustRightInd w:val="0"/>
        <w:snapToGrid w:val="0"/>
        <w:spacing w:line="360" w:lineRule="auto"/>
        <w:ind w:left="240" w:right="240" w:firstLine="0" w:firstLineChars="0"/>
        <w:jc w:val="center"/>
        <w:rPr>
          <w:rFonts w:ascii="Times New Roman" w:hAnsi="Times New Roman"/>
          <w:kern w:val="0"/>
          <w:sz w:val="44"/>
          <w:highlight w:val="none"/>
        </w:rPr>
      </w:pPr>
    </w:p>
    <w:p w14:paraId="465B17B5">
      <w:pPr>
        <w:tabs>
          <w:tab w:val="left" w:pos="3600"/>
          <w:tab w:val="left" w:pos="4480"/>
          <w:tab w:val="left" w:pos="5360"/>
        </w:tabs>
        <w:adjustRightInd w:val="0"/>
        <w:snapToGrid w:val="0"/>
        <w:spacing w:line="360" w:lineRule="auto"/>
        <w:ind w:left="240" w:right="240" w:firstLine="0" w:firstLineChars="0"/>
        <w:jc w:val="center"/>
        <w:rPr>
          <w:rFonts w:ascii="Times New Roman" w:hAnsi="Times New Roman"/>
          <w:kern w:val="0"/>
          <w:sz w:val="44"/>
          <w:highlight w:val="none"/>
        </w:rPr>
      </w:pPr>
    </w:p>
    <w:p w14:paraId="2FA96142">
      <w:pPr>
        <w:tabs>
          <w:tab w:val="left" w:pos="3600"/>
          <w:tab w:val="left" w:pos="4480"/>
          <w:tab w:val="left" w:pos="5360"/>
        </w:tabs>
        <w:adjustRightInd w:val="0"/>
        <w:snapToGrid w:val="0"/>
        <w:spacing w:line="360" w:lineRule="auto"/>
        <w:ind w:left="240" w:right="240" w:firstLine="0" w:firstLineChars="0"/>
        <w:jc w:val="center"/>
        <w:rPr>
          <w:rFonts w:ascii="Times New Roman" w:hAnsi="Times New Roman"/>
          <w:kern w:val="0"/>
          <w:sz w:val="44"/>
          <w:highlight w:val="none"/>
        </w:rPr>
      </w:pPr>
    </w:p>
    <w:p w14:paraId="1004E70A">
      <w:pPr>
        <w:tabs>
          <w:tab w:val="left" w:pos="3600"/>
          <w:tab w:val="left" w:pos="4480"/>
          <w:tab w:val="left" w:pos="5360"/>
        </w:tabs>
        <w:adjustRightInd w:val="0"/>
        <w:snapToGrid w:val="0"/>
        <w:spacing w:line="360" w:lineRule="auto"/>
        <w:ind w:left="240" w:right="240"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272017BE">
      <w:pPr>
        <w:adjustRightInd w:val="0"/>
        <w:snapToGrid w:val="0"/>
        <w:spacing w:line="360" w:lineRule="auto"/>
        <w:ind w:left="240" w:right="240" w:firstLine="0" w:firstLineChars="0"/>
        <w:jc w:val="center"/>
        <w:rPr>
          <w:rFonts w:ascii="Times New Roman" w:hAnsi="Times New Roman"/>
          <w:kern w:val="0"/>
          <w:sz w:val="16"/>
          <w:highlight w:val="none"/>
        </w:rPr>
      </w:pPr>
    </w:p>
    <w:p w14:paraId="153B94D7">
      <w:pPr>
        <w:adjustRightInd w:val="0"/>
        <w:snapToGrid w:val="0"/>
        <w:spacing w:line="360" w:lineRule="auto"/>
        <w:ind w:left="240" w:right="240" w:firstLine="0" w:firstLineChars="0"/>
        <w:jc w:val="center"/>
        <w:rPr>
          <w:rFonts w:ascii="Times New Roman" w:hAnsi="Times New Roman"/>
          <w:b/>
          <w:kern w:val="0"/>
          <w:sz w:val="20"/>
          <w:highlight w:val="none"/>
        </w:rPr>
      </w:pPr>
    </w:p>
    <w:p w14:paraId="29C9B427">
      <w:pPr>
        <w:adjustRightInd w:val="0"/>
        <w:snapToGrid w:val="0"/>
        <w:spacing w:line="360" w:lineRule="auto"/>
        <w:ind w:left="240" w:right="240" w:firstLine="0" w:firstLineChars="0"/>
        <w:jc w:val="center"/>
        <w:rPr>
          <w:rFonts w:ascii="Times New Roman" w:hAnsi="Times New Roman"/>
          <w:b/>
          <w:kern w:val="0"/>
          <w:sz w:val="20"/>
          <w:highlight w:val="none"/>
        </w:rPr>
      </w:pPr>
    </w:p>
    <w:p w14:paraId="3A1110EA">
      <w:pPr>
        <w:adjustRightInd w:val="0"/>
        <w:snapToGrid w:val="0"/>
        <w:spacing w:line="360" w:lineRule="auto"/>
        <w:ind w:left="240" w:right="240" w:firstLine="0" w:firstLineChars="0"/>
        <w:jc w:val="center"/>
        <w:rPr>
          <w:rFonts w:ascii="Times New Roman" w:hAnsi="Times New Roman"/>
          <w:b/>
          <w:kern w:val="0"/>
          <w:sz w:val="20"/>
          <w:highlight w:val="none"/>
        </w:rPr>
      </w:pPr>
    </w:p>
    <w:p w14:paraId="3BC2A531">
      <w:pPr>
        <w:adjustRightInd w:val="0"/>
        <w:snapToGrid w:val="0"/>
        <w:spacing w:line="360" w:lineRule="auto"/>
        <w:ind w:left="240" w:right="240" w:firstLine="0" w:firstLineChars="0"/>
        <w:jc w:val="center"/>
        <w:rPr>
          <w:rFonts w:ascii="Times New Roman" w:hAnsi="Times New Roman"/>
          <w:b/>
          <w:kern w:val="0"/>
          <w:sz w:val="20"/>
          <w:highlight w:val="none"/>
        </w:rPr>
      </w:pPr>
    </w:p>
    <w:p w14:paraId="35482DE1">
      <w:pPr>
        <w:adjustRightInd w:val="0"/>
        <w:snapToGrid w:val="0"/>
        <w:spacing w:line="360" w:lineRule="auto"/>
        <w:ind w:left="240" w:right="240" w:firstLine="0" w:firstLineChars="0"/>
        <w:jc w:val="center"/>
        <w:rPr>
          <w:rFonts w:ascii="Times New Roman" w:hAnsi="Times New Roman"/>
          <w:b/>
          <w:kern w:val="0"/>
          <w:sz w:val="20"/>
          <w:highlight w:val="none"/>
        </w:rPr>
      </w:pPr>
    </w:p>
    <w:p w14:paraId="2D14EBDA">
      <w:pPr>
        <w:adjustRightInd w:val="0"/>
        <w:snapToGrid w:val="0"/>
        <w:spacing w:line="360" w:lineRule="auto"/>
        <w:ind w:right="240" w:firstLine="0" w:firstLineChars="0"/>
        <w:rPr>
          <w:rFonts w:ascii="Times New Roman" w:hAnsi="Times New Roman"/>
          <w:b/>
          <w:kern w:val="0"/>
          <w:sz w:val="20"/>
          <w:highlight w:val="none"/>
        </w:rPr>
      </w:pPr>
    </w:p>
    <w:p w14:paraId="16A8DF3E">
      <w:pPr>
        <w:adjustRightInd w:val="0"/>
        <w:snapToGrid w:val="0"/>
        <w:spacing w:line="360" w:lineRule="auto"/>
        <w:ind w:right="240" w:firstLine="0" w:firstLineChars="0"/>
        <w:rPr>
          <w:rFonts w:ascii="Times New Roman" w:hAnsi="Times New Roman"/>
          <w:b/>
          <w:kern w:val="0"/>
          <w:sz w:val="20"/>
          <w:highlight w:val="none"/>
        </w:rPr>
      </w:pPr>
    </w:p>
    <w:p w14:paraId="67890737">
      <w:pPr>
        <w:adjustRightInd w:val="0"/>
        <w:snapToGrid w:val="0"/>
        <w:spacing w:line="360" w:lineRule="auto"/>
        <w:ind w:right="240" w:firstLine="0" w:firstLineChars="0"/>
        <w:rPr>
          <w:rFonts w:ascii="Times New Roman" w:hAnsi="Times New Roman"/>
          <w:b/>
          <w:kern w:val="0"/>
          <w:sz w:val="20"/>
          <w:highlight w:val="none"/>
        </w:rPr>
      </w:pPr>
    </w:p>
    <w:p w14:paraId="0EE6C3F1">
      <w:pPr>
        <w:adjustRightInd w:val="0"/>
        <w:snapToGrid w:val="0"/>
        <w:spacing w:line="360" w:lineRule="auto"/>
        <w:ind w:left="240" w:right="240" w:firstLine="0" w:firstLineChars="0"/>
        <w:jc w:val="center"/>
        <w:rPr>
          <w:rFonts w:ascii="Times New Roman" w:hAnsi="Times New Roman"/>
          <w:b/>
          <w:kern w:val="0"/>
          <w:sz w:val="20"/>
          <w:highlight w:val="none"/>
        </w:rPr>
      </w:pPr>
    </w:p>
    <w:p w14:paraId="45F7AACD">
      <w:pPr>
        <w:spacing w:line="360" w:lineRule="auto"/>
        <w:ind w:left="240" w:right="240" w:firstLine="0" w:firstLineChars="0"/>
        <w:jc w:val="center"/>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4960416E">
      <w:pPr>
        <w:spacing w:line="360" w:lineRule="auto"/>
        <w:ind w:left="240" w:right="240" w:firstLine="0" w:firstLineChars="0"/>
        <w:jc w:val="center"/>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委托代理人：</w:t>
      </w:r>
      <w:r>
        <w:rPr>
          <w:rFonts w:hint="eastAsia" w:ascii="Times New Roman" w:hAnsi="Times New Roman"/>
          <w:highlight w:val="none"/>
          <w:u w:val="single"/>
        </w:rPr>
        <w:t xml:space="preserve">              </w:t>
      </w:r>
      <w:r>
        <w:rPr>
          <w:rFonts w:hint="eastAsia" w:ascii="Times New Roman" w:hAnsi="Times New Roman"/>
          <w:highlight w:val="none"/>
        </w:rPr>
        <w:t>（签字</w:t>
      </w:r>
      <w:r>
        <w:rPr>
          <w:rFonts w:hint="eastAsia" w:ascii="Times New Roman" w:hAnsi="Times New Roman"/>
          <w:highlight w:val="none"/>
          <w:lang w:val="en-US" w:eastAsia="zh-CN"/>
        </w:rPr>
        <w:t>或盖章</w:t>
      </w:r>
      <w:r>
        <w:rPr>
          <w:rFonts w:hint="eastAsia" w:ascii="Times New Roman" w:hAnsi="Times New Roman"/>
          <w:highlight w:val="none"/>
        </w:rPr>
        <w:t>）</w:t>
      </w:r>
    </w:p>
    <w:p w14:paraId="0CBAF354">
      <w:pPr>
        <w:spacing w:line="360" w:lineRule="auto"/>
        <w:ind w:left="240" w:right="240" w:firstLine="0" w:firstLineChars="0"/>
        <w:jc w:val="center"/>
        <w:rPr>
          <w:rFonts w:ascii="Times New Roman" w:hAnsi="Times New Roman"/>
          <w:highlight w:val="none"/>
        </w:rPr>
      </w:pPr>
      <w:r>
        <w:rPr>
          <w:rFonts w:hint="eastAsia" w:ascii="Times New Roman" w:hAnsi="Times New Roman"/>
          <w:highlight w:val="none"/>
        </w:rPr>
        <w:t>年     月     日</w:t>
      </w:r>
    </w:p>
    <w:p w14:paraId="7B15933C">
      <w:pPr>
        <w:tabs>
          <w:tab w:val="left" w:pos="3280"/>
          <w:tab w:val="left" w:pos="4680"/>
          <w:tab w:val="left" w:pos="6080"/>
        </w:tabs>
        <w:adjustRightInd w:val="0"/>
        <w:snapToGrid w:val="0"/>
        <w:spacing w:line="360" w:lineRule="auto"/>
        <w:ind w:left="240" w:right="240" w:firstLine="0" w:firstLineChars="0"/>
        <w:jc w:val="center"/>
        <w:rPr>
          <w:rFonts w:ascii="Times New Roman" w:hAnsi="Times New Roman"/>
          <w:b/>
          <w:kern w:val="0"/>
          <w:highlight w:val="none"/>
        </w:rPr>
      </w:pPr>
    </w:p>
    <w:p w14:paraId="5A24338B">
      <w:pPr>
        <w:tabs>
          <w:tab w:val="left" w:pos="6300"/>
        </w:tabs>
        <w:snapToGrid w:val="0"/>
        <w:spacing w:line="360" w:lineRule="auto"/>
        <w:ind w:right="240" w:firstLine="0" w:firstLineChars="0"/>
        <w:rPr>
          <w:rFonts w:ascii="Times New Roman" w:hAnsi="Times New Roman"/>
          <w:snapToGrid w:val="0"/>
          <w:kern w:val="0"/>
          <w:szCs w:val="28"/>
          <w:highlight w:val="none"/>
        </w:rPr>
        <w:sectPr>
          <w:pgSz w:w="11906" w:h="16838"/>
          <w:pgMar w:top="1440" w:right="1800" w:bottom="1440" w:left="1800" w:header="851" w:footer="992" w:gutter="0"/>
          <w:cols w:space="720" w:num="1"/>
          <w:docGrid w:type="lines" w:linePitch="326" w:charSpace="0"/>
        </w:sectPr>
      </w:pPr>
    </w:p>
    <w:p w14:paraId="75915305">
      <w:pPr>
        <w:tabs>
          <w:tab w:val="left" w:pos="6300"/>
        </w:tabs>
        <w:snapToGrid w:val="0"/>
        <w:spacing w:before="156" w:line="360" w:lineRule="auto"/>
        <w:ind w:left="240" w:right="240"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632AE6A4">
      <w:pPr>
        <w:spacing w:before="156"/>
        <w:ind w:right="240" w:rightChars="100" w:firstLine="480"/>
        <w:rPr>
          <w:rFonts w:ascii="Times New Roman" w:hAnsi="Times New Roman"/>
          <w:highlight w:val="none"/>
        </w:rPr>
      </w:pPr>
      <w:r>
        <w:rPr>
          <w:rFonts w:hint="eastAsia" w:ascii="Times New Roman" w:hAnsi="Times New Roman"/>
          <w:highlight w:val="none"/>
        </w:rPr>
        <w:t>一、参选函</w:t>
      </w:r>
    </w:p>
    <w:p w14:paraId="7FDF1D48">
      <w:pPr>
        <w:spacing w:before="156"/>
        <w:ind w:right="240" w:rightChars="100" w:firstLine="480"/>
        <w:rPr>
          <w:rFonts w:ascii="Times New Roman" w:hAnsi="Times New Roman"/>
          <w:highlight w:val="none"/>
        </w:rPr>
      </w:pPr>
      <w:r>
        <w:rPr>
          <w:rFonts w:hint="eastAsia" w:ascii="Times New Roman" w:hAnsi="Times New Roman"/>
          <w:highlight w:val="none"/>
        </w:rPr>
        <w:t>二、分项报价明细表</w:t>
      </w:r>
    </w:p>
    <w:p w14:paraId="2D734F17">
      <w:pPr>
        <w:spacing w:before="156"/>
        <w:ind w:right="240" w:rightChars="100" w:firstLine="480"/>
        <w:rPr>
          <w:rFonts w:ascii="Times New Roman" w:hAnsi="Times New Roman"/>
          <w:highlight w:val="none"/>
        </w:rPr>
      </w:pPr>
      <w:r>
        <w:rPr>
          <w:rFonts w:hint="eastAsia" w:ascii="Times New Roman" w:hAnsi="Times New Roman"/>
          <w:highlight w:val="none"/>
        </w:rPr>
        <w:t>三、资格性文件</w:t>
      </w:r>
    </w:p>
    <w:p w14:paraId="3BADE99E">
      <w:pPr>
        <w:spacing w:before="156"/>
        <w:ind w:right="240" w:rightChars="100" w:firstLine="480"/>
        <w:rPr>
          <w:rFonts w:ascii="Times New Roman" w:hAnsi="Times New Roman"/>
          <w:highlight w:val="none"/>
        </w:rPr>
      </w:pPr>
      <w:r>
        <w:rPr>
          <w:rFonts w:ascii="Times New Roman" w:hAnsi="Times New Roman"/>
          <w:highlight w:val="none"/>
        </w:rPr>
        <w:t>（一）参选人基本情况介绍，资质证明等</w:t>
      </w:r>
    </w:p>
    <w:p w14:paraId="19E81816">
      <w:pPr>
        <w:spacing w:before="156"/>
        <w:ind w:right="240" w:rightChars="100" w:firstLine="480"/>
        <w:rPr>
          <w:rFonts w:ascii="Times New Roman" w:hAnsi="Times New Roman"/>
          <w:highlight w:val="none"/>
        </w:rPr>
      </w:pPr>
      <w:r>
        <w:rPr>
          <w:rFonts w:ascii="Times New Roman" w:hAnsi="Times New Roman"/>
          <w:highlight w:val="none"/>
        </w:rPr>
        <w:t>（二）法定代表人身份证明及授权委托书</w:t>
      </w:r>
    </w:p>
    <w:p w14:paraId="77F0B49E">
      <w:pPr>
        <w:spacing w:before="156"/>
        <w:ind w:right="240" w:rightChars="100" w:firstLine="480"/>
        <w:rPr>
          <w:rFonts w:ascii="Times New Roman" w:hAnsi="Times New Roman"/>
          <w:highlight w:val="none"/>
        </w:rPr>
      </w:pPr>
      <w:r>
        <w:rPr>
          <w:rFonts w:hint="eastAsia" w:ascii="Times New Roman" w:hAnsi="Times New Roman"/>
          <w:highlight w:val="none"/>
        </w:rPr>
        <w:t>（三）书面声明</w:t>
      </w:r>
    </w:p>
    <w:p w14:paraId="684E0D2E">
      <w:pPr>
        <w:spacing w:before="156"/>
        <w:ind w:right="240" w:rightChars="100" w:firstLine="480"/>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155C7A40">
      <w:pPr>
        <w:spacing w:before="156"/>
        <w:ind w:right="240" w:rightChars="100" w:firstLine="480"/>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）项目案例</w:t>
      </w:r>
      <w:r>
        <w:rPr>
          <w:rFonts w:hint="eastAsia" w:ascii="Times New Roman" w:hAnsi="Times New Roman"/>
          <w:highlight w:val="none"/>
        </w:rPr>
        <w:t>和业绩证明文件复印件</w:t>
      </w:r>
    </w:p>
    <w:p w14:paraId="17CAA93E">
      <w:pPr>
        <w:spacing w:before="156"/>
        <w:ind w:right="240" w:rightChars="100" w:firstLine="480"/>
        <w:rPr>
          <w:rFonts w:ascii="Times New Roman" w:hAnsi="Times New Roman"/>
          <w:highlight w:val="none"/>
        </w:rPr>
      </w:pPr>
      <w:r>
        <w:rPr>
          <w:rFonts w:hint="eastAsia" w:ascii="Times New Roman" w:hAnsi="Times New Roman"/>
          <w:highlight w:val="none"/>
        </w:rPr>
        <w:t>（六）</w:t>
      </w:r>
      <w:r>
        <w:rPr>
          <w:rFonts w:ascii="Times New Roman" w:hAnsi="Times New Roman"/>
          <w:highlight w:val="none"/>
        </w:rPr>
        <w:t>网络布线产品</w:t>
      </w:r>
      <w:r>
        <w:rPr>
          <w:rFonts w:hint="eastAsia" w:ascii="Times New Roman" w:hAnsi="Times New Roman"/>
          <w:highlight w:val="none"/>
        </w:rPr>
        <w:t>制造商出具的授权文件</w:t>
      </w:r>
    </w:p>
    <w:p w14:paraId="1A5400A8">
      <w:pPr>
        <w:numPr>
          <w:ilvl w:val="0"/>
          <w:numId w:val="28"/>
        </w:numPr>
        <w:spacing w:before="156"/>
        <w:ind w:right="240" w:rightChars="100" w:firstLine="480"/>
        <w:rPr>
          <w:rFonts w:ascii="Times New Roman" w:hAnsi="Times New Roman"/>
          <w:highlight w:val="none"/>
        </w:rPr>
      </w:pPr>
      <w:r>
        <w:rPr>
          <w:rFonts w:ascii="Times New Roman" w:hAnsi="Times New Roman"/>
          <w:highlight w:val="none"/>
        </w:rPr>
        <w:t>网络布线产品制造商出具的售后服务质保承诺函</w:t>
      </w:r>
    </w:p>
    <w:p w14:paraId="48F9972C">
      <w:pPr>
        <w:spacing w:before="156"/>
        <w:ind w:right="240" w:rightChars="100" w:firstLine="480"/>
        <w:rPr>
          <w:rFonts w:ascii="Times New Roman" w:hAnsi="Times New Roman"/>
          <w:highlight w:val="none"/>
        </w:rPr>
      </w:pPr>
      <w:r>
        <w:rPr>
          <w:rFonts w:hint="eastAsia" w:ascii="Times New Roman" w:hAnsi="Times New Roman"/>
          <w:szCs w:val="32"/>
          <w:highlight w:val="none"/>
        </w:rPr>
        <w:t>（</w:t>
      </w:r>
      <w:r>
        <w:rPr>
          <w:rFonts w:hint="eastAsia" w:ascii="Times New Roman" w:hAnsi="Times New Roman"/>
          <w:highlight w:val="none"/>
        </w:rPr>
        <w:t>八</w:t>
      </w:r>
      <w:r>
        <w:rPr>
          <w:rFonts w:hint="eastAsia" w:ascii="Times New Roman" w:hAnsi="Times New Roman"/>
          <w:szCs w:val="32"/>
          <w:highlight w:val="none"/>
        </w:rPr>
        <w:t>）</w:t>
      </w:r>
      <w:r>
        <w:rPr>
          <w:rFonts w:hint="eastAsia" w:ascii="Times New Roman" w:hAnsi="Times New Roman"/>
          <w:highlight w:val="none"/>
        </w:rPr>
        <w:t>测试报告</w:t>
      </w:r>
    </w:p>
    <w:p w14:paraId="2A294A94">
      <w:pPr>
        <w:spacing w:before="156"/>
        <w:ind w:right="240" w:rightChars="100" w:firstLine="480"/>
        <w:rPr>
          <w:rFonts w:ascii="Times New Roman" w:hAnsi="Times New Roman"/>
          <w:highlight w:val="none"/>
        </w:rPr>
      </w:pPr>
      <w:r>
        <w:rPr>
          <w:rFonts w:hint="eastAsia" w:ascii="Times New Roman" w:hAnsi="Times New Roman"/>
          <w:highlight w:val="none"/>
        </w:rPr>
        <w:t>（九）</w:t>
      </w:r>
      <w:r>
        <w:rPr>
          <w:rFonts w:hint="eastAsia" w:ascii="Times New Roman" w:hAnsi="Times New Roman"/>
          <w:szCs w:val="32"/>
          <w:highlight w:val="none"/>
        </w:rPr>
        <w:t>其它（如有）</w:t>
      </w:r>
    </w:p>
    <w:p w14:paraId="72263CD2">
      <w:pPr>
        <w:spacing w:before="156"/>
        <w:ind w:right="240" w:rightChars="100" w:firstLine="480"/>
        <w:rPr>
          <w:rFonts w:ascii="Times New Roman" w:hAnsi="Times New Roman"/>
          <w:highlight w:val="none"/>
        </w:rPr>
      </w:pPr>
      <w:r>
        <w:rPr>
          <w:rFonts w:hint="eastAsia" w:ascii="Times New Roman" w:hAnsi="Times New Roman"/>
          <w:highlight w:val="none"/>
        </w:rPr>
        <w:t>四、响应性文件</w:t>
      </w:r>
    </w:p>
    <w:p w14:paraId="3FF82DA3">
      <w:pPr>
        <w:numPr>
          <w:ilvl w:val="0"/>
          <w:numId w:val="29"/>
        </w:numPr>
        <w:spacing w:before="156"/>
        <w:ind w:right="240" w:rightChars="100" w:firstLine="480"/>
        <w:rPr>
          <w:rFonts w:ascii="Times New Roman" w:hAnsi="Times New Roman"/>
          <w:highlight w:val="none"/>
        </w:rPr>
      </w:pPr>
      <w:r>
        <w:rPr>
          <w:rFonts w:hint="eastAsia" w:ascii="Times New Roman" w:hAnsi="Times New Roman"/>
          <w:highlight w:val="none"/>
        </w:rPr>
        <w:t>响应承诺函</w:t>
      </w:r>
    </w:p>
    <w:p w14:paraId="2EFBAF0A">
      <w:pPr>
        <w:numPr>
          <w:ilvl w:val="0"/>
          <w:numId w:val="29"/>
        </w:numPr>
        <w:spacing w:before="156"/>
        <w:ind w:right="240" w:rightChars="100" w:firstLine="480"/>
        <w:rPr>
          <w:rFonts w:ascii="Times New Roman" w:hAnsi="Times New Roman"/>
          <w:highlight w:val="none"/>
        </w:rPr>
      </w:pPr>
      <w:r>
        <w:rPr>
          <w:rFonts w:hint="eastAsia" w:ascii="Times New Roman" w:hAnsi="Times New Roman"/>
          <w:highlight w:val="none"/>
        </w:rPr>
        <w:t>服务连续性预案</w:t>
      </w:r>
    </w:p>
    <w:p w14:paraId="0876F0E5">
      <w:pPr>
        <w:spacing w:before="156"/>
        <w:ind w:right="240" w:rightChars="100" w:firstLine="480"/>
        <w:rPr>
          <w:rFonts w:ascii="Times New Roman" w:hAnsi="Times New Roman"/>
          <w:highlight w:val="none"/>
        </w:rPr>
      </w:pPr>
      <w:r>
        <w:rPr>
          <w:rFonts w:hint="eastAsia" w:ascii="Times New Roman" w:hAnsi="Times New Roman"/>
          <w:highlight w:val="none"/>
        </w:rPr>
        <w:t>五、参选保证金</w:t>
      </w:r>
    </w:p>
    <w:p w14:paraId="560447FF">
      <w:pPr>
        <w:spacing w:before="156"/>
        <w:ind w:right="240" w:rightChars="100" w:firstLine="480"/>
        <w:rPr>
          <w:rFonts w:ascii="Times New Roman" w:hAnsi="Times New Roman"/>
          <w:highlight w:val="none"/>
        </w:rPr>
      </w:pPr>
      <w:r>
        <w:rPr>
          <w:rFonts w:hint="eastAsia" w:ascii="Times New Roman" w:hAnsi="Times New Roman"/>
          <w:highlight w:val="none"/>
        </w:rPr>
        <w:t>六、其他（如有）</w:t>
      </w:r>
    </w:p>
    <w:p w14:paraId="7D4AF46C">
      <w:pPr>
        <w:widowControl/>
        <w:autoSpaceDE/>
        <w:autoSpaceDN/>
        <w:spacing w:line="240" w:lineRule="auto"/>
        <w:ind w:firstLine="0" w:firstLineChars="0"/>
        <w:jc w:val="left"/>
        <w:rPr>
          <w:rStyle w:val="28"/>
          <w:rFonts w:ascii="Times New Roman" w:hAnsi="Times New Roman"/>
          <w:highlight w:val="none"/>
        </w:rPr>
      </w:pPr>
      <w:r>
        <w:rPr>
          <w:rStyle w:val="28"/>
          <w:rFonts w:ascii="Times New Roman" w:hAnsi="Times New Roman"/>
          <w:highlight w:val="none"/>
        </w:rPr>
        <w:br w:type="page"/>
      </w:r>
    </w:p>
    <w:p w14:paraId="3F8FDDED">
      <w:pPr>
        <w:spacing w:before="156" w:line="360" w:lineRule="auto"/>
        <w:ind w:left="240" w:right="240" w:firstLine="0" w:firstLineChars="0"/>
        <w:jc w:val="center"/>
        <w:outlineLvl w:val="1"/>
        <w:rPr>
          <w:rStyle w:val="28"/>
          <w:rFonts w:ascii="Times New Roman" w:hAnsi="Times New Roman"/>
          <w:highlight w:val="none"/>
        </w:rPr>
      </w:pPr>
      <w:r>
        <w:rPr>
          <w:rStyle w:val="28"/>
          <w:rFonts w:hint="eastAsia" w:ascii="Times New Roman" w:hAnsi="Times New Roman"/>
          <w:highlight w:val="none"/>
        </w:rPr>
        <w:t>一、参选函</w:t>
      </w:r>
    </w:p>
    <w:p w14:paraId="0D41AF55">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2BF00860">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w:t>
      </w:r>
      <w:r>
        <w:rPr>
          <w:rFonts w:hint="eastAsia" w:ascii="Times New Roman" w:hAnsi="Times New Roman"/>
          <w:snapToGrid w:val="0"/>
          <w:kern w:val="0"/>
          <w:szCs w:val="24"/>
          <w:highlight w:val="none"/>
          <w:u w:val="single"/>
        </w:rPr>
        <w:t>重庆三峡银行2025-2028年度数据中心运维耗材采购项目</w:t>
      </w:r>
      <w:r>
        <w:rPr>
          <w:rFonts w:hint="eastAsia" w:ascii="Times New Roman" w:hAnsi="Times New Roman"/>
          <w:snapToGrid w:val="0"/>
          <w:kern w:val="0"/>
          <w:szCs w:val="24"/>
          <w:highlight w:val="none"/>
        </w:rPr>
        <w:t>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327E2311">
      <w:pPr>
        <w:tabs>
          <w:tab w:val="left" w:pos="6300"/>
        </w:tabs>
        <w:snapToGrid w:val="0"/>
        <w:spacing w:before="156"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w:t>
      </w:r>
      <w:r>
        <w:rPr>
          <w:rFonts w:ascii="Times New Roman" w:hAnsi="Times New Roman"/>
          <w:highlight w:val="none"/>
        </w:rPr>
        <w:t>分项报价明细表</w:t>
      </w:r>
      <w:r>
        <w:rPr>
          <w:rFonts w:hint="eastAsia" w:ascii="Times New Roman" w:hAnsi="Times New Roman"/>
          <w:highlight w:val="none"/>
        </w:rPr>
        <w:t>所列出</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价格（含税）承接本项目。交货期：</w:t>
      </w:r>
      <w:r>
        <w:rPr>
          <w:rFonts w:hint="eastAsia" w:ascii="宋体"/>
          <w:highlight w:val="none"/>
          <w:u w:val="single"/>
        </w:rPr>
        <w:t>比选人发出采购订单</w:t>
      </w:r>
      <w:r>
        <w:rPr>
          <w:rFonts w:hint="eastAsia" w:ascii="宋体" w:cs="宋体"/>
          <w:snapToGrid w:val="0"/>
          <w:kern w:val="0"/>
          <w:highlight w:val="none"/>
          <w:u w:val="single"/>
        </w:rPr>
        <w:t>后20个自然日内</w:t>
      </w:r>
      <w:r>
        <w:rPr>
          <w:rFonts w:hint="eastAsia" w:ascii="Times New Roman" w:hAnsi="Times New Roman"/>
          <w:snapToGrid w:val="0"/>
          <w:kern w:val="0"/>
          <w:szCs w:val="24"/>
          <w:highlight w:val="none"/>
        </w:rPr>
        <w:t>；交货地点：</w:t>
      </w:r>
      <w:r>
        <w:rPr>
          <w:rFonts w:hint="eastAsia" w:ascii="宋体"/>
          <w:highlight w:val="none"/>
          <w:u w:val="single"/>
        </w:rPr>
        <w:t>比选人</w:t>
      </w:r>
      <w:r>
        <w:rPr>
          <w:rFonts w:hint="eastAsia" w:ascii="Times New Roman" w:hAnsi="Times New Roman"/>
          <w:snapToGrid w:val="0"/>
          <w:kern w:val="0"/>
          <w:szCs w:val="24"/>
          <w:highlight w:val="none"/>
          <w:u w:val="single"/>
        </w:rPr>
        <w:t>指定地点</w:t>
      </w:r>
      <w:r>
        <w:rPr>
          <w:rFonts w:hint="eastAsia" w:ascii="Times New Roman" w:hAnsi="Times New Roman"/>
          <w:snapToGrid w:val="0"/>
          <w:kern w:val="0"/>
          <w:szCs w:val="24"/>
          <w:highlight w:val="none"/>
        </w:rPr>
        <w:t>。免费质保期</w:t>
      </w:r>
      <w:r>
        <w:rPr>
          <w:rFonts w:ascii="Times New Roman" w:hAnsi="Times New Roman"/>
          <w:snapToGrid w:val="0"/>
          <w:kern w:val="0"/>
          <w:szCs w:val="24"/>
          <w:highlight w:val="none"/>
        </w:rPr>
        <w:t>：</w:t>
      </w:r>
      <w:r>
        <w:rPr>
          <w:rFonts w:hint="eastAsia"/>
          <w:snapToGrid w:val="0"/>
          <w:kern w:val="0"/>
          <w:highlight w:val="none"/>
        </w:rPr>
        <w:t>各类网络布线产品（包括跳线、双绞线、光纤、配线架、理线器、光纤适配器）的免费质保期为25年，自比选人签收之日起算；其余产品免费质保期为3年，自产品验收之日起算</w:t>
      </w:r>
      <w:r>
        <w:rPr>
          <w:rFonts w:hint="eastAsia" w:ascii="宋体"/>
          <w:highlight w:val="none"/>
        </w:rPr>
        <w:t>，</w:t>
      </w:r>
      <w:r>
        <w:rPr>
          <w:rFonts w:hint="eastAsia"/>
          <w:snapToGrid w:val="0"/>
          <w:kern w:val="0"/>
          <w:highlight w:val="none"/>
        </w:rPr>
        <w:t>并且延期至质保到期当年6月30日或12月31日中较近日期。</w:t>
      </w:r>
    </w:p>
    <w:p w14:paraId="2C141500">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文件正本一份，副本一份，电子文件一份。</w:t>
      </w:r>
    </w:p>
    <w:p w14:paraId="197661F7">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6D9906B6">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22A366FC">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71B2968E">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6B46AA96">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w:t>
      </w:r>
      <w:r>
        <w:rPr>
          <w:rFonts w:hint="eastAsia" w:ascii="Times New Roman" w:hAnsi="Times New Roman"/>
          <w:snapToGrid w:val="0"/>
          <w:kern w:val="0"/>
          <w:szCs w:val="24"/>
          <w:highlight w:val="none"/>
          <w:u w:val="single"/>
        </w:rPr>
        <w:t>13</w:t>
      </w:r>
      <w:r>
        <w:rPr>
          <w:rFonts w:hint="eastAsia" w:ascii="Times New Roman" w:hAnsi="Times New Roman"/>
          <w:snapToGrid w:val="0"/>
          <w:kern w:val="0"/>
          <w:szCs w:val="24"/>
          <w:highlight w:val="none"/>
        </w:rPr>
        <w:t>%的增值税专用发票。</w:t>
      </w:r>
    </w:p>
    <w:p w14:paraId="110B3701">
      <w:pPr>
        <w:tabs>
          <w:tab w:val="left" w:pos="6300"/>
        </w:tabs>
        <w:snapToGrid w:val="0"/>
        <w:spacing w:before="156" w:line="360" w:lineRule="auto"/>
        <w:ind w:right="-34" w:rightChars="-14" w:firstLine="480"/>
        <w:rPr>
          <w:rFonts w:ascii="Times New Roman" w:hAnsi="Times New Roman" w:cs="Cambria"/>
          <w:snapToGrid w:val="0"/>
          <w:kern w:val="0"/>
          <w:szCs w:val="24"/>
          <w:highlight w:val="none"/>
        </w:rPr>
      </w:pPr>
    </w:p>
    <w:p w14:paraId="7649D43D">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09600ED1">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452515B5">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3ABE99EB">
      <w:pPr>
        <w:tabs>
          <w:tab w:val="left" w:pos="6300"/>
        </w:tabs>
        <w:snapToGrid w:val="0"/>
        <w:spacing w:before="156"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3D23AC0E">
      <w:pPr>
        <w:tabs>
          <w:tab w:val="left" w:pos="6300"/>
        </w:tabs>
        <w:snapToGrid w:val="0"/>
        <w:spacing w:before="156" w:line="360" w:lineRule="auto"/>
        <w:ind w:left="240" w:right="-34" w:rightChars="-14" w:firstLine="5400" w:firstLineChars="2250"/>
        <w:rPr>
          <w:rFonts w:hint="eastAsia"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011F4FA1">
      <w:pPr>
        <w:tabs>
          <w:tab w:val="left" w:pos="6300"/>
        </w:tabs>
        <w:snapToGrid w:val="0"/>
        <w:spacing w:before="156" w:line="360" w:lineRule="auto"/>
        <w:ind w:left="240" w:right="-34" w:rightChars="-14" w:firstLine="5400" w:firstLineChars="2250"/>
        <w:rPr>
          <w:rFonts w:hint="eastAsia" w:ascii="Times New Roman" w:hAnsi="Times New Roman"/>
          <w:snapToGrid w:val="0"/>
          <w:kern w:val="0"/>
          <w:szCs w:val="24"/>
          <w:highlight w:val="none"/>
        </w:rPr>
        <w:sectPr>
          <w:pgSz w:w="11906" w:h="16838"/>
          <w:pgMar w:top="1440" w:right="1800" w:bottom="1440" w:left="1800" w:header="851" w:footer="992" w:gutter="0"/>
          <w:cols w:space="720" w:num="1"/>
          <w:docGrid w:type="lines" w:linePitch="312" w:charSpace="0"/>
        </w:sectPr>
      </w:pPr>
    </w:p>
    <w:p w14:paraId="461082D8">
      <w:pPr>
        <w:tabs>
          <w:tab w:val="left" w:pos="6300"/>
        </w:tabs>
        <w:snapToGrid w:val="0"/>
        <w:spacing w:before="156" w:line="360" w:lineRule="auto"/>
        <w:ind w:left="240" w:right="-34" w:rightChars="-14" w:firstLine="5400" w:firstLineChars="2250"/>
        <w:rPr>
          <w:rFonts w:hint="eastAsia" w:ascii="Times New Roman" w:hAnsi="Times New Roman"/>
          <w:snapToGrid w:val="0"/>
          <w:kern w:val="0"/>
          <w:szCs w:val="24"/>
          <w:highlight w:val="none"/>
        </w:rPr>
      </w:pPr>
    </w:p>
    <w:p w14:paraId="1C8C6D34">
      <w:pPr>
        <w:pStyle w:val="29"/>
        <w:spacing w:before="156"/>
        <w:ind w:left="240" w:right="240"/>
        <w:rPr>
          <w:rStyle w:val="23"/>
          <w:rFonts w:hint="default" w:ascii="Times New Roman" w:hAnsi="Times New Roman" w:cs="Cambria Math"/>
          <w:bCs w:val="0"/>
          <w:szCs w:val="20"/>
          <w:highlight w:val="none"/>
        </w:rPr>
      </w:pPr>
      <w:r>
        <w:rPr>
          <w:rFonts w:ascii="Times New Roman" w:hAnsi="Times New Roman"/>
          <w:highlight w:val="none"/>
        </w:rPr>
        <w:t>二、分项报价明细表</w:t>
      </w:r>
    </w:p>
    <w:tbl>
      <w:tblPr>
        <w:tblStyle w:val="17"/>
        <w:tblW w:w="10633"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594"/>
        <w:gridCol w:w="2835"/>
        <w:gridCol w:w="709"/>
        <w:gridCol w:w="992"/>
        <w:gridCol w:w="993"/>
        <w:gridCol w:w="993"/>
      </w:tblGrid>
      <w:tr w14:paraId="517D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517" w:type="dxa"/>
            <w:shd w:val="clear" w:color="auto" w:fill="auto"/>
            <w:noWrap/>
            <w:vAlign w:val="center"/>
          </w:tcPr>
          <w:p w14:paraId="52462EBE">
            <w:pPr>
              <w:widowControl/>
              <w:autoSpaceDE/>
              <w:autoSpaceDN/>
              <w:spacing w:before="156"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序号</w:t>
            </w:r>
          </w:p>
        </w:tc>
        <w:tc>
          <w:tcPr>
            <w:tcW w:w="3594" w:type="dxa"/>
            <w:shd w:val="clear" w:color="auto" w:fill="auto"/>
            <w:noWrap/>
            <w:vAlign w:val="center"/>
          </w:tcPr>
          <w:p w14:paraId="697C1A78">
            <w:pPr>
              <w:widowControl/>
              <w:autoSpaceDE/>
              <w:autoSpaceDN/>
              <w:spacing w:before="156"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产品名称</w:t>
            </w:r>
          </w:p>
        </w:tc>
        <w:tc>
          <w:tcPr>
            <w:tcW w:w="2835" w:type="dxa"/>
            <w:shd w:val="clear" w:color="auto" w:fill="auto"/>
            <w:noWrap/>
            <w:vAlign w:val="center"/>
          </w:tcPr>
          <w:p w14:paraId="59105990">
            <w:pPr>
              <w:widowControl/>
              <w:autoSpaceDE/>
              <w:autoSpaceDN/>
              <w:spacing w:before="156"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规格</w:t>
            </w:r>
          </w:p>
        </w:tc>
        <w:tc>
          <w:tcPr>
            <w:tcW w:w="709" w:type="dxa"/>
            <w:shd w:val="clear" w:color="auto" w:fill="auto"/>
            <w:noWrap/>
            <w:vAlign w:val="center"/>
          </w:tcPr>
          <w:p w14:paraId="6348DFB3">
            <w:pPr>
              <w:widowControl/>
              <w:autoSpaceDE/>
              <w:autoSpaceDN/>
              <w:spacing w:before="156"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单位</w:t>
            </w:r>
          </w:p>
        </w:tc>
        <w:tc>
          <w:tcPr>
            <w:tcW w:w="992" w:type="dxa"/>
            <w:vAlign w:val="center"/>
          </w:tcPr>
          <w:p w14:paraId="7DBAAF90">
            <w:pPr>
              <w:widowControl/>
              <w:autoSpaceDE/>
              <w:autoSpaceDN/>
              <w:spacing w:before="156"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品牌</w:t>
            </w:r>
          </w:p>
        </w:tc>
        <w:tc>
          <w:tcPr>
            <w:tcW w:w="993" w:type="dxa"/>
          </w:tcPr>
          <w:p w14:paraId="7DEE29D6">
            <w:pPr>
              <w:widowControl/>
              <w:autoSpaceDE/>
              <w:autoSpaceDN/>
              <w:spacing w:before="156" w:line="240" w:lineRule="auto"/>
              <w:ind w:firstLine="0" w:firstLineChars="0"/>
              <w:jc w:val="center"/>
              <w:rPr>
                <w:rFonts w:ascii="宋体" w:hAnsi="宋体" w:cs="宋体"/>
                <w:b/>
                <w:bCs/>
                <w:kern w:val="0"/>
                <w:sz w:val="21"/>
                <w:szCs w:val="21"/>
                <w:highlight w:val="none"/>
              </w:rPr>
            </w:pPr>
            <w:r>
              <w:rPr>
                <w:rFonts w:hint="eastAsia" w:ascii="宋体" w:hAnsi="宋体" w:cs="宋体"/>
                <w:b/>
                <w:bCs/>
                <w:kern w:val="0"/>
                <w:sz w:val="21"/>
                <w:szCs w:val="21"/>
                <w:highlight w:val="none"/>
              </w:rPr>
              <w:t>单价（元）</w:t>
            </w:r>
          </w:p>
        </w:tc>
        <w:tc>
          <w:tcPr>
            <w:tcW w:w="993" w:type="dxa"/>
          </w:tcPr>
          <w:p w14:paraId="5CEF1D7C">
            <w:pPr>
              <w:widowControl/>
              <w:autoSpaceDE/>
              <w:autoSpaceDN/>
              <w:spacing w:before="156" w:line="240" w:lineRule="auto"/>
              <w:ind w:firstLine="0" w:firstLineChars="0"/>
              <w:jc w:val="center"/>
              <w:rPr>
                <w:rFonts w:hint="eastAsia" w:ascii="宋体" w:hAnsi="宋体" w:eastAsia="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权重</w:t>
            </w:r>
          </w:p>
        </w:tc>
      </w:tr>
      <w:tr w14:paraId="1FFD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730699F0">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3594" w:type="dxa"/>
            <w:shd w:val="clear" w:color="auto" w:fill="auto"/>
            <w:vAlign w:val="center"/>
          </w:tcPr>
          <w:p w14:paraId="5F4C8B1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LC尾纤（含熔接）</w:t>
            </w:r>
          </w:p>
        </w:tc>
        <w:tc>
          <w:tcPr>
            <w:tcW w:w="2835" w:type="dxa"/>
            <w:shd w:val="clear" w:color="auto" w:fill="auto"/>
            <w:noWrap/>
            <w:vAlign w:val="center"/>
          </w:tcPr>
          <w:p w14:paraId="1681CC5A">
            <w:pPr>
              <w:widowControl/>
              <w:autoSpaceDE/>
              <w:autoSpaceDN/>
              <w:spacing w:before="156" w:line="240" w:lineRule="auto"/>
              <w:ind w:firstLine="0" w:firstLineChars="0"/>
              <w:jc w:val="left"/>
              <w:rPr>
                <w:rFonts w:ascii="宋体" w:hAnsi="宋体" w:cs="宋体"/>
                <w:kern w:val="0"/>
                <w:sz w:val="21"/>
                <w:szCs w:val="21"/>
                <w:highlight w:val="none"/>
              </w:rPr>
            </w:pPr>
            <w:r>
              <w:rPr>
                <w:rFonts w:hint="eastAsia" w:ascii="宋体" w:hAnsi="宋体" w:cs="宋体"/>
                <w:kern w:val="0"/>
                <w:sz w:val="21"/>
                <w:szCs w:val="21"/>
                <w:highlight w:val="none"/>
              </w:rPr>
              <w:t>长度1米</w:t>
            </w:r>
          </w:p>
        </w:tc>
        <w:tc>
          <w:tcPr>
            <w:tcW w:w="709" w:type="dxa"/>
            <w:shd w:val="clear" w:color="auto" w:fill="auto"/>
            <w:noWrap/>
            <w:vAlign w:val="center"/>
          </w:tcPr>
          <w:p w14:paraId="0C8952FE">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0B4199E4">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6EB97B78">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0D13A7D2">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0.4%</w:t>
            </w:r>
          </w:p>
        </w:tc>
      </w:tr>
      <w:tr w14:paraId="4B00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30BDC146">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3594" w:type="dxa"/>
            <w:shd w:val="clear" w:color="auto" w:fill="auto"/>
            <w:vAlign w:val="center"/>
          </w:tcPr>
          <w:p w14:paraId="7AAC721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通风地板(含底座)</w:t>
            </w:r>
          </w:p>
        </w:tc>
        <w:tc>
          <w:tcPr>
            <w:tcW w:w="2835" w:type="dxa"/>
            <w:shd w:val="clear" w:color="auto" w:fill="auto"/>
            <w:noWrap/>
            <w:vAlign w:val="center"/>
          </w:tcPr>
          <w:p w14:paraId="44A1F07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尺寸：600mm x 600mm</w:t>
            </w:r>
          </w:p>
        </w:tc>
        <w:tc>
          <w:tcPr>
            <w:tcW w:w="709" w:type="dxa"/>
            <w:shd w:val="clear" w:color="auto" w:fill="auto"/>
            <w:noWrap/>
            <w:vAlign w:val="center"/>
          </w:tcPr>
          <w:p w14:paraId="1393C94C">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块</w:t>
            </w:r>
          </w:p>
        </w:tc>
        <w:tc>
          <w:tcPr>
            <w:tcW w:w="992" w:type="dxa"/>
          </w:tcPr>
          <w:p w14:paraId="279E32F1">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7B150237">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4C045ABD">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11CD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3E428606">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3594" w:type="dxa"/>
            <w:shd w:val="clear" w:color="auto" w:fill="auto"/>
            <w:vAlign w:val="center"/>
          </w:tcPr>
          <w:p w14:paraId="191C6E0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静电地板(含底座)</w:t>
            </w:r>
          </w:p>
        </w:tc>
        <w:tc>
          <w:tcPr>
            <w:tcW w:w="2835" w:type="dxa"/>
            <w:shd w:val="clear" w:color="auto" w:fill="auto"/>
            <w:noWrap/>
            <w:vAlign w:val="center"/>
          </w:tcPr>
          <w:p w14:paraId="72B5877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尺寸：600mm x 600mm</w:t>
            </w:r>
          </w:p>
        </w:tc>
        <w:tc>
          <w:tcPr>
            <w:tcW w:w="709" w:type="dxa"/>
            <w:shd w:val="clear" w:color="auto" w:fill="auto"/>
            <w:noWrap/>
            <w:vAlign w:val="center"/>
          </w:tcPr>
          <w:p w14:paraId="391B9FCD">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块</w:t>
            </w:r>
          </w:p>
        </w:tc>
        <w:tc>
          <w:tcPr>
            <w:tcW w:w="992" w:type="dxa"/>
          </w:tcPr>
          <w:p w14:paraId="73CE49C5">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4BF103A6">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29558D04">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46D6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60E326EF">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4</w:t>
            </w:r>
          </w:p>
        </w:tc>
        <w:tc>
          <w:tcPr>
            <w:tcW w:w="3594" w:type="dxa"/>
            <w:shd w:val="clear" w:color="auto" w:fill="auto"/>
            <w:vAlign w:val="center"/>
          </w:tcPr>
          <w:p w14:paraId="0559965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w:t>
            </w:r>
          </w:p>
        </w:tc>
        <w:tc>
          <w:tcPr>
            <w:tcW w:w="2835" w:type="dxa"/>
            <w:shd w:val="clear" w:color="auto" w:fill="auto"/>
            <w:noWrap/>
            <w:vAlign w:val="center"/>
          </w:tcPr>
          <w:p w14:paraId="58E9303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300米/箱</w:t>
            </w:r>
          </w:p>
        </w:tc>
        <w:tc>
          <w:tcPr>
            <w:tcW w:w="709" w:type="dxa"/>
            <w:shd w:val="clear" w:color="auto" w:fill="auto"/>
            <w:noWrap/>
            <w:vAlign w:val="center"/>
          </w:tcPr>
          <w:p w14:paraId="04EB990F">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箱</w:t>
            </w:r>
          </w:p>
        </w:tc>
        <w:tc>
          <w:tcPr>
            <w:tcW w:w="992" w:type="dxa"/>
          </w:tcPr>
          <w:p w14:paraId="5D5B7737">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18F95D9D">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4631BC4F">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0AFE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70052E02">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5</w:t>
            </w:r>
          </w:p>
        </w:tc>
        <w:tc>
          <w:tcPr>
            <w:tcW w:w="3594" w:type="dxa"/>
            <w:shd w:val="clear" w:color="auto" w:fill="auto"/>
            <w:vAlign w:val="center"/>
          </w:tcPr>
          <w:p w14:paraId="11C306E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835" w:type="dxa"/>
            <w:shd w:val="clear" w:color="auto" w:fill="auto"/>
            <w:noWrap/>
            <w:vAlign w:val="center"/>
          </w:tcPr>
          <w:p w14:paraId="01EC8F4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709" w:type="dxa"/>
            <w:shd w:val="clear" w:color="auto" w:fill="auto"/>
            <w:noWrap/>
            <w:vAlign w:val="center"/>
          </w:tcPr>
          <w:p w14:paraId="6B417BF2">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4A3CD4FF">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1AC42291">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4909DE3F">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21CF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41A2761C">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6</w:t>
            </w:r>
          </w:p>
        </w:tc>
        <w:tc>
          <w:tcPr>
            <w:tcW w:w="3594" w:type="dxa"/>
            <w:shd w:val="clear" w:color="auto" w:fill="auto"/>
            <w:vAlign w:val="center"/>
          </w:tcPr>
          <w:p w14:paraId="1099D82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835" w:type="dxa"/>
            <w:shd w:val="clear" w:color="auto" w:fill="auto"/>
            <w:noWrap/>
            <w:vAlign w:val="center"/>
          </w:tcPr>
          <w:p w14:paraId="7907258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709" w:type="dxa"/>
            <w:shd w:val="clear" w:color="auto" w:fill="auto"/>
            <w:noWrap/>
            <w:vAlign w:val="center"/>
          </w:tcPr>
          <w:p w14:paraId="22380E41">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5B879579">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7B7E3632">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0C8311FF">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6.6%</w:t>
            </w:r>
          </w:p>
        </w:tc>
      </w:tr>
      <w:tr w14:paraId="7A98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668DFE0E">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7</w:t>
            </w:r>
          </w:p>
        </w:tc>
        <w:tc>
          <w:tcPr>
            <w:tcW w:w="3594" w:type="dxa"/>
            <w:shd w:val="clear" w:color="auto" w:fill="auto"/>
            <w:vAlign w:val="center"/>
          </w:tcPr>
          <w:p w14:paraId="7058403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835" w:type="dxa"/>
            <w:shd w:val="clear" w:color="auto" w:fill="auto"/>
            <w:noWrap/>
            <w:vAlign w:val="center"/>
          </w:tcPr>
          <w:p w14:paraId="04A3813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709" w:type="dxa"/>
            <w:shd w:val="clear" w:color="auto" w:fill="auto"/>
            <w:noWrap/>
            <w:vAlign w:val="center"/>
          </w:tcPr>
          <w:p w14:paraId="0FA1576E">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3BA3C3C5">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149A27DF">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7C22FFD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9.3%</w:t>
            </w:r>
          </w:p>
        </w:tc>
      </w:tr>
      <w:tr w14:paraId="4948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6B4FCDBD">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8</w:t>
            </w:r>
          </w:p>
        </w:tc>
        <w:tc>
          <w:tcPr>
            <w:tcW w:w="3594" w:type="dxa"/>
            <w:shd w:val="clear" w:color="auto" w:fill="auto"/>
            <w:vAlign w:val="center"/>
          </w:tcPr>
          <w:p w14:paraId="6F94C45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835" w:type="dxa"/>
            <w:shd w:val="clear" w:color="auto" w:fill="auto"/>
            <w:noWrap/>
            <w:vAlign w:val="center"/>
          </w:tcPr>
          <w:p w14:paraId="393E3BF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709" w:type="dxa"/>
            <w:shd w:val="clear" w:color="auto" w:fill="auto"/>
            <w:noWrap/>
            <w:vAlign w:val="center"/>
          </w:tcPr>
          <w:p w14:paraId="238F4946">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4AFAD467">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13B34252">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00762656">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4.3%</w:t>
            </w:r>
          </w:p>
        </w:tc>
      </w:tr>
      <w:tr w14:paraId="3868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37BB8BA8">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9</w:t>
            </w:r>
          </w:p>
        </w:tc>
        <w:tc>
          <w:tcPr>
            <w:tcW w:w="3594" w:type="dxa"/>
            <w:shd w:val="clear" w:color="auto" w:fill="auto"/>
            <w:vAlign w:val="center"/>
          </w:tcPr>
          <w:p w14:paraId="30E9904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六类非屏蔽双绞线跳线</w:t>
            </w:r>
          </w:p>
        </w:tc>
        <w:tc>
          <w:tcPr>
            <w:tcW w:w="2835" w:type="dxa"/>
            <w:shd w:val="clear" w:color="auto" w:fill="auto"/>
            <w:noWrap/>
            <w:vAlign w:val="center"/>
          </w:tcPr>
          <w:p w14:paraId="0B511BB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长度20米</w:t>
            </w:r>
          </w:p>
        </w:tc>
        <w:tc>
          <w:tcPr>
            <w:tcW w:w="709" w:type="dxa"/>
            <w:shd w:val="clear" w:color="auto" w:fill="auto"/>
            <w:noWrap/>
            <w:vAlign w:val="center"/>
          </w:tcPr>
          <w:p w14:paraId="41A0CAC4">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508F9D24">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308C430C">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3CB6BC0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0.4%</w:t>
            </w:r>
          </w:p>
        </w:tc>
      </w:tr>
      <w:tr w14:paraId="5D37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4485A07E">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10</w:t>
            </w:r>
          </w:p>
        </w:tc>
        <w:tc>
          <w:tcPr>
            <w:tcW w:w="3594" w:type="dxa"/>
            <w:shd w:val="clear" w:color="auto" w:fill="auto"/>
            <w:vAlign w:val="center"/>
          </w:tcPr>
          <w:p w14:paraId="556ADE02">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理线器</w:t>
            </w:r>
          </w:p>
        </w:tc>
        <w:tc>
          <w:tcPr>
            <w:tcW w:w="2835" w:type="dxa"/>
            <w:shd w:val="clear" w:color="auto" w:fill="auto"/>
            <w:noWrap/>
            <w:vAlign w:val="center"/>
          </w:tcPr>
          <w:p w14:paraId="7FD3E39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7ECE20A4">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44C7343B">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292B90A1">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221B0EB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44D8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5E6DC99D">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11</w:t>
            </w:r>
          </w:p>
        </w:tc>
        <w:tc>
          <w:tcPr>
            <w:tcW w:w="3594" w:type="dxa"/>
            <w:shd w:val="clear" w:color="auto" w:fill="auto"/>
            <w:vAlign w:val="center"/>
          </w:tcPr>
          <w:p w14:paraId="34DC696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双层网格桥架</w:t>
            </w:r>
          </w:p>
        </w:tc>
        <w:tc>
          <w:tcPr>
            <w:tcW w:w="2835" w:type="dxa"/>
            <w:shd w:val="clear" w:color="auto" w:fill="auto"/>
            <w:noWrap/>
            <w:vAlign w:val="center"/>
          </w:tcPr>
          <w:p w14:paraId="06C42DF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2F245A9D">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992" w:type="dxa"/>
          </w:tcPr>
          <w:p w14:paraId="20B4F282">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58C824EA">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6D62144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3DEC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6E4E4261">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12</w:t>
            </w:r>
          </w:p>
        </w:tc>
        <w:tc>
          <w:tcPr>
            <w:tcW w:w="3594" w:type="dxa"/>
            <w:shd w:val="clear" w:color="auto" w:fill="auto"/>
            <w:vAlign w:val="center"/>
          </w:tcPr>
          <w:p w14:paraId="4B55682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机柜挡板</w:t>
            </w:r>
          </w:p>
        </w:tc>
        <w:tc>
          <w:tcPr>
            <w:tcW w:w="2835" w:type="dxa"/>
            <w:shd w:val="clear" w:color="auto" w:fill="auto"/>
            <w:noWrap/>
            <w:vAlign w:val="center"/>
          </w:tcPr>
          <w:p w14:paraId="268A06E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18367D45">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块</w:t>
            </w:r>
          </w:p>
        </w:tc>
        <w:tc>
          <w:tcPr>
            <w:tcW w:w="992" w:type="dxa"/>
          </w:tcPr>
          <w:p w14:paraId="7D7074E3">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5E412AD7">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66DF907D">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0.4%</w:t>
            </w:r>
          </w:p>
        </w:tc>
      </w:tr>
      <w:tr w14:paraId="239C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1E92B8F8">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13</w:t>
            </w:r>
          </w:p>
        </w:tc>
        <w:tc>
          <w:tcPr>
            <w:tcW w:w="3594" w:type="dxa"/>
            <w:shd w:val="clear" w:color="auto" w:fill="auto"/>
            <w:vAlign w:val="center"/>
          </w:tcPr>
          <w:p w14:paraId="7DCEB4D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电缆</w:t>
            </w:r>
          </w:p>
        </w:tc>
        <w:tc>
          <w:tcPr>
            <w:tcW w:w="2835" w:type="dxa"/>
            <w:shd w:val="clear" w:color="auto" w:fill="auto"/>
            <w:noWrap/>
            <w:vAlign w:val="center"/>
          </w:tcPr>
          <w:p w14:paraId="7DFBB50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ZR-YJV3*6mm²</w:t>
            </w:r>
          </w:p>
        </w:tc>
        <w:tc>
          <w:tcPr>
            <w:tcW w:w="709" w:type="dxa"/>
            <w:shd w:val="clear" w:color="auto" w:fill="auto"/>
            <w:noWrap/>
            <w:vAlign w:val="center"/>
          </w:tcPr>
          <w:p w14:paraId="3C5BC39A">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992" w:type="dxa"/>
          </w:tcPr>
          <w:p w14:paraId="276BB580">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6A1EBF12">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64FBD126">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5.8%</w:t>
            </w:r>
          </w:p>
        </w:tc>
      </w:tr>
      <w:tr w14:paraId="0F6A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49E03229">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14</w:t>
            </w:r>
          </w:p>
        </w:tc>
        <w:tc>
          <w:tcPr>
            <w:tcW w:w="3594" w:type="dxa"/>
            <w:shd w:val="clear" w:color="auto" w:fill="auto"/>
            <w:vAlign w:val="center"/>
          </w:tcPr>
          <w:p w14:paraId="38F13685">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电缆</w:t>
            </w:r>
          </w:p>
        </w:tc>
        <w:tc>
          <w:tcPr>
            <w:tcW w:w="2835" w:type="dxa"/>
            <w:shd w:val="clear" w:color="auto" w:fill="auto"/>
            <w:noWrap/>
            <w:vAlign w:val="center"/>
          </w:tcPr>
          <w:p w14:paraId="18C56E2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ZR-YJV3*10mm²</w:t>
            </w:r>
          </w:p>
        </w:tc>
        <w:tc>
          <w:tcPr>
            <w:tcW w:w="709" w:type="dxa"/>
            <w:shd w:val="clear" w:color="auto" w:fill="auto"/>
            <w:noWrap/>
            <w:vAlign w:val="center"/>
          </w:tcPr>
          <w:p w14:paraId="6920705D">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992" w:type="dxa"/>
          </w:tcPr>
          <w:p w14:paraId="1C838C95">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7DB50013">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68342619">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5.8%</w:t>
            </w:r>
          </w:p>
        </w:tc>
      </w:tr>
      <w:tr w14:paraId="385C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1D0EDF2D">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15</w:t>
            </w:r>
          </w:p>
        </w:tc>
        <w:tc>
          <w:tcPr>
            <w:tcW w:w="3594" w:type="dxa"/>
            <w:shd w:val="clear" w:color="auto" w:fill="auto"/>
            <w:vAlign w:val="center"/>
          </w:tcPr>
          <w:p w14:paraId="5E94926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PDU</w:t>
            </w:r>
          </w:p>
        </w:tc>
        <w:tc>
          <w:tcPr>
            <w:tcW w:w="2835" w:type="dxa"/>
            <w:shd w:val="clear" w:color="auto" w:fill="auto"/>
            <w:noWrap/>
            <w:vAlign w:val="center"/>
          </w:tcPr>
          <w:p w14:paraId="04C2013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12位10A插座+4位16A插座</w:t>
            </w:r>
          </w:p>
        </w:tc>
        <w:tc>
          <w:tcPr>
            <w:tcW w:w="709" w:type="dxa"/>
            <w:shd w:val="clear" w:color="auto" w:fill="auto"/>
            <w:noWrap/>
            <w:vAlign w:val="center"/>
          </w:tcPr>
          <w:p w14:paraId="21B6705B">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6F011BD0">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1894E2B7">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68219E04">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3860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45E71D9A">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16</w:t>
            </w:r>
          </w:p>
        </w:tc>
        <w:tc>
          <w:tcPr>
            <w:tcW w:w="3594" w:type="dxa"/>
            <w:shd w:val="clear" w:color="auto" w:fill="auto"/>
            <w:vAlign w:val="center"/>
          </w:tcPr>
          <w:p w14:paraId="4E67841F">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MPO-LC 扇形多模光纤跳线</w:t>
            </w:r>
          </w:p>
        </w:tc>
        <w:tc>
          <w:tcPr>
            <w:tcW w:w="2835" w:type="dxa"/>
            <w:shd w:val="clear" w:color="auto" w:fill="auto"/>
            <w:noWrap/>
            <w:vAlign w:val="center"/>
          </w:tcPr>
          <w:p w14:paraId="744477A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709" w:type="dxa"/>
            <w:shd w:val="clear" w:color="auto" w:fill="auto"/>
            <w:noWrap/>
            <w:vAlign w:val="center"/>
          </w:tcPr>
          <w:p w14:paraId="01AFD63B">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51BA59B1">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750FC759">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53197C2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2E02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620A55DE">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17</w:t>
            </w:r>
          </w:p>
        </w:tc>
        <w:tc>
          <w:tcPr>
            <w:tcW w:w="3594" w:type="dxa"/>
            <w:shd w:val="clear" w:color="auto" w:fill="auto"/>
            <w:vAlign w:val="center"/>
          </w:tcPr>
          <w:p w14:paraId="418D031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MPO-LC 扇形多模光纤跳线</w:t>
            </w:r>
          </w:p>
        </w:tc>
        <w:tc>
          <w:tcPr>
            <w:tcW w:w="2835" w:type="dxa"/>
            <w:shd w:val="clear" w:color="auto" w:fill="auto"/>
            <w:noWrap/>
            <w:vAlign w:val="center"/>
          </w:tcPr>
          <w:p w14:paraId="59BC29E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709" w:type="dxa"/>
            <w:shd w:val="clear" w:color="auto" w:fill="auto"/>
            <w:noWrap/>
            <w:vAlign w:val="center"/>
          </w:tcPr>
          <w:p w14:paraId="229F49C6">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53DDEAC6">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03849077">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676798F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064F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0E0292DF">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18</w:t>
            </w:r>
          </w:p>
        </w:tc>
        <w:tc>
          <w:tcPr>
            <w:tcW w:w="3594" w:type="dxa"/>
            <w:shd w:val="clear" w:color="auto" w:fill="auto"/>
            <w:vAlign w:val="center"/>
          </w:tcPr>
          <w:p w14:paraId="13C921F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835" w:type="dxa"/>
            <w:shd w:val="clear" w:color="auto" w:fill="auto"/>
            <w:noWrap/>
            <w:vAlign w:val="center"/>
          </w:tcPr>
          <w:p w14:paraId="2629005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长度15米，母头-母头</w:t>
            </w:r>
          </w:p>
        </w:tc>
        <w:tc>
          <w:tcPr>
            <w:tcW w:w="709" w:type="dxa"/>
            <w:shd w:val="clear" w:color="auto" w:fill="auto"/>
            <w:noWrap/>
            <w:vAlign w:val="center"/>
          </w:tcPr>
          <w:p w14:paraId="0DFEA389">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CD46C66">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7C4F76A5">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38579FD3">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0.9%</w:t>
            </w:r>
          </w:p>
        </w:tc>
      </w:tr>
      <w:tr w14:paraId="42CF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5C413F17">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19</w:t>
            </w:r>
          </w:p>
        </w:tc>
        <w:tc>
          <w:tcPr>
            <w:tcW w:w="3594" w:type="dxa"/>
            <w:shd w:val="clear" w:color="auto" w:fill="auto"/>
            <w:vAlign w:val="center"/>
          </w:tcPr>
          <w:p w14:paraId="4E1E2E3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835" w:type="dxa"/>
            <w:shd w:val="clear" w:color="auto" w:fill="auto"/>
            <w:noWrap/>
            <w:vAlign w:val="center"/>
          </w:tcPr>
          <w:p w14:paraId="76E0048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长度25米，母头-母头</w:t>
            </w:r>
          </w:p>
        </w:tc>
        <w:tc>
          <w:tcPr>
            <w:tcW w:w="709" w:type="dxa"/>
            <w:shd w:val="clear" w:color="auto" w:fill="auto"/>
            <w:noWrap/>
            <w:vAlign w:val="center"/>
          </w:tcPr>
          <w:p w14:paraId="0B1A248E">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04F924F2">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650B04B8">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6BCF621C">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0.3%</w:t>
            </w:r>
          </w:p>
        </w:tc>
      </w:tr>
      <w:tr w14:paraId="3464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700A821E">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20</w:t>
            </w:r>
          </w:p>
        </w:tc>
        <w:tc>
          <w:tcPr>
            <w:tcW w:w="3594" w:type="dxa"/>
            <w:shd w:val="clear" w:color="auto" w:fill="auto"/>
            <w:vAlign w:val="center"/>
          </w:tcPr>
          <w:p w14:paraId="5E2EB281">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835" w:type="dxa"/>
            <w:shd w:val="clear" w:color="auto" w:fill="auto"/>
            <w:noWrap/>
            <w:vAlign w:val="center"/>
          </w:tcPr>
          <w:p w14:paraId="4082F79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长度30米，母头-母头</w:t>
            </w:r>
          </w:p>
        </w:tc>
        <w:tc>
          <w:tcPr>
            <w:tcW w:w="709" w:type="dxa"/>
            <w:shd w:val="clear" w:color="auto" w:fill="auto"/>
            <w:noWrap/>
            <w:vAlign w:val="center"/>
          </w:tcPr>
          <w:p w14:paraId="7B608DC7">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422C0128">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2D352ABB">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158DB33D">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1.3%</w:t>
            </w:r>
          </w:p>
        </w:tc>
      </w:tr>
      <w:tr w14:paraId="0CB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1ED4DAFE">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21</w:t>
            </w:r>
          </w:p>
        </w:tc>
        <w:tc>
          <w:tcPr>
            <w:tcW w:w="3594" w:type="dxa"/>
            <w:shd w:val="clear" w:color="auto" w:fill="auto"/>
            <w:vAlign w:val="center"/>
          </w:tcPr>
          <w:p w14:paraId="66E201B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835" w:type="dxa"/>
            <w:shd w:val="clear" w:color="auto" w:fill="auto"/>
            <w:noWrap/>
            <w:vAlign w:val="center"/>
          </w:tcPr>
          <w:p w14:paraId="076983B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长度35米，母头-母头</w:t>
            </w:r>
          </w:p>
        </w:tc>
        <w:tc>
          <w:tcPr>
            <w:tcW w:w="709" w:type="dxa"/>
            <w:shd w:val="clear" w:color="auto" w:fill="auto"/>
            <w:noWrap/>
            <w:vAlign w:val="center"/>
          </w:tcPr>
          <w:p w14:paraId="75EF6F21">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D8728CA">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4534CB7D">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3882251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0.9%</w:t>
            </w:r>
          </w:p>
        </w:tc>
      </w:tr>
      <w:tr w14:paraId="054D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694B0094">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22</w:t>
            </w:r>
          </w:p>
        </w:tc>
        <w:tc>
          <w:tcPr>
            <w:tcW w:w="3594" w:type="dxa"/>
            <w:shd w:val="clear" w:color="auto" w:fill="auto"/>
            <w:vAlign w:val="center"/>
          </w:tcPr>
          <w:p w14:paraId="7D6213B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MPO 多模光纤跳线</w:t>
            </w:r>
          </w:p>
        </w:tc>
        <w:tc>
          <w:tcPr>
            <w:tcW w:w="2835" w:type="dxa"/>
            <w:shd w:val="clear" w:color="auto" w:fill="auto"/>
            <w:noWrap/>
            <w:vAlign w:val="center"/>
          </w:tcPr>
          <w:p w14:paraId="369C420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长度1米，公头-公头</w:t>
            </w:r>
          </w:p>
        </w:tc>
        <w:tc>
          <w:tcPr>
            <w:tcW w:w="709" w:type="dxa"/>
            <w:shd w:val="clear" w:color="auto" w:fill="auto"/>
            <w:noWrap/>
            <w:vAlign w:val="center"/>
          </w:tcPr>
          <w:p w14:paraId="239DF6DD">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E143A79">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69142B04">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3FBFCB6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0.1%</w:t>
            </w:r>
          </w:p>
        </w:tc>
      </w:tr>
      <w:tr w14:paraId="74D6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6B3F2F46">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23</w:t>
            </w:r>
          </w:p>
        </w:tc>
        <w:tc>
          <w:tcPr>
            <w:tcW w:w="3594" w:type="dxa"/>
            <w:shd w:val="clear" w:color="auto" w:fill="auto"/>
            <w:vAlign w:val="center"/>
          </w:tcPr>
          <w:p w14:paraId="7205798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835" w:type="dxa"/>
            <w:shd w:val="clear" w:color="auto" w:fill="auto"/>
            <w:noWrap/>
            <w:vAlign w:val="center"/>
          </w:tcPr>
          <w:p w14:paraId="5715106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长度3米</w:t>
            </w:r>
          </w:p>
        </w:tc>
        <w:tc>
          <w:tcPr>
            <w:tcW w:w="709" w:type="dxa"/>
            <w:shd w:val="clear" w:color="auto" w:fill="auto"/>
            <w:noWrap/>
            <w:vAlign w:val="center"/>
          </w:tcPr>
          <w:p w14:paraId="5E242FB0">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2D466A13">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01602D67">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70697D38">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4.3%</w:t>
            </w:r>
          </w:p>
        </w:tc>
      </w:tr>
      <w:tr w14:paraId="7E9D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4A1BB2C5">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24</w:t>
            </w:r>
          </w:p>
        </w:tc>
        <w:tc>
          <w:tcPr>
            <w:tcW w:w="3594" w:type="dxa"/>
            <w:shd w:val="clear" w:color="auto" w:fill="auto"/>
            <w:vAlign w:val="center"/>
          </w:tcPr>
          <w:p w14:paraId="23A60AE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835" w:type="dxa"/>
            <w:shd w:val="clear" w:color="auto" w:fill="auto"/>
            <w:noWrap/>
            <w:vAlign w:val="center"/>
          </w:tcPr>
          <w:p w14:paraId="33FD29D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长度5米</w:t>
            </w:r>
          </w:p>
        </w:tc>
        <w:tc>
          <w:tcPr>
            <w:tcW w:w="709" w:type="dxa"/>
            <w:shd w:val="clear" w:color="auto" w:fill="auto"/>
            <w:noWrap/>
            <w:vAlign w:val="center"/>
          </w:tcPr>
          <w:p w14:paraId="123BFD59">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2272EEB0">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2E3BA7FC">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11F2879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8.2%</w:t>
            </w:r>
          </w:p>
        </w:tc>
      </w:tr>
      <w:tr w14:paraId="7A6D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6F55767D">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25</w:t>
            </w:r>
          </w:p>
        </w:tc>
        <w:tc>
          <w:tcPr>
            <w:tcW w:w="3594" w:type="dxa"/>
            <w:shd w:val="clear" w:color="auto" w:fill="auto"/>
            <w:vAlign w:val="center"/>
          </w:tcPr>
          <w:p w14:paraId="3CAF8D6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835" w:type="dxa"/>
            <w:shd w:val="clear" w:color="auto" w:fill="auto"/>
            <w:noWrap/>
            <w:vAlign w:val="center"/>
          </w:tcPr>
          <w:p w14:paraId="35D062C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709" w:type="dxa"/>
            <w:shd w:val="clear" w:color="auto" w:fill="auto"/>
            <w:noWrap/>
            <w:vAlign w:val="center"/>
          </w:tcPr>
          <w:p w14:paraId="166AA5F8">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146DD29E">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5435C1BA">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3C992562">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9.8%</w:t>
            </w:r>
          </w:p>
        </w:tc>
      </w:tr>
      <w:tr w14:paraId="2DCF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52233F66">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26</w:t>
            </w:r>
          </w:p>
        </w:tc>
        <w:tc>
          <w:tcPr>
            <w:tcW w:w="3594" w:type="dxa"/>
            <w:shd w:val="clear" w:color="auto" w:fill="auto"/>
            <w:vAlign w:val="center"/>
          </w:tcPr>
          <w:p w14:paraId="2D441FD2">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OM4 LC-LC 多模双工光纤跳线</w:t>
            </w:r>
          </w:p>
        </w:tc>
        <w:tc>
          <w:tcPr>
            <w:tcW w:w="2835" w:type="dxa"/>
            <w:shd w:val="clear" w:color="auto" w:fill="auto"/>
            <w:noWrap/>
            <w:vAlign w:val="center"/>
          </w:tcPr>
          <w:p w14:paraId="2985871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709" w:type="dxa"/>
            <w:shd w:val="clear" w:color="auto" w:fill="auto"/>
            <w:noWrap/>
            <w:vAlign w:val="center"/>
          </w:tcPr>
          <w:p w14:paraId="029D5CD9">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69FFA73A">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0FBF5755">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0AB601A8">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3.7%</w:t>
            </w:r>
          </w:p>
        </w:tc>
      </w:tr>
      <w:tr w14:paraId="6DD7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45B8D959">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27</w:t>
            </w:r>
          </w:p>
        </w:tc>
        <w:tc>
          <w:tcPr>
            <w:tcW w:w="3594" w:type="dxa"/>
            <w:shd w:val="clear" w:color="auto" w:fill="auto"/>
            <w:vAlign w:val="center"/>
          </w:tcPr>
          <w:p w14:paraId="5F77080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835" w:type="dxa"/>
            <w:shd w:val="clear" w:color="auto" w:fill="auto"/>
            <w:noWrap/>
            <w:vAlign w:val="center"/>
          </w:tcPr>
          <w:p w14:paraId="747B75B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长度10米</w:t>
            </w:r>
          </w:p>
        </w:tc>
        <w:tc>
          <w:tcPr>
            <w:tcW w:w="709" w:type="dxa"/>
            <w:shd w:val="clear" w:color="auto" w:fill="auto"/>
            <w:noWrap/>
            <w:vAlign w:val="center"/>
          </w:tcPr>
          <w:p w14:paraId="3F60D044">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00229D3E">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4AF71383">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0FF3ED00">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763D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3AE32E00">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28</w:t>
            </w:r>
          </w:p>
        </w:tc>
        <w:tc>
          <w:tcPr>
            <w:tcW w:w="3594" w:type="dxa"/>
            <w:shd w:val="clear" w:color="auto" w:fill="auto"/>
            <w:vAlign w:val="center"/>
          </w:tcPr>
          <w:p w14:paraId="386897A2">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835" w:type="dxa"/>
            <w:shd w:val="clear" w:color="auto" w:fill="auto"/>
            <w:noWrap/>
            <w:vAlign w:val="center"/>
          </w:tcPr>
          <w:p w14:paraId="1F8DEF5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长度15米</w:t>
            </w:r>
          </w:p>
        </w:tc>
        <w:tc>
          <w:tcPr>
            <w:tcW w:w="709" w:type="dxa"/>
            <w:shd w:val="clear" w:color="auto" w:fill="auto"/>
            <w:noWrap/>
            <w:vAlign w:val="center"/>
          </w:tcPr>
          <w:p w14:paraId="23233C50">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19CD97E4">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7F48BC99">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35B9176A">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6BE1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3208D475">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29</w:t>
            </w:r>
          </w:p>
        </w:tc>
        <w:tc>
          <w:tcPr>
            <w:tcW w:w="3594" w:type="dxa"/>
            <w:shd w:val="clear" w:color="auto" w:fill="auto"/>
            <w:vAlign w:val="center"/>
          </w:tcPr>
          <w:p w14:paraId="17CB52CA">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OM3 LC-LC 多模双工光纤跳线</w:t>
            </w:r>
          </w:p>
        </w:tc>
        <w:tc>
          <w:tcPr>
            <w:tcW w:w="2835" w:type="dxa"/>
            <w:shd w:val="clear" w:color="auto" w:fill="auto"/>
            <w:noWrap/>
            <w:vAlign w:val="center"/>
          </w:tcPr>
          <w:p w14:paraId="6E33D16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长度20米</w:t>
            </w:r>
          </w:p>
        </w:tc>
        <w:tc>
          <w:tcPr>
            <w:tcW w:w="709" w:type="dxa"/>
            <w:shd w:val="clear" w:color="auto" w:fill="auto"/>
            <w:noWrap/>
            <w:vAlign w:val="center"/>
          </w:tcPr>
          <w:p w14:paraId="54F4EA81">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52D53665">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5894B13C">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653734AF">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2.0%</w:t>
            </w:r>
          </w:p>
        </w:tc>
      </w:tr>
      <w:tr w14:paraId="0167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11679E87">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30</w:t>
            </w:r>
          </w:p>
        </w:tc>
        <w:tc>
          <w:tcPr>
            <w:tcW w:w="3594" w:type="dxa"/>
            <w:shd w:val="clear" w:color="auto" w:fill="auto"/>
            <w:vAlign w:val="center"/>
          </w:tcPr>
          <w:p w14:paraId="4F396DB2">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MPO光纤适配器</w:t>
            </w:r>
          </w:p>
        </w:tc>
        <w:tc>
          <w:tcPr>
            <w:tcW w:w="2835" w:type="dxa"/>
            <w:shd w:val="clear" w:color="auto" w:fill="auto"/>
            <w:noWrap/>
            <w:vAlign w:val="center"/>
          </w:tcPr>
          <w:p w14:paraId="69321888">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B型，4口</w:t>
            </w:r>
          </w:p>
        </w:tc>
        <w:tc>
          <w:tcPr>
            <w:tcW w:w="709" w:type="dxa"/>
            <w:shd w:val="clear" w:color="auto" w:fill="auto"/>
            <w:noWrap/>
            <w:vAlign w:val="center"/>
          </w:tcPr>
          <w:p w14:paraId="41E41590">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661C0E53">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5D5E7E43">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0847BFE2">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0A70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6D6D8D21">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31</w:t>
            </w:r>
          </w:p>
        </w:tc>
        <w:tc>
          <w:tcPr>
            <w:tcW w:w="3594" w:type="dxa"/>
            <w:shd w:val="clear" w:color="auto" w:fill="auto"/>
            <w:vAlign w:val="center"/>
          </w:tcPr>
          <w:p w14:paraId="1ECC1D7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c14转c13欧标电源线</w:t>
            </w:r>
          </w:p>
        </w:tc>
        <w:tc>
          <w:tcPr>
            <w:tcW w:w="2835" w:type="dxa"/>
            <w:shd w:val="clear" w:color="auto" w:fill="auto"/>
            <w:noWrap/>
            <w:vAlign w:val="center"/>
          </w:tcPr>
          <w:p w14:paraId="1793C02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1A3EF15C">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BBE0673">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440A542D">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50FE6A0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19.5%</w:t>
            </w:r>
          </w:p>
        </w:tc>
      </w:tr>
      <w:tr w14:paraId="71C4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117AB3C5">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32</w:t>
            </w:r>
          </w:p>
        </w:tc>
        <w:tc>
          <w:tcPr>
            <w:tcW w:w="3594" w:type="dxa"/>
            <w:shd w:val="clear" w:color="auto" w:fill="auto"/>
            <w:vAlign w:val="center"/>
          </w:tcPr>
          <w:p w14:paraId="2B4F3A80">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c20转c13欧标电源线</w:t>
            </w:r>
          </w:p>
        </w:tc>
        <w:tc>
          <w:tcPr>
            <w:tcW w:w="2835" w:type="dxa"/>
            <w:shd w:val="clear" w:color="auto" w:fill="auto"/>
            <w:noWrap/>
            <w:vAlign w:val="center"/>
          </w:tcPr>
          <w:p w14:paraId="1984013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78305899">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根</w:t>
            </w:r>
          </w:p>
        </w:tc>
        <w:tc>
          <w:tcPr>
            <w:tcW w:w="992" w:type="dxa"/>
          </w:tcPr>
          <w:p w14:paraId="71C3E4CF">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032DC387">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7EE5083E">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2.3%</w:t>
            </w:r>
          </w:p>
        </w:tc>
      </w:tr>
      <w:tr w14:paraId="73C7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1CE0618C">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33</w:t>
            </w:r>
          </w:p>
        </w:tc>
        <w:tc>
          <w:tcPr>
            <w:tcW w:w="3594" w:type="dxa"/>
            <w:shd w:val="clear" w:color="auto" w:fill="auto"/>
            <w:vAlign w:val="center"/>
          </w:tcPr>
          <w:p w14:paraId="670AF84C">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48芯光纤配线架</w:t>
            </w:r>
          </w:p>
        </w:tc>
        <w:tc>
          <w:tcPr>
            <w:tcW w:w="2835" w:type="dxa"/>
            <w:shd w:val="clear" w:color="auto" w:fill="auto"/>
            <w:noWrap/>
            <w:vAlign w:val="center"/>
          </w:tcPr>
          <w:p w14:paraId="2AE45D8B">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15E5607C">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1BB3375C">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455F94BF">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4009EF6C">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0.1%</w:t>
            </w:r>
          </w:p>
        </w:tc>
      </w:tr>
      <w:tr w14:paraId="7D0A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13CDBE5E">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34</w:t>
            </w:r>
          </w:p>
        </w:tc>
        <w:tc>
          <w:tcPr>
            <w:tcW w:w="3594" w:type="dxa"/>
            <w:shd w:val="clear" w:color="000000" w:fill="FFFFFF"/>
            <w:vAlign w:val="center"/>
          </w:tcPr>
          <w:p w14:paraId="570CE14E">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服务器机柜</w:t>
            </w:r>
          </w:p>
        </w:tc>
        <w:tc>
          <w:tcPr>
            <w:tcW w:w="2835" w:type="dxa"/>
            <w:shd w:val="clear" w:color="auto" w:fill="auto"/>
            <w:noWrap/>
            <w:vAlign w:val="center"/>
          </w:tcPr>
          <w:p w14:paraId="242C604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800mm x 1200mm x 2000mm</w:t>
            </w:r>
          </w:p>
        </w:tc>
        <w:tc>
          <w:tcPr>
            <w:tcW w:w="709" w:type="dxa"/>
            <w:shd w:val="clear" w:color="auto" w:fill="auto"/>
            <w:noWrap/>
            <w:vAlign w:val="center"/>
          </w:tcPr>
          <w:p w14:paraId="55764FB2">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36DC3994">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3999BB68">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1DA78081">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0.1%</w:t>
            </w:r>
          </w:p>
        </w:tc>
      </w:tr>
      <w:tr w14:paraId="0E10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6A067352">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35</w:t>
            </w:r>
          </w:p>
        </w:tc>
        <w:tc>
          <w:tcPr>
            <w:tcW w:w="3594" w:type="dxa"/>
            <w:shd w:val="clear" w:color="auto" w:fill="auto"/>
            <w:vAlign w:val="center"/>
          </w:tcPr>
          <w:p w14:paraId="1482FF63">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空开</w:t>
            </w:r>
          </w:p>
        </w:tc>
        <w:tc>
          <w:tcPr>
            <w:tcW w:w="2835" w:type="dxa"/>
            <w:shd w:val="clear" w:color="auto" w:fill="auto"/>
            <w:noWrap/>
            <w:vAlign w:val="center"/>
          </w:tcPr>
          <w:p w14:paraId="008C305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32A/1P</w:t>
            </w:r>
          </w:p>
        </w:tc>
        <w:tc>
          <w:tcPr>
            <w:tcW w:w="709" w:type="dxa"/>
            <w:shd w:val="clear" w:color="auto" w:fill="auto"/>
            <w:noWrap/>
            <w:vAlign w:val="center"/>
          </w:tcPr>
          <w:p w14:paraId="1D273600">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044F60EB">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7445B7DA">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3E603554">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7DD6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09902B16">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36</w:t>
            </w:r>
          </w:p>
        </w:tc>
        <w:tc>
          <w:tcPr>
            <w:tcW w:w="3594" w:type="dxa"/>
            <w:shd w:val="clear" w:color="auto" w:fill="auto"/>
            <w:vAlign w:val="center"/>
          </w:tcPr>
          <w:p w14:paraId="7AD19E3D">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工业连接器</w:t>
            </w:r>
          </w:p>
        </w:tc>
        <w:tc>
          <w:tcPr>
            <w:tcW w:w="2835" w:type="dxa"/>
            <w:shd w:val="clear" w:color="auto" w:fill="auto"/>
            <w:noWrap/>
            <w:vAlign w:val="center"/>
          </w:tcPr>
          <w:p w14:paraId="56B093A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32A/1P</w:t>
            </w:r>
          </w:p>
        </w:tc>
        <w:tc>
          <w:tcPr>
            <w:tcW w:w="709" w:type="dxa"/>
            <w:shd w:val="clear" w:color="auto" w:fill="auto"/>
            <w:noWrap/>
            <w:vAlign w:val="center"/>
          </w:tcPr>
          <w:p w14:paraId="4F1D537F">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33190335">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619CDA73">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6D34DED5">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4AD3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04C798E0">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37</w:t>
            </w:r>
          </w:p>
        </w:tc>
        <w:tc>
          <w:tcPr>
            <w:tcW w:w="3594" w:type="dxa"/>
            <w:shd w:val="clear" w:color="auto" w:fill="auto"/>
            <w:vAlign w:val="center"/>
          </w:tcPr>
          <w:p w14:paraId="78407162">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24芯多模光纤</w:t>
            </w:r>
          </w:p>
        </w:tc>
        <w:tc>
          <w:tcPr>
            <w:tcW w:w="2835" w:type="dxa"/>
            <w:shd w:val="clear" w:color="auto" w:fill="auto"/>
            <w:vAlign w:val="center"/>
          </w:tcPr>
          <w:p w14:paraId="5B4ABCA7">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定制长度</w:t>
            </w:r>
          </w:p>
        </w:tc>
        <w:tc>
          <w:tcPr>
            <w:tcW w:w="709" w:type="dxa"/>
            <w:shd w:val="clear" w:color="auto" w:fill="auto"/>
            <w:noWrap/>
            <w:vAlign w:val="center"/>
          </w:tcPr>
          <w:p w14:paraId="5D343CD7">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米</w:t>
            </w:r>
          </w:p>
        </w:tc>
        <w:tc>
          <w:tcPr>
            <w:tcW w:w="992" w:type="dxa"/>
          </w:tcPr>
          <w:p w14:paraId="380EECB5">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2F9BA51C">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62092C3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1.9%</w:t>
            </w:r>
          </w:p>
        </w:tc>
      </w:tr>
      <w:tr w14:paraId="07DA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5C0C5945">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38</w:t>
            </w:r>
          </w:p>
        </w:tc>
        <w:tc>
          <w:tcPr>
            <w:tcW w:w="3594" w:type="dxa"/>
            <w:shd w:val="clear" w:color="auto" w:fill="auto"/>
            <w:vAlign w:val="center"/>
          </w:tcPr>
          <w:p w14:paraId="60C99AF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24口网络配线架</w:t>
            </w:r>
          </w:p>
        </w:tc>
        <w:tc>
          <w:tcPr>
            <w:tcW w:w="2835" w:type="dxa"/>
            <w:shd w:val="clear" w:color="auto" w:fill="auto"/>
            <w:noWrap/>
            <w:vAlign w:val="center"/>
          </w:tcPr>
          <w:p w14:paraId="314AAE14">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w:t>
            </w:r>
          </w:p>
        </w:tc>
        <w:tc>
          <w:tcPr>
            <w:tcW w:w="709" w:type="dxa"/>
            <w:shd w:val="clear" w:color="auto" w:fill="auto"/>
            <w:noWrap/>
            <w:vAlign w:val="center"/>
          </w:tcPr>
          <w:p w14:paraId="1904FF86">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6FCB6B61">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69E34ED0">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4CB6E5EE">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0.2%</w:t>
            </w:r>
          </w:p>
        </w:tc>
      </w:tr>
      <w:tr w14:paraId="2704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17" w:type="dxa"/>
            <w:shd w:val="clear" w:color="auto" w:fill="auto"/>
            <w:noWrap/>
            <w:vAlign w:val="center"/>
          </w:tcPr>
          <w:p w14:paraId="2CBD63DD">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39</w:t>
            </w:r>
          </w:p>
        </w:tc>
        <w:tc>
          <w:tcPr>
            <w:tcW w:w="3594" w:type="dxa"/>
            <w:shd w:val="clear" w:color="auto" w:fill="auto"/>
            <w:vAlign w:val="center"/>
          </w:tcPr>
          <w:p w14:paraId="78ACD259">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通用服务器L型支架</w:t>
            </w:r>
          </w:p>
        </w:tc>
        <w:tc>
          <w:tcPr>
            <w:tcW w:w="2835" w:type="dxa"/>
            <w:shd w:val="clear" w:color="auto" w:fill="auto"/>
            <w:noWrap/>
            <w:vAlign w:val="center"/>
          </w:tcPr>
          <w:p w14:paraId="190EA1F6">
            <w:pPr>
              <w:widowControl/>
              <w:autoSpaceDE/>
              <w:autoSpaceDN/>
              <w:spacing w:before="156" w:line="240" w:lineRule="auto"/>
              <w:ind w:firstLine="0" w:firstLineChars="0"/>
              <w:rPr>
                <w:rFonts w:ascii="宋体" w:hAnsi="宋体" w:cs="宋体"/>
                <w:kern w:val="0"/>
                <w:sz w:val="21"/>
                <w:szCs w:val="21"/>
                <w:highlight w:val="none"/>
              </w:rPr>
            </w:pPr>
            <w:r>
              <w:rPr>
                <w:rFonts w:hint="eastAsia" w:ascii="宋体" w:hAnsi="宋体" w:cs="宋体"/>
                <w:kern w:val="0"/>
                <w:sz w:val="21"/>
                <w:szCs w:val="21"/>
                <w:highlight w:val="none"/>
              </w:rPr>
              <w:t>带滑轨</w:t>
            </w:r>
          </w:p>
        </w:tc>
        <w:tc>
          <w:tcPr>
            <w:tcW w:w="709" w:type="dxa"/>
            <w:shd w:val="clear" w:color="auto" w:fill="auto"/>
            <w:noWrap/>
            <w:vAlign w:val="center"/>
          </w:tcPr>
          <w:p w14:paraId="61681722">
            <w:pPr>
              <w:widowControl/>
              <w:autoSpaceDE/>
              <w:autoSpaceDN/>
              <w:spacing w:before="156" w:line="240" w:lineRule="auto"/>
              <w:ind w:firstLine="0" w:firstLineChars="0"/>
              <w:jc w:val="center"/>
              <w:rPr>
                <w:rFonts w:ascii="宋体" w:hAnsi="宋体" w:cs="宋体"/>
                <w:kern w:val="0"/>
                <w:sz w:val="21"/>
                <w:szCs w:val="21"/>
                <w:highlight w:val="none"/>
              </w:rPr>
            </w:pPr>
            <w:r>
              <w:rPr>
                <w:rFonts w:hint="eastAsia" w:ascii="宋体" w:hAnsi="宋体" w:cs="宋体"/>
                <w:kern w:val="0"/>
                <w:sz w:val="21"/>
                <w:szCs w:val="21"/>
                <w:highlight w:val="none"/>
              </w:rPr>
              <w:t>个</w:t>
            </w:r>
          </w:p>
        </w:tc>
        <w:tc>
          <w:tcPr>
            <w:tcW w:w="992" w:type="dxa"/>
          </w:tcPr>
          <w:p w14:paraId="714C591A">
            <w:pPr>
              <w:widowControl/>
              <w:autoSpaceDE/>
              <w:autoSpaceDN/>
              <w:spacing w:before="156" w:line="240" w:lineRule="auto"/>
              <w:ind w:firstLine="0" w:firstLineChars="0"/>
              <w:rPr>
                <w:rFonts w:ascii="宋体" w:hAnsi="宋体" w:cs="宋体"/>
                <w:kern w:val="0"/>
                <w:sz w:val="21"/>
                <w:szCs w:val="21"/>
                <w:highlight w:val="none"/>
              </w:rPr>
            </w:pPr>
          </w:p>
        </w:tc>
        <w:tc>
          <w:tcPr>
            <w:tcW w:w="993" w:type="dxa"/>
          </w:tcPr>
          <w:p w14:paraId="19032DEA">
            <w:pPr>
              <w:widowControl/>
              <w:autoSpaceDE/>
              <w:autoSpaceDN/>
              <w:spacing w:before="156" w:line="240" w:lineRule="auto"/>
              <w:ind w:firstLine="0" w:firstLineChars="0"/>
              <w:rPr>
                <w:rFonts w:ascii="宋体" w:hAnsi="宋体" w:cs="宋体"/>
                <w:kern w:val="0"/>
                <w:sz w:val="21"/>
                <w:szCs w:val="21"/>
                <w:highlight w:val="none"/>
              </w:rPr>
            </w:pPr>
          </w:p>
        </w:tc>
        <w:tc>
          <w:tcPr>
            <w:tcW w:w="993" w:type="dxa"/>
            <w:shd w:val="clear" w:color="auto" w:fill="auto"/>
            <w:vAlign w:val="center"/>
          </w:tcPr>
          <w:p w14:paraId="5F7D8827">
            <w:pPr>
              <w:widowControl/>
              <w:autoSpaceDE/>
              <w:autoSpaceDN/>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rPr>
              <w:t>2.9%</w:t>
            </w:r>
          </w:p>
        </w:tc>
      </w:tr>
      <w:tr w14:paraId="3603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633" w:type="dxa"/>
            <w:gridSpan w:val="7"/>
            <w:shd w:val="clear" w:color="auto" w:fill="auto"/>
            <w:noWrap/>
            <w:vAlign w:val="center"/>
          </w:tcPr>
          <w:p w14:paraId="529BF995">
            <w:pPr>
              <w:widowControl/>
              <w:autoSpaceDE/>
              <w:autoSpaceDN/>
              <w:spacing w:line="240" w:lineRule="auto"/>
              <w:ind w:firstLine="0" w:firstLineChars="0"/>
              <w:jc w:val="center"/>
              <w:rPr>
                <w:rFonts w:hint="default" w:ascii="宋体" w:hAnsi="宋体" w:eastAsia="宋体" w:cs="宋体"/>
                <w:kern w:val="0"/>
                <w:sz w:val="21"/>
                <w:szCs w:val="21"/>
                <w:highlight w:val="none"/>
                <w:lang w:val="en-US" w:eastAsia="zh-CN"/>
              </w:rPr>
            </w:pPr>
            <w:r>
              <w:rPr>
                <w:rFonts w:hint="eastAsia" w:ascii="宋体" w:hAnsi="宋体" w:cs="宋体"/>
                <w:b/>
                <w:bCs/>
                <w:kern w:val="0"/>
                <w:sz w:val="21"/>
                <w:szCs w:val="21"/>
                <w:highlight w:val="none"/>
                <w:lang w:val="en-US" w:eastAsia="zh-CN"/>
              </w:rPr>
              <w:t>加权平均价（元）：</w:t>
            </w:r>
          </w:p>
        </w:tc>
      </w:tr>
    </w:tbl>
    <w:p w14:paraId="59F791F5">
      <w:pPr>
        <w:widowControl/>
        <w:autoSpaceDE/>
        <w:autoSpaceDN/>
        <w:spacing w:line="240" w:lineRule="auto"/>
        <w:ind w:firstLine="0" w:firstLineChars="0"/>
        <w:jc w:val="left"/>
        <w:rPr>
          <w:rFonts w:ascii="Times New Roman" w:hAnsi="Times New Roman"/>
          <w:b/>
          <w:sz w:val="28"/>
          <w:highlight w:val="none"/>
        </w:rPr>
      </w:pPr>
      <w:r>
        <w:rPr>
          <w:rFonts w:ascii="Times New Roman" w:hAnsi="Times New Roman"/>
          <w:highlight w:val="none"/>
        </w:rPr>
        <w:br w:type="page"/>
      </w:r>
    </w:p>
    <w:p w14:paraId="09A74B1C">
      <w:pPr>
        <w:pStyle w:val="29"/>
        <w:spacing w:before="156"/>
        <w:rPr>
          <w:rFonts w:hint="default" w:ascii="Times New Roman" w:hAnsi="Times New Roman"/>
          <w:highlight w:val="none"/>
        </w:rPr>
      </w:pPr>
      <w:r>
        <w:rPr>
          <w:rFonts w:ascii="Times New Roman" w:hAnsi="Times New Roman"/>
          <w:highlight w:val="none"/>
        </w:rPr>
        <w:t>三、资格性文件</w:t>
      </w:r>
    </w:p>
    <w:p w14:paraId="71F9223F">
      <w:pPr>
        <w:pStyle w:val="30"/>
        <w:spacing w:before="156"/>
        <w:rPr>
          <w:rFonts w:ascii="Times New Roman" w:hAnsi="Times New Roman"/>
          <w:highlight w:val="none"/>
        </w:rPr>
      </w:pPr>
      <w:r>
        <w:rPr>
          <w:rFonts w:ascii="Times New Roman" w:hAnsi="Times New Roman"/>
          <w:highlight w:val="none"/>
        </w:rPr>
        <w:t>（一）参选人基本情况介绍，资质证明等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7FA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DA3CA1D">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0F8DA4DD">
            <w:pPr>
              <w:spacing w:before="156" w:line="360" w:lineRule="auto"/>
              <w:ind w:firstLine="0" w:firstLineChars="0"/>
              <w:jc w:val="center"/>
              <w:rPr>
                <w:rFonts w:ascii="Times New Roman" w:hAnsi="Times New Roman"/>
                <w:sz w:val="22"/>
                <w:szCs w:val="24"/>
                <w:highlight w:val="none"/>
              </w:rPr>
            </w:pPr>
          </w:p>
        </w:tc>
      </w:tr>
      <w:tr w14:paraId="5D4F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AAECC10">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4ED777F9">
            <w:pPr>
              <w:spacing w:before="156"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3B227675">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Pr>
          <w:p w14:paraId="342728AB">
            <w:pPr>
              <w:spacing w:before="156" w:line="360" w:lineRule="auto"/>
              <w:ind w:firstLine="0" w:firstLineChars="0"/>
              <w:jc w:val="center"/>
              <w:rPr>
                <w:rFonts w:ascii="Times New Roman" w:hAnsi="Times New Roman"/>
                <w:sz w:val="22"/>
                <w:szCs w:val="24"/>
                <w:highlight w:val="none"/>
              </w:rPr>
            </w:pPr>
          </w:p>
        </w:tc>
      </w:tr>
      <w:tr w14:paraId="5AAA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DE45484">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1B8B3D3F">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47B965F0">
            <w:pPr>
              <w:spacing w:before="156"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2E88900A">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Pr>
          <w:p w14:paraId="480AA008">
            <w:pPr>
              <w:spacing w:before="156" w:line="360" w:lineRule="auto"/>
              <w:ind w:firstLine="0" w:firstLineChars="0"/>
              <w:jc w:val="center"/>
              <w:rPr>
                <w:rFonts w:ascii="Times New Roman" w:hAnsi="Times New Roman"/>
                <w:sz w:val="22"/>
                <w:szCs w:val="24"/>
                <w:highlight w:val="none"/>
              </w:rPr>
            </w:pPr>
          </w:p>
        </w:tc>
      </w:tr>
      <w:tr w14:paraId="38E5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CF0D3A7">
            <w:pPr>
              <w:spacing w:before="156" w:line="360" w:lineRule="auto"/>
              <w:ind w:firstLine="0" w:firstLineChars="0"/>
              <w:rPr>
                <w:rFonts w:ascii="Times New Roman" w:hAnsi="Times New Roman"/>
                <w:highlight w:val="none"/>
              </w:rPr>
            </w:pPr>
          </w:p>
        </w:tc>
        <w:tc>
          <w:tcPr>
            <w:tcW w:w="1077" w:type="dxa"/>
            <w:tcBorders>
              <w:top w:val="single" w:color="auto" w:sz="4" w:space="0"/>
              <w:left w:val="single" w:color="auto" w:sz="4" w:space="0"/>
              <w:right w:val="single" w:color="auto" w:sz="4" w:space="0"/>
            </w:tcBorders>
            <w:vAlign w:val="center"/>
          </w:tcPr>
          <w:p w14:paraId="4DF4996A">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3BAE58FD">
            <w:pPr>
              <w:spacing w:before="156"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2A98C7D0">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Pr>
          <w:p w14:paraId="4236519A">
            <w:pPr>
              <w:spacing w:before="156" w:line="360" w:lineRule="auto"/>
              <w:ind w:firstLine="0" w:firstLineChars="0"/>
              <w:jc w:val="center"/>
              <w:rPr>
                <w:rFonts w:ascii="Times New Roman" w:hAnsi="Times New Roman"/>
                <w:sz w:val="22"/>
                <w:szCs w:val="24"/>
                <w:highlight w:val="none"/>
              </w:rPr>
            </w:pPr>
          </w:p>
        </w:tc>
      </w:tr>
      <w:tr w14:paraId="5B72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01556FF">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vAlign w:val="center"/>
          </w:tcPr>
          <w:p w14:paraId="5DB748DB">
            <w:pPr>
              <w:spacing w:before="156" w:line="360" w:lineRule="auto"/>
              <w:ind w:firstLine="0" w:firstLineChars="0"/>
              <w:jc w:val="center"/>
              <w:rPr>
                <w:rFonts w:ascii="Times New Roman" w:hAnsi="Times New Roman"/>
                <w:sz w:val="22"/>
                <w:szCs w:val="24"/>
                <w:highlight w:val="none"/>
              </w:rPr>
            </w:pPr>
          </w:p>
        </w:tc>
      </w:tr>
      <w:tr w14:paraId="2DDD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01636DD">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4F4394C6">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6EAF5D9F">
            <w:pPr>
              <w:spacing w:before="156"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8A799F7">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0CA86A7">
            <w:pPr>
              <w:spacing w:before="156"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649C7A0D">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62032634">
            <w:pPr>
              <w:spacing w:before="156" w:line="360" w:lineRule="auto"/>
              <w:ind w:firstLine="0" w:firstLineChars="0"/>
              <w:jc w:val="center"/>
              <w:rPr>
                <w:rFonts w:ascii="Times New Roman" w:hAnsi="Times New Roman"/>
                <w:sz w:val="22"/>
                <w:szCs w:val="24"/>
                <w:highlight w:val="none"/>
              </w:rPr>
            </w:pPr>
          </w:p>
        </w:tc>
      </w:tr>
      <w:tr w14:paraId="0030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5560CC9">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71354918">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244201E6">
            <w:pPr>
              <w:spacing w:before="156"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134FA8DA">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720D73EE">
            <w:pPr>
              <w:spacing w:before="156"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09256F45">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7C2A5CA4">
            <w:pPr>
              <w:spacing w:before="156" w:line="360" w:lineRule="auto"/>
              <w:ind w:firstLine="0" w:firstLineChars="0"/>
              <w:jc w:val="center"/>
              <w:rPr>
                <w:rFonts w:ascii="Times New Roman" w:hAnsi="Times New Roman"/>
                <w:sz w:val="22"/>
                <w:szCs w:val="24"/>
                <w:highlight w:val="none"/>
              </w:rPr>
            </w:pPr>
          </w:p>
        </w:tc>
      </w:tr>
      <w:tr w14:paraId="70B6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08FA778">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218A4A0">
            <w:pPr>
              <w:spacing w:before="156" w:line="360" w:lineRule="auto"/>
              <w:ind w:firstLine="0" w:firstLineChars="0"/>
              <w:jc w:val="center"/>
              <w:rPr>
                <w:rFonts w:ascii="Times New Roman" w:hAnsi="Times New Roman"/>
                <w:sz w:val="22"/>
                <w:szCs w:val="24"/>
                <w:highlight w:val="none"/>
              </w:rPr>
            </w:pPr>
          </w:p>
        </w:tc>
        <w:tc>
          <w:tcPr>
            <w:tcW w:w="4234" w:type="dxa"/>
            <w:gridSpan w:val="6"/>
          </w:tcPr>
          <w:p w14:paraId="167063EC">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1D10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24632B7">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2A14508D">
            <w:pPr>
              <w:spacing w:before="156"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6863024B">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395BE59E">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Pr>
          <w:p w14:paraId="1584A73B">
            <w:pPr>
              <w:spacing w:before="156" w:line="360" w:lineRule="auto"/>
              <w:ind w:firstLine="0" w:firstLineChars="0"/>
              <w:jc w:val="center"/>
              <w:rPr>
                <w:rFonts w:ascii="Times New Roman" w:hAnsi="Times New Roman"/>
                <w:sz w:val="22"/>
                <w:szCs w:val="24"/>
                <w:highlight w:val="none"/>
              </w:rPr>
            </w:pPr>
          </w:p>
        </w:tc>
      </w:tr>
      <w:tr w14:paraId="6747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5215897">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3B505EC4">
            <w:pPr>
              <w:spacing w:before="156"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15504ABD">
            <w:pPr>
              <w:spacing w:before="156" w:line="360" w:lineRule="auto"/>
              <w:ind w:firstLine="0" w:firstLineChars="0"/>
              <w:rPr>
                <w:rFonts w:ascii="Times New Roman" w:hAnsi="Times New Roman"/>
                <w:highlight w:val="none"/>
              </w:rPr>
            </w:pPr>
          </w:p>
        </w:tc>
        <w:tc>
          <w:tcPr>
            <w:tcW w:w="2039" w:type="dxa"/>
            <w:gridSpan w:val="3"/>
            <w:tcBorders>
              <w:top w:val="single" w:color="auto" w:sz="4" w:space="0"/>
              <w:left w:val="single" w:color="auto" w:sz="4" w:space="0"/>
              <w:right w:val="single" w:color="auto" w:sz="4" w:space="0"/>
            </w:tcBorders>
            <w:vAlign w:val="center"/>
          </w:tcPr>
          <w:p w14:paraId="444FFDB7">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Pr>
          <w:p w14:paraId="4BC53324">
            <w:pPr>
              <w:spacing w:before="156" w:line="360" w:lineRule="auto"/>
              <w:ind w:firstLine="0" w:firstLineChars="0"/>
              <w:jc w:val="center"/>
              <w:rPr>
                <w:rFonts w:ascii="Times New Roman" w:hAnsi="Times New Roman"/>
                <w:sz w:val="22"/>
                <w:szCs w:val="24"/>
                <w:highlight w:val="none"/>
              </w:rPr>
            </w:pPr>
          </w:p>
        </w:tc>
      </w:tr>
      <w:tr w14:paraId="29D6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7CB56AE">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5EC9328B">
            <w:pPr>
              <w:spacing w:before="156"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67A4D676">
            <w:pPr>
              <w:spacing w:before="156" w:line="360" w:lineRule="auto"/>
              <w:ind w:firstLine="0" w:firstLineChars="0"/>
              <w:rPr>
                <w:rFonts w:ascii="Times New Roman" w:hAnsi="Times New Roman"/>
                <w:highlight w:val="none"/>
              </w:rPr>
            </w:pPr>
          </w:p>
        </w:tc>
        <w:tc>
          <w:tcPr>
            <w:tcW w:w="2039" w:type="dxa"/>
            <w:gridSpan w:val="3"/>
            <w:tcBorders>
              <w:top w:val="single" w:color="auto" w:sz="4" w:space="0"/>
              <w:left w:val="single" w:color="auto" w:sz="4" w:space="0"/>
              <w:right w:val="single" w:color="auto" w:sz="4" w:space="0"/>
            </w:tcBorders>
            <w:vAlign w:val="center"/>
          </w:tcPr>
          <w:p w14:paraId="39C45026">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Pr>
          <w:p w14:paraId="3B438F22">
            <w:pPr>
              <w:spacing w:before="156" w:line="360" w:lineRule="auto"/>
              <w:ind w:firstLine="0" w:firstLineChars="0"/>
              <w:jc w:val="center"/>
              <w:rPr>
                <w:rFonts w:ascii="Times New Roman" w:hAnsi="Times New Roman"/>
                <w:sz w:val="22"/>
                <w:szCs w:val="24"/>
                <w:highlight w:val="none"/>
              </w:rPr>
            </w:pPr>
          </w:p>
        </w:tc>
      </w:tr>
      <w:tr w14:paraId="5BCA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0FE7EAF">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2E4EDBF6">
            <w:pPr>
              <w:spacing w:before="156"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225944C9">
            <w:pPr>
              <w:spacing w:before="156" w:line="360" w:lineRule="auto"/>
              <w:ind w:firstLine="0" w:firstLineChars="0"/>
              <w:rPr>
                <w:rFonts w:ascii="Times New Roman" w:hAnsi="Times New Roman"/>
                <w:highlight w:val="none"/>
              </w:rPr>
            </w:pPr>
          </w:p>
        </w:tc>
        <w:tc>
          <w:tcPr>
            <w:tcW w:w="2039" w:type="dxa"/>
            <w:gridSpan w:val="3"/>
            <w:tcBorders>
              <w:top w:val="single" w:color="auto" w:sz="4" w:space="0"/>
              <w:left w:val="single" w:color="auto" w:sz="4" w:space="0"/>
              <w:right w:val="single" w:color="auto" w:sz="4" w:space="0"/>
            </w:tcBorders>
            <w:vAlign w:val="center"/>
          </w:tcPr>
          <w:p w14:paraId="55B09362">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Pr>
          <w:p w14:paraId="7212F190">
            <w:pPr>
              <w:spacing w:before="156" w:line="360" w:lineRule="auto"/>
              <w:ind w:firstLine="0" w:firstLineChars="0"/>
              <w:jc w:val="center"/>
              <w:rPr>
                <w:rFonts w:ascii="Times New Roman" w:hAnsi="Times New Roman"/>
                <w:sz w:val="22"/>
                <w:szCs w:val="24"/>
                <w:highlight w:val="none"/>
              </w:rPr>
            </w:pPr>
          </w:p>
        </w:tc>
      </w:tr>
      <w:tr w14:paraId="0D82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1A5F707">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0702C8B9">
            <w:pPr>
              <w:spacing w:before="156"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10DB1A61">
            <w:pPr>
              <w:spacing w:before="156" w:line="360" w:lineRule="auto"/>
              <w:ind w:firstLine="0" w:firstLineChars="0"/>
              <w:rPr>
                <w:rFonts w:ascii="Times New Roman" w:hAnsi="Times New Roman"/>
                <w:highlight w:val="none"/>
              </w:rPr>
            </w:pPr>
          </w:p>
        </w:tc>
        <w:tc>
          <w:tcPr>
            <w:tcW w:w="2039" w:type="dxa"/>
            <w:gridSpan w:val="3"/>
            <w:tcBorders>
              <w:top w:val="single" w:color="auto" w:sz="4" w:space="0"/>
              <w:left w:val="single" w:color="auto" w:sz="4" w:space="0"/>
              <w:right w:val="single" w:color="auto" w:sz="4" w:space="0"/>
            </w:tcBorders>
            <w:vAlign w:val="center"/>
          </w:tcPr>
          <w:p w14:paraId="408FC56B">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Pr>
          <w:p w14:paraId="66956CF7">
            <w:pPr>
              <w:spacing w:before="156" w:line="360" w:lineRule="auto"/>
              <w:ind w:firstLine="0" w:firstLineChars="0"/>
              <w:jc w:val="center"/>
              <w:rPr>
                <w:rFonts w:ascii="Times New Roman" w:hAnsi="Times New Roman"/>
                <w:sz w:val="22"/>
                <w:szCs w:val="24"/>
                <w:highlight w:val="none"/>
              </w:rPr>
            </w:pPr>
          </w:p>
        </w:tc>
      </w:tr>
      <w:tr w14:paraId="0F1A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5A28A9D">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Pr>
          <w:p w14:paraId="57AC7BE8">
            <w:pPr>
              <w:spacing w:before="156" w:line="360" w:lineRule="auto"/>
              <w:ind w:firstLine="0" w:firstLineChars="0"/>
              <w:jc w:val="center"/>
              <w:rPr>
                <w:rFonts w:ascii="Times New Roman" w:hAnsi="Times New Roman"/>
                <w:sz w:val="22"/>
                <w:szCs w:val="24"/>
                <w:highlight w:val="none"/>
              </w:rPr>
            </w:pPr>
          </w:p>
        </w:tc>
      </w:tr>
      <w:tr w14:paraId="0065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E7236EA">
            <w:pPr>
              <w:spacing w:before="156"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Pr>
          <w:p w14:paraId="7EB1A71D">
            <w:pPr>
              <w:spacing w:before="156" w:line="360" w:lineRule="auto"/>
              <w:ind w:firstLine="0" w:firstLineChars="0"/>
              <w:jc w:val="center"/>
              <w:rPr>
                <w:rFonts w:ascii="Times New Roman" w:hAnsi="Times New Roman"/>
                <w:sz w:val="22"/>
                <w:szCs w:val="24"/>
                <w:highlight w:val="none"/>
              </w:rPr>
            </w:pPr>
          </w:p>
        </w:tc>
      </w:tr>
    </w:tbl>
    <w:p w14:paraId="3C496EF9">
      <w:pPr>
        <w:widowControl/>
        <w:spacing w:before="156" w:line="360" w:lineRule="auto"/>
        <w:ind w:firstLine="400"/>
        <w:jc w:val="left"/>
        <w:rPr>
          <w:rFonts w:ascii="Times New Roman" w:hAnsi="Times New Roman"/>
          <w:sz w:val="20"/>
          <w:szCs w:val="21"/>
          <w:highlight w:val="none"/>
        </w:rPr>
        <w:sectPr>
          <w:pgSz w:w="16838" w:h="11906" w:orient="landscape"/>
          <w:pgMar w:top="1800" w:right="1440" w:bottom="1800" w:left="1440" w:header="851" w:footer="992" w:gutter="0"/>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1C214B85">
      <w:pPr>
        <w:pStyle w:val="30"/>
        <w:spacing w:before="156"/>
        <w:rPr>
          <w:rFonts w:ascii="Times New Roman" w:hAnsi="Times New Roman"/>
          <w:highlight w:val="none"/>
        </w:rPr>
      </w:pPr>
      <w:bookmarkStart w:id="100" w:name="_Toc378234770"/>
      <w:bookmarkStart w:id="101" w:name="_Toc378234584"/>
      <w:bookmarkStart w:id="102" w:name="_Toc478054435"/>
      <w:bookmarkStart w:id="103" w:name="_Toc472780356"/>
      <w:bookmarkStart w:id="104" w:name="_Toc478053903"/>
      <w:r>
        <w:rPr>
          <w:rFonts w:ascii="Times New Roman" w:hAnsi="Times New Roman"/>
          <w:highlight w:val="none"/>
        </w:rPr>
        <w:t>（二）法定代表人身份证明及授权委托书</w:t>
      </w:r>
      <w:bookmarkEnd w:id="100"/>
      <w:bookmarkEnd w:id="101"/>
      <w:bookmarkEnd w:id="102"/>
      <w:bookmarkEnd w:id="103"/>
      <w:bookmarkEnd w:id="104"/>
    </w:p>
    <w:p w14:paraId="445B0069">
      <w:pPr>
        <w:pStyle w:val="31"/>
        <w:spacing w:before="156"/>
        <w:rPr>
          <w:rFonts w:hint="default" w:ascii="Times New Roman" w:hAnsi="Times New Roman"/>
          <w:highlight w:val="none"/>
        </w:rPr>
      </w:pPr>
      <w:r>
        <w:rPr>
          <w:rFonts w:ascii="Times New Roman" w:hAnsi="Times New Roman"/>
          <w:highlight w:val="none"/>
        </w:rPr>
        <w:t>法定代表人身份证明书</w:t>
      </w:r>
    </w:p>
    <w:p w14:paraId="722BA6D7">
      <w:pPr>
        <w:tabs>
          <w:tab w:val="left" w:pos="6300"/>
        </w:tabs>
        <w:snapToGrid w:val="0"/>
        <w:spacing w:before="156" w:line="360" w:lineRule="auto"/>
        <w:ind w:firstLine="480"/>
        <w:rPr>
          <w:rFonts w:ascii="Times New Roman" w:hAnsi="Times New Roman"/>
          <w:snapToGrid w:val="0"/>
          <w:kern w:val="0"/>
          <w:highlight w:val="none"/>
        </w:rPr>
      </w:pPr>
    </w:p>
    <w:p w14:paraId="0FAC7920">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66AF6D35">
      <w:pPr>
        <w:tabs>
          <w:tab w:val="left" w:pos="6300"/>
        </w:tabs>
        <w:snapToGrid w:val="0"/>
        <w:spacing w:before="156" w:line="360" w:lineRule="auto"/>
        <w:ind w:firstLine="480"/>
        <w:rPr>
          <w:rFonts w:ascii="Times New Roman" w:hAnsi="Times New Roman"/>
          <w:snapToGrid w:val="0"/>
          <w:kern w:val="0"/>
          <w:highlight w:val="none"/>
        </w:rPr>
      </w:pPr>
    </w:p>
    <w:p w14:paraId="72FD6703">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7E65D958">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p>
    <w:p w14:paraId="244FFD88">
      <w:pPr>
        <w:tabs>
          <w:tab w:val="left" w:pos="6300"/>
        </w:tabs>
        <w:snapToGrid w:val="0"/>
        <w:spacing w:before="156" w:line="360" w:lineRule="auto"/>
        <w:ind w:firstLine="480"/>
        <w:rPr>
          <w:rFonts w:ascii="Times New Roman" w:hAnsi="Times New Roman"/>
          <w:snapToGrid w:val="0"/>
          <w:kern w:val="0"/>
          <w:highlight w:val="none"/>
        </w:rPr>
      </w:pPr>
    </w:p>
    <w:p w14:paraId="2BBE07ED">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3442C772">
      <w:pPr>
        <w:tabs>
          <w:tab w:val="left" w:pos="6300"/>
        </w:tabs>
        <w:snapToGrid w:val="0"/>
        <w:spacing w:before="156" w:line="360" w:lineRule="auto"/>
        <w:ind w:firstLine="480"/>
        <w:rPr>
          <w:rFonts w:ascii="Times New Roman" w:hAnsi="Times New Roman"/>
          <w:snapToGrid w:val="0"/>
          <w:kern w:val="0"/>
          <w:highlight w:val="none"/>
        </w:rPr>
      </w:pPr>
    </w:p>
    <w:p w14:paraId="00EA2AAC">
      <w:pPr>
        <w:tabs>
          <w:tab w:val="left" w:pos="6300"/>
        </w:tabs>
        <w:snapToGrid w:val="0"/>
        <w:spacing w:before="156" w:line="360" w:lineRule="auto"/>
        <w:ind w:firstLine="480"/>
        <w:rPr>
          <w:rFonts w:ascii="Times New Roman" w:hAnsi="Times New Roman"/>
          <w:snapToGrid w:val="0"/>
          <w:kern w:val="0"/>
          <w:highlight w:val="none"/>
        </w:rPr>
      </w:pPr>
    </w:p>
    <w:p w14:paraId="3273BC30">
      <w:pPr>
        <w:tabs>
          <w:tab w:val="left" w:pos="6300"/>
        </w:tabs>
        <w:snapToGrid w:val="0"/>
        <w:spacing w:before="156"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1D073DA8">
      <w:pPr>
        <w:tabs>
          <w:tab w:val="left" w:pos="6300"/>
        </w:tabs>
        <w:snapToGrid w:val="0"/>
        <w:spacing w:before="156"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39D50832">
      <w:pPr>
        <w:tabs>
          <w:tab w:val="left" w:pos="6300"/>
        </w:tabs>
        <w:snapToGrid w:val="0"/>
        <w:spacing w:before="156" w:line="360" w:lineRule="auto"/>
        <w:ind w:firstLine="480"/>
        <w:rPr>
          <w:rFonts w:ascii="Times New Roman" w:hAnsi="Times New Roman"/>
          <w:snapToGrid w:val="0"/>
          <w:kern w:val="0"/>
          <w:highlight w:val="none"/>
        </w:rPr>
      </w:pPr>
    </w:p>
    <w:p w14:paraId="3CA8442A">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1E4BC0E6">
      <w:pPr>
        <w:tabs>
          <w:tab w:val="left" w:pos="6300"/>
        </w:tabs>
        <w:snapToGrid w:val="0"/>
        <w:spacing w:before="156" w:line="360" w:lineRule="auto"/>
        <w:ind w:firstLine="480"/>
        <w:rPr>
          <w:rFonts w:ascii="Times New Roman" w:hAnsi="Times New Roman"/>
          <w:snapToGrid w:val="0"/>
          <w:kern w:val="0"/>
          <w:highlight w:val="none"/>
        </w:rPr>
      </w:pPr>
    </w:p>
    <w:p w14:paraId="5B33EF86">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（附：法定代表人身份证正反面复印件）</w:t>
      </w:r>
    </w:p>
    <w:p w14:paraId="7278DBD1">
      <w:pPr>
        <w:tabs>
          <w:tab w:val="left" w:pos="6300"/>
        </w:tabs>
        <w:snapToGrid w:val="0"/>
        <w:spacing w:before="156" w:line="360" w:lineRule="auto"/>
        <w:ind w:firstLine="480"/>
        <w:rPr>
          <w:rFonts w:ascii="Times New Roman" w:hAnsi="Times New Roman"/>
          <w:snapToGrid w:val="0"/>
          <w:kern w:val="0"/>
          <w:highlight w:val="none"/>
        </w:rPr>
      </w:pPr>
    </w:p>
    <w:p w14:paraId="2195CF99">
      <w:pPr>
        <w:tabs>
          <w:tab w:val="left" w:pos="6300"/>
        </w:tabs>
        <w:snapToGrid w:val="0"/>
        <w:spacing w:before="156" w:line="360" w:lineRule="auto"/>
        <w:ind w:firstLine="480"/>
        <w:rPr>
          <w:rFonts w:ascii="Times New Roman" w:hAnsi="Times New Roman"/>
          <w:snapToGrid w:val="0"/>
          <w:kern w:val="0"/>
          <w:highlight w:val="none"/>
        </w:rPr>
      </w:pPr>
    </w:p>
    <w:p w14:paraId="0B49DF00">
      <w:pPr>
        <w:tabs>
          <w:tab w:val="left" w:pos="6300"/>
        </w:tabs>
        <w:snapToGrid w:val="0"/>
        <w:spacing w:before="156" w:line="360" w:lineRule="auto"/>
        <w:ind w:firstLine="480"/>
        <w:rPr>
          <w:rFonts w:ascii="Times New Roman" w:hAnsi="Times New Roman"/>
          <w:snapToGrid w:val="0"/>
          <w:kern w:val="0"/>
          <w:highlight w:val="none"/>
        </w:rPr>
      </w:pPr>
    </w:p>
    <w:p w14:paraId="2BFCC23E">
      <w:pPr>
        <w:spacing w:before="156"/>
        <w:ind w:firstLine="480"/>
        <w:jc w:val="center"/>
        <w:rPr>
          <w:rStyle w:val="32"/>
          <w:rFonts w:hint="default" w:ascii="Times New Roman" w:hAnsi="Times New Roman"/>
          <w:highlight w:val="none"/>
        </w:rPr>
      </w:pPr>
      <w:r>
        <w:rPr>
          <w:rFonts w:hint="eastAsia" w:ascii="Times New Roman" w:hAnsi="Times New Roman"/>
          <w:snapToGrid w:val="0"/>
          <w:kern w:val="0"/>
          <w:highlight w:val="none"/>
        </w:rPr>
        <w:br w:type="column"/>
      </w:r>
      <w:r>
        <w:rPr>
          <w:rStyle w:val="32"/>
          <w:rFonts w:hint="default" w:ascii="Times New Roman" w:hAnsi="Times New Roman"/>
          <w:highlight w:val="none"/>
        </w:rPr>
        <w:t>法定代表人授权委托书</w:t>
      </w:r>
    </w:p>
    <w:p w14:paraId="1AB483B1">
      <w:pPr>
        <w:tabs>
          <w:tab w:val="left" w:pos="6300"/>
        </w:tabs>
        <w:snapToGrid w:val="0"/>
        <w:spacing w:before="156" w:line="360" w:lineRule="auto"/>
        <w:ind w:firstLine="480"/>
        <w:rPr>
          <w:rFonts w:ascii="Times New Roman" w:hAnsi="Times New Roman"/>
          <w:snapToGrid w:val="0"/>
          <w:kern w:val="0"/>
          <w:highlight w:val="none"/>
        </w:rPr>
      </w:pPr>
    </w:p>
    <w:p w14:paraId="1A2CD580">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45074BD1">
      <w:pPr>
        <w:tabs>
          <w:tab w:val="left" w:pos="6300"/>
        </w:tabs>
        <w:snapToGrid w:val="0"/>
        <w:spacing w:before="156" w:line="360" w:lineRule="auto"/>
        <w:ind w:firstLine="480"/>
        <w:rPr>
          <w:rFonts w:ascii="Times New Roman" w:hAnsi="Times New Roman"/>
          <w:snapToGrid w:val="0"/>
          <w:kern w:val="0"/>
          <w:highlight w:val="none"/>
        </w:rPr>
      </w:pPr>
    </w:p>
    <w:p w14:paraId="43F4733B">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13F58444">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4CDFD269">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4197D857">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在撤消授权的书面通知以前，本授权书一直有效。委托代理人在授权书有效期内签署的所有文件不因授权的撤消而失效。</w:t>
      </w:r>
    </w:p>
    <w:p w14:paraId="79536568">
      <w:pPr>
        <w:tabs>
          <w:tab w:val="left" w:pos="6300"/>
        </w:tabs>
        <w:snapToGrid w:val="0"/>
        <w:spacing w:before="156" w:line="360" w:lineRule="auto"/>
        <w:ind w:firstLine="480"/>
        <w:rPr>
          <w:rFonts w:ascii="Times New Roman" w:hAnsi="Times New Roman"/>
          <w:snapToGrid w:val="0"/>
          <w:kern w:val="0"/>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1DD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F6644E4">
            <w:pPr>
              <w:tabs>
                <w:tab w:val="left" w:pos="6300"/>
              </w:tabs>
              <w:snapToGrid w:val="0"/>
              <w:spacing w:before="156"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616D86EA">
            <w:pPr>
              <w:tabs>
                <w:tab w:val="left" w:pos="6300"/>
              </w:tabs>
              <w:snapToGrid w:val="0"/>
              <w:spacing w:before="156" w:line="360" w:lineRule="auto"/>
              <w:ind w:firstLine="0" w:firstLineChars="0"/>
              <w:rPr>
                <w:rFonts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w:t>
            </w:r>
          </w:p>
        </w:tc>
      </w:tr>
      <w:tr w14:paraId="11E6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E4322BC">
            <w:pPr>
              <w:tabs>
                <w:tab w:val="left" w:pos="6300"/>
              </w:tabs>
              <w:snapToGrid w:val="0"/>
              <w:spacing w:before="156"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2098684E">
            <w:pPr>
              <w:tabs>
                <w:tab w:val="left" w:pos="6300"/>
              </w:tabs>
              <w:snapToGrid w:val="0"/>
              <w:spacing w:before="156"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4989F570">
      <w:pPr>
        <w:tabs>
          <w:tab w:val="left" w:pos="6300"/>
        </w:tabs>
        <w:snapToGrid w:val="0"/>
        <w:spacing w:before="156" w:line="360" w:lineRule="auto"/>
        <w:ind w:firstLine="0" w:firstLineChars="0"/>
        <w:rPr>
          <w:rFonts w:ascii="Times New Roman" w:hAnsi="Times New Roman"/>
          <w:snapToGrid w:val="0"/>
          <w:kern w:val="0"/>
          <w:highlight w:val="none"/>
        </w:rPr>
      </w:pPr>
    </w:p>
    <w:p w14:paraId="4C999A63">
      <w:pPr>
        <w:tabs>
          <w:tab w:val="left" w:pos="6300"/>
        </w:tabs>
        <w:snapToGrid w:val="0"/>
        <w:spacing w:before="156" w:line="360" w:lineRule="auto"/>
        <w:ind w:firstLine="0" w:firstLineChars="0"/>
        <w:rPr>
          <w:rFonts w:ascii="Times New Roman" w:hAnsi="Times New Roman"/>
          <w:snapToGrid w:val="0"/>
          <w:kern w:val="0"/>
          <w:highlight w:val="none"/>
        </w:rPr>
      </w:pPr>
    </w:p>
    <w:p w14:paraId="3BC4937E">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7F5B2635">
      <w:pPr>
        <w:tabs>
          <w:tab w:val="left" w:pos="6300"/>
        </w:tabs>
        <w:snapToGrid w:val="0"/>
        <w:spacing w:before="156" w:line="360" w:lineRule="auto"/>
        <w:ind w:firstLine="480"/>
        <w:rPr>
          <w:rFonts w:ascii="Times New Roman" w:hAnsi="Times New Roman"/>
          <w:snapToGrid w:val="0"/>
          <w:kern w:val="0"/>
          <w:highlight w:val="none"/>
        </w:rPr>
      </w:pPr>
    </w:p>
    <w:p w14:paraId="66D5AC7F">
      <w:pPr>
        <w:tabs>
          <w:tab w:val="left" w:pos="6300"/>
        </w:tabs>
        <w:snapToGrid w:val="0"/>
        <w:spacing w:before="156" w:line="360" w:lineRule="auto"/>
        <w:ind w:firstLine="480"/>
        <w:rPr>
          <w:rFonts w:ascii="Times New Roman" w:hAnsi="Times New Roman"/>
          <w:snapToGrid w:val="0"/>
          <w:kern w:val="0"/>
          <w:highlight w:val="none"/>
        </w:rPr>
      </w:pPr>
    </w:p>
    <w:p w14:paraId="2E477E0C">
      <w:pPr>
        <w:tabs>
          <w:tab w:val="left" w:pos="6300"/>
        </w:tabs>
        <w:snapToGrid w:val="0"/>
        <w:spacing w:before="156" w:line="360" w:lineRule="auto"/>
        <w:ind w:right="240" w:firstLine="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07BB5A25">
      <w:pPr>
        <w:tabs>
          <w:tab w:val="left" w:pos="6300"/>
        </w:tabs>
        <w:snapToGrid w:val="0"/>
        <w:spacing w:before="156" w:line="360" w:lineRule="auto"/>
        <w:ind w:right="240" w:firstLine="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397DF15E">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注：1.若为法定代表人办理并签署参选文件的，不提供此文件。</w:t>
      </w:r>
    </w:p>
    <w:p w14:paraId="2FA17845">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2.若为联合体参选的，法定代表人授权委托书由联合体主办方（主体）出具。</w:t>
      </w:r>
    </w:p>
    <w:p w14:paraId="5EF4E0EE">
      <w:pPr>
        <w:spacing w:before="156"/>
        <w:ind w:firstLine="480"/>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03556969">
      <w:pPr>
        <w:pStyle w:val="30"/>
        <w:spacing w:before="156"/>
        <w:rPr>
          <w:rFonts w:ascii="Times New Roman" w:hAnsi="Times New Roman"/>
          <w:highlight w:val="none"/>
        </w:rPr>
      </w:pPr>
      <w:r>
        <w:rPr>
          <w:rFonts w:hint="eastAsia" w:ascii="Times New Roman" w:hAnsi="Times New Roman"/>
          <w:highlight w:val="none"/>
        </w:rPr>
        <w:t>（三）书面声明</w:t>
      </w:r>
    </w:p>
    <w:p w14:paraId="7EB997C4">
      <w:pPr>
        <w:tabs>
          <w:tab w:val="left" w:pos="6300"/>
        </w:tabs>
        <w:snapToGrid w:val="0"/>
        <w:spacing w:before="156" w:line="360" w:lineRule="auto"/>
        <w:ind w:firstLine="480"/>
        <w:rPr>
          <w:rFonts w:ascii="Times New Roman" w:hAnsi="Times New Roman"/>
          <w:highlight w:val="none"/>
        </w:rPr>
      </w:pPr>
    </w:p>
    <w:p w14:paraId="31002401">
      <w:pPr>
        <w:tabs>
          <w:tab w:val="left" w:pos="6300"/>
        </w:tabs>
        <w:snapToGrid w:val="0"/>
        <w:spacing w:before="156" w:line="360" w:lineRule="auto"/>
        <w:ind w:firstLine="480"/>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6D721732">
      <w:pPr>
        <w:tabs>
          <w:tab w:val="left" w:pos="6300"/>
        </w:tabs>
        <w:snapToGrid w:val="0"/>
        <w:spacing w:before="156" w:line="360" w:lineRule="auto"/>
        <w:ind w:firstLine="480"/>
        <w:rPr>
          <w:rFonts w:ascii="Times New Roman" w:hAnsi="Times New Roman"/>
          <w:highlight w:val="none"/>
        </w:rPr>
      </w:pPr>
    </w:p>
    <w:p w14:paraId="4CF0DB64">
      <w:pPr>
        <w:tabs>
          <w:tab w:val="left" w:pos="6300"/>
        </w:tabs>
        <w:snapToGrid w:val="0"/>
        <w:spacing w:before="156" w:line="360" w:lineRule="auto"/>
        <w:ind w:firstLine="480"/>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4F1D597A">
      <w:pPr>
        <w:tabs>
          <w:tab w:val="left" w:pos="6300"/>
        </w:tabs>
        <w:snapToGrid w:val="0"/>
        <w:spacing w:before="156" w:line="360" w:lineRule="auto"/>
        <w:ind w:firstLine="480"/>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33FE8878">
      <w:pPr>
        <w:tabs>
          <w:tab w:val="left" w:pos="6300"/>
        </w:tabs>
        <w:snapToGrid w:val="0"/>
        <w:spacing w:before="156" w:line="360" w:lineRule="auto"/>
        <w:ind w:firstLine="480"/>
        <w:rPr>
          <w:rFonts w:ascii="Times New Roman" w:hAnsi="Times New Roman"/>
          <w:highlight w:val="none"/>
        </w:rPr>
      </w:pPr>
      <w:r>
        <w:rPr>
          <w:rFonts w:hint="eastAsia" w:ascii="Times New Roman" w:hAnsi="Times New Roman"/>
          <w:highlight w:val="none"/>
        </w:rPr>
        <w:t>特此声明。</w:t>
      </w:r>
    </w:p>
    <w:p w14:paraId="46C633B1">
      <w:pPr>
        <w:tabs>
          <w:tab w:val="left" w:pos="6300"/>
        </w:tabs>
        <w:snapToGrid w:val="0"/>
        <w:spacing w:before="156" w:line="360" w:lineRule="auto"/>
        <w:ind w:firstLine="480"/>
        <w:rPr>
          <w:rFonts w:ascii="Times New Roman" w:hAnsi="Times New Roman"/>
          <w:highlight w:val="none"/>
        </w:rPr>
      </w:pPr>
    </w:p>
    <w:p w14:paraId="3CB9EDCF">
      <w:pPr>
        <w:tabs>
          <w:tab w:val="left" w:pos="6300"/>
        </w:tabs>
        <w:snapToGrid w:val="0"/>
        <w:spacing w:before="156" w:line="360" w:lineRule="auto"/>
        <w:ind w:firstLine="480"/>
        <w:rPr>
          <w:rFonts w:ascii="Times New Roman" w:hAnsi="Times New Roman"/>
          <w:highlight w:val="none"/>
        </w:rPr>
      </w:pPr>
    </w:p>
    <w:p w14:paraId="43E4F63D">
      <w:pPr>
        <w:tabs>
          <w:tab w:val="left" w:pos="6300"/>
        </w:tabs>
        <w:snapToGrid w:val="0"/>
        <w:spacing w:before="156" w:line="360" w:lineRule="auto"/>
        <w:ind w:firstLine="480"/>
        <w:rPr>
          <w:rFonts w:ascii="Times New Roman" w:hAnsi="Times New Roman"/>
          <w:highlight w:val="none"/>
        </w:rPr>
      </w:pPr>
    </w:p>
    <w:p w14:paraId="41C76C69">
      <w:pPr>
        <w:tabs>
          <w:tab w:val="left" w:pos="6300"/>
        </w:tabs>
        <w:snapToGrid w:val="0"/>
        <w:spacing w:before="156" w:line="360" w:lineRule="auto"/>
        <w:ind w:right="240" w:firstLine="480"/>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1A96C15A">
      <w:pPr>
        <w:tabs>
          <w:tab w:val="left" w:pos="6300"/>
        </w:tabs>
        <w:snapToGrid w:val="0"/>
        <w:spacing w:before="156" w:line="360" w:lineRule="auto"/>
        <w:ind w:right="240" w:firstLine="480"/>
        <w:jc w:val="right"/>
        <w:rPr>
          <w:rFonts w:ascii="Times New Roman" w:hAnsi="Times New Roman"/>
          <w:highlight w:val="none"/>
        </w:rPr>
      </w:pPr>
      <w:r>
        <w:rPr>
          <w:rFonts w:hint="eastAsia" w:ascii="Times New Roman" w:hAnsi="Times New Roman"/>
          <w:highlight w:val="none"/>
        </w:rPr>
        <w:t>年   月   日</w:t>
      </w:r>
    </w:p>
    <w:p w14:paraId="24845EEE">
      <w:pPr>
        <w:spacing w:before="156" w:line="360" w:lineRule="auto"/>
        <w:ind w:firstLine="480"/>
        <w:jc w:val="left"/>
        <w:rPr>
          <w:rFonts w:ascii="Times New Roman" w:hAnsi="Times New Roman" w:cs="等线 Light"/>
          <w:snapToGrid w:val="0"/>
          <w:kern w:val="0"/>
          <w:szCs w:val="24"/>
          <w:highlight w:val="none"/>
        </w:rPr>
      </w:pPr>
    </w:p>
    <w:p w14:paraId="053AA403">
      <w:pPr>
        <w:spacing w:before="156" w:line="360" w:lineRule="auto"/>
        <w:ind w:firstLine="480"/>
        <w:jc w:val="left"/>
        <w:rPr>
          <w:rFonts w:ascii="Times New Roman" w:hAnsi="Times New Roman" w:cs="等线 Light"/>
          <w:snapToGrid w:val="0"/>
          <w:kern w:val="0"/>
          <w:szCs w:val="24"/>
          <w:highlight w:val="none"/>
        </w:rPr>
      </w:pPr>
    </w:p>
    <w:p w14:paraId="35B2A882">
      <w:pPr>
        <w:spacing w:before="156" w:line="360" w:lineRule="auto"/>
        <w:ind w:firstLine="480"/>
        <w:jc w:val="left"/>
        <w:rPr>
          <w:rFonts w:ascii="Times New Roman" w:hAnsi="Times New Roman" w:cs="等线 Light"/>
          <w:snapToGrid w:val="0"/>
          <w:kern w:val="0"/>
          <w:szCs w:val="24"/>
          <w:highlight w:val="none"/>
        </w:rPr>
      </w:pPr>
    </w:p>
    <w:p w14:paraId="21F75D84">
      <w:pPr>
        <w:spacing w:before="156" w:line="360" w:lineRule="auto"/>
        <w:ind w:firstLine="480"/>
        <w:jc w:val="left"/>
        <w:rPr>
          <w:rFonts w:ascii="Times New Roman" w:hAnsi="Times New Roman" w:cs="等线 Light"/>
          <w:snapToGrid w:val="0"/>
          <w:kern w:val="0"/>
          <w:szCs w:val="24"/>
          <w:highlight w:val="none"/>
        </w:rPr>
      </w:pPr>
    </w:p>
    <w:p w14:paraId="29CB6613">
      <w:pPr>
        <w:spacing w:before="156" w:line="360" w:lineRule="auto"/>
        <w:ind w:firstLine="480"/>
        <w:jc w:val="left"/>
        <w:rPr>
          <w:rFonts w:ascii="Times New Roman" w:hAnsi="Times New Roman" w:cs="等线 Light"/>
          <w:snapToGrid w:val="0"/>
          <w:kern w:val="0"/>
          <w:szCs w:val="24"/>
          <w:highlight w:val="none"/>
        </w:rPr>
      </w:pPr>
    </w:p>
    <w:p w14:paraId="7B17A790">
      <w:pPr>
        <w:spacing w:before="156" w:line="360" w:lineRule="auto"/>
        <w:ind w:firstLine="480"/>
        <w:jc w:val="left"/>
        <w:rPr>
          <w:rFonts w:ascii="Times New Roman" w:hAnsi="Times New Roman" w:cs="等线 Light"/>
          <w:snapToGrid w:val="0"/>
          <w:kern w:val="0"/>
          <w:szCs w:val="24"/>
          <w:highlight w:val="none"/>
        </w:rPr>
      </w:pPr>
    </w:p>
    <w:p w14:paraId="55843626">
      <w:pPr>
        <w:pStyle w:val="30"/>
        <w:spacing w:before="156"/>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4C1E2CF1">
      <w:pPr>
        <w:ind w:firstLine="480"/>
        <w:rPr>
          <w:rFonts w:ascii="Times New Roman" w:hAnsi="Times New Roman"/>
          <w:highlight w:val="none"/>
        </w:rPr>
      </w:pPr>
      <w:r>
        <w:rPr>
          <w:rFonts w:hint="eastAsia" w:ascii="Times New Roman" w:hAnsi="Times New Roman"/>
          <w:highlight w:val="none"/>
        </w:rPr>
        <w:t>1.法人</w:t>
      </w:r>
      <w:r>
        <w:rPr>
          <w:rFonts w:ascii="Times New Roman" w:hAnsi="Times New Roman"/>
          <w:highlight w:val="none"/>
        </w:rPr>
        <w:t>中国执行信息公开网截图</w:t>
      </w:r>
    </w:p>
    <w:p w14:paraId="3CAEEAEC">
      <w:pPr>
        <w:ind w:firstLine="480"/>
        <w:rPr>
          <w:rFonts w:ascii="Times New Roman" w:hAnsi="Times New Roman"/>
          <w:highlight w:val="none"/>
        </w:rPr>
      </w:pPr>
      <w:r>
        <w:rPr>
          <w:rFonts w:hint="eastAsia" w:ascii="Times New Roman" w:hAnsi="Times New Roman"/>
          <w:highlight w:val="none"/>
        </w:rPr>
        <w:t>2.法定代表人</w:t>
      </w:r>
      <w:r>
        <w:rPr>
          <w:rFonts w:ascii="Times New Roman" w:hAnsi="Times New Roman"/>
          <w:highlight w:val="none"/>
        </w:rPr>
        <w:t>中国执行信息公开网截图</w:t>
      </w:r>
    </w:p>
    <w:p w14:paraId="1D77439E">
      <w:pPr>
        <w:ind w:firstLine="480"/>
        <w:rPr>
          <w:highlight w:val="none"/>
        </w:rPr>
      </w:pPr>
    </w:p>
    <w:p w14:paraId="0369BCC0">
      <w:pPr>
        <w:spacing w:before="156"/>
        <w:ind w:firstLine="480"/>
        <w:rPr>
          <w:rFonts w:ascii="Times New Roman" w:hAnsi="Times New Roman"/>
          <w:highlight w:val="none"/>
        </w:rPr>
      </w:pPr>
    </w:p>
    <w:p w14:paraId="0A7AB5A5">
      <w:pPr>
        <w:spacing w:before="156"/>
        <w:ind w:firstLine="480"/>
        <w:rPr>
          <w:rFonts w:ascii="Times New Roman" w:hAnsi="Times New Roman"/>
          <w:highlight w:val="none"/>
        </w:rPr>
      </w:pPr>
    </w:p>
    <w:p w14:paraId="20972EA5">
      <w:pPr>
        <w:spacing w:before="156"/>
        <w:ind w:firstLine="480"/>
        <w:rPr>
          <w:rFonts w:ascii="Times New Roman" w:hAnsi="Times New Roman"/>
          <w:highlight w:val="none"/>
        </w:rPr>
      </w:pPr>
    </w:p>
    <w:p w14:paraId="62E53027">
      <w:pPr>
        <w:spacing w:before="156"/>
        <w:ind w:firstLine="480"/>
        <w:rPr>
          <w:rFonts w:ascii="Times New Roman" w:hAnsi="Times New Roman"/>
          <w:highlight w:val="none"/>
        </w:rPr>
      </w:pPr>
    </w:p>
    <w:p w14:paraId="0D753B90">
      <w:pPr>
        <w:spacing w:before="156"/>
        <w:ind w:firstLine="480"/>
        <w:rPr>
          <w:rFonts w:ascii="Times New Roman" w:hAnsi="Times New Roman"/>
          <w:highlight w:val="none"/>
        </w:rPr>
      </w:pPr>
    </w:p>
    <w:p w14:paraId="657AAC4C">
      <w:pPr>
        <w:spacing w:before="156"/>
        <w:ind w:firstLine="480"/>
        <w:rPr>
          <w:rFonts w:ascii="Times New Roman" w:hAnsi="Times New Roman"/>
          <w:highlight w:val="none"/>
        </w:rPr>
      </w:pPr>
      <w:r>
        <w:rPr>
          <w:rFonts w:hint="eastAsia" w:ascii="Times New Roman" w:hAnsi="Times New Roman"/>
          <w:highlight w:val="none"/>
        </w:rPr>
        <w:br w:type="page"/>
      </w:r>
    </w:p>
    <w:p w14:paraId="2E30C729">
      <w:pPr>
        <w:pStyle w:val="30"/>
        <w:spacing w:before="156"/>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）项目案例</w:t>
      </w:r>
      <w:r>
        <w:rPr>
          <w:rFonts w:hint="eastAsia" w:ascii="Times New Roman" w:hAnsi="Times New Roman"/>
          <w:highlight w:val="none"/>
        </w:rPr>
        <w:t>和业绩证明文件复印件</w:t>
      </w:r>
    </w:p>
    <w:p w14:paraId="340419C0">
      <w:pPr>
        <w:spacing w:before="156"/>
        <w:ind w:firstLine="480"/>
        <w:jc w:val="center"/>
        <w:rPr>
          <w:rFonts w:ascii="Times New Roman" w:hAnsi="Times New Roman"/>
          <w:highlight w:val="none"/>
          <w:lang w:val="zh-CN"/>
        </w:rPr>
        <w:sectPr>
          <w:pgSz w:w="11906" w:h="16838"/>
          <w:pgMar w:top="1440" w:right="1800" w:bottom="1440" w:left="1800" w:header="851" w:footer="992" w:gutter="0"/>
          <w:cols w:space="720" w:num="1"/>
          <w:docGrid w:type="lines" w:linePitch="312" w:charSpace="0"/>
        </w:sectPr>
      </w:pPr>
    </w:p>
    <w:p w14:paraId="0322C12A">
      <w:pPr>
        <w:numPr>
          <w:ilvl w:val="0"/>
          <w:numId w:val="30"/>
        </w:numPr>
        <w:spacing w:before="156"/>
        <w:ind w:right="240" w:rightChars="100" w:firstLine="480"/>
        <w:jc w:val="center"/>
        <w:outlineLvl w:val="2"/>
        <w:rPr>
          <w:rFonts w:ascii="Times New Roman" w:hAnsi="Times New Roman"/>
          <w:highlight w:val="none"/>
        </w:rPr>
      </w:pPr>
      <w:r>
        <w:rPr>
          <w:rFonts w:ascii="Times New Roman" w:hAnsi="Times New Roman"/>
          <w:highlight w:val="none"/>
        </w:rPr>
        <w:t>网络布线产品</w:t>
      </w:r>
      <w:r>
        <w:rPr>
          <w:rFonts w:hint="eastAsia" w:ascii="Times New Roman" w:hAnsi="Times New Roman"/>
          <w:highlight w:val="none"/>
        </w:rPr>
        <w:t>制造商出具的授权文件</w:t>
      </w:r>
    </w:p>
    <w:p w14:paraId="675907F3">
      <w:pPr>
        <w:numPr>
          <w:ilvl w:val="255"/>
          <w:numId w:val="0"/>
        </w:numPr>
        <w:spacing w:before="156"/>
        <w:ind w:right="240" w:rightChars="100"/>
        <w:rPr>
          <w:rFonts w:ascii="Times New Roman" w:hAnsi="Times New Roman"/>
          <w:highlight w:val="none"/>
        </w:rPr>
      </w:pPr>
      <w:r>
        <w:rPr>
          <w:rFonts w:hint="eastAsia" w:ascii="Times New Roman" w:hAnsi="Times New Roman"/>
          <w:highlight w:val="none"/>
        </w:rPr>
        <w:t>注：加盖公章</w:t>
      </w:r>
    </w:p>
    <w:p w14:paraId="5D92EF1D">
      <w:pPr>
        <w:spacing w:before="156"/>
        <w:ind w:firstLine="480"/>
        <w:jc w:val="center"/>
        <w:rPr>
          <w:rFonts w:ascii="Times New Roman" w:hAnsi="Times New Roman"/>
          <w:highlight w:val="none"/>
        </w:rPr>
      </w:pPr>
    </w:p>
    <w:p w14:paraId="68EC0359">
      <w:pPr>
        <w:spacing w:before="156"/>
        <w:ind w:firstLine="480"/>
        <w:rPr>
          <w:rFonts w:ascii="Times New Roman" w:hAnsi="Times New Roman"/>
          <w:highlight w:val="none"/>
        </w:rPr>
      </w:pPr>
    </w:p>
    <w:p w14:paraId="4149690A">
      <w:pPr>
        <w:spacing w:before="156"/>
        <w:ind w:firstLine="480"/>
        <w:rPr>
          <w:rFonts w:ascii="Times New Roman" w:hAnsi="Times New Roman"/>
          <w:highlight w:val="none"/>
        </w:rPr>
      </w:pPr>
    </w:p>
    <w:p w14:paraId="4F94F71A">
      <w:pPr>
        <w:spacing w:before="156"/>
        <w:ind w:firstLine="480"/>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5C0FE100">
      <w:pPr>
        <w:numPr>
          <w:ilvl w:val="0"/>
          <w:numId w:val="31"/>
        </w:numPr>
        <w:spacing w:before="156"/>
        <w:ind w:right="240" w:rightChars="100" w:firstLine="480"/>
        <w:jc w:val="center"/>
        <w:outlineLvl w:val="2"/>
        <w:rPr>
          <w:rFonts w:ascii="Times New Roman" w:hAnsi="Times New Roman"/>
          <w:highlight w:val="none"/>
        </w:rPr>
      </w:pPr>
      <w:r>
        <w:rPr>
          <w:rFonts w:ascii="Times New Roman" w:hAnsi="Times New Roman"/>
          <w:highlight w:val="none"/>
        </w:rPr>
        <w:t>网络布线产品制造商出具的售后服务质保承诺函</w:t>
      </w:r>
    </w:p>
    <w:p w14:paraId="68379B1C">
      <w:pPr>
        <w:widowControl/>
        <w:autoSpaceDE/>
        <w:autoSpaceDN/>
        <w:spacing w:before="156" w:line="240" w:lineRule="auto"/>
        <w:ind w:firstLine="0" w:firstLineChars="0"/>
        <w:jc w:val="left"/>
        <w:rPr>
          <w:rFonts w:ascii="Times New Roman" w:hAnsi="Times New Roman"/>
          <w:bCs/>
          <w:szCs w:val="32"/>
          <w:highlight w:val="none"/>
        </w:rPr>
      </w:pPr>
      <w:r>
        <w:rPr>
          <w:rFonts w:ascii="Times New Roman" w:hAnsi="Times New Roman"/>
          <w:highlight w:val="none"/>
        </w:rPr>
        <w:br w:type="page"/>
      </w:r>
    </w:p>
    <w:p w14:paraId="38466068">
      <w:pPr>
        <w:numPr>
          <w:ilvl w:val="0"/>
          <w:numId w:val="31"/>
        </w:numPr>
        <w:spacing w:before="156"/>
        <w:ind w:right="240" w:rightChars="100" w:firstLine="480"/>
        <w:jc w:val="center"/>
        <w:outlineLvl w:val="2"/>
        <w:rPr>
          <w:rFonts w:ascii="Times New Roman" w:hAnsi="Times New Roman"/>
          <w:highlight w:val="none"/>
        </w:rPr>
      </w:pPr>
      <w:r>
        <w:rPr>
          <w:rFonts w:hint="eastAsia" w:ascii="Times New Roman" w:hAnsi="Times New Roman"/>
          <w:highlight w:val="none"/>
        </w:rPr>
        <w:t>测试报告</w:t>
      </w:r>
    </w:p>
    <w:p w14:paraId="7A80DC71">
      <w:pPr>
        <w:spacing w:before="156"/>
        <w:ind w:right="240" w:rightChars="100" w:firstLine="0" w:firstLineChars="0"/>
        <w:jc w:val="center"/>
        <w:outlineLvl w:val="2"/>
        <w:rPr>
          <w:rFonts w:ascii="Times New Roman" w:hAnsi="Times New Roman"/>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highlight w:val="none"/>
        </w:rPr>
        <w:t>注：此处为第一章2.12要求的所有测试报告</w:t>
      </w:r>
    </w:p>
    <w:p w14:paraId="704E015B">
      <w:pPr>
        <w:spacing w:before="156"/>
        <w:ind w:right="240" w:rightChars="100" w:firstLine="0" w:firstLineChars="0"/>
        <w:jc w:val="center"/>
        <w:outlineLvl w:val="2"/>
        <w:rPr>
          <w:rFonts w:ascii="Times New Roman" w:hAnsi="Times New Roman"/>
          <w:highlight w:val="none"/>
        </w:rPr>
      </w:pPr>
      <w:r>
        <w:rPr>
          <w:rFonts w:hint="eastAsia" w:ascii="Times New Roman" w:hAnsi="Times New Roman"/>
          <w:highlight w:val="none"/>
        </w:rPr>
        <w:t>（九）</w:t>
      </w:r>
      <w:r>
        <w:rPr>
          <w:rFonts w:hint="eastAsia" w:ascii="Times New Roman" w:hAnsi="Times New Roman"/>
          <w:szCs w:val="32"/>
          <w:highlight w:val="none"/>
        </w:rPr>
        <w:t>其它（如有）</w:t>
      </w:r>
    </w:p>
    <w:p w14:paraId="7B96E954">
      <w:pPr>
        <w:spacing w:before="156"/>
        <w:ind w:firstLine="480"/>
        <w:rPr>
          <w:rFonts w:ascii="Times New Roman" w:hAnsi="Times New Roman"/>
          <w:highlight w:val="none"/>
        </w:rPr>
      </w:pPr>
    </w:p>
    <w:p w14:paraId="678243A9">
      <w:pPr>
        <w:spacing w:before="156"/>
        <w:ind w:firstLine="0" w:firstLineChars="0"/>
        <w:rPr>
          <w:rFonts w:ascii="Times New Roman" w:hAnsi="Times New Roman"/>
          <w:highlight w:val="none"/>
          <w:lang w:val="zh-CN"/>
        </w:rPr>
      </w:pPr>
    </w:p>
    <w:p w14:paraId="0B6A85E3">
      <w:pPr>
        <w:spacing w:before="156"/>
        <w:ind w:firstLine="0" w:firstLineChars="0"/>
        <w:rPr>
          <w:rFonts w:ascii="Times New Roman" w:hAnsi="Times New Roman"/>
          <w:highlight w:val="none"/>
          <w:lang w:val="zh-CN"/>
        </w:rPr>
      </w:pPr>
    </w:p>
    <w:p w14:paraId="109F00A0">
      <w:pPr>
        <w:widowControl/>
        <w:autoSpaceDE/>
        <w:autoSpaceDN/>
        <w:spacing w:before="156" w:line="240" w:lineRule="auto"/>
        <w:ind w:firstLine="0" w:firstLineChars="0"/>
        <w:jc w:val="left"/>
        <w:rPr>
          <w:rFonts w:ascii="Times New Roman" w:hAnsi="Times New Roman"/>
          <w:b/>
          <w:sz w:val="28"/>
          <w:highlight w:val="none"/>
        </w:rPr>
      </w:pPr>
      <w:r>
        <w:rPr>
          <w:rFonts w:ascii="Times New Roman" w:hAnsi="Times New Roman"/>
          <w:highlight w:val="none"/>
        </w:rPr>
        <w:br w:type="page"/>
      </w:r>
    </w:p>
    <w:p w14:paraId="3EE7C594">
      <w:pPr>
        <w:pStyle w:val="29"/>
        <w:spacing w:before="156"/>
        <w:rPr>
          <w:rFonts w:hint="default" w:ascii="Times New Roman" w:hAnsi="Times New Roman"/>
          <w:highlight w:val="none"/>
        </w:rPr>
      </w:pPr>
      <w:r>
        <w:rPr>
          <w:rFonts w:ascii="Times New Roman" w:hAnsi="Times New Roman"/>
          <w:highlight w:val="none"/>
        </w:rPr>
        <w:t>四、响应性文件</w:t>
      </w:r>
    </w:p>
    <w:p w14:paraId="5C93953B">
      <w:pPr>
        <w:pStyle w:val="30"/>
        <w:spacing w:before="156"/>
        <w:rPr>
          <w:rFonts w:ascii="Times New Roman" w:hAnsi="Times New Roman"/>
          <w:highlight w:val="none"/>
        </w:rPr>
      </w:pPr>
      <w:r>
        <w:rPr>
          <w:rFonts w:hint="eastAsia" w:ascii="Times New Roman" w:hAnsi="Times New Roman"/>
          <w:highlight w:val="none"/>
        </w:rPr>
        <w:t>（一）响应承诺函</w:t>
      </w:r>
    </w:p>
    <w:p w14:paraId="24D0E9CD">
      <w:pPr>
        <w:ind w:firstLine="480"/>
        <w:rPr>
          <w:highlight w:val="none"/>
        </w:rPr>
      </w:pPr>
      <w:r>
        <w:rPr>
          <w:rFonts w:hint="eastAsia" w:ascii="宋体"/>
          <w:szCs w:val="28"/>
          <w:highlight w:val="none"/>
        </w:rPr>
        <w:t>项目名称</w:t>
      </w:r>
      <w:r>
        <w:rPr>
          <w:rFonts w:hint="eastAsia" w:ascii="宋体"/>
          <w:highlight w:val="none"/>
        </w:rPr>
        <w:t>：</w:t>
      </w:r>
    </w:p>
    <w:p w14:paraId="7DA6307D">
      <w:pPr>
        <w:autoSpaceDE/>
        <w:autoSpaceDN/>
        <w:ind w:firstLine="360"/>
        <w:rPr>
          <w:rFonts w:ascii="Times New Roman" w:hAnsi="Times New Roman" w:cs="Times New Roman"/>
          <w:sz w:val="18"/>
          <w:szCs w:val="18"/>
          <w:highlight w:val="none"/>
        </w:rPr>
      </w:pPr>
    </w:p>
    <w:p w14:paraId="6B9F3580">
      <w:pPr>
        <w:pStyle w:val="30"/>
        <w:ind w:firstLine="480" w:firstLineChars="200"/>
        <w:jc w:val="left"/>
        <w:outlineLvl w:val="9"/>
        <w:rPr>
          <w:highlight w:val="none"/>
        </w:rPr>
      </w:pPr>
      <w:r>
        <w:rPr>
          <w:rFonts w:hint="eastAsia"/>
          <w:highlight w:val="none"/>
        </w:rPr>
        <w:t>致：重庆三峡银行股份有限公司：</w:t>
      </w:r>
    </w:p>
    <w:p w14:paraId="55D466B6">
      <w:pPr>
        <w:ind w:firstLine="480"/>
        <w:rPr>
          <w:highlight w:val="none"/>
          <w:lang w:val="zh-CN"/>
        </w:rPr>
      </w:pPr>
    </w:p>
    <w:p w14:paraId="50752DA8">
      <w:pPr>
        <w:ind w:firstLine="480"/>
        <w:rPr>
          <w:highlight w:val="none"/>
        </w:rPr>
      </w:pPr>
      <w:r>
        <w:rPr>
          <w:rFonts w:hint="eastAsia"/>
          <w:highlight w:val="none"/>
        </w:rPr>
        <w:t>我公司郑重承诺，完全满足第三章“项目要求”所有内容。</w:t>
      </w:r>
    </w:p>
    <w:p w14:paraId="3A656232">
      <w:pPr>
        <w:ind w:firstLine="480"/>
        <w:rPr>
          <w:rFonts w:ascii="Times New Roman" w:hAnsi="Times New Roman" w:cs="Times New Roman"/>
          <w:highlight w:val="none"/>
          <w:lang w:val="zh-CN"/>
        </w:rPr>
      </w:pPr>
    </w:p>
    <w:p w14:paraId="5E74DBAC">
      <w:pPr>
        <w:spacing w:line="480" w:lineRule="exact"/>
        <w:ind w:firstLine="0" w:firstLineChars="0"/>
        <w:rPr>
          <w:highlight w:val="none"/>
        </w:rPr>
      </w:pPr>
      <w:r>
        <w:rPr>
          <w:rFonts w:hint="eastAsia"/>
          <w:highlight w:val="none"/>
        </w:rPr>
        <w:t>特此承诺。</w:t>
      </w:r>
    </w:p>
    <w:p w14:paraId="441C4893">
      <w:pPr>
        <w:ind w:firstLine="480"/>
        <w:rPr>
          <w:rFonts w:ascii="Times New Roman" w:hAnsi="Times New Roman" w:cs="Times New Roman"/>
          <w:highlight w:val="none"/>
          <w:lang w:val="zh-CN"/>
        </w:rPr>
      </w:pPr>
    </w:p>
    <w:p w14:paraId="0C19093F">
      <w:pPr>
        <w:ind w:firstLine="480"/>
        <w:rPr>
          <w:rFonts w:ascii="Times New Roman" w:hAnsi="Times New Roman" w:cs="Times New Roman"/>
          <w:highlight w:val="none"/>
        </w:rPr>
      </w:pPr>
    </w:p>
    <w:p w14:paraId="37846132">
      <w:pPr>
        <w:tabs>
          <w:tab w:val="left" w:pos="6300"/>
        </w:tabs>
        <w:snapToGrid w:val="0"/>
        <w:spacing w:line="480" w:lineRule="exact"/>
        <w:ind w:right="424" w:firstLine="480"/>
        <w:jc w:val="right"/>
        <w:rPr>
          <w:rFonts w:ascii="宋体"/>
          <w:highlight w:val="none"/>
        </w:rPr>
      </w:pPr>
      <w:r>
        <w:rPr>
          <w:rFonts w:hint="eastAsia" w:ascii="宋体"/>
          <w:highlight w:val="none"/>
        </w:rPr>
        <w:t>（</w:t>
      </w:r>
      <w:r>
        <w:rPr>
          <w:rFonts w:hint="eastAsia" w:ascii="宋体" w:cs="等线 Light"/>
          <w:snapToGrid w:val="0"/>
          <w:kern w:val="0"/>
          <w:szCs w:val="24"/>
          <w:highlight w:val="none"/>
        </w:rPr>
        <w:t>参选</w:t>
      </w:r>
      <w:r>
        <w:rPr>
          <w:rFonts w:hint="eastAsia" w:ascii="宋体"/>
          <w:highlight w:val="none"/>
        </w:rPr>
        <w:t>人公章）</w:t>
      </w:r>
    </w:p>
    <w:p w14:paraId="2EAEA52F">
      <w:pPr>
        <w:pStyle w:val="30"/>
        <w:outlineLvl w:val="9"/>
        <w:rPr>
          <w:rFonts w:ascii="宋体"/>
          <w:highlight w:val="none"/>
        </w:rPr>
        <w:sectPr>
          <w:pgSz w:w="11907" w:h="16840"/>
          <w:pgMar w:top="1440" w:right="1145" w:bottom="1440" w:left="1797" w:header="964" w:footer="992" w:gutter="0"/>
          <w:cols w:space="720" w:num="1"/>
          <w:docGrid w:type="linesAndChars" w:linePitch="380" w:charSpace="0"/>
        </w:sectPr>
      </w:pPr>
      <w:r>
        <w:rPr>
          <w:rFonts w:hint="eastAsia" w:ascii="宋体"/>
          <w:highlight w:val="none"/>
        </w:rPr>
        <w:t xml:space="preserve">                                                       年   月   日</w:t>
      </w:r>
    </w:p>
    <w:p w14:paraId="27FCD9D0">
      <w:pPr>
        <w:pStyle w:val="29"/>
        <w:outlineLvl w:val="2"/>
        <w:rPr>
          <w:rFonts w:hint="default" w:ascii="Times New Roman" w:hAnsi="Times New Roman"/>
          <w:highlight w:val="none"/>
        </w:rPr>
      </w:pPr>
      <w:r>
        <w:rPr>
          <w:rFonts w:ascii="Times New Roman" w:hAnsi="Times New Roman"/>
          <w:highlight w:val="none"/>
        </w:rPr>
        <w:t>（二）服务连续性预案</w:t>
      </w:r>
    </w:p>
    <w:p w14:paraId="2A3CCC51">
      <w:pPr>
        <w:ind w:firstLine="0" w:firstLineChars="0"/>
        <w:jc w:val="center"/>
        <w:rPr>
          <w:rFonts w:ascii="Times New Roman" w:hAnsi="Times New Roman"/>
          <w:highlight w:val="none"/>
        </w:rPr>
      </w:pPr>
      <w:r>
        <w:rPr>
          <w:rFonts w:hint="eastAsia" w:ascii="Times New Roman" w:hAnsi="Times New Roman"/>
          <w:highlight w:val="none"/>
        </w:rPr>
        <w:t>（应考虑供应链风险产生的影响）</w:t>
      </w:r>
    </w:p>
    <w:p w14:paraId="79770B66">
      <w:pPr>
        <w:ind w:firstLine="480"/>
        <w:rPr>
          <w:rFonts w:ascii="Times New Roman" w:hAnsi="Times New Roman"/>
          <w:highlight w:val="none"/>
        </w:rPr>
      </w:pPr>
    </w:p>
    <w:p w14:paraId="30E1AF1F">
      <w:pPr>
        <w:ind w:firstLine="480"/>
        <w:rPr>
          <w:highlight w:val="none"/>
        </w:rPr>
        <w:sectPr>
          <w:pgSz w:w="11907" w:h="16840"/>
          <w:pgMar w:top="1440" w:right="1145" w:bottom="1440" w:left="1797" w:header="964" w:footer="992" w:gutter="0"/>
          <w:cols w:space="720" w:num="1"/>
          <w:docGrid w:type="linesAndChars" w:linePitch="380" w:charSpace="0"/>
        </w:sectPr>
      </w:pPr>
    </w:p>
    <w:p w14:paraId="1ED81192">
      <w:pPr>
        <w:pStyle w:val="29"/>
        <w:spacing w:before="156"/>
        <w:rPr>
          <w:rFonts w:hint="default" w:ascii="Times New Roman" w:hAnsi="Times New Roman"/>
          <w:highlight w:val="none"/>
        </w:rPr>
      </w:pPr>
      <w:r>
        <w:rPr>
          <w:rFonts w:ascii="Times New Roman" w:hAnsi="Times New Roman"/>
          <w:highlight w:val="none"/>
        </w:rPr>
        <w:t>五、参选保证金</w:t>
      </w:r>
    </w:p>
    <w:p w14:paraId="6226C449">
      <w:pPr>
        <w:spacing w:before="156" w:line="360" w:lineRule="auto"/>
        <w:ind w:firstLine="480"/>
        <w:rPr>
          <w:rFonts w:ascii="Times New Roman" w:hAnsi="Times New Roman" w:cs="等线 Light"/>
          <w:highlight w:val="none"/>
        </w:rPr>
      </w:pPr>
    </w:p>
    <w:p w14:paraId="044511D8">
      <w:pPr>
        <w:spacing w:before="156" w:line="360" w:lineRule="auto"/>
        <w:ind w:firstLine="480"/>
        <w:rPr>
          <w:rFonts w:ascii="Times New Roman" w:hAnsi="Times New Roman" w:cs="等线 Light"/>
          <w:highlight w:val="none"/>
        </w:rPr>
      </w:pPr>
    </w:p>
    <w:p w14:paraId="68CA3F78">
      <w:pPr>
        <w:spacing w:before="156" w:line="360" w:lineRule="auto"/>
        <w:ind w:firstLine="480"/>
        <w:rPr>
          <w:rFonts w:ascii="Times New Roman" w:hAnsi="Times New Roman" w:cs="等线 Light"/>
          <w:highlight w:val="none"/>
        </w:rPr>
      </w:pPr>
    </w:p>
    <w:p w14:paraId="31F1BAAF">
      <w:pPr>
        <w:spacing w:before="156" w:line="360" w:lineRule="auto"/>
        <w:ind w:firstLine="480"/>
        <w:rPr>
          <w:rFonts w:ascii="Times New Roman" w:hAnsi="Times New Roman" w:cs="等线 Light"/>
          <w:highlight w:val="none"/>
        </w:rPr>
      </w:pPr>
    </w:p>
    <w:p w14:paraId="2193881E">
      <w:pPr>
        <w:spacing w:before="156" w:line="360" w:lineRule="auto"/>
        <w:ind w:firstLine="480"/>
        <w:rPr>
          <w:rFonts w:ascii="Times New Roman" w:hAnsi="Times New Roman" w:cs="等线 Light"/>
          <w:highlight w:val="none"/>
        </w:rPr>
      </w:pPr>
    </w:p>
    <w:p w14:paraId="33D9B7BF">
      <w:pPr>
        <w:spacing w:before="156" w:line="360" w:lineRule="auto"/>
        <w:ind w:firstLine="480"/>
        <w:rPr>
          <w:rFonts w:ascii="Times New Roman" w:hAnsi="Times New Roman" w:cs="等线 Light"/>
          <w:highlight w:val="none"/>
        </w:rPr>
      </w:pPr>
    </w:p>
    <w:p w14:paraId="426AF3DA">
      <w:pPr>
        <w:spacing w:before="156" w:line="360" w:lineRule="auto"/>
        <w:ind w:firstLine="480"/>
        <w:rPr>
          <w:rFonts w:ascii="Times New Roman" w:hAnsi="Times New Roman" w:cs="等线 Light"/>
          <w:highlight w:val="none"/>
        </w:rPr>
      </w:pPr>
    </w:p>
    <w:p w14:paraId="1C19C764">
      <w:pPr>
        <w:spacing w:before="156" w:line="360" w:lineRule="auto"/>
        <w:ind w:firstLine="480"/>
        <w:rPr>
          <w:rFonts w:ascii="Times New Roman" w:hAnsi="Times New Roman" w:cs="等线 Light"/>
          <w:highlight w:val="none"/>
        </w:rPr>
      </w:pPr>
    </w:p>
    <w:p w14:paraId="24030EF6">
      <w:pPr>
        <w:spacing w:before="156" w:line="360" w:lineRule="auto"/>
        <w:ind w:firstLine="480"/>
        <w:rPr>
          <w:rFonts w:ascii="Times New Roman" w:hAnsi="Times New Roman" w:cs="等线 Light"/>
          <w:highlight w:val="none"/>
        </w:rPr>
      </w:pPr>
    </w:p>
    <w:p w14:paraId="2461BFB9">
      <w:pPr>
        <w:spacing w:before="156" w:line="360" w:lineRule="auto"/>
        <w:ind w:firstLine="480"/>
        <w:rPr>
          <w:rFonts w:ascii="Times New Roman" w:hAnsi="Times New Roman" w:cs="等线 Light"/>
          <w:highlight w:val="none"/>
        </w:rPr>
      </w:pPr>
    </w:p>
    <w:p w14:paraId="5504D334">
      <w:pPr>
        <w:spacing w:before="156" w:line="360" w:lineRule="auto"/>
        <w:ind w:firstLine="480"/>
        <w:rPr>
          <w:rFonts w:ascii="Times New Roman" w:hAnsi="Times New Roman" w:cs="等线 Light"/>
          <w:highlight w:val="none"/>
        </w:rPr>
      </w:pPr>
    </w:p>
    <w:p w14:paraId="3527582B">
      <w:pPr>
        <w:spacing w:before="156" w:line="360" w:lineRule="auto"/>
        <w:ind w:firstLine="480"/>
        <w:rPr>
          <w:rFonts w:ascii="Times New Roman" w:hAnsi="Times New Roman" w:cs="等线 Light"/>
          <w:highlight w:val="none"/>
        </w:rPr>
      </w:pPr>
    </w:p>
    <w:p w14:paraId="416E4123">
      <w:pPr>
        <w:spacing w:before="156" w:line="360" w:lineRule="auto"/>
        <w:ind w:firstLine="480"/>
        <w:rPr>
          <w:rFonts w:ascii="Times New Roman" w:hAnsi="Times New Roman" w:cs="等线 Light"/>
          <w:highlight w:val="none"/>
        </w:rPr>
      </w:pPr>
    </w:p>
    <w:p w14:paraId="3DC5BB8C">
      <w:pPr>
        <w:spacing w:before="156" w:line="360" w:lineRule="auto"/>
        <w:ind w:firstLine="480"/>
        <w:rPr>
          <w:rFonts w:ascii="Times New Roman" w:hAnsi="Times New Roman" w:cs="等线 Light"/>
          <w:highlight w:val="none"/>
        </w:rPr>
      </w:pPr>
    </w:p>
    <w:p w14:paraId="65B8CFE9">
      <w:pPr>
        <w:spacing w:before="156" w:line="360" w:lineRule="auto"/>
        <w:ind w:firstLine="480"/>
        <w:rPr>
          <w:rFonts w:ascii="Times New Roman" w:hAnsi="Times New Roman" w:cs="等线 Light"/>
          <w:highlight w:val="none"/>
        </w:rPr>
      </w:pPr>
    </w:p>
    <w:p w14:paraId="7E0D069E">
      <w:pPr>
        <w:spacing w:before="156" w:line="360" w:lineRule="auto"/>
        <w:ind w:firstLine="480"/>
        <w:rPr>
          <w:rFonts w:ascii="Times New Roman" w:hAnsi="Times New Roman" w:cs="等线 Light"/>
          <w:highlight w:val="none"/>
        </w:rPr>
      </w:pPr>
    </w:p>
    <w:p w14:paraId="54C3C798">
      <w:pPr>
        <w:spacing w:before="156" w:line="360" w:lineRule="auto"/>
        <w:ind w:firstLine="480"/>
        <w:rPr>
          <w:rFonts w:ascii="Times New Roman" w:hAnsi="Times New Roman" w:cs="等线 Light"/>
          <w:highlight w:val="none"/>
        </w:rPr>
      </w:pPr>
    </w:p>
    <w:p w14:paraId="75CCF725">
      <w:pPr>
        <w:spacing w:before="156" w:line="360" w:lineRule="auto"/>
        <w:ind w:firstLine="480"/>
        <w:rPr>
          <w:rFonts w:ascii="Times New Roman" w:hAnsi="Times New Roman" w:cs="等线 Light"/>
          <w:highlight w:val="none"/>
        </w:rPr>
      </w:pPr>
    </w:p>
    <w:p w14:paraId="533239FB">
      <w:pPr>
        <w:adjustRightInd w:val="0"/>
        <w:snapToGrid w:val="0"/>
        <w:spacing w:before="156" w:line="360" w:lineRule="auto"/>
        <w:ind w:firstLine="480"/>
        <w:jc w:val="left"/>
        <w:rPr>
          <w:rFonts w:ascii="Times New Roman" w:hAnsi="Times New Roman"/>
          <w:kern w:val="0"/>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48E72F9E">
      <w:pPr>
        <w:tabs>
          <w:tab w:val="left" w:pos="6300"/>
        </w:tabs>
        <w:snapToGrid w:val="0"/>
        <w:spacing w:before="156"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注：附</w:t>
      </w:r>
      <w:r>
        <w:rPr>
          <w:rFonts w:hint="eastAsia" w:ascii="Times New Roman" w:hAnsi="Times New Roman" w:cs="等线 Light"/>
          <w:snapToGrid w:val="0"/>
          <w:kern w:val="0"/>
          <w:szCs w:val="24"/>
          <w:highlight w:val="none"/>
        </w:rPr>
        <w:t>参选</w:t>
      </w:r>
      <w:r>
        <w:rPr>
          <w:rFonts w:hint="eastAsia" w:ascii="Times New Roman" w:hAnsi="Times New Roman"/>
          <w:snapToGrid w:val="0"/>
          <w:kern w:val="0"/>
          <w:highlight w:val="none"/>
        </w:rPr>
        <w:t>保证金交款凭据复印件</w:t>
      </w:r>
    </w:p>
    <w:p w14:paraId="3772CFF3">
      <w:pPr>
        <w:widowControl/>
        <w:autoSpaceDE/>
        <w:autoSpaceDN/>
        <w:spacing w:line="240" w:lineRule="auto"/>
        <w:ind w:firstLine="0" w:firstLineChars="0"/>
        <w:jc w:val="left"/>
        <w:rPr>
          <w:rFonts w:ascii="Times New Roman" w:hAnsi="Times New Roman"/>
          <w:highlight w:val="none"/>
        </w:rPr>
      </w:pPr>
    </w:p>
    <w:p w14:paraId="4AA06E46">
      <w:pPr>
        <w:widowControl/>
        <w:autoSpaceDE/>
        <w:autoSpaceDN/>
        <w:spacing w:line="240" w:lineRule="auto"/>
        <w:ind w:firstLine="480"/>
        <w:jc w:val="center"/>
        <w:outlineLvl w:val="1"/>
        <w:rPr>
          <w:rFonts w:ascii="Times New Roman" w:hAnsi="Times New Roman"/>
          <w:highlight w:val="none"/>
        </w:rPr>
      </w:pPr>
      <w:r>
        <w:rPr>
          <w:rFonts w:hint="eastAsia" w:ascii="Times New Roman" w:hAnsi="Times New Roman"/>
          <w:highlight w:val="none"/>
        </w:rPr>
        <w:t>六</w:t>
      </w:r>
      <w:r>
        <w:rPr>
          <w:rFonts w:ascii="Times New Roman" w:hAnsi="Times New Roman"/>
          <w:highlight w:val="none"/>
        </w:rPr>
        <w:t>、其他（如有）</w:t>
      </w:r>
    </w:p>
    <w:p w14:paraId="07B35AD6">
      <w:pPr>
        <w:spacing w:before="156"/>
        <w:ind w:firstLine="480"/>
        <w:rPr>
          <w:rFonts w:ascii="Times New Roman" w:hAnsi="Times New Roman"/>
          <w:highlight w:val="none"/>
        </w:rPr>
      </w:pPr>
    </w:p>
    <w:p w14:paraId="06B06A56">
      <w:pPr>
        <w:spacing w:before="156"/>
        <w:ind w:firstLine="480"/>
        <w:rPr>
          <w:rFonts w:ascii="Times New Roman" w:hAnsi="Times New Roman"/>
          <w:highlight w:val="none"/>
        </w:rPr>
      </w:pPr>
    </w:p>
    <w:p w14:paraId="38EC0743">
      <w:pPr>
        <w:spacing w:before="156"/>
        <w:ind w:right="240" w:firstLine="0" w:firstLineChars="0"/>
        <w:rPr>
          <w:rFonts w:ascii="Times New Roman" w:hAnsi="Times New Roman"/>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C556">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7460215"/>
    </w:sdtPr>
    <w:sdtContent>
      <w:p w14:paraId="59863A34">
        <w:pPr>
          <w:pStyle w:val="11"/>
          <w:spacing w:before="120"/>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642F">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3544F"/>
    <w:multiLevelType w:val="singleLevel"/>
    <w:tmpl w:val="83C3544F"/>
    <w:lvl w:ilvl="0" w:tentative="0">
      <w:start w:val="7"/>
      <w:numFmt w:val="chineseCounting"/>
      <w:suff w:val="nothing"/>
      <w:lvlText w:val="（%1）"/>
      <w:lvlJc w:val="left"/>
      <w:rPr>
        <w:rFonts w:hint="eastAsia"/>
      </w:rPr>
    </w:lvl>
  </w:abstractNum>
  <w:abstractNum w:abstractNumId="1">
    <w:nsid w:val="05890471"/>
    <w:multiLevelType w:val="multilevel"/>
    <w:tmpl w:val="05890471"/>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
    <w:nsid w:val="07713A9C"/>
    <w:multiLevelType w:val="multilevel"/>
    <w:tmpl w:val="07713A9C"/>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3">
    <w:nsid w:val="083BBA46"/>
    <w:multiLevelType w:val="singleLevel"/>
    <w:tmpl w:val="083BBA46"/>
    <w:lvl w:ilvl="0" w:tentative="0">
      <w:start w:val="8"/>
      <w:numFmt w:val="decimal"/>
      <w:suff w:val="space"/>
      <w:lvlText w:val="%1."/>
      <w:lvlJc w:val="left"/>
    </w:lvl>
  </w:abstractNum>
  <w:abstractNum w:abstractNumId="4">
    <w:nsid w:val="08A5548B"/>
    <w:multiLevelType w:val="multilevel"/>
    <w:tmpl w:val="08A5548B"/>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5">
    <w:nsid w:val="11575EF6"/>
    <w:multiLevelType w:val="multilevel"/>
    <w:tmpl w:val="11575EF6"/>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6">
    <w:nsid w:val="1A0262E9"/>
    <w:multiLevelType w:val="multilevel"/>
    <w:tmpl w:val="1A0262E9"/>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7">
    <w:nsid w:val="1B66BE4D"/>
    <w:multiLevelType w:val="singleLevel"/>
    <w:tmpl w:val="1B66BE4D"/>
    <w:lvl w:ilvl="0" w:tentative="0">
      <w:start w:val="7"/>
      <w:numFmt w:val="chineseCounting"/>
      <w:suff w:val="nothing"/>
      <w:lvlText w:val="（%1）"/>
      <w:lvlJc w:val="left"/>
      <w:rPr>
        <w:rFonts w:hint="eastAsia"/>
      </w:rPr>
    </w:lvl>
  </w:abstractNum>
  <w:abstractNum w:abstractNumId="8">
    <w:nsid w:val="1BC17B60"/>
    <w:multiLevelType w:val="multilevel"/>
    <w:tmpl w:val="1BC17B60"/>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9">
    <w:nsid w:val="1F885007"/>
    <w:multiLevelType w:val="multilevel"/>
    <w:tmpl w:val="1F885007"/>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0">
    <w:nsid w:val="27FB7BD4"/>
    <w:multiLevelType w:val="multilevel"/>
    <w:tmpl w:val="27FB7BD4"/>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1">
    <w:nsid w:val="2B6B5943"/>
    <w:multiLevelType w:val="multilevel"/>
    <w:tmpl w:val="2B6B5943"/>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2">
    <w:nsid w:val="2CC5367D"/>
    <w:multiLevelType w:val="multilevel"/>
    <w:tmpl w:val="2CC5367D"/>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3">
    <w:nsid w:val="31A552F4"/>
    <w:multiLevelType w:val="multilevel"/>
    <w:tmpl w:val="31A552F4"/>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4">
    <w:nsid w:val="369521EC"/>
    <w:multiLevelType w:val="multilevel"/>
    <w:tmpl w:val="369521EC"/>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5">
    <w:nsid w:val="430B4297"/>
    <w:multiLevelType w:val="multilevel"/>
    <w:tmpl w:val="430B4297"/>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6">
    <w:nsid w:val="55014DC6"/>
    <w:multiLevelType w:val="multilevel"/>
    <w:tmpl w:val="55014DC6"/>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7">
    <w:nsid w:val="5F010319"/>
    <w:multiLevelType w:val="multilevel"/>
    <w:tmpl w:val="5F010319"/>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8">
    <w:nsid w:val="63130B14"/>
    <w:multiLevelType w:val="multilevel"/>
    <w:tmpl w:val="63130B14"/>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9">
    <w:nsid w:val="6A1C0041"/>
    <w:multiLevelType w:val="multilevel"/>
    <w:tmpl w:val="6A1C0041"/>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0">
    <w:nsid w:val="6BC77083"/>
    <w:multiLevelType w:val="singleLevel"/>
    <w:tmpl w:val="6BC77083"/>
    <w:lvl w:ilvl="0" w:tentative="0">
      <w:start w:val="1"/>
      <w:numFmt w:val="japaneseCounting"/>
      <w:lvlText w:val="第%1条"/>
      <w:lvlJc w:val="left"/>
      <w:pPr>
        <w:tabs>
          <w:tab w:val="left" w:pos="877"/>
        </w:tabs>
        <w:ind w:left="877" w:hanging="735"/>
      </w:pPr>
      <w:rPr>
        <w:rFonts w:hint="eastAsia"/>
        <w:lang w:val="en-US"/>
      </w:rPr>
    </w:lvl>
  </w:abstractNum>
  <w:abstractNum w:abstractNumId="21">
    <w:nsid w:val="6EEA4835"/>
    <w:multiLevelType w:val="multilevel"/>
    <w:tmpl w:val="6EEA4835"/>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2">
    <w:nsid w:val="70DCAA20"/>
    <w:multiLevelType w:val="singleLevel"/>
    <w:tmpl w:val="70DCAA20"/>
    <w:lvl w:ilvl="0" w:tentative="0">
      <w:start w:val="1"/>
      <w:numFmt w:val="chineseCounting"/>
      <w:suff w:val="nothing"/>
      <w:lvlText w:val="（%1）"/>
      <w:lvlJc w:val="left"/>
      <w:rPr>
        <w:rFonts w:hint="eastAsia"/>
      </w:rPr>
    </w:lvl>
  </w:abstractNum>
  <w:abstractNum w:abstractNumId="23">
    <w:nsid w:val="74EB27BC"/>
    <w:multiLevelType w:val="multilevel"/>
    <w:tmpl w:val="74EB27BC"/>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4">
    <w:nsid w:val="75492262"/>
    <w:multiLevelType w:val="singleLevel"/>
    <w:tmpl w:val="75492262"/>
    <w:lvl w:ilvl="0" w:tentative="0">
      <w:start w:val="6"/>
      <w:numFmt w:val="chineseCounting"/>
      <w:suff w:val="nothing"/>
      <w:lvlText w:val="（%1）"/>
      <w:lvlJc w:val="left"/>
      <w:rPr>
        <w:rFonts w:hint="eastAsia"/>
      </w:rPr>
    </w:lvl>
  </w:abstractNum>
  <w:abstractNum w:abstractNumId="25">
    <w:nsid w:val="78EC3D1F"/>
    <w:multiLevelType w:val="multilevel"/>
    <w:tmpl w:val="78EC3D1F"/>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6">
    <w:nsid w:val="794B77C9"/>
    <w:multiLevelType w:val="multilevel"/>
    <w:tmpl w:val="794B77C9"/>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7">
    <w:nsid w:val="7D8F2880"/>
    <w:multiLevelType w:val="multilevel"/>
    <w:tmpl w:val="7D8F2880"/>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8">
    <w:nsid w:val="7F246D4C"/>
    <w:multiLevelType w:val="multilevel"/>
    <w:tmpl w:val="7F246D4C"/>
    <w:lvl w:ilvl="0" w:tentative="0">
      <w:start w:val="1"/>
      <w:numFmt w:val="bullet"/>
      <w:lvlText w:val=""/>
      <w:lvlJc w:val="left"/>
      <w:pPr>
        <w:ind w:left="1160" w:hanging="440"/>
      </w:pPr>
      <w:rPr>
        <w:rFonts w:hint="default" w:ascii="Wingdings" w:hAnsi="Wingdings"/>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29">
    <w:nsid w:val="7F361598"/>
    <w:multiLevelType w:val="multilevel"/>
    <w:tmpl w:val="7F361598"/>
    <w:lvl w:ilvl="0" w:tentative="0">
      <w:start w:val="1"/>
      <w:numFmt w:val="decimal"/>
      <w:lvlText w:val="%1."/>
      <w:lvlJc w:val="left"/>
      <w:pPr>
        <w:ind w:left="600" w:hanging="36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30">
    <w:nsid w:val="7F471303"/>
    <w:multiLevelType w:val="multilevel"/>
    <w:tmpl w:val="7F471303"/>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num w:numId="1">
    <w:abstractNumId w:val="29"/>
  </w:num>
  <w:num w:numId="2">
    <w:abstractNumId w:val="3"/>
  </w:num>
  <w:num w:numId="3">
    <w:abstractNumId w:val="28"/>
  </w:num>
  <w:num w:numId="4">
    <w:abstractNumId w:val="23"/>
  </w:num>
  <w:num w:numId="5">
    <w:abstractNumId w:val="26"/>
  </w:num>
  <w:num w:numId="6">
    <w:abstractNumId w:val="6"/>
  </w:num>
  <w:num w:numId="7">
    <w:abstractNumId w:val="13"/>
  </w:num>
  <w:num w:numId="8">
    <w:abstractNumId w:val="16"/>
  </w:num>
  <w:num w:numId="9">
    <w:abstractNumId w:val="18"/>
  </w:num>
  <w:num w:numId="10">
    <w:abstractNumId w:val="30"/>
  </w:num>
  <w:num w:numId="11">
    <w:abstractNumId w:val="17"/>
  </w:num>
  <w:num w:numId="12">
    <w:abstractNumId w:val="19"/>
  </w:num>
  <w:num w:numId="13">
    <w:abstractNumId w:val="9"/>
  </w:num>
  <w:num w:numId="14">
    <w:abstractNumId w:val="5"/>
  </w:num>
  <w:num w:numId="15">
    <w:abstractNumId w:val="14"/>
  </w:num>
  <w:num w:numId="16">
    <w:abstractNumId w:val="1"/>
  </w:num>
  <w:num w:numId="17">
    <w:abstractNumId w:val="15"/>
  </w:num>
  <w:num w:numId="18">
    <w:abstractNumId w:val="4"/>
  </w:num>
  <w:num w:numId="19">
    <w:abstractNumId w:val="11"/>
  </w:num>
  <w:num w:numId="20">
    <w:abstractNumId w:val="12"/>
  </w:num>
  <w:num w:numId="21">
    <w:abstractNumId w:val="8"/>
  </w:num>
  <w:num w:numId="22">
    <w:abstractNumId w:val="10"/>
  </w:num>
  <w:num w:numId="23">
    <w:abstractNumId w:val="21"/>
  </w:num>
  <w:num w:numId="24">
    <w:abstractNumId w:val="25"/>
  </w:num>
  <w:num w:numId="25">
    <w:abstractNumId w:val="27"/>
  </w:num>
  <w:num w:numId="26">
    <w:abstractNumId w:val="2"/>
  </w:num>
  <w:num w:numId="27">
    <w:abstractNumId w:val="20"/>
  </w:num>
  <w:num w:numId="28">
    <w:abstractNumId w:val="7"/>
  </w:num>
  <w:num w:numId="29">
    <w:abstractNumId w:val="22"/>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D61B34"/>
    <w:rsid w:val="000073DB"/>
    <w:rsid w:val="00011301"/>
    <w:rsid w:val="00024C7C"/>
    <w:rsid w:val="00027ECA"/>
    <w:rsid w:val="00040B49"/>
    <w:rsid w:val="0004326F"/>
    <w:rsid w:val="000633CE"/>
    <w:rsid w:val="000662A4"/>
    <w:rsid w:val="00067071"/>
    <w:rsid w:val="00067768"/>
    <w:rsid w:val="00075857"/>
    <w:rsid w:val="00087874"/>
    <w:rsid w:val="00090A0A"/>
    <w:rsid w:val="00095BFE"/>
    <w:rsid w:val="000A43F4"/>
    <w:rsid w:val="000A7FC0"/>
    <w:rsid w:val="000B43D5"/>
    <w:rsid w:val="000B732C"/>
    <w:rsid w:val="000C1A8B"/>
    <w:rsid w:val="000C255C"/>
    <w:rsid w:val="000C3993"/>
    <w:rsid w:val="000C5465"/>
    <w:rsid w:val="000C5C45"/>
    <w:rsid w:val="000D3BC4"/>
    <w:rsid w:val="000D40B5"/>
    <w:rsid w:val="000F2DDC"/>
    <w:rsid w:val="00107AE9"/>
    <w:rsid w:val="001100EC"/>
    <w:rsid w:val="0011501B"/>
    <w:rsid w:val="001240D2"/>
    <w:rsid w:val="00127558"/>
    <w:rsid w:val="00130B10"/>
    <w:rsid w:val="00131771"/>
    <w:rsid w:val="00131C14"/>
    <w:rsid w:val="00134751"/>
    <w:rsid w:val="00134856"/>
    <w:rsid w:val="00151A2E"/>
    <w:rsid w:val="00160C5A"/>
    <w:rsid w:val="0017250B"/>
    <w:rsid w:val="00172DAE"/>
    <w:rsid w:val="0017300D"/>
    <w:rsid w:val="00175939"/>
    <w:rsid w:val="001776F0"/>
    <w:rsid w:val="00177D5E"/>
    <w:rsid w:val="001817E5"/>
    <w:rsid w:val="00182FAF"/>
    <w:rsid w:val="00183C31"/>
    <w:rsid w:val="0019237F"/>
    <w:rsid w:val="00192BD4"/>
    <w:rsid w:val="001A1C41"/>
    <w:rsid w:val="001A642C"/>
    <w:rsid w:val="001A67FE"/>
    <w:rsid w:val="001C06AE"/>
    <w:rsid w:val="001C20F9"/>
    <w:rsid w:val="001E044A"/>
    <w:rsid w:val="001E537F"/>
    <w:rsid w:val="001E634F"/>
    <w:rsid w:val="001F05BD"/>
    <w:rsid w:val="001F1ABA"/>
    <w:rsid w:val="0020040B"/>
    <w:rsid w:val="00200645"/>
    <w:rsid w:val="0020197E"/>
    <w:rsid w:val="00207AE4"/>
    <w:rsid w:val="00210281"/>
    <w:rsid w:val="00211A87"/>
    <w:rsid w:val="002128FD"/>
    <w:rsid w:val="00212BAA"/>
    <w:rsid w:val="00225157"/>
    <w:rsid w:val="0022644B"/>
    <w:rsid w:val="00226E6A"/>
    <w:rsid w:val="00227531"/>
    <w:rsid w:val="0022765E"/>
    <w:rsid w:val="002316A5"/>
    <w:rsid w:val="00233425"/>
    <w:rsid w:val="0023663E"/>
    <w:rsid w:val="0024780F"/>
    <w:rsid w:val="00257803"/>
    <w:rsid w:val="00257848"/>
    <w:rsid w:val="00261F33"/>
    <w:rsid w:val="00263568"/>
    <w:rsid w:val="00264671"/>
    <w:rsid w:val="00271316"/>
    <w:rsid w:val="00283E0B"/>
    <w:rsid w:val="002840A0"/>
    <w:rsid w:val="00290EB9"/>
    <w:rsid w:val="0029102C"/>
    <w:rsid w:val="00291C62"/>
    <w:rsid w:val="0029648D"/>
    <w:rsid w:val="002A09D2"/>
    <w:rsid w:val="002A18A8"/>
    <w:rsid w:val="002A3598"/>
    <w:rsid w:val="002A7E85"/>
    <w:rsid w:val="002B2E5A"/>
    <w:rsid w:val="002B4310"/>
    <w:rsid w:val="002D4DD4"/>
    <w:rsid w:val="002E1CE8"/>
    <w:rsid w:val="002F0EB7"/>
    <w:rsid w:val="002F1793"/>
    <w:rsid w:val="002F20CF"/>
    <w:rsid w:val="002F7119"/>
    <w:rsid w:val="00306B97"/>
    <w:rsid w:val="003119F2"/>
    <w:rsid w:val="00320735"/>
    <w:rsid w:val="00326A4D"/>
    <w:rsid w:val="003273E5"/>
    <w:rsid w:val="00333F84"/>
    <w:rsid w:val="00335001"/>
    <w:rsid w:val="00337FEC"/>
    <w:rsid w:val="003409B9"/>
    <w:rsid w:val="00341765"/>
    <w:rsid w:val="00393A02"/>
    <w:rsid w:val="00395B3C"/>
    <w:rsid w:val="003A3193"/>
    <w:rsid w:val="003A3EDD"/>
    <w:rsid w:val="003B0CC8"/>
    <w:rsid w:val="003B262E"/>
    <w:rsid w:val="003B322D"/>
    <w:rsid w:val="003B58D9"/>
    <w:rsid w:val="003B6A15"/>
    <w:rsid w:val="003C3F95"/>
    <w:rsid w:val="003C4263"/>
    <w:rsid w:val="003D05E9"/>
    <w:rsid w:val="003D35DD"/>
    <w:rsid w:val="003D4346"/>
    <w:rsid w:val="003F2648"/>
    <w:rsid w:val="004049E4"/>
    <w:rsid w:val="00407F5D"/>
    <w:rsid w:val="004104ED"/>
    <w:rsid w:val="00410ECF"/>
    <w:rsid w:val="00416601"/>
    <w:rsid w:val="0041799C"/>
    <w:rsid w:val="004201DC"/>
    <w:rsid w:val="004207EF"/>
    <w:rsid w:val="00422DFA"/>
    <w:rsid w:val="00435F11"/>
    <w:rsid w:val="004535AE"/>
    <w:rsid w:val="004547B3"/>
    <w:rsid w:val="00454A6E"/>
    <w:rsid w:val="004553A3"/>
    <w:rsid w:val="004641A2"/>
    <w:rsid w:val="00470D71"/>
    <w:rsid w:val="0047518E"/>
    <w:rsid w:val="004839EF"/>
    <w:rsid w:val="00484B78"/>
    <w:rsid w:val="00492457"/>
    <w:rsid w:val="00493381"/>
    <w:rsid w:val="004A0563"/>
    <w:rsid w:val="004A4FFB"/>
    <w:rsid w:val="004B2D21"/>
    <w:rsid w:val="004B5197"/>
    <w:rsid w:val="004C15E1"/>
    <w:rsid w:val="004C6017"/>
    <w:rsid w:val="004D210A"/>
    <w:rsid w:val="004D5C80"/>
    <w:rsid w:val="004F423A"/>
    <w:rsid w:val="004F48C2"/>
    <w:rsid w:val="0050729B"/>
    <w:rsid w:val="00510894"/>
    <w:rsid w:val="005340C4"/>
    <w:rsid w:val="00534B19"/>
    <w:rsid w:val="0053723D"/>
    <w:rsid w:val="005453AD"/>
    <w:rsid w:val="00547226"/>
    <w:rsid w:val="0056039D"/>
    <w:rsid w:val="005622A0"/>
    <w:rsid w:val="00566C7C"/>
    <w:rsid w:val="00571AB1"/>
    <w:rsid w:val="00586F32"/>
    <w:rsid w:val="005A1AB6"/>
    <w:rsid w:val="005A745F"/>
    <w:rsid w:val="005B31F0"/>
    <w:rsid w:val="005C43E5"/>
    <w:rsid w:val="005D042E"/>
    <w:rsid w:val="005D1696"/>
    <w:rsid w:val="005D2C4E"/>
    <w:rsid w:val="005E222D"/>
    <w:rsid w:val="005E25D6"/>
    <w:rsid w:val="005E5DB3"/>
    <w:rsid w:val="005F2892"/>
    <w:rsid w:val="005F39C8"/>
    <w:rsid w:val="005F417C"/>
    <w:rsid w:val="00600ABC"/>
    <w:rsid w:val="006026FA"/>
    <w:rsid w:val="00607983"/>
    <w:rsid w:val="00607AC1"/>
    <w:rsid w:val="00611FD3"/>
    <w:rsid w:val="006161AC"/>
    <w:rsid w:val="00620FF4"/>
    <w:rsid w:val="00626053"/>
    <w:rsid w:val="0063331B"/>
    <w:rsid w:val="0063519E"/>
    <w:rsid w:val="00643780"/>
    <w:rsid w:val="00647373"/>
    <w:rsid w:val="0065103E"/>
    <w:rsid w:val="006537DB"/>
    <w:rsid w:val="00655A3D"/>
    <w:rsid w:val="00663037"/>
    <w:rsid w:val="00665482"/>
    <w:rsid w:val="00680364"/>
    <w:rsid w:val="00682E6A"/>
    <w:rsid w:val="00683345"/>
    <w:rsid w:val="00691AB5"/>
    <w:rsid w:val="00696E34"/>
    <w:rsid w:val="006A288A"/>
    <w:rsid w:val="006A2DC2"/>
    <w:rsid w:val="006C6507"/>
    <w:rsid w:val="006D757C"/>
    <w:rsid w:val="006E2857"/>
    <w:rsid w:val="006E6F73"/>
    <w:rsid w:val="006F7B8E"/>
    <w:rsid w:val="0070344D"/>
    <w:rsid w:val="00711EEE"/>
    <w:rsid w:val="00713F74"/>
    <w:rsid w:val="00716850"/>
    <w:rsid w:val="007209EF"/>
    <w:rsid w:val="0073165F"/>
    <w:rsid w:val="007320E5"/>
    <w:rsid w:val="00741A67"/>
    <w:rsid w:val="00745D26"/>
    <w:rsid w:val="00745F8B"/>
    <w:rsid w:val="00746A11"/>
    <w:rsid w:val="00753616"/>
    <w:rsid w:val="007552BA"/>
    <w:rsid w:val="0076404C"/>
    <w:rsid w:val="00766C9E"/>
    <w:rsid w:val="00783B8B"/>
    <w:rsid w:val="007869DD"/>
    <w:rsid w:val="00794F7A"/>
    <w:rsid w:val="007A1996"/>
    <w:rsid w:val="007A2334"/>
    <w:rsid w:val="007A2596"/>
    <w:rsid w:val="007D1866"/>
    <w:rsid w:val="007D345B"/>
    <w:rsid w:val="007D4FA6"/>
    <w:rsid w:val="007E07F3"/>
    <w:rsid w:val="007E277F"/>
    <w:rsid w:val="007E2DF2"/>
    <w:rsid w:val="007F007C"/>
    <w:rsid w:val="007F2B76"/>
    <w:rsid w:val="007F5BBE"/>
    <w:rsid w:val="00801D2C"/>
    <w:rsid w:val="00814112"/>
    <w:rsid w:val="0082769E"/>
    <w:rsid w:val="00832C12"/>
    <w:rsid w:val="00835151"/>
    <w:rsid w:val="00836882"/>
    <w:rsid w:val="008370BF"/>
    <w:rsid w:val="00837DFF"/>
    <w:rsid w:val="00845B2F"/>
    <w:rsid w:val="00854C88"/>
    <w:rsid w:val="008610EE"/>
    <w:rsid w:val="00874C5E"/>
    <w:rsid w:val="008765DC"/>
    <w:rsid w:val="00877547"/>
    <w:rsid w:val="008815A7"/>
    <w:rsid w:val="00882355"/>
    <w:rsid w:val="00883C16"/>
    <w:rsid w:val="008853D8"/>
    <w:rsid w:val="00885688"/>
    <w:rsid w:val="00885EE3"/>
    <w:rsid w:val="00890ACF"/>
    <w:rsid w:val="008A4006"/>
    <w:rsid w:val="008A436A"/>
    <w:rsid w:val="008A77B0"/>
    <w:rsid w:val="008B073C"/>
    <w:rsid w:val="008C5408"/>
    <w:rsid w:val="008D056D"/>
    <w:rsid w:val="008D3BBD"/>
    <w:rsid w:val="008D4C35"/>
    <w:rsid w:val="008D6604"/>
    <w:rsid w:val="008E182D"/>
    <w:rsid w:val="008E4893"/>
    <w:rsid w:val="008F30D2"/>
    <w:rsid w:val="008F698A"/>
    <w:rsid w:val="009124C1"/>
    <w:rsid w:val="0091367A"/>
    <w:rsid w:val="00914220"/>
    <w:rsid w:val="009244B2"/>
    <w:rsid w:val="009259DA"/>
    <w:rsid w:val="00932B9E"/>
    <w:rsid w:val="00936691"/>
    <w:rsid w:val="009409E5"/>
    <w:rsid w:val="00941D97"/>
    <w:rsid w:val="009428DC"/>
    <w:rsid w:val="0095668E"/>
    <w:rsid w:val="00964C97"/>
    <w:rsid w:val="00973B62"/>
    <w:rsid w:val="00975C13"/>
    <w:rsid w:val="00980C35"/>
    <w:rsid w:val="00994FF5"/>
    <w:rsid w:val="009A2170"/>
    <w:rsid w:val="009B003E"/>
    <w:rsid w:val="009B17A2"/>
    <w:rsid w:val="009B761F"/>
    <w:rsid w:val="009B793F"/>
    <w:rsid w:val="009C27D6"/>
    <w:rsid w:val="009D3CE1"/>
    <w:rsid w:val="009D6261"/>
    <w:rsid w:val="009D6516"/>
    <w:rsid w:val="009E5DB5"/>
    <w:rsid w:val="009E5E40"/>
    <w:rsid w:val="009F0A7D"/>
    <w:rsid w:val="009F68CA"/>
    <w:rsid w:val="00A04390"/>
    <w:rsid w:val="00A11CCE"/>
    <w:rsid w:val="00A528CD"/>
    <w:rsid w:val="00A53F48"/>
    <w:rsid w:val="00A63267"/>
    <w:rsid w:val="00A77BA1"/>
    <w:rsid w:val="00A77F35"/>
    <w:rsid w:val="00A943FD"/>
    <w:rsid w:val="00A94973"/>
    <w:rsid w:val="00AB1768"/>
    <w:rsid w:val="00AB3AC2"/>
    <w:rsid w:val="00AC4609"/>
    <w:rsid w:val="00AC4CC8"/>
    <w:rsid w:val="00AC5BEF"/>
    <w:rsid w:val="00AD22C8"/>
    <w:rsid w:val="00AD4B6A"/>
    <w:rsid w:val="00AE4920"/>
    <w:rsid w:val="00AF1DBB"/>
    <w:rsid w:val="00AF3442"/>
    <w:rsid w:val="00AF52C3"/>
    <w:rsid w:val="00AF7506"/>
    <w:rsid w:val="00B02AD8"/>
    <w:rsid w:val="00B048C6"/>
    <w:rsid w:val="00B147BD"/>
    <w:rsid w:val="00B149D9"/>
    <w:rsid w:val="00B16284"/>
    <w:rsid w:val="00B2475C"/>
    <w:rsid w:val="00B30F9F"/>
    <w:rsid w:val="00B33A19"/>
    <w:rsid w:val="00B369DD"/>
    <w:rsid w:val="00B40938"/>
    <w:rsid w:val="00B509D1"/>
    <w:rsid w:val="00B53D27"/>
    <w:rsid w:val="00B574E7"/>
    <w:rsid w:val="00B6735F"/>
    <w:rsid w:val="00B775CB"/>
    <w:rsid w:val="00B82A38"/>
    <w:rsid w:val="00B85F3C"/>
    <w:rsid w:val="00BA4B4F"/>
    <w:rsid w:val="00BC1060"/>
    <w:rsid w:val="00BC2707"/>
    <w:rsid w:val="00BC2F43"/>
    <w:rsid w:val="00BC4B31"/>
    <w:rsid w:val="00BD357F"/>
    <w:rsid w:val="00BD4EBF"/>
    <w:rsid w:val="00BE193E"/>
    <w:rsid w:val="00BE1C75"/>
    <w:rsid w:val="00BE6327"/>
    <w:rsid w:val="00BF10CE"/>
    <w:rsid w:val="00C141BC"/>
    <w:rsid w:val="00C25463"/>
    <w:rsid w:val="00C27FC9"/>
    <w:rsid w:val="00C30488"/>
    <w:rsid w:val="00C460FE"/>
    <w:rsid w:val="00C650B7"/>
    <w:rsid w:val="00C74CA4"/>
    <w:rsid w:val="00C87291"/>
    <w:rsid w:val="00C97EB5"/>
    <w:rsid w:val="00CA1CE9"/>
    <w:rsid w:val="00CA48AE"/>
    <w:rsid w:val="00CA4FD9"/>
    <w:rsid w:val="00CB0D87"/>
    <w:rsid w:val="00CB151C"/>
    <w:rsid w:val="00CB434D"/>
    <w:rsid w:val="00CB46EC"/>
    <w:rsid w:val="00CB7D06"/>
    <w:rsid w:val="00CC1480"/>
    <w:rsid w:val="00CC4511"/>
    <w:rsid w:val="00CC7A45"/>
    <w:rsid w:val="00CD1D98"/>
    <w:rsid w:val="00CD30D0"/>
    <w:rsid w:val="00CD5192"/>
    <w:rsid w:val="00CD77A1"/>
    <w:rsid w:val="00CE24BD"/>
    <w:rsid w:val="00CE5D6A"/>
    <w:rsid w:val="00CE6E21"/>
    <w:rsid w:val="00CF61AD"/>
    <w:rsid w:val="00D078FA"/>
    <w:rsid w:val="00D07CF9"/>
    <w:rsid w:val="00D13CF8"/>
    <w:rsid w:val="00D240EA"/>
    <w:rsid w:val="00D255C1"/>
    <w:rsid w:val="00D26BE9"/>
    <w:rsid w:val="00D3552B"/>
    <w:rsid w:val="00D35BAF"/>
    <w:rsid w:val="00D42BF3"/>
    <w:rsid w:val="00D440DA"/>
    <w:rsid w:val="00D50BF9"/>
    <w:rsid w:val="00D55558"/>
    <w:rsid w:val="00D61B34"/>
    <w:rsid w:val="00D678E8"/>
    <w:rsid w:val="00D8246A"/>
    <w:rsid w:val="00D93A11"/>
    <w:rsid w:val="00D95CD5"/>
    <w:rsid w:val="00D96206"/>
    <w:rsid w:val="00DA0526"/>
    <w:rsid w:val="00DB1029"/>
    <w:rsid w:val="00DB134F"/>
    <w:rsid w:val="00DB3817"/>
    <w:rsid w:val="00DC1172"/>
    <w:rsid w:val="00DD74EC"/>
    <w:rsid w:val="00DF051A"/>
    <w:rsid w:val="00DF1AA7"/>
    <w:rsid w:val="00DF2B04"/>
    <w:rsid w:val="00DF7FF2"/>
    <w:rsid w:val="00E052F3"/>
    <w:rsid w:val="00E11E08"/>
    <w:rsid w:val="00E26F01"/>
    <w:rsid w:val="00E32CF4"/>
    <w:rsid w:val="00E36B2C"/>
    <w:rsid w:val="00E40299"/>
    <w:rsid w:val="00E52303"/>
    <w:rsid w:val="00E55A4A"/>
    <w:rsid w:val="00E600EB"/>
    <w:rsid w:val="00E76537"/>
    <w:rsid w:val="00E81890"/>
    <w:rsid w:val="00E86B6A"/>
    <w:rsid w:val="00E87FF5"/>
    <w:rsid w:val="00E92F71"/>
    <w:rsid w:val="00E97851"/>
    <w:rsid w:val="00EA18FD"/>
    <w:rsid w:val="00EA5ABD"/>
    <w:rsid w:val="00EB40C8"/>
    <w:rsid w:val="00EB7EF1"/>
    <w:rsid w:val="00EC756F"/>
    <w:rsid w:val="00ED1DCA"/>
    <w:rsid w:val="00ED4A03"/>
    <w:rsid w:val="00ED5E3B"/>
    <w:rsid w:val="00EE3B58"/>
    <w:rsid w:val="00EE44B5"/>
    <w:rsid w:val="00EE4E2C"/>
    <w:rsid w:val="00EF5078"/>
    <w:rsid w:val="00F018AC"/>
    <w:rsid w:val="00F03230"/>
    <w:rsid w:val="00F11745"/>
    <w:rsid w:val="00F17266"/>
    <w:rsid w:val="00F20100"/>
    <w:rsid w:val="00F2403C"/>
    <w:rsid w:val="00F42D28"/>
    <w:rsid w:val="00F44D5D"/>
    <w:rsid w:val="00F61BC8"/>
    <w:rsid w:val="00F636B7"/>
    <w:rsid w:val="00F73591"/>
    <w:rsid w:val="00F83BBA"/>
    <w:rsid w:val="00F96625"/>
    <w:rsid w:val="00FA2ADF"/>
    <w:rsid w:val="00FA553C"/>
    <w:rsid w:val="00FB2347"/>
    <w:rsid w:val="00FD55C8"/>
    <w:rsid w:val="00FE2645"/>
    <w:rsid w:val="00FE6E07"/>
    <w:rsid w:val="00FF0233"/>
    <w:rsid w:val="017E4A94"/>
    <w:rsid w:val="01FF5632"/>
    <w:rsid w:val="03397EA4"/>
    <w:rsid w:val="0350044F"/>
    <w:rsid w:val="036C6954"/>
    <w:rsid w:val="04C5285F"/>
    <w:rsid w:val="05151950"/>
    <w:rsid w:val="071A2D33"/>
    <w:rsid w:val="08F5187C"/>
    <w:rsid w:val="098A626F"/>
    <w:rsid w:val="09D65B51"/>
    <w:rsid w:val="0A0F696E"/>
    <w:rsid w:val="0C6620D4"/>
    <w:rsid w:val="0EC062AC"/>
    <w:rsid w:val="0F0104EA"/>
    <w:rsid w:val="1106526A"/>
    <w:rsid w:val="12DA0C7B"/>
    <w:rsid w:val="134A09A8"/>
    <w:rsid w:val="14151B4C"/>
    <w:rsid w:val="149C34F4"/>
    <w:rsid w:val="17602EFE"/>
    <w:rsid w:val="1A815081"/>
    <w:rsid w:val="1AAD55A5"/>
    <w:rsid w:val="1ADC6D40"/>
    <w:rsid w:val="1E641526"/>
    <w:rsid w:val="1FED61F0"/>
    <w:rsid w:val="20300F40"/>
    <w:rsid w:val="20947775"/>
    <w:rsid w:val="209B4FA7"/>
    <w:rsid w:val="227855A0"/>
    <w:rsid w:val="25AB7A3A"/>
    <w:rsid w:val="26E256DE"/>
    <w:rsid w:val="287C121A"/>
    <w:rsid w:val="29E4746D"/>
    <w:rsid w:val="2BB27B17"/>
    <w:rsid w:val="2C531B32"/>
    <w:rsid w:val="2C642975"/>
    <w:rsid w:val="2F1471D4"/>
    <w:rsid w:val="2F5051AF"/>
    <w:rsid w:val="311D7312"/>
    <w:rsid w:val="328E04C8"/>
    <w:rsid w:val="32E4458C"/>
    <w:rsid w:val="33242BDA"/>
    <w:rsid w:val="332D5F33"/>
    <w:rsid w:val="35A61FCC"/>
    <w:rsid w:val="3604378B"/>
    <w:rsid w:val="362A49AB"/>
    <w:rsid w:val="36F54FB9"/>
    <w:rsid w:val="37A93866"/>
    <w:rsid w:val="38EB4BB1"/>
    <w:rsid w:val="3950611D"/>
    <w:rsid w:val="3AEE244B"/>
    <w:rsid w:val="3D136199"/>
    <w:rsid w:val="3D8E770A"/>
    <w:rsid w:val="3E2919ED"/>
    <w:rsid w:val="3E6350CC"/>
    <w:rsid w:val="3E6A003B"/>
    <w:rsid w:val="3FF1653A"/>
    <w:rsid w:val="402F4DFA"/>
    <w:rsid w:val="403D2B15"/>
    <w:rsid w:val="41CF6407"/>
    <w:rsid w:val="43CC52F4"/>
    <w:rsid w:val="44CD4E80"/>
    <w:rsid w:val="458A4B1F"/>
    <w:rsid w:val="45CE2DED"/>
    <w:rsid w:val="47B009B8"/>
    <w:rsid w:val="48C15D1D"/>
    <w:rsid w:val="48C77A88"/>
    <w:rsid w:val="4E4D0DDF"/>
    <w:rsid w:val="504D7229"/>
    <w:rsid w:val="52402F8A"/>
    <w:rsid w:val="5264103C"/>
    <w:rsid w:val="527114E5"/>
    <w:rsid w:val="52BC29D7"/>
    <w:rsid w:val="537F5EDF"/>
    <w:rsid w:val="54EB4EAE"/>
    <w:rsid w:val="55FF6E63"/>
    <w:rsid w:val="566609E3"/>
    <w:rsid w:val="56731A4A"/>
    <w:rsid w:val="56D4209E"/>
    <w:rsid w:val="573A3C7D"/>
    <w:rsid w:val="590548CC"/>
    <w:rsid w:val="5CC15DC4"/>
    <w:rsid w:val="5D3C568E"/>
    <w:rsid w:val="5D9562FF"/>
    <w:rsid w:val="5FCF78A6"/>
    <w:rsid w:val="604E1B04"/>
    <w:rsid w:val="61D33991"/>
    <w:rsid w:val="62612C54"/>
    <w:rsid w:val="632B625F"/>
    <w:rsid w:val="63350368"/>
    <w:rsid w:val="67310E46"/>
    <w:rsid w:val="696D1EDE"/>
    <w:rsid w:val="6AA945AE"/>
    <w:rsid w:val="6ADC548C"/>
    <w:rsid w:val="6B574143"/>
    <w:rsid w:val="6BBF1117"/>
    <w:rsid w:val="6C5630FD"/>
    <w:rsid w:val="6FDF7997"/>
    <w:rsid w:val="71381023"/>
    <w:rsid w:val="7173590B"/>
    <w:rsid w:val="727576DB"/>
    <w:rsid w:val="74081181"/>
    <w:rsid w:val="740D5D2E"/>
    <w:rsid w:val="750202C6"/>
    <w:rsid w:val="751C2EEC"/>
    <w:rsid w:val="75200194"/>
    <w:rsid w:val="755F7D8C"/>
    <w:rsid w:val="762961F2"/>
    <w:rsid w:val="78AF606F"/>
    <w:rsid w:val="78F54622"/>
    <w:rsid w:val="7A9E122A"/>
    <w:rsid w:val="7AB538C4"/>
    <w:rsid w:val="7E5020A2"/>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24"/>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5"/>
    <w:autoRedefine/>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6"/>
    <w:autoRedefine/>
    <w:unhideWhenUsed/>
    <w:qFormat/>
    <w:uiPriority w:val="9"/>
    <w:pPr>
      <w:outlineLvl w:val="2"/>
    </w:pPr>
    <w:rPr>
      <w:b/>
      <w:bCs/>
      <w:szCs w:val="32"/>
    </w:rPr>
  </w:style>
  <w:style w:type="paragraph" w:styleId="5">
    <w:name w:val="heading 4"/>
    <w:basedOn w:val="1"/>
    <w:next w:val="1"/>
    <w:link w:val="23"/>
    <w:autoRedefine/>
    <w:qFormat/>
    <w:uiPriority w:val="0"/>
    <w:pPr>
      <w:outlineLvl w:val="3"/>
    </w:pPr>
    <w:rPr>
      <w:rFonts w:ascii="Calibri Light" w:hAnsi="Calibri Light" w:cs="Times New Roman"/>
      <w:bCs/>
      <w:szCs w:val="28"/>
    </w:rPr>
  </w:style>
  <w:style w:type="paragraph" w:styleId="6">
    <w:name w:val="heading 5"/>
    <w:basedOn w:val="1"/>
    <w:next w:val="1"/>
    <w:link w:val="28"/>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9"/>
    <w:autoRedefine/>
    <w:qFormat/>
    <w:uiPriority w:val="99"/>
    <w:pPr>
      <w:jc w:val="left"/>
    </w:pPr>
  </w:style>
  <w:style w:type="paragraph" w:styleId="9">
    <w:name w:val="Body Text"/>
    <w:basedOn w:val="1"/>
    <w:next w:val="1"/>
    <w:autoRedefine/>
    <w:semiHidden/>
    <w:unhideWhenUsed/>
    <w:qFormat/>
    <w:uiPriority w:val="99"/>
    <w:pPr>
      <w:spacing w:before="100" w:beforeAutospacing="1" w:after="120"/>
    </w:pPr>
  </w:style>
  <w:style w:type="paragraph" w:styleId="10">
    <w:name w:val="Balloon Text"/>
    <w:basedOn w:val="1"/>
    <w:link w:val="38"/>
    <w:qFormat/>
    <w:uiPriority w:val="0"/>
    <w:pPr>
      <w:spacing w:line="240" w:lineRule="auto"/>
    </w:pPr>
    <w:rPr>
      <w:sz w:val="18"/>
      <w:szCs w:val="18"/>
    </w:rPr>
  </w:style>
  <w:style w:type="paragraph" w:styleId="11">
    <w:name w:val="footer"/>
    <w:basedOn w:val="1"/>
    <w:link w:val="44"/>
    <w:autoRedefine/>
    <w:qFormat/>
    <w:uiPriority w:val="99"/>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autoRedefine/>
    <w:qFormat/>
    <w:uiPriority w:val="39"/>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paragraph" w:styleId="15">
    <w:name w:val="Body Text Indent 3"/>
    <w:basedOn w:val="1"/>
    <w:link w:val="42"/>
    <w:qFormat/>
    <w:uiPriority w:val="0"/>
    <w:pPr>
      <w:spacing w:after="120"/>
      <w:ind w:left="420" w:leftChars="200"/>
    </w:pPr>
    <w:rPr>
      <w:sz w:val="16"/>
      <w:szCs w:val="16"/>
    </w:rPr>
  </w:style>
  <w:style w:type="paragraph" w:styleId="16">
    <w:name w:val="annotation subject"/>
    <w:basedOn w:val="8"/>
    <w:next w:val="8"/>
    <w:link w:val="40"/>
    <w:qFormat/>
    <w:uiPriority w:val="0"/>
    <w:rPr>
      <w:b/>
      <w:bCs/>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bCs/>
    </w:rPr>
  </w:style>
  <w:style w:type="character" w:styleId="21">
    <w:name w:val="Hyperlink"/>
    <w:basedOn w:val="19"/>
    <w:unhideWhenUsed/>
    <w:qFormat/>
    <w:uiPriority w:val="99"/>
    <w:rPr>
      <w:color w:val="0026E5"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character" w:customStyle="1" w:styleId="23">
    <w:name w:val="标题 4 字符"/>
    <w:link w:val="5"/>
    <w:autoRedefine/>
    <w:qFormat/>
    <w:uiPriority w:val="0"/>
    <w:rPr>
      <w:rFonts w:ascii="Calibri Light" w:hAnsi="Calibri Light" w:eastAsia="宋体" w:cs="Times New Roman"/>
      <w:bCs/>
      <w:szCs w:val="28"/>
    </w:rPr>
  </w:style>
  <w:style w:type="character" w:customStyle="1" w:styleId="24">
    <w:name w:val="标题 1 字符"/>
    <w:basedOn w:val="19"/>
    <w:link w:val="2"/>
    <w:autoRedefine/>
    <w:qFormat/>
    <w:uiPriority w:val="0"/>
    <w:rPr>
      <w:rFonts w:ascii="宋体" w:hAnsi="宋体" w:eastAsia="宋体" w:cs="等线 Light"/>
      <w:b/>
      <w:snapToGrid w:val="0"/>
      <w:kern w:val="0"/>
      <w:sz w:val="44"/>
      <w:szCs w:val="44"/>
    </w:rPr>
  </w:style>
  <w:style w:type="character" w:customStyle="1" w:styleId="25">
    <w:name w:val="标题 2 字符"/>
    <w:basedOn w:val="19"/>
    <w:link w:val="3"/>
    <w:autoRedefine/>
    <w:qFormat/>
    <w:uiPriority w:val="9"/>
    <w:rPr>
      <w:rFonts w:ascii="宋体" w:hAnsi="宋体" w:cstheme="majorBidi"/>
      <w:b/>
      <w:bCs/>
      <w:snapToGrid w:val="0"/>
      <w:szCs w:val="24"/>
    </w:rPr>
  </w:style>
  <w:style w:type="character" w:customStyle="1" w:styleId="26">
    <w:name w:val="标题 3 字符"/>
    <w:basedOn w:val="19"/>
    <w:link w:val="4"/>
    <w:autoRedefine/>
    <w:qFormat/>
    <w:uiPriority w:val="9"/>
    <w:rPr>
      <w:rFonts w:eastAsia="宋体"/>
      <w:b/>
      <w:bCs/>
      <w:sz w:val="24"/>
      <w:szCs w:val="32"/>
    </w:rPr>
  </w:style>
  <w:style w:type="table" w:customStyle="1" w:styleId="27">
    <w:name w:val="网格型5"/>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标题 5 字符"/>
    <w:link w:val="6"/>
    <w:autoRedefine/>
    <w:qFormat/>
    <w:uiPriority w:val="0"/>
    <w:rPr>
      <w:rFonts w:eastAsia="宋体"/>
      <w:b/>
      <w:sz w:val="28"/>
    </w:rPr>
  </w:style>
  <w:style w:type="paragraph" w:customStyle="1" w:styleId="29">
    <w:name w:val="参选文件格式1"/>
    <w:basedOn w:val="1"/>
    <w:next w:val="1"/>
    <w:link w:val="33"/>
    <w:autoRedefine/>
    <w:qFormat/>
    <w:uiPriority w:val="0"/>
    <w:pPr>
      <w:spacing w:line="360" w:lineRule="auto"/>
      <w:ind w:firstLine="0" w:firstLineChars="0"/>
      <w:jc w:val="center"/>
      <w:outlineLvl w:val="1"/>
    </w:pPr>
    <w:rPr>
      <w:rFonts w:hint="eastAsia"/>
      <w:b/>
      <w:sz w:val="28"/>
    </w:rPr>
  </w:style>
  <w:style w:type="paragraph" w:customStyle="1" w:styleId="30">
    <w:name w:val="参选文件格式2"/>
    <w:basedOn w:val="1"/>
    <w:next w:val="1"/>
    <w:link w:val="34"/>
    <w:autoRedefine/>
    <w:qFormat/>
    <w:uiPriority w:val="0"/>
    <w:pPr>
      <w:ind w:firstLine="0" w:firstLineChars="0"/>
      <w:jc w:val="center"/>
      <w:outlineLvl w:val="2"/>
    </w:pPr>
    <w:rPr>
      <w:bCs/>
      <w:szCs w:val="32"/>
    </w:rPr>
  </w:style>
  <w:style w:type="paragraph" w:customStyle="1" w:styleId="31">
    <w:name w:val="参选文件格式3"/>
    <w:basedOn w:val="1"/>
    <w:link w:val="32"/>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2">
    <w:name w:val="参选文件格式3 Char"/>
    <w:link w:val="31"/>
    <w:autoRedefine/>
    <w:qFormat/>
    <w:uiPriority w:val="0"/>
    <w:rPr>
      <w:rFonts w:hint="eastAsia" w:ascii="宋体" w:hAnsi="宋体" w:eastAsia="宋体"/>
      <w:b/>
      <w:snapToGrid w:val="0"/>
      <w:kern w:val="0"/>
      <w:u w:val="none"/>
    </w:rPr>
  </w:style>
  <w:style w:type="character" w:customStyle="1" w:styleId="33">
    <w:name w:val="参选文件格式1 Char"/>
    <w:link w:val="29"/>
    <w:autoRedefine/>
    <w:qFormat/>
    <w:uiPriority w:val="0"/>
    <w:rPr>
      <w:rFonts w:hint="eastAsia" w:eastAsia="宋体"/>
      <w:b/>
      <w:sz w:val="28"/>
    </w:rPr>
  </w:style>
  <w:style w:type="character" w:customStyle="1" w:styleId="34">
    <w:name w:val="参选文件格式2 Char"/>
    <w:link w:val="30"/>
    <w:autoRedefine/>
    <w:qFormat/>
    <w:uiPriority w:val="0"/>
    <w:rPr>
      <w:rFonts w:eastAsia="宋体"/>
      <w:bCs/>
      <w:szCs w:val="32"/>
    </w:rPr>
  </w:style>
  <w:style w:type="character" w:customStyle="1" w:styleId="35">
    <w:name w:val="font11"/>
    <w:basedOn w:val="19"/>
    <w:autoRedefine/>
    <w:qFormat/>
    <w:uiPriority w:val="0"/>
    <w:rPr>
      <w:rFonts w:hint="eastAsia" w:ascii="宋体" w:hAnsi="宋体" w:eastAsia="宋体" w:cs="宋体"/>
      <w:b/>
      <w:bCs/>
      <w:color w:val="000000"/>
      <w:sz w:val="21"/>
      <w:szCs w:val="21"/>
      <w:u w:val="none"/>
    </w:rPr>
  </w:style>
  <w:style w:type="character" w:customStyle="1" w:styleId="36">
    <w:name w:val="font21"/>
    <w:basedOn w:val="19"/>
    <w:autoRedefine/>
    <w:qFormat/>
    <w:uiPriority w:val="0"/>
    <w:rPr>
      <w:rFonts w:hint="eastAsia" w:ascii="宋体" w:hAnsi="宋体" w:eastAsia="宋体" w:cs="宋体"/>
      <w:color w:val="000000"/>
      <w:sz w:val="21"/>
      <w:szCs w:val="21"/>
      <w:u w:val="none"/>
    </w:rPr>
  </w:style>
  <w:style w:type="character" w:customStyle="1" w:styleId="37">
    <w:name w:val="font31"/>
    <w:basedOn w:val="19"/>
    <w:autoRedefine/>
    <w:qFormat/>
    <w:uiPriority w:val="0"/>
    <w:rPr>
      <w:rFonts w:hint="eastAsia" w:ascii="宋体" w:hAnsi="宋体" w:eastAsia="宋体" w:cs="宋体"/>
      <w:color w:val="FF0000"/>
      <w:sz w:val="21"/>
      <w:szCs w:val="21"/>
      <w:u w:val="none"/>
    </w:rPr>
  </w:style>
  <w:style w:type="character" w:customStyle="1" w:styleId="38">
    <w:name w:val="批注框文本 字符"/>
    <w:basedOn w:val="19"/>
    <w:link w:val="10"/>
    <w:qFormat/>
    <w:uiPriority w:val="0"/>
    <w:rPr>
      <w:rFonts w:ascii="Cambria Math" w:hAnsi="Cambria Math" w:cs="Cambria Math"/>
      <w:kern w:val="2"/>
      <w:sz w:val="18"/>
      <w:szCs w:val="18"/>
    </w:rPr>
  </w:style>
  <w:style w:type="character" w:customStyle="1" w:styleId="39">
    <w:name w:val="批注文字 字符"/>
    <w:basedOn w:val="19"/>
    <w:link w:val="8"/>
    <w:qFormat/>
    <w:uiPriority w:val="99"/>
    <w:rPr>
      <w:rFonts w:ascii="Cambria Math" w:hAnsi="Cambria Math" w:cs="Cambria Math"/>
      <w:kern w:val="2"/>
      <w:sz w:val="24"/>
    </w:rPr>
  </w:style>
  <w:style w:type="character" w:customStyle="1" w:styleId="40">
    <w:name w:val="批注主题 字符"/>
    <w:basedOn w:val="39"/>
    <w:link w:val="16"/>
    <w:qFormat/>
    <w:uiPriority w:val="0"/>
    <w:rPr>
      <w:rFonts w:ascii="Cambria Math" w:hAnsi="Cambria Math" w:cs="Cambria Math"/>
      <w:b/>
      <w:bCs/>
      <w:kern w:val="2"/>
      <w:sz w:val="24"/>
    </w:rPr>
  </w:style>
  <w:style w:type="paragraph" w:styleId="41">
    <w:name w:val="List Paragraph"/>
    <w:basedOn w:val="1"/>
    <w:qFormat/>
    <w:uiPriority w:val="99"/>
    <w:pPr>
      <w:ind w:firstLine="420"/>
    </w:pPr>
  </w:style>
  <w:style w:type="character" w:customStyle="1" w:styleId="42">
    <w:name w:val="正文文本缩进 3 字符"/>
    <w:basedOn w:val="19"/>
    <w:link w:val="15"/>
    <w:qFormat/>
    <w:uiPriority w:val="0"/>
    <w:rPr>
      <w:rFonts w:ascii="Cambria Math" w:hAnsi="Cambria Math" w:cs="Cambria Math"/>
      <w:kern w:val="2"/>
      <w:sz w:val="16"/>
      <w:szCs w:val="16"/>
    </w:rPr>
  </w:style>
  <w:style w:type="character" w:customStyle="1" w:styleId="43">
    <w:name w:val="批注文字 Char"/>
    <w:qFormat/>
    <w:uiPriority w:val="99"/>
    <w:rPr>
      <w:rFonts w:eastAsia="宋体"/>
      <w:kern w:val="2"/>
      <w:sz w:val="21"/>
      <w:szCs w:val="24"/>
      <w:lang w:val="zh-CN" w:eastAsia="zh-CN"/>
    </w:rPr>
  </w:style>
  <w:style w:type="character" w:customStyle="1" w:styleId="44">
    <w:name w:val="页脚 字符"/>
    <w:basedOn w:val="19"/>
    <w:link w:val="11"/>
    <w:qFormat/>
    <w:uiPriority w:val="99"/>
    <w:rPr>
      <w:rFonts w:ascii="Cambria Math" w:hAnsi="Cambria Math" w:cs="Cambria Math"/>
      <w:kern w:val="2"/>
      <w:sz w:val="18"/>
    </w:rPr>
  </w:style>
  <w:style w:type="paragraph" w:customStyle="1" w:styleId="45">
    <w:name w:val="Revision"/>
    <w:hidden/>
    <w:unhideWhenUsed/>
    <w:qFormat/>
    <w:uiPriority w:val="99"/>
    <w:rPr>
      <w:rFonts w:ascii="Cambria Math" w:hAnsi="Cambria Math" w:eastAsia="宋体" w:cs="Cambria Math"/>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3628</Words>
  <Characters>4604</Characters>
  <Lines>277</Lines>
  <Paragraphs>78</Paragraphs>
  <TotalTime>3</TotalTime>
  <ScaleCrop>false</ScaleCrop>
  <LinksUpToDate>false</LinksUpToDate>
  <CharactersWithSpaces>4787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2024-12-03T07:24:00Z</dcterms:created>
  <dc:creator>admin</dc:creator>
  <cp:lastModifiedBy>张婷</cp:lastModifiedBy>
  <cp:lastPrinted>2024-01-19T09:29:00Z</cp:lastPrinted>
  <dcterms:modified xsi:type="dcterms:W3CDTF">2024-12-27T02:32:12Z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F588494FD54344BCA414E4A1ED50ECFD_13</vt:lpwstr>
  </property>
  <property fmtid="{D5CDD505-2E9C-101B-9397-08002B2CF9AE}" pid="4" name="KSOTemplateDocerSaveRecord">
    <vt:lpwstr>eyJoZGlkIjoiYThmYmM2ZGU3Mjk4MzA4ZDkyYTRlNDQ1NGZiYzU0MzIiLCJ1c2VySWQiOiIxNjAxNzI3MDEzIn0=</vt:lpwstr>
  </property>
</Properties>
</file>