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896B">
      <w:pPr>
        <w:tabs>
          <w:tab w:val="center" w:pos="4201"/>
          <w:tab w:val="right" w:leader="dot" w:pos="9298"/>
        </w:tabs>
        <w:spacing w:line="360" w:lineRule="auto"/>
        <w:ind w:firstLine="0" w:firstLineChars="0"/>
        <w:rPr>
          <w:rFonts w:ascii="Times New Roman" w:hAnsi="Times New Roman"/>
          <w:highlight w:val="none"/>
        </w:rPr>
      </w:pPr>
    </w:p>
    <w:p w14:paraId="304FEC0F">
      <w:pPr>
        <w:spacing w:line="360" w:lineRule="auto"/>
        <w:ind w:firstLine="0" w:firstLineChars="0"/>
        <w:rPr>
          <w:rFonts w:ascii="Times New Roman" w:hAnsi="Times New Roman" w:cs="Cambria"/>
          <w:b/>
          <w:snapToGrid w:val="0"/>
          <w:kern w:val="0"/>
          <w:sz w:val="52"/>
          <w:szCs w:val="84"/>
          <w:highlight w:val="none"/>
        </w:rPr>
      </w:pPr>
    </w:p>
    <w:p w14:paraId="4BA99B30">
      <w:pPr>
        <w:tabs>
          <w:tab w:val="left" w:pos="3360"/>
        </w:tabs>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42B5BE56">
      <w:pPr>
        <w:tabs>
          <w:tab w:val="left" w:pos="3360"/>
        </w:tabs>
        <w:spacing w:line="360" w:lineRule="auto"/>
        <w:ind w:firstLine="0" w:firstLineChars="0"/>
        <w:jc w:val="center"/>
        <w:rPr>
          <w:rFonts w:hint="eastAsia" w:ascii="Times New Roman" w:hAnsi="Times New Roman" w:eastAsia="宋体" w:cs="Times New Roman"/>
          <w:b/>
          <w:snapToGrid w:val="0"/>
          <w:kern w:val="0"/>
          <w:sz w:val="48"/>
          <w:szCs w:val="84"/>
          <w:highlight w:val="none"/>
          <w:lang w:eastAsia="zh-CN"/>
        </w:rPr>
      </w:pPr>
      <w:r>
        <w:rPr>
          <w:rFonts w:hint="eastAsia" w:cs="Times New Roman"/>
          <w:b/>
          <w:snapToGrid w:val="0"/>
          <w:kern w:val="0"/>
          <w:sz w:val="48"/>
          <w:szCs w:val="84"/>
          <w:highlight w:val="none"/>
          <w:lang w:eastAsia="zh-CN"/>
        </w:rPr>
        <w:t>2024年度第二代支付系统持续优化项目（第二次）</w:t>
      </w:r>
    </w:p>
    <w:p w14:paraId="79CCF810">
      <w:pPr>
        <w:spacing w:line="360" w:lineRule="auto"/>
        <w:ind w:firstLine="0" w:firstLineChars="0"/>
        <w:jc w:val="left"/>
        <w:rPr>
          <w:rFonts w:ascii="Times New Roman" w:hAnsi="Times New Roman" w:cs="Times New Roman"/>
          <w:snapToGrid w:val="0"/>
          <w:kern w:val="0"/>
          <w:sz w:val="18"/>
          <w:highlight w:val="none"/>
        </w:rPr>
      </w:pPr>
    </w:p>
    <w:p w14:paraId="41123E82">
      <w:pPr>
        <w:spacing w:line="360" w:lineRule="auto"/>
        <w:ind w:firstLine="0" w:firstLineChars="0"/>
        <w:jc w:val="left"/>
        <w:rPr>
          <w:rFonts w:ascii="Times New Roman" w:hAnsi="Times New Roman" w:cs="Times New Roman"/>
          <w:snapToGrid w:val="0"/>
          <w:kern w:val="0"/>
          <w:sz w:val="20"/>
          <w:highlight w:val="none"/>
        </w:rPr>
      </w:pPr>
    </w:p>
    <w:p w14:paraId="43CED1A0">
      <w:pPr>
        <w:spacing w:line="360" w:lineRule="auto"/>
        <w:ind w:firstLine="0" w:firstLineChars="0"/>
        <w:jc w:val="left"/>
        <w:rPr>
          <w:rFonts w:ascii="Times New Roman" w:hAnsi="Times New Roman" w:cs="Times New Roman"/>
          <w:snapToGrid w:val="0"/>
          <w:kern w:val="0"/>
          <w:sz w:val="20"/>
          <w:highlight w:val="none"/>
        </w:rPr>
      </w:pPr>
    </w:p>
    <w:p w14:paraId="1F1B089A">
      <w:pPr>
        <w:spacing w:line="360" w:lineRule="auto"/>
        <w:ind w:firstLine="0" w:firstLineChars="0"/>
        <w:jc w:val="left"/>
        <w:rPr>
          <w:rFonts w:ascii="Times New Roman" w:hAnsi="Times New Roman" w:cs="Times New Roman"/>
          <w:snapToGrid w:val="0"/>
          <w:kern w:val="0"/>
          <w:sz w:val="20"/>
          <w:highlight w:val="none"/>
        </w:rPr>
      </w:pPr>
    </w:p>
    <w:p w14:paraId="276CA526">
      <w:pPr>
        <w:spacing w:line="360" w:lineRule="auto"/>
        <w:ind w:firstLine="0" w:firstLineChars="0"/>
        <w:jc w:val="left"/>
        <w:rPr>
          <w:rFonts w:ascii="Times New Roman" w:hAnsi="Times New Roman" w:cs="Times New Roman"/>
          <w:snapToGrid w:val="0"/>
          <w:kern w:val="0"/>
          <w:sz w:val="20"/>
          <w:highlight w:val="none"/>
        </w:rPr>
      </w:pPr>
    </w:p>
    <w:p w14:paraId="60CE4139">
      <w:pPr>
        <w:spacing w:line="360" w:lineRule="auto"/>
        <w:ind w:firstLine="0" w:firstLineChars="0"/>
        <w:jc w:val="left"/>
        <w:rPr>
          <w:rFonts w:ascii="Times New Roman" w:hAnsi="Times New Roman" w:cs="Times New Roman"/>
          <w:snapToGrid w:val="0"/>
          <w:kern w:val="0"/>
          <w:sz w:val="20"/>
          <w:highlight w:val="none"/>
        </w:rPr>
      </w:pPr>
    </w:p>
    <w:p w14:paraId="3B51C7AF">
      <w:pPr>
        <w:spacing w:line="360" w:lineRule="auto"/>
        <w:ind w:firstLine="0" w:firstLineChars="0"/>
        <w:jc w:val="left"/>
        <w:rPr>
          <w:rFonts w:ascii="Times New Roman" w:hAnsi="Times New Roman" w:cs="Times New Roman"/>
          <w:snapToGrid w:val="0"/>
          <w:kern w:val="0"/>
          <w:sz w:val="20"/>
          <w:highlight w:val="none"/>
        </w:rPr>
      </w:pPr>
    </w:p>
    <w:p w14:paraId="003B1119">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65F163BC">
      <w:pPr>
        <w:spacing w:line="360" w:lineRule="auto"/>
        <w:ind w:firstLine="0" w:firstLineChars="0"/>
        <w:jc w:val="center"/>
        <w:rPr>
          <w:rFonts w:ascii="Times New Roman" w:hAnsi="Times New Roman" w:cs="Times New Roman"/>
          <w:b/>
          <w:snapToGrid w:val="0"/>
          <w:kern w:val="0"/>
          <w:szCs w:val="28"/>
          <w:highlight w:val="none"/>
        </w:rPr>
      </w:pPr>
    </w:p>
    <w:p w14:paraId="5B230DF7">
      <w:pPr>
        <w:spacing w:line="360" w:lineRule="auto"/>
        <w:ind w:firstLine="0" w:firstLineChars="0"/>
        <w:jc w:val="center"/>
        <w:rPr>
          <w:rFonts w:ascii="Times New Roman" w:hAnsi="Times New Roman" w:cs="Times New Roman"/>
          <w:b/>
          <w:snapToGrid w:val="0"/>
          <w:kern w:val="0"/>
          <w:szCs w:val="28"/>
          <w:highlight w:val="none"/>
        </w:rPr>
      </w:pPr>
    </w:p>
    <w:p w14:paraId="16FC71D5">
      <w:pPr>
        <w:spacing w:line="360" w:lineRule="auto"/>
        <w:ind w:firstLine="0" w:firstLineChars="0"/>
        <w:jc w:val="center"/>
        <w:rPr>
          <w:rFonts w:ascii="Times New Roman" w:hAnsi="Times New Roman" w:cs="Times New Roman"/>
          <w:b/>
          <w:snapToGrid w:val="0"/>
          <w:kern w:val="0"/>
          <w:szCs w:val="28"/>
          <w:highlight w:val="none"/>
        </w:rPr>
      </w:pPr>
    </w:p>
    <w:p w14:paraId="28874458">
      <w:pPr>
        <w:ind w:firstLine="0" w:firstLineChars="0"/>
        <w:rPr>
          <w:rFonts w:ascii="Times New Roman" w:hAnsi="Times New Roman"/>
          <w:highlight w:val="none"/>
        </w:rPr>
      </w:pPr>
    </w:p>
    <w:p w14:paraId="47099F03">
      <w:pPr>
        <w:pStyle w:val="11"/>
        <w:rPr>
          <w:rFonts w:ascii="Times New Roman" w:hAnsi="Times New Roman"/>
          <w:highlight w:val="none"/>
        </w:rPr>
      </w:pPr>
    </w:p>
    <w:p w14:paraId="5A5CC02E">
      <w:pPr>
        <w:rPr>
          <w:rFonts w:ascii="Times New Roman" w:hAnsi="Times New Roman"/>
          <w:highlight w:val="none"/>
        </w:rPr>
      </w:pPr>
    </w:p>
    <w:p w14:paraId="5035FF33">
      <w:pPr>
        <w:rPr>
          <w:rFonts w:ascii="Times New Roman" w:hAnsi="Times New Roman"/>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0F7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56" w:type="dxa"/>
            <w:tcBorders>
              <w:tl2br w:val="nil"/>
              <w:tr2bl w:val="nil"/>
            </w:tcBorders>
            <w:vAlign w:val="center"/>
          </w:tcPr>
          <w:p w14:paraId="7915C263">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4C177098">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62786968">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2EC6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CA16146">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06BA48E5">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202</w:t>
            </w:r>
            <w:r>
              <w:rPr>
                <w:rFonts w:hint="eastAsia" w:cs="Times New Roman"/>
                <w:b/>
                <w:snapToGrid w:val="0"/>
                <w:kern w:val="0"/>
                <w:sz w:val="30"/>
                <w:szCs w:val="30"/>
                <w:highlight w:val="none"/>
                <w:lang w:val="en-US" w:eastAsia="zh-CN"/>
              </w:rPr>
              <w:t>5</w:t>
            </w:r>
            <w:r>
              <w:rPr>
                <w:rFonts w:ascii="Times New Roman" w:hAnsi="Times New Roman" w:cs="Times New Roman"/>
                <w:b/>
                <w:snapToGrid w:val="0"/>
                <w:kern w:val="0"/>
                <w:sz w:val="30"/>
                <w:szCs w:val="30"/>
                <w:highlight w:val="none"/>
              </w:rPr>
              <w:t>年</w:t>
            </w:r>
            <w:r>
              <w:rPr>
                <w:rFonts w:hint="eastAsia" w:cs="Times New Roman"/>
                <w:b/>
                <w:snapToGrid w:val="0"/>
                <w:kern w:val="0"/>
                <w:sz w:val="30"/>
                <w:szCs w:val="30"/>
                <w:highlight w:val="none"/>
                <w:lang w:val="en-US" w:eastAsia="zh-CN"/>
              </w:rPr>
              <w:t>2</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0D364F75">
            <w:pPr>
              <w:rPr>
                <w:highlight w:val="none"/>
              </w:rPr>
            </w:pPr>
          </w:p>
        </w:tc>
      </w:tr>
    </w:tbl>
    <w:p w14:paraId="1447153C">
      <w:pPr>
        <w:ind w:firstLine="0" w:firstLineChars="0"/>
        <w:rPr>
          <w:rFonts w:ascii="Times New Roman" w:hAnsi="Times New Roman"/>
          <w:highlight w:val="none"/>
        </w:rPr>
        <w:sectPr>
          <w:pgSz w:w="11906" w:h="16838"/>
          <w:pgMar w:top="1440" w:right="1800" w:bottom="1440" w:left="1800" w:header="851" w:footer="992" w:gutter="0"/>
          <w:pgNumType w:start="1"/>
          <w:cols w:space="720" w:num="1"/>
          <w:docGrid w:type="lines" w:linePitch="326" w:charSpace="0"/>
        </w:sectPr>
      </w:pPr>
    </w:p>
    <w:p w14:paraId="1116BAB4">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4DBA1EA8">
      <w:pPr>
        <w:pStyle w:val="19"/>
        <w:tabs>
          <w:tab w:val="right" w:leader="dot" w:pos="8306"/>
        </w:tabs>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_Toc21982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_Toc21982 \h </w:instrText>
      </w:r>
      <w:r>
        <w:fldChar w:fldCharType="separate"/>
      </w:r>
      <w:r>
        <w:t>1</w:t>
      </w:r>
      <w:r>
        <w:fldChar w:fldCharType="end"/>
      </w:r>
      <w:r>
        <w:rPr>
          <w:rFonts w:ascii="Times New Roman" w:hAnsi="Times New Roman"/>
          <w:snapToGrid w:val="0"/>
          <w:kern w:val="0"/>
          <w:szCs w:val="24"/>
          <w:highlight w:val="none"/>
        </w:rPr>
        <w:fldChar w:fldCharType="end"/>
      </w:r>
    </w:p>
    <w:p w14:paraId="04E0B8A4">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_Toc14169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_Toc14169 \h </w:instrText>
      </w:r>
      <w:r>
        <w:fldChar w:fldCharType="separate"/>
      </w:r>
      <w:r>
        <w:t>5</w:t>
      </w:r>
      <w:r>
        <w:fldChar w:fldCharType="end"/>
      </w:r>
      <w:r>
        <w:rPr>
          <w:rFonts w:ascii="Times New Roman" w:hAnsi="Times New Roman"/>
          <w:snapToGrid w:val="0"/>
          <w:kern w:val="0"/>
          <w:szCs w:val="24"/>
          <w:highlight w:val="none"/>
        </w:rPr>
        <w:fldChar w:fldCharType="end"/>
      </w:r>
    </w:p>
    <w:p w14:paraId="4948258B">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_Toc31654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_Toc31654 \h </w:instrText>
      </w:r>
      <w:r>
        <w:fldChar w:fldCharType="separate"/>
      </w:r>
      <w:r>
        <w:t>13</w:t>
      </w:r>
      <w:r>
        <w:fldChar w:fldCharType="end"/>
      </w:r>
      <w:r>
        <w:rPr>
          <w:rFonts w:ascii="Times New Roman" w:hAnsi="Times New Roman"/>
          <w:snapToGrid w:val="0"/>
          <w:kern w:val="0"/>
          <w:szCs w:val="24"/>
          <w:highlight w:val="none"/>
        </w:rPr>
        <w:fldChar w:fldCharType="end"/>
      </w:r>
    </w:p>
    <w:p w14:paraId="140DFFEA">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_Toc10419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_Toc10419 \h </w:instrText>
      </w:r>
      <w:r>
        <w:fldChar w:fldCharType="separate"/>
      </w:r>
      <w:r>
        <w:t>28</w:t>
      </w:r>
      <w:r>
        <w:fldChar w:fldCharType="end"/>
      </w:r>
      <w:r>
        <w:rPr>
          <w:rFonts w:ascii="Times New Roman" w:hAnsi="Times New Roman"/>
          <w:snapToGrid w:val="0"/>
          <w:kern w:val="0"/>
          <w:szCs w:val="24"/>
          <w:highlight w:val="none"/>
        </w:rPr>
        <w:fldChar w:fldCharType="end"/>
      </w:r>
    </w:p>
    <w:p w14:paraId="1C7AA812">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_Toc22308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_Toc22308 \h </w:instrText>
      </w:r>
      <w:r>
        <w:fldChar w:fldCharType="separate"/>
      </w:r>
      <w:r>
        <w:t>35</w:t>
      </w:r>
      <w:r>
        <w:fldChar w:fldCharType="end"/>
      </w:r>
      <w:r>
        <w:rPr>
          <w:rFonts w:ascii="Times New Roman" w:hAnsi="Times New Roman"/>
          <w:snapToGrid w:val="0"/>
          <w:kern w:val="0"/>
          <w:szCs w:val="24"/>
          <w:highlight w:val="none"/>
        </w:rPr>
        <w:fldChar w:fldCharType="end"/>
      </w:r>
    </w:p>
    <w:p w14:paraId="5797C1D9">
      <w:pPr>
        <w:pStyle w:val="19"/>
        <w:tabs>
          <w:tab w:val="right" w:leader="dot" w:pos="8306"/>
        </w:tabs>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_Toc179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_Toc179 \h </w:instrText>
      </w:r>
      <w:r>
        <w:fldChar w:fldCharType="separate"/>
      </w:r>
      <w:r>
        <w:t>74</w:t>
      </w:r>
      <w:r>
        <w:fldChar w:fldCharType="end"/>
      </w:r>
      <w:r>
        <w:rPr>
          <w:rFonts w:ascii="Times New Roman" w:hAnsi="Times New Roman"/>
          <w:snapToGrid w:val="0"/>
          <w:kern w:val="0"/>
          <w:szCs w:val="24"/>
          <w:highlight w:val="none"/>
        </w:rPr>
        <w:fldChar w:fldCharType="end"/>
      </w:r>
    </w:p>
    <w:p w14:paraId="207DD9EC">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64AB9EAC">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26" w:charSpace="0"/>
        </w:sectPr>
      </w:pPr>
    </w:p>
    <w:p w14:paraId="02562B12">
      <w:pPr>
        <w:pStyle w:val="2"/>
        <w:rPr>
          <w:rFonts w:ascii="Times New Roman" w:hAnsi="Times New Roman"/>
          <w:szCs w:val="32"/>
          <w:highlight w:val="none"/>
        </w:rPr>
      </w:pPr>
      <w:bookmarkStart w:id="0" w:name="_Toc440628903"/>
      <w:bookmarkStart w:id="1" w:name="_Toc21982"/>
      <w:bookmarkStart w:id="2" w:name="_Toc6745"/>
      <w:bookmarkStart w:id="3" w:name="_Toc469574661"/>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p>
    <w:p w14:paraId="60B02F04">
      <w:pPr>
        <w:tabs>
          <w:tab w:val="left" w:pos="3360"/>
        </w:tabs>
        <w:snapToGrid w:val="0"/>
        <w:rPr>
          <w:rFonts w:ascii="宋体" w:cs="宋体"/>
          <w:snapToGrid w:val="0"/>
          <w:kern w:val="0"/>
          <w:szCs w:val="24"/>
        </w:rPr>
      </w:pPr>
      <w:bookmarkStart w:id="4" w:name="_Toc89675127"/>
      <w:bookmarkStart w:id="5" w:name="_Toc55379218"/>
      <w:bookmarkStart w:id="6" w:name="_Toc89675159"/>
      <w:bookmarkStart w:id="7" w:name="_Toc303066033"/>
      <w:bookmarkStart w:id="8" w:name="_Toc14169"/>
      <w:r>
        <w:rPr>
          <w:rFonts w:hint="eastAsia" w:ascii="宋体" w:cs="宋体"/>
          <w:snapToGrid w:val="0"/>
          <w:kern w:val="0"/>
          <w:szCs w:val="24"/>
        </w:rPr>
        <w:t>我行按照支付系统</w:t>
      </w:r>
      <w:r>
        <w:rPr>
          <w:rFonts w:hint="eastAsia" w:ascii="宋体" w:cs="宋体"/>
          <w:snapToGrid w:val="0"/>
          <w:kern w:val="0"/>
          <w:szCs w:val="24"/>
          <w:lang w:val="en-US" w:eastAsia="zh-CN"/>
        </w:rPr>
        <w:t>行内规划</w:t>
      </w:r>
      <w:r>
        <w:rPr>
          <w:rFonts w:hint="eastAsia" w:ascii="宋体" w:cs="宋体"/>
          <w:snapToGrid w:val="0"/>
          <w:kern w:val="0"/>
          <w:szCs w:val="24"/>
        </w:rPr>
        <w:t>建设要求，先后建设了大额支付系统、小额支付系统、网上支付跨行清算系统（以下统称“支付系统”）。同时，为进一步满足客户支付需求、拓展我行支付渠道，我行对接城银清算服务有限责任公司建成了城银支付系统，以多层次的支付清算体系适应我国支付清算行业日新月异的发展，扎实做好经济社会发展金融服务。</w:t>
      </w:r>
      <w:r>
        <w:rPr>
          <w:rFonts w:hint="eastAsia" w:ascii="宋体" w:cs="宋体"/>
          <w:bCs/>
          <w:snapToGrid w:val="0"/>
          <w:kern w:val="0"/>
          <w:szCs w:val="24"/>
        </w:rPr>
        <w:t>2024年将持续优化支付系统，完成监管以及业务发展要求的功能优化，提升支付服务能力，将重点完成以下几方面：一是满足监管需求；二是支持业务发展；三是落实内部管理。针对上述三点，需持续对第二代支付系（大额支付、小额支付、</w:t>
      </w:r>
      <w:r>
        <w:rPr>
          <w:rFonts w:hint="eastAsia" w:ascii="宋体" w:cs="宋体"/>
          <w:snapToGrid w:val="0"/>
          <w:kern w:val="0"/>
          <w:szCs w:val="24"/>
        </w:rPr>
        <w:t>网上支付跨行清算</w:t>
      </w:r>
      <w:r>
        <w:rPr>
          <w:rFonts w:hint="eastAsia" w:ascii="宋体" w:cs="宋体"/>
          <w:bCs/>
          <w:snapToGrid w:val="0"/>
          <w:kern w:val="0"/>
          <w:szCs w:val="24"/>
        </w:rPr>
        <w:t>、</w:t>
      </w:r>
      <w:r>
        <w:rPr>
          <w:rFonts w:hint="eastAsia" w:ascii="宋体" w:cs="宋体"/>
          <w:snapToGrid w:val="0"/>
          <w:kern w:val="0"/>
          <w:szCs w:val="24"/>
        </w:rPr>
        <w:t>城银支付系统</w:t>
      </w:r>
      <w:r>
        <w:rPr>
          <w:rFonts w:hint="eastAsia" w:ascii="宋体" w:cs="宋体"/>
          <w:bCs/>
          <w:snapToGrid w:val="0"/>
          <w:kern w:val="0"/>
          <w:szCs w:val="24"/>
        </w:rPr>
        <w:t>和批量交易处理系统）进行优化。</w:t>
      </w:r>
      <w:r>
        <w:rPr>
          <w:rFonts w:hint="eastAsia" w:ascii="宋体" w:cs="宋体"/>
          <w:snapToGrid w:val="0"/>
          <w:kern w:val="0"/>
          <w:szCs w:val="24"/>
        </w:rPr>
        <w:t>现对重庆三峡银行</w:t>
      </w:r>
      <w:r>
        <w:rPr>
          <w:rFonts w:hint="eastAsia" w:ascii="宋体" w:cs="宋体"/>
          <w:snapToGrid w:val="0"/>
          <w:kern w:val="0"/>
          <w:szCs w:val="24"/>
          <w:lang w:eastAsia="zh-CN"/>
        </w:rPr>
        <w:t>2024年度第二代支付系统持续优化项目（第二次）</w:t>
      </w:r>
      <w:r>
        <w:rPr>
          <w:rFonts w:hint="eastAsia" w:ascii="宋体" w:cs="宋体"/>
          <w:snapToGrid w:val="0"/>
          <w:kern w:val="0"/>
          <w:szCs w:val="24"/>
        </w:rPr>
        <w:t>进行公开比选，特邀请有</w:t>
      </w:r>
      <w:bookmarkStart w:id="9" w:name="_Hlk59455120"/>
      <w:r>
        <w:rPr>
          <w:rFonts w:hint="eastAsia" w:ascii="宋体" w:cs="宋体"/>
          <w:snapToGrid w:val="0"/>
          <w:kern w:val="0"/>
          <w:szCs w:val="24"/>
        </w:rPr>
        <w:t>意向</w:t>
      </w:r>
      <w:bookmarkEnd w:id="9"/>
      <w:r>
        <w:rPr>
          <w:rFonts w:hint="eastAsia" w:ascii="宋体" w:cs="宋体"/>
          <w:snapToGrid w:val="0"/>
          <w:kern w:val="0"/>
          <w:szCs w:val="24"/>
        </w:rPr>
        <w:t>的潜在参选人进行参选。</w:t>
      </w:r>
    </w:p>
    <w:p w14:paraId="486C1232">
      <w:pPr>
        <w:pStyle w:val="3"/>
        <w:tabs>
          <w:tab w:val="left" w:pos="3360"/>
        </w:tabs>
        <w:rPr>
          <w:rFonts w:ascii="Times New Roman" w:hAnsi="Times New Roman"/>
        </w:rPr>
      </w:pPr>
      <w:r>
        <w:rPr>
          <w:rFonts w:hint="eastAsia" w:ascii="Times New Roman" w:hAnsi="Times New Roman"/>
        </w:rPr>
        <w:t>1. 比选项目内容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5FB4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23900C47">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序号</w:t>
            </w:r>
          </w:p>
        </w:tc>
        <w:tc>
          <w:tcPr>
            <w:tcW w:w="2826" w:type="dxa"/>
            <w:vAlign w:val="center"/>
          </w:tcPr>
          <w:p w14:paraId="30A3611F">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项目名称</w:t>
            </w:r>
          </w:p>
        </w:tc>
        <w:tc>
          <w:tcPr>
            <w:tcW w:w="1646" w:type="dxa"/>
            <w:vAlign w:val="center"/>
          </w:tcPr>
          <w:p w14:paraId="0EBF0573">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最高限价</w:t>
            </w:r>
          </w:p>
        </w:tc>
        <w:tc>
          <w:tcPr>
            <w:tcW w:w="1798" w:type="dxa"/>
            <w:vAlign w:val="center"/>
          </w:tcPr>
          <w:p w14:paraId="33618C77">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中选人数量</w:t>
            </w:r>
          </w:p>
        </w:tc>
        <w:tc>
          <w:tcPr>
            <w:tcW w:w="1798" w:type="dxa"/>
            <w:vAlign w:val="center"/>
          </w:tcPr>
          <w:p w14:paraId="625A9DFC">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备注</w:t>
            </w:r>
          </w:p>
        </w:tc>
      </w:tr>
      <w:tr w14:paraId="2C25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C21AE09">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1</w:t>
            </w:r>
          </w:p>
        </w:tc>
        <w:tc>
          <w:tcPr>
            <w:tcW w:w="2826" w:type="dxa"/>
            <w:vAlign w:val="center"/>
          </w:tcPr>
          <w:p w14:paraId="5EFBF6EA">
            <w:pPr>
              <w:tabs>
                <w:tab w:val="left" w:pos="3360"/>
              </w:tabs>
              <w:ind w:firstLine="0" w:firstLineChars="0"/>
              <w:jc w:val="center"/>
              <w:rPr>
                <w:rFonts w:hint="eastAsia" w:ascii="Times New Roman" w:hAnsi="Times New Roman" w:eastAsia="宋体" w:cs="Cambria"/>
                <w:snapToGrid w:val="0"/>
                <w:kern w:val="0"/>
                <w:szCs w:val="24"/>
                <w:lang w:eastAsia="zh-CN"/>
              </w:rPr>
            </w:pPr>
            <w:r>
              <w:rPr>
                <w:rFonts w:hint="eastAsia" w:ascii="Times New Roman" w:hAnsi="Times New Roman" w:cs="Cambria"/>
                <w:snapToGrid w:val="0"/>
                <w:kern w:val="0"/>
                <w:szCs w:val="24"/>
              </w:rPr>
              <w:t>重庆三峡银行</w:t>
            </w:r>
            <w:r>
              <w:rPr>
                <w:rFonts w:hint="eastAsia" w:cs="Cambria"/>
                <w:snapToGrid w:val="0"/>
                <w:kern w:val="0"/>
                <w:szCs w:val="24"/>
                <w:lang w:eastAsia="zh-CN"/>
              </w:rPr>
              <w:t>2024年度第二代支付系统持续优化项目（第二次）</w:t>
            </w:r>
          </w:p>
        </w:tc>
        <w:tc>
          <w:tcPr>
            <w:tcW w:w="1646" w:type="dxa"/>
            <w:vAlign w:val="center"/>
          </w:tcPr>
          <w:p w14:paraId="54E78364">
            <w:pPr>
              <w:tabs>
                <w:tab w:val="left" w:pos="3360"/>
              </w:tabs>
              <w:ind w:firstLine="0" w:firstLineChars="0"/>
              <w:jc w:val="center"/>
              <w:rPr>
                <w:rFonts w:ascii="Times New Roman" w:hAnsi="Times New Roman" w:cs="Cambria"/>
                <w:snapToGrid w:val="0"/>
                <w:kern w:val="0"/>
                <w:szCs w:val="24"/>
              </w:rPr>
            </w:pPr>
            <w:r>
              <w:rPr>
                <w:rFonts w:ascii="Times New Roman" w:hAnsi="Times New Roman" w:cs="Cambria"/>
                <w:snapToGrid w:val="0"/>
                <w:kern w:val="0"/>
                <w:szCs w:val="24"/>
              </w:rPr>
              <w:t>86.4</w:t>
            </w:r>
            <w:r>
              <w:rPr>
                <w:rFonts w:hint="eastAsia" w:ascii="Times New Roman" w:hAnsi="Times New Roman" w:cs="Cambria"/>
                <w:snapToGrid w:val="0"/>
                <w:kern w:val="0"/>
                <w:szCs w:val="24"/>
              </w:rPr>
              <w:t>万元</w:t>
            </w:r>
          </w:p>
        </w:tc>
        <w:tc>
          <w:tcPr>
            <w:tcW w:w="1798" w:type="dxa"/>
            <w:vAlign w:val="center"/>
          </w:tcPr>
          <w:p w14:paraId="0A1807AB">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1</w:t>
            </w:r>
          </w:p>
        </w:tc>
        <w:tc>
          <w:tcPr>
            <w:tcW w:w="1798" w:type="dxa"/>
            <w:vAlign w:val="center"/>
          </w:tcPr>
          <w:p w14:paraId="3A687B45">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含税</w:t>
            </w:r>
          </w:p>
        </w:tc>
      </w:tr>
    </w:tbl>
    <w:p w14:paraId="51061DC8">
      <w:pPr>
        <w:pStyle w:val="3"/>
        <w:rPr>
          <w:rFonts w:ascii="Times New Roman" w:hAnsi="Times New Roman"/>
        </w:rPr>
      </w:pPr>
      <w:bookmarkStart w:id="10" w:name="_Toc297817088"/>
      <w:bookmarkStart w:id="11" w:name="_Toc55379219"/>
      <w:bookmarkStart w:id="12" w:name="_Toc288224935"/>
      <w:bookmarkStart w:id="13" w:name="_Toc469574664"/>
      <w:bookmarkStart w:id="14" w:name="_Toc89675128"/>
      <w:r>
        <w:rPr>
          <w:rFonts w:hint="eastAsia" w:ascii="Times New Roman" w:hAnsi="Times New Roman"/>
        </w:rPr>
        <w:t>2. 参选人资格要求</w:t>
      </w:r>
      <w:bookmarkEnd w:id="10"/>
      <w:bookmarkEnd w:id="11"/>
      <w:bookmarkEnd w:id="12"/>
      <w:bookmarkEnd w:id="13"/>
      <w:bookmarkEnd w:id="14"/>
    </w:p>
    <w:p w14:paraId="2CA57F7E">
      <w:pPr>
        <w:bidi w:val="0"/>
      </w:pPr>
      <w:bookmarkStart w:id="15" w:name="_Hlk55488870"/>
      <w:r>
        <w:rPr>
          <w:rFonts w:hint="eastAsia"/>
        </w:rPr>
        <w:t>2.1 具有独立承担民事责任的能力</w:t>
      </w:r>
    </w:p>
    <w:p w14:paraId="5C3C550C">
      <w:pPr>
        <w:bidi w:val="0"/>
      </w:pPr>
      <w:r>
        <w:rPr>
          <w:rFonts w:hint="eastAsia"/>
        </w:rPr>
        <w:t>【提供参选人有效营业执照（副本）或事业单位法人证书（副本）或个体工商户营业执照或有效的自然人身份证明；参选人法定代表人身份证明和法定代表人授权委托书。】</w:t>
      </w:r>
    </w:p>
    <w:p w14:paraId="540CD0A9">
      <w:pPr>
        <w:bidi w:val="0"/>
      </w:pPr>
      <w:r>
        <w:rPr>
          <w:rFonts w:hint="eastAsia"/>
        </w:rPr>
        <w:t>注：若为法定代表人办理并签署参选文件的，不提供授权委托书。</w:t>
      </w:r>
    </w:p>
    <w:p w14:paraId="3BE38495">
      <w:pPr>
        <w:bidi w:val="0"/>
      </w:pPr>
      <w:r>
        <w:rPr>
          <w:rFonts w:hint="eastAsia"/>
        </w:rPr>
        <w:t>2.2 具有良好的商业信誉和健全的财务会计制度【提供书面声明】；</w:t>
      </w:r>
    </w:p>
    <w:p w14:paraId="538B5BBB">
      <w:pPr>
        <w:bidi w:val="0"/>
      </w:pPr>
      <w:r>
        <w:rPr>
          <w:rFonts w:hint="eastAsia"/>
        </w:rPr>
        <w:t>2.3 具有履行合同所必需的设备和专业技术能力【提供书面声明】；</w:t>
      </w:r>
    </w:p>
    <w:p w14:paraId="207FDA6B">
      <w:pPr>
        <w:bidi w:val="0"/>
      </w:pPr>
      <w:r>
        <w:rPr>
          <w:rFonts w:hint="eastAsia"/>
        </w:rPr>
        <w:t>2.4 有依法缴纳税收和社会保障金的良好记录【提供书面声明】；</w:t>
      </w:r>
    </w:p>
    <w:p w14:paraId="2752A494">
      <w:pPr>
        <w:bidi w:val="0"/>
      </w:pPr>
      <w:r>
        <w:rPr>
          <w:rFonts w:hint="eastAsia"/>
        </w:rPr>
        <w:t>2.5 三年内在经营活动中没有重大违法记录【提供书面声明】；</w:t>
      </w:r>
    </w:p>
    <w:p w14:paraId="0EB05FCF">
      <w:pPr>
        <w:bidi w:val="0"/>
      </w:pPr>
      <w:r>
        <w:rPr>
          <w:rFonts w:hint="eastAsia"/>
        </w:rPr>
        <w:t>2.6 法人及法定代表人没有被人民法院列为失信被执行人名单【提供中国执行信息公开网截图并加盖单位鲜章】；</w:t>
      </w:r>
    </w:p>
    <w:p w14:paraId="5441AEBA">
      <w:pPr>
        <w:bidi w:val="0"/>
      </w:pPr>
      <w:r>
        <w:rPr>
          <w:rFonts w:hint="eastAsia"/>
        </w:rPr>
        <w:t>2.7 本项目不允许任何形式的转包【提供书面声明】。</w:t>
      </w:r>
    </w:p>
    <w:p w14:paraId="6F6811D9">
      <w:pPr>
        <w:bidi w:val="0"/>
      </w:pPr>
      <w:r>
        <w:rPr>
          <w:rFonts w:hint="eastAsia"/>
        </w:rPr>
        <w:t>2.8 本次招标不接受联合体参选。</w:t>
      </w:r>
    </w:p>
    <w:p w14:paraId="1EA917FB">
      <w:pPr>
        <w:bidi w:val="0"/>
      </w:pPr>
      <w:r>
        <w:rPr>
          <w:rFonts w:hint="eastAsia"/>
        </w:rPr>
        <w:t xml:space="preserve">2.9 </w:t>
      </w:r>
      <w:r>
        <w:rPr>
          <w:rFonts w:hint="eastAsia"/>
          <w:lang w:val="en-US" w:eastAsia="zh-CN"/>
        </w:rPr>
        <w:t>2021年1月至2023年12月（以合同签订时间为准）</w:t>
      </w:r>
      <w:r>
        <w:rPr>
          <w:rFonts w:hint="eastAsia"/>
        </w:rPr>
        <w:t>具有</w:t>
      </w:r>
      <w:r>
        <w:t>大额支付、小额支付、</w:t>
      </w:r>
      <w:r>
        <w:rPr>
          <w:rFonts w:hint="eastAsia"/>
        </w:rPr>
        <w:t>网上支付跨行清算</w:t>
      </w:r>
      <w:r>
        <w:t>、</w:t>
      </w:r>
      <w:r>
        <w:rPr>
          <w:rFonts w:hint="eastAsia"/>
        </w:rPr>
        <w:t>城银支付系统</w:t>
      </w:r>
      <w:r>
        <w:t>和批量业务处理</w:t>
      </w:r>
      <w:r>
        <w:rPr>
          <w:rFonts w:hint="eastAsia"/>
        </w:rPr>
        <w:t>相关新建或改造项目实施案例，</w:t>
      </w:r>
      <w:r>
        <w:rPr>
          <w:rFonts w:hint="eastAsia"/>
          <w:lang w:val="en-US" w:eastAsia="zh-CN"/>
        </w:rPr>
        <w:t>人力外包合同必须能够证实施主体为支付类系统。</w:t>
      </w:r>
      <w:r>
        <w:rPr>
          <w:rFonts w:hint="eastAsia"/>
        </w:rPr>
        <w:t>不少于15</w:t>
      </w:r>
      <w:r>
        <w:rPr>
          <w:rFonts w:hint="eastAsia"/>
          <w:lang w:val="en-US" w:eastAsia="zh-CN"/>
        </w:rPr>
        <w:t>个</w:t>
      </w:r>
      <w:r>
        <w:rPr>
          <w:rFonts w:hint="eastAsia"/>
        </w:rPr>
        <w:t>，低于15个案例（不含15个）取消参选资质【</w:t>
      </w:r>
      <w:r>
        <w:rPr>
          <w:rFonts w:hint="eastAsia"/>
          <w:lang w:val="en-US" w:eastAsia="zh-CN"/>
        </w:rPr>
        <w:t>提供合同关键页、项目简介、</w:t>
      </w:r>
      <w:r>
        <w:rPr>
          <w:rFonts w:hint="eastAsia"/>
        </w:rPr>
        <w:t>合同对应的发票之一和网上税务系统查询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val="en-US" w:eastAsia="zh-CN"/>
        </w:rPr>
        <w:t>。合同关键页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。发票开具日期须晚于合同签订日期、发票购买方须与合同买方一致、发票销售方须与合同卖方（参选人）一致】；</w:t>
      </w:r>
    </w:p>
    <w:p w14:paraId="085A4F6C">
      <w:pPr>
        <w:bidi w:val="0"/>
      </w:pPr>
      <w:r>
        <w:rPr>
          <w:rFonts w:hint="eastAsia"/>
        </w:rPr>
        <w:t xml:space="preserve">2.10 </w:t>
      </w:r>
      <w:r>
        <w:t>参选人注册成立时间不少于</w:t>
      </w:r>
      <w:r>
        <w:rPr>
          <w:rFonts w:hint="eastAsia"/>
        </w:rPr>
        <w:t>5</w:t>
      </w:r>
      <w:r>
        <w:t>年，且近3年财务状况稳定。</w:t>
      </w:r>
      <w:bookmarkStart w:id="16" w:name="_Hlk47356067"/>
      <w:r>
        <w:t>且参选人须具有本次比选内容所涉及的第三方软件代理资格（含开源软件的合法授权），取得本次比选内容所涉及的第三方软件产品的原厂商授权书或确认函（</w:t>
      </w:r>
      <w:r>
        <w:rPr>
          <w:rFonts w:hint="eastAsia"/>
        </w:rPr>
        <w:t>如不涉及第三方软件，则提供未使用第三方软件产品确认函</w:t>
      </w:r>
      <w:r>
        <w:t>）</w:t>
      </w:r>
      <w:bookmarkEnd w:id="16"/>
      <w:r>
        <w:t>。不满足要求的取消参选资格。【注册成立时间提供营业执照、财务状况提供书面声明、代理资格提供第三方软件产品的原厂商授权书或确认函】</w:t>
      </w:r>
    </w:p>
    <w:p w14:paraId="342C7E5D">
      <w:pPr>
        <w:bidi w:val="0"/>
        <w:rPr>
          <w:rFonts w:hint="eastAsia"/>
          <w:lang w:eastAsia="zh-CN"/>
        </w:rPr>
      </w:pPr>
      <w:r>
        <w:rPr>
          <w:rFonts w:hint="eastAsia"/>
        </w:rPr>
        <w:t>2.11</w:t>
      </w:r>
      <w:r>
        <w:rPr>
          <w:rFonts w:hint="eastAsia"/>
          <w:lang w:val="en-US" w:eastAsia="zh-CN"/>
        </w:rPr>
        <w:t xml:space="preserve"> </w:t>
      </w:r>
      <w:r>
        <w:rPr>
          <w:rFonts w:hint="eastAsia"/>
        </w:rPr>
        <w:t>参选人注册资金在6000万元（含）以上</w:t>
      </w:r>
      <w:r>
        <w:rPr>
          <w:rFonts w:hint="eastAsia"/>
          <w:lang w:eastAsia="zh-CN"/>
        </w:rPr>
        <w:t>。【</w:t>
      </w:r>
      <w:r>
        <w:rPr>
          <w:rFonts w:hint="eastAsia"/>
          <w:lang w:val="en-US" w:eastAsia="zh-CN"/>
        </w:rPr>
        <w:t>提供注册资金相关证明（如有，如营业执照含有注册资金，则无需提供）</w:t>
      </w:r>
      <w:r>
        <w:rPr>
          <w:rFonts w:hint="eastAsia"/>
          <w:lang w:eastAsia="zh-CN"/>
        </w:rPr>
        <w:t>】</w:t>
      </w:r>
    </w:p>
    <w:p w14:paraId="0EC3D2E1">
      <w:pPr>
        <w:bidi w:val="0"/>
      </w:pPr>
      <w:r>
        <w:rPr>
          <w:rFonts w:hint="eastAsia"/>
          <w:lang w:val="en-US" w:eastAsia="zh-CN"/>
        </w:rPr>
        <w:t>2.12 参选人应</w:t>
      </w:r>
      <w:r>
        <w:rPr>
          <w:rFonts w:hint="eastAsia"/>
        </w:rPr>
        <w:t>具备CMMI</w:t>
      </w:r>
      <w:r>
        <w:t>3</w:t>
      </w:r>
      <w:r>
        <w:rPr>
          <w:rFonts w:hint="eastAsia"/>
        </w:rPr>
        <w:t>以上（含）资质</w:t>
      </w:r>
      <w:r>
        <w:t>；有ISO9001（质量管理）、ISO20000（服务管理）、ISO27001（信息安全）、ISO22301（业务连续性）体系相关认证；有国家高新技术企业认证，</w:t>
      </w:r>
      <w:r>
        <w:rPr>
          <w:rFonts w:hint="eastAsia"/>
        </w:rPr>
        <w:t>否则取消参选资格。</w:t>
      </w:r>
      <w:r>
        <w:t>【提供</w:t>
      </w:r>
      <w:r>
        <w:rPr>
          <w:rFonts w:hint="eastAsia"/>
          <w:lang w:eastAsia="zh-CN"/>
        </w:rPr>
        <w:t>：</w:t>
      </w:r>
      <w:r>
        <w:rPr>
          <w:rFonts w:hint="eastAsia"/>
          <w:lang w:val="en-US" w:eastAsia="zh-CN"/>
        </w:rPr>
        <w:t>1、</w:t>
      </w:r>
      <w:r>
        <w:rPr>
          <w:rFonts w:hint="eastAsia"/>
        </w:rPr>
        <w:t>CMMI</w:t>
      </w:r>
      <w:r>
        <w:t>3</w:t>
      </w:r>
      <w:r>
        <w:rPr>
          <w:rFonts w:hint="eastAsia"/>
        </w:rPr>
        <w:t>以上（含）资质</w:t>
      </w:r>
      <w:r>
        <w:rPr>
          <w:rFonts w:hint="eastAsia"/>
          <w:lang w:eastAsia="zh-CN"/>
        </w:rPr>
        <w:t>；</w:t>
      </w:r>
      <w:r>
        <w:rPr>
          <w:rFonts w:hint="eastAsia"/>
          <w:lang w:val="en-US" w:eastAsia="zh-CN"/>
        </w:rPr>
        <w:t>2、ISO相关认证</w:t>
      </w:r>
      <w:r>
        <w:t>证书</w:t>
      </w:r>
      <w:r>
        <w:rPr>
          <w:rFonts w:hint="eastAsia"/>
          <w:lang w:val="en-US" w:eastAsia="zh-CN"/>
        </w:rPr>
        <w:t>和</w:t>
      </w:r>
      <w:r>
        <w:t>国家高新技术企业认证</w:t>
      </w:r>
      <w:r>
        <w:rPr>
          <w:rFonts w:hint="eastAsia"/>
          <w:lang w:val="en-US" w:eastAsia="zh-CN"/>
        </w:rPr>
        <w:t>的</w:t>
      </w:r>
      <w:r>
        <w:t>复印件</w:t>
      </w:r>
      <w:r>
        <w:rPr>
          <w:rFonts w:hint="eastAsia"/>
          <w:lang w:val="en-US" w:eastAsia="zh-CN"/>
        </w:rPr>
        <w:t>并加盖公章</w:t>
      </w:r>
      <w:r>
        <w:t>】</w:t>
      </w:r>
    </w:p>
    <w:p w14:paraId="0B6E0A00">
      <w:pPr>
        <w:bidi w:val="0"/>
      </w:pPr>
      <w:r>
        <w:t>2.1</w:t>
      </w:r>
      <w:r>
        <w:rPr>
          <w:rFonts w:hint="eastAsia"/>
          <w:lang w:val="en-US" w:eastAsia="zh-CN"/>
        </w:rPr>
        <w:t xml:space="preserve">3 </w:t>
      </w:r>
      <w:r>
        <w:t>参选人</w:t>
      </w:r>
      <w:r>
        <w:rPr>
          <w:rFonts w:hint="eastAsia"/>
          <w:lang w:val="en-US" w:eastAsia="zh-CN"/>
        </w:rPr>
        <w:t>应</w:t>
      </w:r>
      <w:r>
        <w:t>根据比选人提供的</w:t>
      </w:r>
      <w:r>
        <w:rPr>
          <w:rFonts w:hint="eastAsia"/>
          <w:lang w:val="en-US" w:eastAsia="zh-CN"/>
        </w:rPr>
        <w:t>第三章中的</w:t>
      </w:r>
      <w:r>
        <w:t>需求</w:t>
      </w:r>
      <w:r>
        <w:rPr>
          <w:rFonts w:hint="eastAsia"/>
          <w:lang w:val="en-US" w:eastAsia="zh-CN"/>
        </w:rPr>
        <w:t>内容和</w:t>
      </w:r>
      <w:r>
        <w:t>监管</w:t>
      </w:r>
      <w:r>
        <w:rPr>
          <w:rFonts w:hint="eastAsia"/>
          <w:lang w:val="en-US" w:eastAsia="zh-CN"/>
        </w:rPr>
        <w:t>在参选截止时间</w:t>
      </w:r>
      <w:r>
        <w:t>前10个工作日</w:t>
      </w:r>
      <w:r>
        <w:rPr>
          <w:rFonts w:hint="eastAsia"/>
          <w:lang w:val="en-US" w:eastAsia="zh-CN"/>
        </w:rPr>
        <w:t>之前</w:t>
      </w:r>
      <w:r>
        <w:t>下发的需求通知</w:t>
      </w:r>
      <w:r>
        <w:rPr>
          <w:rFonts w:hint="eastAsia"/>
          <w:lang w:val="en-US" w:eastAsia="zh-CN"/>
        </w:rPr>
        <w:t>中的内容</w:t>
      </w:r>
      <w:r>
        <w:rPr>
          <w:rFonts w:hint="eastAsia"/>
          <w:lang w:eastAsia="zh-CN"/>
        </w:rPr>
        <w:t>，</w:t>
      </w:r>
      <w:r>
        <w:t>提交需求WBS执行计划，超出</w:t>
      </w:r>
      <w:r>
        <w:rPr>
          <w:rFonts w:hint="eastAsia"/>
          <w:lang w:val="en-US" w:eastAsia="zh-CN"/>
        </w:rPr>
        <w:t>执行</w:t>
      </w:r>
      <w:r>
        <w:t>时间要求或未提供WBS计划的将取消参选资格。</w:t>
      </w:r>
      <w:r>
        <w:rPr>
          <w:rFonts w:hint="eastAsia"/>
        </w:rPr>
        <w:t>【提供书面</w:t>
      </w:r>
      <w:r>
        <w:t>计划</w:t>
      </w:r>
      <w:r>
        <w:rPr>
          <w:rFonts w:hint="eastAsia"/>
        </w:rPr>
        <w:t>】</w:t>
      </w:r>
    </w:p>
    <w:p w14:paraId="3DF57434">
      <w:pPr>
        <w:bidi w:val="0"/>
      </w:pPr>
      <w:r>
        <w:rPr>
          <w:rFonts w:hint="eastAsia"/>
        </w:rPr>
        <w:t>注:以上证明文件若比选人存疑，参选人需提供原件备查，参选文件中须附相关证明文件复印件并逐页加盖公章。</w:t>
      </w:r>
    </w:p>
    <w:p w14:paraId="130F1766">
      <w:pPr>
        <w:bidi w:val="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w:t>
      </w:r>
      <w:r>
        <w:rPr>
          <w:rFonts w:hint="eastAsia"/>
          <w:lang w:val="en-US" w:eastAsia="zh-CN"/>
        </w:rPr>
        <w:t>至</w:t>
      </w:r>
      <w:r>
        <w:t>挂网日，</w:t>
      </w:r>
      <w:r>
        <w:rPr>
          <w:rFonts w:hint="eastAsia"/>
        </w:rPr>
        <w:t>存在</w:t>
      </w:r>
      <w:r>
        <w:t>上述情况的公司</w:t>
      </w:r>
      <w:r>
        <w:rPr>
          <w:rFonts w:hint="eastAsia"/>
        </w:rPr>
        <w:t>已纳入</w:t>
      </w:r>
      <w:r>
        <w:t>下列清单</w:t>
      </w:r>
      <w:r>
        <w:rPr>
          <w:rFonts w:hint="eastAsia"/>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8DA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9F1339B">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14:paraId="52909594">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14:paraId="051E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15998CF">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Borders>
              <w:left w:val="single" w:color="auto" w:sz="4" w:space="0"/>
            </w:tcBorders>
          </w:tcPr>
          <w:p w14:paraId="60E2A2CD">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tbl>
    <w:p w14:paraId="2FA8C779">
      <w:pPr>
        <w:ind w:left="0" w:firstLine="0" w:firstLineChars="0"/>
        <w:rPr>
          <w:rFonts w:ascii="Times New Roman" w:hAnsi="Times New Roman"/>
        </w:rPr>
      </w:pPr>
    </w:p>
    <w:bookmarkEnd w:id="15"/>
    <w:p w14:paraId="4663C9C4">
      <w:pPr>
        <w:pStyle w:val="3"/>
        <w:rPr>
          <w:rFonts w:ascii="Times New Roman" w:hAnsi="Times New Roman"/>
        </w:rPr>
      </w:pPr>
      <w:bookmarkStart w:id="17" w:name="_Toc55379220"/>
      <w:bookmarkStart w:id="18" w:name="_Toc469574667"/>
      <w:bookmarkStart w:id="19" w:name="_Toc297817090"/>
      <w:bookmarkStart w:id="20" w:name="_Toc89675130"/>
      <w:r>
        <w:rPr>
          <w:rFonts w:hint="eastAsia" w:ascii="Times New Roman" w:hAnsi="Times New Roman"/>
        </w:rPr>
        <w:t>3. 比选文件的获取</w:t>
      </w:r>
      <w:bookmarkEnd w:id="17"/>
    </w:p>
    <w:p w14:paraId="7A9DA333">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61B87AD2">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5DDD6632">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A2A1483">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00E1451B">
      <w:pPr>
        <w:pStyle w:val="3"/>
        <w:rPr>
          <w:rFonts w:ascii="Times New Roman" w:hAnsi="Times New Roman"/>
        </w:rPr>
      </w:pPr>
      <w:bookmarkStart w:id="21" w:name="_Toc55379221"/>
      <w:r>
        <w:rPr>
          <w:rFonts w:hint="eastAsia" w:ascii="Times New Roman" w:hAnsi="Times New Roman"/>
        </w:rPr>
        <w:t>4. 参选保证金的递交</w:t>
      </w:r>
      <w:bookmarkEnd w:id="18"/>
      <w:bookmarkEnd w:id="19"/>
      <w:bookmarkEnd w:id="20"/>
      <w:bookmarkEnd w:id="21"/>
    </w:p>
    <w:p w14:paraId="5CF55521">
      <w:pPr>
        <w:rPr>
          <w:rFonts w:ascii="Times New Roman" w:hAnsi="Times New Roman"/>
        </w:rPr>
      </w:pPr>
      <w:bookmarkStart w:id="22" w:name="_Toc469574668"/>
      <w:bookmarkStart w:id="23" w:name="_Toc89675131"/>
      <w:bookmarkStart w:id="24" w:name="_Toc297817091"/>
      <w:bookmarkStart w:id="25" w:name="_Toc55379222"/>
      <w:r>
        <w:rPr>
          <w:rFonts w:hint="eastAsia" w:ascii="Times New Roman" w:hAnsi="Times New Roman"/>
        </w:rPr>
        <w:t>4.1 参选保证金的金额：</w:t>
      </w:r>
      <w:r>
        <w:rPr>
          <w:rFonts w:hint="eastAsia" w:ascii="Times New Roman" w:hAnsi="Times New Roman"/>
          <w:b/>
          <w:bCs/>
          <w:u w:val="single"/>
        </w:rPr>
        <w:t xml:space="preserve"> </w:t>
      </w:r>
      <w:r>
        <w:rPr>
          <w:rFonts w:ascii="Times New Roman" w:hAnsi="Times New Roman"/>
          <w:b/>
          <w:bCs/>
          <w:u w:val="single"/>
        </w:rPr>
        <w:t>17,000</w:t>
      </w:r>
      <w:r>
        <w:rPr>
          <w:rFonts w:hint="eastAsia" w:ascii="Times New Roman" w:hAnsi="Times New Roman"/>
          <w:b/>
          <w:bCs/>
        </w:rPr>
        <w:t>元整（大写：</w:t>
      </w:r>
      <w:r>
        <w:rPr>
          <w:rFonts w:hint="eastAsia" w:ascii="Times New Roman" w:hAnsi="Times New Roman"/>
          <w:b/>
          <w:bCs/>
          <w:u w:val="single"/>
        </w:rPr>
        <w:t>壹万</w:t>
      </w:r>
      <w:r>
        <w:rPr>
          <w:rFonts w:ascii="Times New Roman" w:hAnsi="Times New Roman"/>
          <w:b/>
          <w:bCs/>
          <w:u w:val="single"/>
        </w:rPr>
        <w:t>柒仟</w:t>
      </w:r>
      <w:r>
        <w:rPr>
          <w:rFonts w:hint="eastAsia" w:ascii="Times New Roman" w:hAnsi="Times New Roman"/>
          <w:b/>
          <w:bCs/>
          <w:u w:val="single"/>
        </w:rPr>
        <w:t>元整</w:t>
      </w:r>
      <w:r>
        <w:rPr>
          <w:rFonts w:hint="eastAsia" w:ascii="Times New Roman" w:hAnsi="Times New Roman"/>
          <w:b/>
          <w:bCs/>
        </w:rPr>
        <w:t>）</w:t>
      </w:r>
      <w:r>
        <w:rPr>
          <w:rFonts w:hint="eastAsia" w:ascii="Times New Roman" w:hAnsi="Times New Roman"/>
        </w:rPr>
        <w:t>。</w:t>
      </w:r>
    </w:p>
    <w:p w14:paraId="0AF9E31C">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698D9953">
      <w:pPr>
        <w:rPr>
          <w:rFonts w:ascii="Times New Roman" w:hAnsi="Times New Roman"/>
        </w:rPr>
      </w:pPr>
      <w:r>
        <w:rPr>
          <w:rFonts w:hint="eastAsia" w:ascii="Times New Roman" w:hAnsi="Times New Roman"/>
          <w:b/>
          <w:bCs/>
        </w:rPr>
        <w:t>参选人必须在付款凭证备注栏中注明项目简称。可简写成：</w:t>
      </w:r>
      <w:r>
        <w:rPr>
          <w:rFonts w:ascii="Times New Roman" w:hAnsi="Times New Roman"/>
          <w:b/>
          <w:bCs/>
          <w:u w:val="single"/>
        </w:rPr>
        <w:t>三峡银行</w:t>
      </w:r>
      <w:r>
        <w:rPr>
          <w:rFonts w:hint="eastAsia"/>
          <w:b/>
          <w:bCs/>
          <w:u w:val="single"/>
          <w:lang w:val="en-US" w:eastAsia="zh-CN"/>
        </w:rPr>
        <w:t>2024年度二代支付系统</w:t>
      </w:r>
      <w:r>
        <w:rPr>
          <w:rFonts w:hint="eastAsia" w:ascii="Times New Roman" w:hAnsi="Times New Roman"/>
          <w:b/>
          <w:bCs/>
        </w:rPr>
        <w:t>项目。</w:t>
      </w:r>
    </w:p>
    <w:p w14:paraId="5407CD11">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138D3227">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01E6CA31">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1B5BF06B">
      <w:pPr>
        <w:bidi w:val="0"/>
        <w:rPr>
          <w:color w:val="auto"/>
          <w:highlight w:val="none"/>
        </w:rPr>
      </w:pPr>
      <w:r>
        <w:rPr>
          <w:rFonts w:hint="eastAsia"/>
          <w:color w:val="auto"/>
          <w:highlight w:val="none"/>
        </w:rPr>
        <w:t>参选保证金以重庆市公共资源交易中心比选现场展示的保证金交纳情况为准。</w:t>
      </w:r>
    </w:p>
    <w:bookmarkEnd w:id="22"/>
    <w:bookmarkEnd w:id="23"/>
    <w:bookmarkEnd w:id="24"/>
    <w:bookmarkEnd w:id="25"/>
    <w:p w14:paraId="148EFE37">
      <w:pPr>
        <w:pStyle w:val="3"/>
        <w:rPr>
          <w:rFonts w:ascii="Times New Roman" w:hAnsi="Times New Roman"/>
          <w:highlight w:val="none"/>
        </w:rPr>
      </w:pPr>
      <w:r>
        <w:rPr>
          <w:rFonts w:hint="eastAsia" w:ascii="Times New Roman" w:hAnsi="Times New Roman"/>
          <w:highlight w:val="none"/>
        </w:rPr>
        <w:t>5. 参选文件的递交</w:t>
      </w:r>
    </w:p>
    <w:p w14:paraId="1F76131B">
      <w:pPr>
        <w:bidi w:val="0"/>
        <w:rPr>
          <w:color w:val="auto"/>
          <w:highlight w:val="none"/>
        </w:rPr>
      </w:pPr>
      <w:bookmarkStart w:id="26" w:name="_Toc55379224"/>
      <w:bookmarkStart w:id="27" w:name="_Toc250565211"/>
      <w:bookmarkStart w:id="28" w:name="_Toc89675133"/>
      <w:bookmarkStart w:id="29" w:name="_Toc469574670"/>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13B8FD1B">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3D619412">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235914A5">
      <w:pPr>
        <w:pStyle w:val="3"/>
        <w:rPr>
          <w:rFonts w:ascii="Times New Roman" w:hAnsi="Times New Roman"/>
          <w:highlight w:val="none"/>
        </w:rPr>
      </w:pPr>
      <w:r>
        <w:rPr>
          <w:rFonts w:hint="eastAsia" w:ascii="Times New Roman" w:hAnsi="Times New Roman"/>
          <w:highlight w:val="none"/>
        </w:rPr>
        <w:t>6. 发布公告的媒介</w:t>
      </w:r>
    </w:p>
    <w:p w14:paraId="2953C3D4">
      <w:pPr>
        <w:bidi w:val="0"/>
        <w:rPr>
          <w:color w:val="auto"/>
          <w:highlight w:val="none"/>
        </w:rPr>
      </w:pPr>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202B8CBA">
      <w:pPr>
        <w:pStyle w:val="3"/>
        <w:tabs>
          <w:tab w:val="left" w:pos="-111"/>
        </w:tabs>
        <w:rPr>
          <w:rFonts w:ascii="Times New Roman" w:hAnsi="Times New Roman"/>
        </w:rPr>
      </w:pPr>
      <w:r>
        <w:rPr>
          <w:rFonts w:hint="eastAsia" w:ascii="Times New Roman" w:hAnsi="Times New Roman"/>
        </w:rPr>
        <w:t>7. 联系方式</w:t>
      </w:r>
      <w:bookmarkEnd w:id="26"/>
      <w:bookmarkEnd w:id="27"/>
      <w:bookmarkEnd w:id="28"/>
      <w:bookmarkEnd w:id="29"/>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524"/>
        <w:gridCol w:w="4899"/>
      </w:tblGrid>
      <w:tr w14:paraId="78BCAA83">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3E3578FE">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6F631A21">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3BC5EEF0">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项目联系人：程琢</w:t>
            </w:r>
          </w:p>
        </w:tc>
        <w:tc>
          <w:tcPr>
            <w:tcW w:w="4899" w:type="dxa"/>
            <w:tcBorders>
              <w:top w:val="nil"/>
              <w:left w:val="nil"/>
              <w:bottom w:val="nil"/>
              <w:right w:val="single" w:color="auto" w:sz="4" w:space="0"/>
            </w:tcBorders>
            <w:vAlign w:val="top"/>
          </w:tcPr>
          <w:p w14:paraId="1B704124">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联系方式：023-88890616</w:t>
            </w:r>
          </w:p>
        </w:tc>
      </w:tr>
      <w:tr w14:paraId="18FDBD8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CE81BD6">
            <w:pPr>
              <w:spacing w:line="360" w:lineRule="auto"/>
              <w:ind w:firstLine="0" w:firstLineChars="0"/>
              <w:jc w:val="left"/>
              <w:rPr>
                <w:rFonts w:hint="eastAsia"/>
                <w:color w:val="auto"/>
                <w:highlight w:val="none"/>
              </w:rPr>
            </w:pPr>
          </w:p>
        </w:tc>
      </w:tr>
      <w:tr w14:paraId="5B01EB2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866828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790B8F8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51EF82C">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0042FCEC">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5C42FE76">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4899" w:type="dxa"/>
            <w:tcBorders>
              <w:top w:val="nil"/>
              <w:left w:val="nil"/>
              <w:bottom w:val="nil"/>
              <w:right w:val="single" w:color="auto" w:sz="4" w:space="0"/>
            </w:tcBorders>
            <w:vAlign w:val="top"/>
          </w:tcPr>
          <w:p w14:paraId="410C117F">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73AF3B8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70F741A">
            <w:pPr>
              <w:spacing w:line="360" w:lineRule="auto"/>
              <w:ind w:firstLine="0" w:firstLineChars="0"/>
              <w:jc w:val="left"/>
              <w:rPr>
                <w:rFonts w:hint="eastAsia"/>
                <w:color w:val="auto"/>
                <w:highlight w:val="none"/>
              </w:rPr>
            </w:pPr>
          </w:p>
        </w:tc>
      </w:tr>
      <w:tr w14:paraId="060B821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79BD8E1">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22848B99">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33E73D29">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899" w:type="dxa"/>
            <w:tcBorders>
              <w:top w:val="nil"/>
              <w:left w:val="nil"/>
              <w:bottom w:val="nil"/>
              <w:right w:val="single" w:color="auto" w:sz="4" w:space="0"/>
            </w:tcBorders>
            <w:vAlign w:val="top"/>
          </w:tcPr>
          <w:p w14:paraId="57A9E35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DFDF0DA">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E75A0B4">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70C22C33">
      <w:pPr>
        <w:rPr>
          <w:rFonts w:ascii="Times New Roman" w:hAnsi="Times New Roman"/>
        </w:rPr>
      </w:pPr>
    </w:p>
    <w:p w14:paraId="7484A55D">
      <w:pPr>
        <w:spacing w:line="240" w:lineRule="auto"/>
        <w:ind w:firstLine="0" w:firstLineChars="0"/>
        <w:jc w:val="right"/>
        <w:rPr>
          <w:rFonts w:hint="eastAsia" w:ascii="Times New Roman" w:hAnsi="Times New Roman"/>
        </w:rPr>
      </w:pPr>
    </w:p>
    <w:p w14:paraId="45B52FAB">
      <w:pPr>
        <w:spacing w:line="240" w:lineRule="auto"/>
        <w:ind w:firstLine="0" w:firstLineChars="0"/>
        <w:jc w:val="right"/>
        <w:rPr>
          <w:rFonts w:hint="eastAsia" w:ascii="Times New Roman" w:hAnsi="Times New Roman"/>
        </w:rPr>
      </w:pPr>
      <w:bookmarkStart w:id="294" w:name="_GoBack"/>
      <w:bookmarkEnd w:id="294"/>
    </w:p>
    <w:p w14:paraId="35474767">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14:paraId="20D93DF1">
      <w:pPr>
        <w:jc w:val="right"/>
        <w:rPr>
          <w:rFonts w:ascii="Times New Roman" w:hAnsi="Times New Roman"/>
        </w:rPr>
      </w:pPr>
      <w:r>
        <w:rPr>
          <w:rFonts w:hint="eastAsia" w:ascii="Times New Roman" w:hAnsi="Times New Roman"/>
        </w:rPr>
        <w:t>202</w:t>
      </w:r>
      <w:r>
        <w:rPr>
          <w:rFonts w:hint="eastAsia"/>
          <w:lang w:val="en-US" w:eastAsia="zh-CN"/>
        </w:rPr>
        <w:t>5</w:t>
      </w:r>
      <w:r>
        <w:rPr>
          <w:rFonts w:hint="eastAsia" w:ascii="Times New Roman" w:hAnsi="Times New Roman"/>
        </w:rPr>
        <w:t>年</w:t>
      </w:r>
      <w:r>
        <w:rPr>
          <w:rFonts w:hint="eastAsia"/>
          <w:lang w:val="en-US" w:eastAsia="zh-CN"/>
        </w:rPr>
        <w:t>2</w:t>
      </w:r>
      <w:r>
        <w:rPr>
          <w:rFonts w:hint="eastAsia" w:ascii="Times New Roman" w:hAnsi="Times New Roman"/>
        </w:rPr>
        <w:t>月</w:t>
      </w:r>
      <w:r>
        <w:rPr>
          <w:rFonts w:hint="eastAsia"/>
          <w:lang w:val="en-US" w:eastAsia="zh-CN"/>
        </w:rPr>
        <w:t>10</w:t>
      </w:r>
      <w:r>
        <w:rPr>
          <w:rFonts w:hint="eastAsia" w:ascii="Times New Roman" w:hAnsi="Times New Roman"/>
        </w:rPr>
        <w:t>日</w:t>
      </w:r>
    </w:p>
    <w:p w14:paraId="50445675">
      <w:pPr>
        <w:pStyle w:val="2"/>
        <w:rPr>
          <w:rFonts w:ascii="Times New Roman" w:hAnsi="Times New Roman"/>
          <w:highlight w:val="none"/>
        </w:rPr>
      </w:pPr>
      <w:r>
        <w:rPr>
          <w:rFonts w:hint="eastAsia" w:ascii="Times New Roman" w:hAnsi="Times New Roman"/>
          <w:highlight w:val="none"/>
        </w:rPr>
        <w:t>第二章 参选人须知</w:t>
      </w:r>
      <w:bookmarkEnd w:id="6"/>
      <w:bookmarkEnd w:id="7"/>
      <w:bookmarkEnd w:id="8"/>
    </w:p>
    <w:p w14:paraId="340EF5A9">
      <w:pPr>
        <w:pStyle w:val="3"/>
        <w:rPr>
          <w:rFonts w:ascii="Times New Roman" w:hAnsi="Times New Roman"/>
          <w:highlight w:val="none"/>
        </w:rPr>
      </w:pPr>
      <w:bookmarkStart w:id="30" w:name="_Toc89675160"/>
      <w:r>
        <w:rPr>
          <w:rFonts w:hint="eastAsia" w:ascii="Times New Roman" w:hAnsi="Times New Roman"/>
          <w:highlight w:val="none"/>
        </w:rPr>
        <w:t>1. 项目信息</w:t>
      </w:r>
    </w:p>
    <w:p w14:paraId="36A51C5F">
      <w:pPr>
        <w:pStyle w:val="4"/>
        <w:rPr>
          <w:rFonts w:ascii="Times New Roman" w:hAnsi="Times New Roman"/>
          <w:highlight w:val="none"/>
        </w:rPr>
      </w:pPr>
      <w:r>
        <w:rPr>
          <w:rFonts w:hint="eastAsia" w:ascii="Times New Roman" w:hAnsi="Times New Roman"/>
          <w:highlight w:val="none"/>
        </w:rPr>
        <w:t>1.1 比选人</w:t>
      </w:r>
    </w:p>
    <w:p w14:paraId="23E59B6D">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337DD2F8">
      <w:pPr>
        <w:pStyle w:val="4"/>
        <w:rPr>
          <w:rFonts w:ascii="Times New Roman" w:hAnsi="Times New Roman"/>
          <w:highlight w:val="none"/>
        </w:rPr>
      </w:pPr>
      <w:r>
        <w:rPr>
          <w:rFonts w:hint="eastAsia" w:ascii="Times New Roman" w:hAnsi="Times New Roman"/>
          <w:highlight w:val="none"/>
        </w:rPr>
        <w:t>1.2 最高限价</w:t>
      </w:r>
    </w:p>
    <w:p w14:paraId="1F4C4294">
      <w:pPr>
        <w:rPr>
          <w:rFonts w:ascii="Times New Roman" w:hAnsi="Times New Roman"/>
          <w:highlight w:val="none"/>
        </w:rPr>
      </w:pPr>
      <w:r>
        <w:rPr>
          <w:rFonts w:hint="eastAsia" w:ascii="Times New Roman" w:hAnsi="Times New Roman"/>
          <w:highlight w:val="none"/>
        </w:rPr>
        <w:t>本项目最高限价为：</w:t>
      </w:r>
      <w:r>
        <w:rPr>
          <w:rFonts w:ascii="Times New Roman" w:hAnsi="Times New Roman"/>
          <w:highlight w:val="none"/>
          <w:u w:val="single"/>
        </w:rPr>
        <w:t>864</w:t>
      </w:r>
      <w:r>
        <w:rPr>
          <w:rFonts w:hint="eastAsia" w:ascii="Times New Roman" w:hAnsi="Times New Roman"/>
          <w:highlight w:val="none"/>
          <w:u w:val="single"/>
        </w:rPr>
        <w:t>,000元整</w:t>
      </w:r>
      <w:r>
        <w:rPr>
          <w:rFonts w:hint="eastAsia" w:ascii="Times New Roman" w:hAnsi="Times New Roman"/>
          <w:highlight w:val="none"/>
        </w:rPr>
        <w:t>（人民币大写：</w:t>
      </w:r>
      <w:r>
        <w:rPr>
          <w:rFonts w:ascii="Times New Roman" w:hAnsi="Times New Roman"/>
          <w:highlight w:val="none"/>
          <w:u w:val="single"/>
        </w:rPr>
        <w:t>捌</w:t>
      </w:r>
      <w:r>
        <w:rPr>
          <w:rFonts w:hint="eastAsia" w:ascii="Times New Roman" w:hAnsi="Times New Roman"/>
          <w:highlight w:val="none"/>
          <w:u w:val="single"/>
        </w:rPr>
        <w:t>拾</w:t>
      </w:r>
      <w:r>
        <w:rPr>
          <w:rFonts w:ascii="Times New Roman" w:hAnsi="Times New Roman"/>
          <w:highlight w:val="none"/>
          <w:u w:val="single"/>
        </w:rPr>
        <w:t>陆</w:t>
      </w:r>
      <w:r>
        <w:rPr>
          <w:rFonts w:hint="eastAsia" w:ascii="Times New Roman" w:hAnsi="Times New Roman"/>
          <w:highlight w:val="none"/>
          <w:u w:val="single"/>
        </w:rPr>
        <w:t>万</w:t>
      </w:r>
      <w:r>
        <w:rPr>
          <w:rFonts w:ascii="Times New Roman" w:hAnsi="Times New Roman"/>
          <w:highlight w:val="none"/>
          <w:u w:val="single"/>
        </w:rPr>
        <w:t>肆仟</w:t>
      </w:r>
      <w:r>
        <w:rPr>
          <w:rFonts w:hint="eastAsia" w:ascii="Times New Roman" w:hAnsi="Times New Roman"/>
          <w:highlight w:val="none"/>
          <w:u w:val="single"/>
        </w:rPr>
        <w:t>元整</w:t>
      </w:r>
      <w:r>
        <w:rPr>
          <w:rFonts w:hint="eastAsia" w:ascii="Times New Roman" w:hAnsi="Times New Roman"/>
          <w:highlight w:val="none"/>
        </w:rPr>
        <w:t>）。</w:t>
      </w:r>
    </w:p>
    <w:p w14:paraId="0CFBFD4B">
      <w:pPr>
        <w:pStyle w:val="4"/>
        <w:rPr>
          <w:rFonts w:ascii="Times New Roman" w:hAnsi="Times New Roman"/>
          <w:highlight w:val="none"/>
        </w:rPr>
      </w:pPr>
      <w:r>
        <w:rPr>
          <w:rFonts w:hint="eastAsia" w:ascii="Times New Roman" w:hAnsi="Times New Roman"/>
          <w:highlight w:val="none"/>
        </w:rPr>
        <w:t>1.3 项目概况</w:t>
      </w:r>
    </w:p>
    <w:bookmarkEnd w:id="30"/>
    <w:p w14:paraId="0816AE9C">
      <w:pPr>
        <w:rPr>
          <w:rFonts w:ascii="Times New Roman" w:hAnsi="Times New Roman"/>
          <w:color w:val="auto"/>
          <w:highlight w:val="none"/>
        </w:rPr>
      </w:pPr>
      <w:bookmarkStart w:id="31" w:name="_Toc89675161"/>
      <w:r>
        <w:rPr>
          <w:rFonts w:hint="eastAsia" w:ascii="宋体" w:cs="宋体"/>
          <w:snapToGrid w:val="0"/>
          <w:color w:val="auto"/>
          <w:kern w:val="0"/>
          <w:szCs w:val="24"/>
          <w:highlight w:val="none"/>
        </w:rPr>
        <w:t>我行按照支付系统</w:t>
      </w:r>
      <w:r>
        <w:rPr>
          <w:rFonts w:hint="eastAsia" w:ascii="宋体" w:cs="宋体"/>
          <w:snapToGrid w:val="0"/>
          <w:color w:val="auto"/>
          <w:kern w:val="0"/>
          <w:szCs w:val="24"/>
          <w:highlight w:val="none"/>
          <w:lang w:val="en-US" w:eastAsia="zh-CN"/>
        </w:rPr>
        <w:t>行内规划</w:t>
      </w:r>
      <w:r>
        <w:rPr>
          <w:rFonts w:hint="eastAsia" w:ascii="宋体" w:cs="宋体"/>
          <w:snapToGrid w:val="0"/>
          <w:color w:val="auto"/>
          <w:kern w:val="0"/>
          <w:szCs w:val="24"/>
          <w:highlight w:val="none"/>
        </w:rPr>
        <w:t>建设要求</w:t>
      </w:r>
      <w:r>
        <w:rPr>
          <w:rFonts w:hint="eastAsia" w:ascii="Times New Roman" w:hAnsi="Times New Roman" w:cs="宋体"/>
          <w:color w:val="auto"/>
          <w:highlight w:val="none"/>
        </w:rPr>
        <w:t>，先后建设了大额支付系统、小额支付系统、网上支付跨行清算系统（以下统称“支付系统”）。同时，为进一步满足客户支付需求、拓展我行支付渠道，我行对接城银清算服务有限责任公司建成了城银支付系统，以多层次的支付清算体系适应我国支付清算行业日新月异的发展，扎实做好经济社会发展金融服务。</w:t>
      </w:r>
      <w:r>
        <w:rPr>
          <w:rFonts w:hint="eastAsia" w:ascii="Times New Roman" w:hAnsi="Times New Roman" w:cs="宋体"/>
          <w:bCs/>
          <w:color w:val="auto"/>
          <w:highlight w:val="none"/>
        </w:rPr>
        <w:t>2024年将持续优化支付系统，完成监管以及业务发展要求的功能优化，提升支付服务能力，将重点完成以下几方面：一是满足监管需求；二是支持业务发展；三是落实内部管理。</w:t>
      </w:r>
    </w:p>
    <w:p w14:paraId="2B4283B8">
      <w:pPr>
        <w:pStyle w:val="4"/>
        <w:rPr>
          <w:rFonts w:ascii="Times New Roman" w:hAnsi="Times New Roman"/>
          <w:highlight w:val="none"/>
        </w:rPr>
      </w:pPr>
      <w:r>
        <w:rPr>
          <w:rFonts w:hint="eastAsia" w:ascii="Times New Roman" w:hAnsi="Times New Roman"/>
          <w:highlight w:val="none"/>
        </w:rPr>
        <w:t>1.4 项目目标</w:t>
      </w:r>
    </w:p>
    <w:p w14:paraId="341A1A8A">
      <w:pPr>
        <w:rPr>
          <w:rFonts w:ascii="Times New Roman" w:hAnsi="Times New Roman" w:cs="宋体"/>
          <w:bCs/>
          <w:color w:val="auto"/>
          <w:kern w:val="0"/>
          <w:highlight w:val="none"/>
        </w:rPr>
      </w:pPr>
      <w:r>
        <w:rPr>
          <w:rFonts w:hint="eastAsia" w:ascii="Times New Roman" w:hAnsi="Times New Roman" w:cs="宋体"/>
          <w:bCs/>
          <w:color w:val="auto"/>
          <w:kern w:val="0"/>
          <w:highlight w:val="none"/>
        </w:rPr>
        <w:t>2024年将持续优化支付系统，完成监管以及业务发展要求的功能优化，提升支付服务能力，将重点完成以下几方面：</w:t>
      </w:r>
    </w:p>
    <w:p w14:paraId="18436481">
      <w:pPr>
        <w:rPr>
          <w:rFonts w:ascii="Times New Roman" w:hAnsi="Times New Roman" w:cs="宋体"/>
          <w:bCs/>
          <w:color w:val="auto"/>
          <w:kern w:val="0"/>
          <w:highlight w:val="none"/>
        </w:rPr>
      </w:pPr>
      <w:r>
        <w:rPr>
          <w:rFonts w:hint="eastAsia" w:ascii="Times New Roman" w:hAnsi="Times New Roman" w:cs="宋体"/>
          <w:bCs/>
          <w:color w:val="auto"/>
          <w:kern w:val="0"/>
          <w:highlight w:val="none"/>
        </w:rPr>
        <w:t>一是满足监管需求。按照</w:t>
      </w:r>
      <w:r>
        <w:rPr>
          <w:rFonts w:hint="eastAsia" w:ascii="Times New Roman" w:hAnsi="Times New Roman" w:cs="宋体"/>
          <w:bCs/>
          <w:color w:val="auto"/>
          <w:kern w:val="0"/>
          <w:highlight w:val="none"/>
          <w:lang w:val="en-US" w:eastAsia="zh-CN"/>
        </w:rPr>
        <w:t>上级监管单位</w:t>
      </w:r>
      <w:r>
        <w:rPr>
          <w:rFonts w:hint="eastAsia" w:ascii="Times New Roman" w:hAnsi="Times New Roman" w:cs="宋体"/>
          <w:bCs/>
          <w:color w:val="auto"/>
          <w:kern w:val="0"/>
          <w:highlight w:val="none"/>
        </w:rPr>
        <w:t>要求对大额、小额、</w:t>
      </w:r>
      <w:r>
        <w:rPr>
          <w:rFonts w:hint="eastAsia" w:ascii="Times New Roman" w:hAnsi="Times New Roman" w:cs="宋体"/>
          <w:color w:val="auto"/>
          <w:highlight w:val="none"/>
        </w:rPr>
        <w:t>网上支付跨行清算</w:t>
      </w:r>
      <w:r>
        <w:rPr>
          <w:rFonts w:hint="eastAsia" w:ascii="Times New Roman" w:hAnsi="Times New Roman" w:cs="宋体"/>
          <w:bCs/>
          <w:color w:val="auto"/>
          <w:kern w:val="0"/>
          <w:highlight w:val="none"/>
        </w:rPr>
        <w:t>、城银支付系统进行优化，新增小额定期借记业务线上签约、超网贷记业务付款请求、超网批量代付、城银实时借记等功能，</w:t>
      </w:r>
      <w:r>
        <w:rPr>
          <w:rFonts w:hint="eastAsia" w:ascii="Times New Roman" w:hAnsi="Times New Roman" w:cs="宋体"/>
          <w:color w:val="auto"/>
          <w:highlight w:val="none"/>
        </w:rPr>
        <w:t>涉及</w:t>
      </w:r>
      <w:r>
        <w:rPr>
          <w:rFonts w:hint="eastAsia" w:ascii="Times New Roman" w:hAnsi="Times New Roman" w:cs="宋体"/>
          <w:bCs/>
          <w:color w:val="auto"/>
          <w:kern w:val="0"/>
          <w:highlight w:val="none"/>
        </w:rPr>
        <w:t>6</w:t>
      </w:r>
      <w:r>
        <w:rPr>
          <w:rFonts w:hint="eastAsia" w:ascii="Times New Roman" w:hAnsi="Times New Roman" w:cs="宋体"/>
          <w:color w:val="auto"/>
          <w:highlight w:val="none"/>
        </w:rPr>
        <w:t>个子系统</w:t>
      </w:r>
      <w:r>
        <w:rPr>
          <w:rFonts w:hint="eastAsia" w:ascii="Times New Roman" w:hAnsi="Times New Roman" w:cs="宋体"/>
          <w:bCs/>
          <w:color w:val="auto"/>
          <w:kern w:val="0"/>
          <w:highlight w:val="none"/>
        </w:rPr>
        <w:t>（大额支付系统、小额支付系统、网上支付跨行清算系统、</w:t>
      </w:r>
      <w:r>
        <w:rPr>
          <w:rFonts w:hint="eastAsia" w:ascii="Times New Roman" w:hAnsi="Times New Roman" w:cs="宋体"/>
          <w:color w:val="auto"/>
          <w:highlight w:val="none"/>
        </w:rPr>
        <w:t>城银支付系统</w:t>
      </w:r>
      <w:r>
        <w:rPr>
          <w:rFonts w:hint="eastAsia" w:ascii="Times New Roman" w:hAnsi="Times New Roman" w:cs="宋体"/>
          <w:bCs/>
          <w:color w:val="auto"/>
          <w:kern w:val="0"/>
          <w:highlight w:val="none"/>
        </w:rPr>
        <w:t>、外联通讯和批量交易处理系统）。</w:t>
      </w:r>
    </w:p>
    <w:p w14:paraId="1C5D3B7A">
      <w:pPr>
        <w:rPr>
          <w:rFonts w:ascii="Times New Roman" w:hAnsi="Times New Roman" w:cs="宋体"/>
          <w:bCs/>
          <w:color w:val="auto"/>
          <w:kern w:val="0"/>
          <w:highlight w:val="none"/>
        </w:rPr>
      </w:pPr>
      <w:r>
        <w:rPr>
          <w:rFonts w:hint="eastAsia" w:ascii="Times New Roman" w:hAnsi="Times New Roman" w:cs="宋体"/>
          <w:bCs/>
          <w:color w:val="auto"/>
          <w:kern w:val="0"/>
          <w:highlight w:val="none"/>
        </w:rPr>
        <w:t>二是支持业务发展。根据支行意见建议收集情况，提出优化小额待发送业务在发送时重新试算智能汇路需求，破除因小额支付汇路节假日与工作日金额上限不一致等系统规则导致客户交易失败的壁垒。该需求</w:t>
      </w:r>
      <w:r>
        <w:rPr>
          <w:rFonts w:hint="eastAsia" w:ascii="Times New Roman" w:hAnsi="Times New Roman" w:cs="宋体"/>
          <w:color w:val="auto"/>
          <w:highlight w:val="none"/>
        </w:rPr>
        <w:t>涉及</w:t>
      </w:r>
      <w:r>
        <w:rPr>
          <w:rFonts w:hint="eastAsia" w:ascii="Times New Roman" w:hAnsi="Times New Roman" w:cs="宋体"/>
          <w:bCs/>
          <w:color w:val="auto"/>
          <w:kern w:val="0"/>
          <w:highlight w:val="none"/>
        </w:rPr>
        <w:t>4</w:t>
      </w:r>
      <w:r>
        <w:rPr>
          <w:rFonts w:hint="eastAsia" w:ascii="Times New Roman" w:hAnsi="Times New Roman" w:cs="宋体"/>
          <w:color w:val="auto"/>
          <w:highlight w:val="none"/>
        </w:rPr>
        <w:t>个子系统</w:t>
      </w:r>
      <w:r>
        <w:rPr>
          <w:rFonts w:hint="eastAsia" w:ascii="Times New Roman" w:hAnsi="Times New Roman" w:cs="宋体"/>
          <w:bCs/>
          <w:color w:val="auto"/>
          <w:kern w:val="0"/>
          <w:highlight w:val="none"/>
        </w:rPr>
        <w:t>（大额支付系统、小额支付系统、网上支付跨行清算系统、</w:t>
      </w:r>
      <w:r>
        <w:rPr>
          <w:rFonts w:hint="eastAsia" w:ascii="Times New Roman" w:hAnsi="Times New Roman" w:cs="宋体"/>
          <w:color w:val="auto"/>
          <w:highlight w:val="none"/>
        </w:rPr>
        <w:t>城银支付系统</w:t>
      </w:r>
      <w:r>
        <w:rPr>
          <w:rFonts w:hint="eastAsia" w:ascii="Times New Roman" w:hAnsi="Times New Roman" w:cs="宋体"/>
          <w:bCs/>
          <w:color w:val="auto"/>
          <w:kern w:val="0"/>
          <w:highlight w:val="none"/>
        </w:rPr>
        <w:t>）。</w:t>
      </w:r>
    </w:p>
    <w:p w14:paraId="7BDCEE52">
      <w:pPr>
        <w:rPr>
          <w:rFonts w:ascii="Times New Roman" w:hAnsi="Times New Roman"/>
          <w:color w:val="auto"/>
          <w:highlight w:val="none"/>
        </w:rPr>
      </w:pPr>
      <w:r>
        <w:rPr>
          <w:rFonts w:hint="eastAsia" w:ascii="Times New Roman" w:hAnsi="Times New Roman" w:cs="宋体"/>
          <w:bCs/>
          <w:color w:val="auto"/>
          <w:kern w:val="0"/>
          <w:highlight w:val="none"/>
        </w:rPr>
        <w:t>三是落实内部管理。为防范操作风险，提高业务准确率和处理效率，支持数字化运营转型，提出优化网上支付跨行清算系统贷记来账账户校验规则、批量转账业务修改为累计金额落地授权以及部分交易从对象存储迁移到文件传输平台等需求，涉及5个子系统（大额支付系统、小额支付系统、网上支付跨行清算系统、</w:t>
      </w:r>
      <w:r>
        <w:rPr>
          <w:rFonts w:hint="eastAsia" w:ascii="Times New Roman" w:hAnsi="Times New Roman" w:cs="宋体"/>
          <w:color w:val="auto"/>
          <w:highlight w:val="none"/>
        </w:rPr>
        <w:t>城银支付系统</w:t>
      </w:r>
      <w:r>
        <w:rPr>
          <w:rFonts w:hint="eastAsia" w:ascii="Times New Roman" w:hAnsi="Times New Roman" w:cs="宋体"/>
          <w:bCs/>
          <w:color w:val="auto"/>
          <w:kern w:val="0"/>
          <w:highlight w:val="none"/>
        </w:rPr>
        <w:t>和批量交易处理系统）。</w:t>
      </w:r>
    </w:p>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r>
        <w:rPr>
          <w:rFonts w:hint="eastAsia"/>
          <w:color w:val="auto"/>
          <w:highlight w:val="none"/>
          <w:lang w:val="en-US" w:eastAsia="zh-CN"/>
        </w:rPr>
        <w:t xml:space="preserve">3. </w:t>
      </w:r>
      <w:r>
        <w:rPr>
          <w:rFonts w:hint="eastAsia"/>
          <w:color w:val="auto"/>
          <w:highlight w:val="none"/>
        </w:rPr>
        <w:t>比选文件</w:t>
      </w:r>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r>
        <w:rPr>
          <w:rFonts w:hint="eastAsia"/>
          <w:color w:val="auto"/>
          <w:highlight w:val="none"/>
          <w:lang w:val="en-US" w:eastAsia="zh-CN"/>
        </w:rPr>
        <w:t xml:space="preserve">4. </w:t>
      </w:r>
      <w:r>
        <w:rPr>
          <w:color w:val="auto"/>
          <w:highlight w:val="none"/>
        </w:rPr>
        <w:t>参选</w:t>
      </w:r>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32" w:name="_Toc12245"/>
      <w:bookmarkStart w:id="33" w:name="_Toc89675168"/>
      <w:r>
        <w:rPr>
          <w:rFonts w:hint="eastAsia"/>
          <w:color w:val="auto"/>
          <w:highlight w:val="none"/>
          <w:lang w:val="en-US" w:eastAsia="zh-CN"/>
        </w:rPr>
        <w:t xml:space="preserve">8. </w:t>
      </w:r>
      <w:r>
        <w:rPr>
          <w:rFonts w:hint="eastAsia"/>
          <w:color w:val="auto"/>
          <w:highlight w:val="none"/>
        </w:rPr>
        <w:t>签订合同</w:t>
      </w:r>
      <w:bookmarkEnd w:id="32"/>
      <w:bookmarkEnd w:id="33"/>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highlight w:val="none"/>
        </w:rPr>
      </w:pPr>
      <w:r>
        <w:rPr>
          <w:rFonts w:hint="eastAsia"/>
          <w:highlight w:val="none"/>
        </w:rPr>
        <w:t>采购质疑邮箱：</w:t>
      </w:r>
      <w:r>
        <w:rPr>
          <w:highlight w:val="none"/>
        </w:rPr>
        <w:t>sx.jcb@ccqtgb.com</w:t>
      </w:r>
    </w:p>
    <w:p w14:paraId="182846CA">
      <w:pPr>
        <w:bidi w:val="0"/>
        <w:rPr>
          <w:rFonts w:hint="eastAsia"/>
          <w:highlight w:val="none"/>
        </w:rPr>
      </w:pPr>
      <w:r>
        <w:rPr>
          <w:rFonts w:hint="eastAsia"/>
          <w:highlight w:val="none"/>
        </w:rPr>
        <w:t>采购投诉邮箱：</w:t>
      </w:r>
      <w:bookmarkStart w:id="34" w:name="_Hlk74215856"/>
      <w:r>
        <w:rPr>
          <w:rFonts w:hint="eastAsia"/>
          <w:highlight w:val="none"/>
        </w:rPr>
        <w:t>sxyhjjz@</w:t>
      </w:r>
      <w:r>
        <w:rPr>
          <w:highlight w:val="none"/>
        </w:rPr>
        <w:t>ccqtgb</w:t>
      </w:r>
      <w:r>
        <w:rPr>
          <w:rFonts w:hint="eastAsia"/>
          <w:highlight w:val="none"/>
        </w:rPr>
        <w:t>.com</w:t>
      </w:r>
      <w:bookmarkEnd w:id="34"/>
    </w:p>
    <w:p w14:paraId="69334E8C">
      <w:pPr>
        <w:pStyle w:val="3"/>
        <w:bidi w:val="0"/>
        <w:rPr>
          <w:rFonts w:hint="eastAsia"/>
          <w:color w:val="auto"/>
          <w:highlight w:val="none"/>
        </w:rPr>
      </w:pPr>
      <w:bookmarkStart w:id="35" w:name="_Toc440628924"/>
      <w:bookmarkStart w:id="36" w:name="_Toc15059431"/>
      <w:bookmarkStart w:id="37" w:name="_Toc11439"/>
      <w:bookmarkStart w:id="38" w:name="_Toc275199618"/>
      <w:bookmarkStart w:id="39" w:name="_Toc89675157"/>
      <w:r>
        <w:rPr>
          <w:rFonts w:hint="eastAsia"/>
          <w:color w:val="auto"/>
          <w:highlight w:val="none"/>
          <w:lang w:val="en-US" w:eastAsia="zh-CN"/>
        </w:rPr>
        <w:t xml:space="preserve">11. </w:t>
      </w:r>
      <w:r>
        <w:rPr>
          <w:rFonts w:hint="eastAsia"/>
          <w:color w:val="auto"/>
          <w:highlight w:val="none"/>
        </w:rPr>
        <w:t>无效参选条款</w:t>
      </w:r>
      <w:bookmarkEnd w:id="35"/>
      <w:bookmarkEnd w:id="36"/>
      <w:bookmarkEnd w:id="37"/>
      <w:bookmarkEnd w:id="38"/>
      <w:bookmarkEnd w:id="39"/>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w:t>
      </w:r>
      <w:r>
        <w:rPr>
          <w:rFonts w:hint="eastAsia"/>
          <w:color w:val="auto"/>
          <w:highlight w:val="none"/>
          <w:lang w:val="en-US" w:eastAsia="zh-CN"/>
        </w:rPr>
        <w:t>1</w:t>
      </w:r>
      <w:r>
        <w:rPr>
          <w:rFonts w:hint="eastAsia"/>
          <w:color w:val="auto"/>
          <w:highlight w:val="none"/>
        </w:rPr>
        <w:t>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15000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282EBD47">
      <w:pPr>
        <w:pStyle w:val="2"/>
        <w:rPr>
          <w:rFonts w:ascii="Times New Roman" w:hAnsi="Times New Roman"/>
          <w:highlight w:val="none"/>
        </w:rPr>
      </w:pPr>
      <w:r>
        <w:rPr>
          <w:rFonts w:ascii="宋体" w:hAnsi="宋体" w:cs="Cambria"/>
          <w:snapToGrid w:val="0"/>
          <w:color w:val="auto"/>
          <w:kern w:val="0"/>
          <w:szCs w:val="28"/>
          <w:highlight w:val="none"/>
        </w:rPr>
        <w:br w:type="page"/>
      </w:r>
      <w:bookmarkEnd w:id="31"/>
      <w:bookmarkStart w:id="40" w:name="_Toc31654"/>
      <w:r>
        <w:rPr>
          <w:rFonts w:hint="eastAsia" w:ascii="Times New Roman" w:hAnsi="Times New Roman"/>
          <w:highlight w:val="none"/>
        </w:rPr>
        <w:t>第三章 项目要求</w:t>
      </w:r>
      <w:bookmarkEnd w:id="40"/>
    </w:p>
    <w:p w14:paraId="754A6494">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highlight w:val="none"/>
        </w:rPr>
        <w:t>业务需求</w:t>
      </w:r>
    </w:p>
    <w:p w14:paraId="4856DB7A">
      <w:pPr>
        <w:rPr>
          <w:rFonts w:hint="eastAsia" w:ascii="Times New Roman" w:hAnsi="Times New Roman"/>
          <w:color w:val="000000"/>
          <w:highlight w:val="none"/>
        </w:rPr>
      </w:pPr>
      <w:r>
        <w:rPr>
          <w:rFonts w:hint="eastAsia" w:ascii="宋体" w:cs="宋体"/>
          <w:szCs w:val="24"/>
          <w:highlight w:val="none"/>
        </w:rPr>
        <w:t>比选人原</w:t>
      </w:r>
      <w:r>
        <w:rPr>
          <w:rFonts w:hint="eastAsia" w:ascii="宋体" w:cs="宋体"/>
          <w:szCs w:val="24"/>
          <w:highlight w:val="none"/>
          <w:lang w:val="en-US" w:eastAsia="zh-CN"/>
        </w:rPr>
        <w:t>第二代支付系统</w:t>
      </w:r>
      <w:r>
        <w:rPr>
          <w:rFonts w:hint="eastAsia" w:ascii="宋体" w:cs="宋体"/>
          <w:szCs w:val="24"/>
          <w:highlight w:val="none"/>
        </w:rPr>
        <w:t>是基于</w:t>
      </w:r>
      <w:r>
        <w:rPr>
          <w:rFonts w:hint="eastAsia" w:ascii="宋体" w:cs="宋体"/>
          <w:szCs w:val="24"/>
          <w:highlight w:val="none"/>
          <w:lang w:val="en-US" w:eastAsia="zh-CN"/>
        </w:rPr>
        <w:t>赞同科技股份有限公司</w:t>
      </w:r>
      <w:r>
        <w:rPr>
          <w:rFonts w:hint="eastAsia" w:ascii="宋体" w:cs="宋体"/>
          <w:szCs w:val="24"/>
          <w:highlight w:val="none"/>
        </w:rPr>
        <w:t>的</w:t>
      </w:r>
      <w:r>
        <w:rPr>
          <w:rFonts w:hint="eastAsia" w:ascii="宋体" w:cs="宋体"/>
          <w:szCs w:val="24"/>
          <w:highlight w:val="none"/>
          <w:lang w:val="en-US" w:eastAsia="zh-CN"/>
        </w:rPr>
        <w:t>金融业务处理</w:t>
      </w:r>
      <w:r>
        <w:rPr>
          <w:rFonts w:hint="eastAsia" w:ascii="宋体" w:cs="宋体"/>
          <w:szCs w:val="24"/>
          <w:highlight w:val="none"/>
        </w:rPr>
        <w:t>平台（</w:t>
      </w:r>
      <w:r>
        <w:rPr>
          <w:rFonts w:hint="eastAsia" w:ascii="宋体" w:cs="宋体"/>
          <w:szCs w:val="24"/>
          <w:highlight w:val="none"/>
          <w:lang w:val="en-US" w:eastAsia="zh-CN"/>
        </w:rPr>
        <w:t>AFA</w:t>
      </w:r>
      <w:r>
        <w:rPr>
          <w:rFonts w:hint="eastAsia" w:ascii="宋体" w:cs="宋体"/>
          <w:szCs w:val="24"/>
          <w:highlight w:val="none"/>
        </w:rPr>
        <w:t>）进行建设，本次需求建设均</w:t>
      </w:r>
      <w:r>
        <w:rPr>
          <w:rFonts w:hint="eastAsia" w:ascii="宋体" w:cs="宋体"/>
          <w:szCs w:val="24"/>
          <w:highlight w:val="none"/>
          <w:lang w:val="en-US" w:eastAsia="zh-CN"/>
        </w:rPr>
        <w:t>为</w:t>
      </w:r>
      <w:r>
        <w:rPr>
          <w:rFonts w:hint="eastAsia" w:ascii="宋体" w:cs="宋体"/>
          <w:szCs w:val="24"/>
          <w:highlight w:val="none"/>
        </w:rPr>
        <w:t>原系统</w:t>
      </w:r>
      <w:r>
        <w:rPr>
          <w:rFonts w:hint="eastAsia" w:ascii="宋体" w:cs="宋体"/>
          <w:szCs w:val="24"/>
          <w:highlight w:val="none"/>
          <w:lang w:val="en-US" w:eastAsia="zh-CN"/>
        </w:rPr>
        <w:t>基础上的</w:t>
      </w:r>
      <w:r>
        <w:rPr>
          <w:rFonts w:hint="eastAsia" w:ascii="宋体" w:cs="宋体"/>
          <w:szCs w:val="24"/>
          <w:highlight w:val="none"/>
        </w:rPr>
        <w:t>优化改造，需求如下：</w:t>
      </w:r>
    </w:p>
    <w:p w14:paraId="61689280">
      <w:pPr>
        <w:rPr>
          <w:rFonts w:ascii="Times New Roman" w:hAnsi="Times New Roman"/>
          <w:color w:val="000000"/>
          <w:highlight w:val="none"/>
        </w:rPr>
      </w:pPr>
      <w:r>
        <w:rPr>
          <w:rFonts w:hint="eastAsia" w:ascii="Times New Roman" w:hAnsi="Times New Roman"/>
          <w:color w:val="000000"/>
          <w:highlight w:val="none"/>
        </w:rPr>
        <w:t>一、按照人行、反洗钱、反赌反诈等监管要求，对支付系统、城银支付系统、核心系统、网点服务平台的业务流程或功能进行优化。</w:t>
      </w:r>
    </w:p>
    <w:p w14:paraId="3F341DA3">
      <w:pPr>
        <w:rPr>
          <w:rFonts w:ascii="Times New Roman" w:hAnsi="Times New Roman"/>
          <w:color w:val="000000"/>
          <w:highlight w:val="none"/>
        </w:rPr>
      </w:pPr>
      <w:r>
        <w:rPr>
          <w:rFonts w:hint="eastAsia" w:ascii="Times New Roman" w:hAnsi="Times New Roman"/>
          <w:color w:val="000000"/>
          <w:highlight w:val="none"/>
        </w:rPr>
        <w:t>二、根据中国人民银行要求，开通超网贷记付款请求功能：</w:t>
      </w:r>
    </w:p>
    <w:p w14:paraId="2A81F00D">
      <w:pPr>
        <w:rPr>
          <w:rFonts w:ascii="Times New Roman" w:hAnsi="Times New Roman"/>
          <w:color w:val="000000"/>
          <w:highlight w:val="none"/>
        </w:rPr>
      </w:pPr>
      <w:r>
        <w:rPr>
          <w:rFonts w:hint="eastAsia" w:ascii="Times New Roman" w:hAnsi="Times New Roman"/>
          <w:color w:val="000000"/>
          <w:highlight w:val="none"/>
        </w:rPr>
        <w:t>1.新增贷记付款请求来账的处理流程</w:t>
      </w:r>
      <w:r>
        <w:rPr>
          <w:rFonts w:ascii="Times New Roman" w:hAnsi="Times New Roman"/>
          <w:color w:val="000000"/>
          <w:highlight w:val="none"/>
        </w:rPr>
        <w:t>；</w:t>
      </w:r>
    </w:p>
    <w:p w14:paraId="0CBFD71C">
      <w:pPr>
        <w:rPr>
          <w:rFonts w:ascii="Times New Roman" w:hAnsi="Times New Roman"/>
          <w:color w:val="000000"/>
          <w:highlight w:val="none"/>
        </w:rPr>
      </w:pPr>
      <w:r>
        <w:rPr>
          <w:rFonts w:hint="eastAsia" w:ascii="Times New Roman" w:hAnsi="Times New Roman"/>
          <w:color w:val="000000"/>
          <w:highlight w:val="none"/>
        </w:rPr>
        <w:t>2.新增贷记付款请求结果通知报文来账处理流程</w:t>
      </w:r>
      <w:r>
        <w:rPr>
          <w:rFonts w:ascii="Times New Roman" w:hAnsi="Times New Roman"/>
          <w:color w:val="000000"/>
          <w:highlight w:val="none"/>
        </w:rPr>
        <w:t>；</w:t>
      </w:r>
    </w:p>
    <w:p w14:paraId="0AED6700">
      <w:pPr>
        <w:rPr>
          <w:rFonts w:ascii="Times New Roman" w:hAnsi="Times New Roman"/>
          <w:color w:val="000000"/>
          <w:highlight w:val="none"/>
        </w:rPr>
      </w:pPr>
      <w:r>
        <w:rPr>
          <w:rFonts w:hint="eastAsia" w:ascii="Times New Roman" w:hAnsi="Times New Roman"/>
          <w:color w:val="000000"/>
          <w:highlight w:val="none"/>
        </w:rPr>
        <w:t>3.新增贷记付款请求往账处理流程</w:t>
      </w:r>
      <w:r>
        <w:rPr>
          <w:rFonts w:ascii="Times New Roman" w:hAnsi="Times New Roman"/>
          <w:color w:val="000000"/>
          <w:highlight w:val="none"/>
        </w:rPr>
        <w:t>；</w:t>
      </w:r>
    </w:p>
    <w:p w14:paraId="702C4BD7">
      <w:pPr>
        <w:rPr>
          <w:rFonts w:ascii="Times New Roman" w:hAnsi="Times New Roman"/>
          <w:color w:val="000000"/>
          <w:highlight w:val="none"/>
        </w:rPr>
      </w:pPr>
      <w:r>
        <w:rPr>
          <w:rFonts w:hint="eastAsia" w:ascii="Times New Roman" w:hAnsi="Times New Roman"/>
          <w:color w:val="000000"/>
          <w:highlight w:val="none"/>
        </w:rPr>
        <w:t>4.新增贷记付款请求查询交易处理流程</w:t>
      </w:r>
      <w:r>
        <w:rPr>
          <w:rFonts w:ascii="Times New Roman" w:hAnsi="Times New Roman"/>
          <w:color w:val="000000"/>
          <w:highlight w:val="none"/>
        </w:rPr>
        <w:t>；</w:t>
      </w:r>
    </w:p>
    <w:p w14:paraId="3D13493B">
      <w:pPr>
        <w:rPr>
          <w:rFonts w:ascii="Times New Roman" w:hAnsi="Times New Roman"/>
          <w:color w:val="000000"/>
          <w:highlight w:val="none"/>
        </w:rPr>
      </w:pPr>
      <w:r>
        <w:rPr>
          <w:rFonts w:hint="eastAsia" w:ascii="Times New Roman" w:hAnsi="Times New Roman"/>
          <w:color w:val="000000"/>
          <w:highlight w:val="none"/>
        </w:rPr>
        <w:t>5.修改业务状态查询报文，支持发起贷记付款请求交易的业务状态查询</w:t>
      </w:r>
      <w:r>
        <w:rPr>
          <w:rFonts w:ascii="Times New Roman" w:hAnsi="Times New Roman"/>
          <w:color w:val="000000"/>
          <w:highlight w:val="none"/>
        </w:rPr>
        <w:t>；</w:t>
      </w:r>
    </w:p>
    <w:p w14:paraId="1EC61AB3">
      <w:pPr>
        <w:rPr>
          <w:rFonts w:ascii="Times New Roman" w:hAnsi="Times New Roman"/>
          <w:color w:val="000000"/>
          <w:highlight w:val="none"/>
        </w:rPr>
      </w:pPr>
      <w:r>
        <w:rPr>
          <w:rFonts w:hint="eastAsia" w:ascii="Times New Roman" w:hAnsi="Times New Roman"/>
          <w:color w:val="000000"/>
          <w:highlight w:val="none"/>
        </w:rPr>
        <w:t>6.修改支持业务状态查询报文的应答交易，根据应答结果修改贷记付款请求交易的状态</w:t>
      </w:r>
      <w:r>
        <w:rPr>
          <w:rFonts w:ascii="Times New Roman" w:hAnsi="Times New Roman"/>
          <w:color w:val="000000"/>
          <w:highlight w:val="none"/>
        </w:rPr>
        <w:t>；</w:t>
      </w:r>
    </w:p>
    <w:p w14:paraId="254EA89D">
      <w:pPr>
        <w:rPr>
          <w:rFonts w:ascii="Times New Roman" w:hAnsi="Times New Roman"/>
          <w:color w:val="000000"/>
          <w:highlight w:val="none"/>
        </w:rPr>
      </w:pPr>
      <w:r>
        <w:rPr>
          <w:rFonts w:hint="eastAsia" w:ascii="Times New Roman" w:hAnsi="Times New Roman"/>
          <w:color w:val="000000"/>
          <w:highlight w:val="none"/>
        </w:rPr>
        <w:t>7.修改支持发起业务撤销申请报文支持撤销贷记付款请求报文</w:t>
      </w:r>
      <w:r>
        <w:rPr>
          <w:rFonts w:ascii="Times New Roman" w:hAnsi="Times New Roman"/>
          <w:color w:val="000000"/>
          <w:highlight w:val="none"/>
        </w:rPr>
        <w:t>；</w:t>
      </w:r>
    </w:p>
    <w:p w14:paraId="39F2711D">
      <w:pPr>
        <w:rPr>
          <w:rFonts w:ascii="Times New Roman" w:hAnsi="Times New Roman"/>
          <w:color w:val="000000"/>
          <w:highlight w:val="none"/>
        </w:rPr>
      </w:pPr>
      <w:r>
        <w:rPr>
          <w:rFonts w:hint="eastAsia" w:ascii="Times New Roman" w:hAnsi="Times New Roman"/>
          <w:color w:val="000000"/>
          <w:highlight w:val="none"/>
        </w:rPr>
        <w:t>8.修改接受业务撤销申请交易，支持贷记付款请求交易状态的变化</w:t>
      </w:r>
      <w:r>
        <w:rPr>
          <w:rFonts w:ascii="Times New Roman" w:hAnsi="Times New Roman"/>
          <w:color w:val="000000"/>
          <w:highlight w:val="none"/>
        </w:rPr>
        <w:t>；</w:t>
      </w:r>
    </w:p>
    <w:p w14:paraId="195382DD">
      <w:pPr>
        <w:rPr>
          <w:rFonts w:ascii="Times New Roman" w:hAnsi="Times New Roman"/>
          <w:color w:val="000000"/>
          <w:highlight w:val="none"/>
        </w:rPr>
      </w:pPr>
      <w:r>
        <w:rPr>
          <w:rFonts w:hint="eastAsia" w:ascii="Times New Roman" w:hAnsi="Times New Roman"/>
          <w:color w:val="000000"/>
          <w:highlight w:val="none"/>
        </w:rPr>
        <w:t>9.修改客户身份认证交易，支持贷记付款请求交易的认证</w:t>
      </w:r>
      <w:r>
        <w:rPr>
          <w:rFonts w:ascii="Times New Roman" w:hAnsi="Times New Roman"/>
          <w:color w:val="000000"/>
          <w:highlight w:val="none"/>
        </w:rPr>
        <w:t>；</w:t>
      </w:r>
    </w:p>
    <w:p w14:paraId="36A31998">
      <w:pPr>
        <w:rPr>
          <w:rFonts w:ascii="Times New Roman" w:hAnsi="Times New Roman"/>
          <w:color w:val="000000"/>
          <w:highlight w:val="none"/>
        </w:rPr>
      </w:pPr>
      <w:r>
        <w:rPr>
          <w:rFonts w:hint="eastAsia" w:ascii="Times New Roman" w:hAnsi="Times New Roman"/>
          <w:color w:val="000000"/>
          <w:highlight w:val="none"/>
        </w:rPr>
        <w:t>10.修改参与机构业务管理通知报文，支持注册与撤销贷记付款请求交易</w:t>
      </w:r>
      <w:r>
        <w:rPr>
          <w:rFonts w:ascii="Times New Roman" w:hAnsi="Times New Roman"/>
          <w:color w:val="000000"/>
          <w:highlight w:val="none"/>
        </w:rPr>
        <w:t>；</w:t>
      </w:r>
    </w:p>
    <w:p w14:paraId="00AA37A7">
      <w:pPr>
        <w:rPr>
          <w:rFonts w:ascii="Times New Roman" w:hAnsi="Times New Roman"/>
          <w:color w:val="000000"/>
          <w:highlight w:val="none"/>
        </w:rPr>
      </w:pPr>
      <w:r>
        <w:rPr>
          <w:rFonts w:hint="eastAsia" w:ascii="Times New Roman" w:hAnsi="Times New Roman"/>
          <w:color w:val="000000"/>
          <w:highlight w:val="none"/>
        </w:rPr>
        <w:t>11.修改参与机构业务管理状态下载申请报文，支持下载已注册贷记付款请求交易的数据</w:t>
      </w:r>
      <w:r>
        <w:rPr>
          <w:rFonts w:ascii="Times New Roman" w:hAnsi="Times New Roman"/>
          <w:color w:val="000000"/>
          <w:highlight w:val="none"/>
        </w:rPr>
        <w:t>；</w:t>
      </w:r>
    </w:p>
    <w:p w14:paraId="4C2FEF84">
      <w:pPr>
        <w:rPr>
          <w:rFonts w:ascii="Times New Roman" w:hAnsi="Times New Roman"/>
          <w:color w:val="000000"/>
          <w:highlight w:val="none"/>
        </w:rPr>
      </w:pPr>
      <w:r>
        <w:rPr>
          <w:rFonts w:hint="eastAsia" w:ascii="Times New Roman" w:hAnsi="Times New Roman"/>
          <w:color w:val="000000"/>
          <w:highlight w:val="none"/>
        </w:rPr>
        <w:t>12.修改参与机构业务管理状态下载应答报文，支持处理已注册贷记付款请求交易的数据</w:t>
      </w:r>
      <w:r>
        <w:rPr>
          <w:rFonts w:ascii="Times New Roman" w:hAnsi="Times New Roman"/>
          <w:color w:val="000000"/>
          <w:highlight w:val="none"/>
        </w:rPr>
        <w:t>；</w:t>
      </w:r>
    </w:p>
    <w:p w14:paraId="1E0C14F0">
      <w:pPr>
        <w:rPr>
          <w:rFonts w:ascii="Times New Roman" w:hAnsi="Times New Roman"/>
          <w:color w:val="000000"/>
          <w:highlight w:val="none"/>
        </w:rPr>
      </w:pPr>
      <w:r>
        <w:rPr>
          <w:rFonts w:hint="eastAsia" w:ascii="Times New Roman" w:hAnsi="Times New Roman"/>
          <w:color w:val="000000"/>
          <w:highlight w:val="none"/>
        </w:rPr>
        <w:t>13.支持发起业务类型为贷记付款请求的贷记往账交易</w:t>
      </w:r>
      <w:r>
        <w:rPr>
          <w:rFonts w:ascii="Times New Roman" w:hAnsi="Times New Roman"/>
          <w:color w:val="000000"/>
          <w:highlight w:val="none"/>
        </w:rPr>
        <w:t>；</w:t>
      </w:r>
    </w:p>
    <w:p w14:paraId="6987D52A">
      <w:pPr>
        <w:rPr>
          <w:rFonts w:ascii="Times New Roman" w:hAnsi="Times New Roman"/>
          <w:color w:val="000000"/>
          <w:highlight w:val="none"/>
        </w:rPr>
      </w:pPr>
      <w:r>
        <w:rPr>
          <w:rFonts w:hint="eastAsia" w:ascii="Times New Roman" w:hAnsi="Times New Roman"/>
          <w:color w:val="000000"/>
          <w:highlight w:val="none"/>
        </w:rPr>
        <w:t>14.支持处理来账业务类型为贷记付款请求的来账贷记交易</w:t>
      </w:r>
      <w:r>
        <w:rPr>
          <w:rFonts w:ascii="Times New Roman" w:hAnsi="Times New Roman"/>
          <w:color w:val="000000"/>
          <w:highlight w:val="none"/>
        </w:rPr>
        <w:t>；</w:t>
      </w:r>
    </w:p>
    <w:p w14:paraId="2BCD8EB8">
      <w:pPr>
        <w:rPr>
          <w:rFonts w:ascii="Times New Roman" w:hAnsi="Times New Roman"/>
          <w:color w:val="000000"/>
          <w:highlight w:val="none"/>
        </w:rPr>
      </w:pPr>
      <w:r>
        <w:rPr>
          <w:rFonts w:hint="eastAsia" w:ascii="Times New Roman" w:hAnsi="Times New Roman"/>
          <w:color w:val="000000"/>
          <w:highlight w:val="none"/>
        </w:rPr>
        <w:t>15.新增支持贷记付款差错的日间处理流程</w:t>
      </w:r>
      <w:r>
        <w:rPr>
          <w:rFonts w:ascii="Times New Roman" w:hAnsi="Times New Roman"/>
          <w:color w:val="000000"/>
          <w:highlight w:val="none"/>
        </w:rPr>
        <w:t>；</w:t>
      </w:r>
    </w:p>
    <w:p w14:paraId="45C40152">
      <w:pPr>
        <w:rPr>
          <w:rFonts w:ascii="Times New Roman" w:hAnsi="Times New Roman"/>
          <w:color w:val="000000"/>
          <w:highlight w:val="none"/>
        </w:rPr>
      </w:pPr>
      <w:r>
        <w:rPr>
          <w:rFonts w:hint="eastAsia" w:ascii="Times New Roman" w:hAnsi="Times New Roman"/>
          <w:color w:val="000000"/>
          <w:highlight w:val="none"/>
        </w:rPr>
        <w:t>16.新增支持在日终对账的时候对贷记付款请求交易的对账处理。</w:t>
      </w:r>
    </w:p>
    <w:p w14:paraId="16634B65">
      <w:pPr>
        <w:rPr>
          <w:rFonts w:ascii="Times New Roman" w:hAnsi="Times New Roman"/>
          <w:color w:val="000000"/>
          <w:highlight w:val="none"/>
        </w:rPr>
      </w:pPr>
      <w:r>
        <w:rPr>
          <w:rFonts w:hint="eastAsia" w:ascii="Times New Roman" w:hAnsi="Times New Roman"/>
          <w:color w:val="000000"/>
          <w:highlight w:val="none"/>
        </w:rPr>
        <w:t>三、配合集中作业优化普通借记支票截留业务</w:t>
      </w:r>
      <w:r>
        <w:rPr>
          <w:rFonts w:ascii="Times New Roman" w:hAnsi="Times New Roman"/>
          <w:color w:val="000000"/>
          <w:highlight w:val="none"/>
        </w:rPr>
        <w:t>：</w:t>
      </w:r>
    </w:p>
    <w:p w14:paraId="46CFE951">
      <w:pPr>
        <w:rPr>
          <w:rFonts w:ascii="Times New Roman" w:hAnsi="Times New Roman"/>
          <w:color w:val="000000"/>
          <w:highlight w:val="none"/>
        </w:rPr>
      </w:pPr>
      <w:r>
        <w:rPr>
          <w:rFonts w:hint="eastAsia" w:ascii="Times New Roman" w:hAnsi="Times New Roman"/>
          <w:color w:val="000000"/>
          <w:highlight w:val="none"/>
        </w:rPr>
        <w:t>1.配合集中作业对普通借记做适应性的改造，增加集中作业的权限配置</w:t>
      </w:r>
      <w:r>
        <w:rPr>
          <w:rFonts w:ascii="Times New Roman" w:hAnsi="Times New Roman"/>
          <w:color w:val="000000"/>
          <w:highlight w:val="none"/>
        </w:rPr>
        <w:t>；</w:t>
      </w:r>
    </w:p>
    <w:p w14:paraId="4FE6B480">
      <w:pPr>
        <w:rPr>
          <w:rFonts w:ascii="Times New Roman" w:hAnsi="Times New Roman"/>
          <w:color w:val="000000"/>
          <w:highlight w:val="none"/>
        </w:rPr>
      </w:pPr>
      <w:r>
        <w:rPr>
          <w:rFonts w:hint="eastAsia" w:ascii="Times New Roman" w:hAnsi="Times New Roman"/>
          <w:color w:val="000000"/>
          <w:highlight w:val="none"/>
        </w:rPr>
        <w:t>2.修改现有借记回执的接收交易，增加对集中作业发起的往账借记交易进行账务处理和异常登记</w:t>
      </w:r>
      <w:r>
        <w:rPr>
          <w:rFonts w:ascii="Times New Roman" w:hAnsi="Times New Roman"/>
          <w:color w:val="000000"/>
          <w:highlight w:val="none"/>
        </w:rPr>
        <w:t>；</w:t>
      </w:r>
    </w:p>
    <w:p w14:paraId="104EFCE5">
      <w:pPr>
        <w:rPr>
          <w:rFonts w:ascii="Times New Roman" w:hAnsi="Times New Roman"/>
          <w:color w:val="000000"/>
          <w:highlight w:val="none"/>
        </w:rPr>
      </w:pPr>
      <w:r>
        <w:rPr>
          <w:rFonts w:hint="eastAsia" w:ascii="Times New Roman" w:hAnsi="Times New Roman"/>
          <w:color w:val="000000"/>
          <w:highlight w:val="none"/>
        </w:rPr>
        <w:t>3.针对集中作业的往账普通借记入账异常后进行处理及异常的异常处理</w:t>
      </w:r>
      <w:r>
        <w:rPr>
          <w:rFonts w:ascii="Times New Roman" w:hAnsi="Times New Roman"/>
          <w:color w:val="000000"/>
          <w:highlight w:val="none"/>
        </w:rPr>
        <w:t>；</w:t>
      </w:r>
    </w:p>
    <w:p w14:paraId="731626B0">
      <w:pPr>
        <w:rPr>
          <w:rFonts w:ascii="Times New Roman" w:hAnsi="Times New Roman"/>
          <w:color w:val="000000"/>
          <w:highlight w:val="none"/>
        </w:rPr>
      </w:pPr>
      <w:r>
        <w:rPr>
          <w:rFonts w:hint="eastAsia" w:ascii="Times New Roman" w:hAnsi="Times New Roman"/>
          <w:color w:val="000000"/>
          <w:highlight w:val="none"/>
        </w:rPr>
        <w:t>4.修改现有的影像上传失败后处理流程，配合集中作业做适应性改造</w:t>
      </w:r>
      <w:r>
        <w:rPr>
          <w:rFonts w:ascii="Times New Roman" w:hAnsi="Times New Roman"/>
          <w:color w:val="000000"/>
          <w:highlight w:val="none"/>
        </w:rPr>
        <w:t>；</w:t>
      </w:r>
    </w:p>
    <w:p w14:paraId="2ED662E6">
      <w:pPr>
        <w:rPr>
          <w:rFonts w:ascii="Times New Roman" w:hAnsi="Times New Roman"/>
          <w:color w:val="000000"/>
          <w:highlight w:val="none"/>
        </w:rPr>
      </w:pPr>
      <w:r>
        <w:rPr>
          <w:rFonts w:hint="eastAsia" w:ascii="Times New Roman" w:hAnsi="Times New Roman"/>
          <w:color w:val="000000"/>
          <w:highlight w:val="none"/>
        </w:rPr>
        <w:t>5.支付系统中的支票影像本地数据信息根据影像平台的数据信息进行更新，供集中作业系统查询</w:t>
      </w:r>
      <w:r>
        <w:rPr>
          <w:rFonts w:ascii="Times New Roman" w:hAnsi="Times New Roman"/>
          <w:color w:val="000000"/>
          <w:highlight w:val="none"/>
        </w:rPr>
        <w:t>；</w:t>
      </w:r>
    </w:p>
    <w:p w14:paraId="0E8B5F94">
      <w:pPr>
        <w:rPr>
          <w:rFonts w:ascii="Times New Roman" w:hAnsi="Times New Roman"/>
          <w:color w:val="000000"/>
          <w:highlight w:val="none"/>
        </w:rPr>
      </w:pPr>
      <w:r>
        <w:rPr>
          <w:rFonts w:hint="eastAsia" w:ascii="Times New Roman" w:hAnsi="Times New Roman"/>
          <w:color w:val="000000"/>
          <w:highlight w:val="none"/>
        </w:rPr>
        <w:t>6.配合集中作业对普通借记支票截留业务手工扣款确认进行改造</w:t>
      </w:r>
      <w:r>
        <w:rPr>
          <w:rFonts w:ascii="Times New Roman" w:hAnsi="Times New Roman"/>
          <w:color w:val="000000"/>
          <w:highlight w:val="none"/>
        </w:rPr>
        <w:t>；</w:t>
      </w:r>
    </w:p>
    <w:p w14:paraId="7ED2B3A4">
      <w:pPr>
        <w:rPr>
          <w:rFonts w:ascii="Times New Roman" w:hAnsi="Times New Roman"/>
          <w:color w:val="000000"/>
          <w:highlight w:val="none"/>
        </w:rPr>
      </w:pPr>
      <w:r>
        <w:rPr>
          <w:rFonts w:hint="eastAsia" w:ascii="Times New Roman" w:hAnsi="Times New Roman"/>
          <w:color w:val="000000"/>
          <w:highlight w:val="none"/>
        </w:rPr>
        <w:t>7.配合集中作业对手工扣款异常信息查询、处理流程进行改造。</w:t>
      </w:r>
    </w:p>
    <w:p w14:paraId="1E0F40DD">
      <w:pPr>
        <w:rPr>
          <w:rFonts w:ascii="Times New Roman" w:hAnsi="Times New Roman"/>
          <w:color w:val="000000"/>
          <w:highlight w:val="none"/>
        </w:rPr>
      </w:pPr>
      <w:r>
        <w:rPr>
          <w:rFonts w:hint="eastAsia" w:ascii="Times New Roman" w:hAnsi="Times New Roman"/>
          <w:color w:val="000000"/>
          <w:highlight w:val="none"/>
        </w:rPr>
        <w:t>四、按照人行要求优化小额定期借记签约，并按照业务要求进行相应的业务推广：</w:t>
      </w:r>
    </w:p>
    <w:p w14:paraId="06208355">
      <w:pPr>
        <w:rPr>
          <w:rFonts w:ascii="Times New Roman" w:hAnsi="Times New Roman"/>
          <w:color w:val="000000"/>
          <w:highlight w:val="none"/>
        </w:rPr>
      </w:pPr>
      <w:r>
        <w:rPr>
          <w:rFonts w:hint="eastAsia" w:ascii="Times New Roman" w:hAnsi="Times New Roman"/>
          <w:color w:val="000000"/>
          <w:highlight w:val="none"/>
        </w:rPr>
        <w:t>1.小额系统定期借记业务支持客户从收款行端发起授权支付协议签订</w:t>
      </w:r>
      <w:r>
        <w:rPr>
          <w:rFonts w:ascii="Times New Roman" w:hAnsi="Times New Roman"/>
          <w:color w:val="000000"/>
          <w:highlight w:val="none"/>
        </w:rPr>
        <w:t>；</w:t>
      </w:r>
    </w:p>
    <w:p w14:paraId="5BCD3B4F">
      <w:pPr>
        <w:rPr>
          <w:rFonts w:ascii="Times New Roman" w:hAnsi="Times New Roman"/>
          <w:color w:val="000000"/>
          <w:highlight w:val="none"/>
        </w:rPr>
      </w:pPr>
      <w:r>
        <w:rPr>
          <w:rFonts w:hint="eastAsia" w:ascii="Times New Roman" w:hAnsi="Times New Roman"/>
          <w:color w:val="000000"/>
          <w:highlight w:val="none"/>
        </w:rPr>
        <w:t>2.当客户通过收款行申请办理签约时，收款行通过客户支付协议管理报文（beps.351.001.01）发起签约申请，收款行应选择体外验证授权（AM02），即付款客户可通过付款行自助终端等渠道主动进行授权确认</w:t>
      </w:r>
      <w:r>
        <w:rPr>
          <w:rFonts w:ascii="Times New Roman" w:hAnsi="Times New Roman"/>
          <w:color w:val="000000"/>
          <w:highlight w:val="none"/>
        </w:rPr>
        <w:t>。</w:t>
      </w:r>
    </w:p>
    <w:p w14:paraId="2D7175E6">
      <w:pPr>
        <w:rPr>
          <w:rFonts w:ascii="Times New Roman" w:hAnsi="Times New Roman"/>
          <w:color w:val="000000"/>
          <w:highlight w:val="none"/>
        </w:rPr>
      </w:pPr>
      <w:r>
        <w:rPr>
          <w:rFonts w:hint="eastAsia" w:ascii="Times New Roman" w:hAnsi="Times New Roman"/>
          <w:color w:val="000000"/>
          <w:highlight w:val="none"/>
        </w:rPr>
        <w:t>付款行受理业务后，需及时通知客户办理授权，如通过则返回“已成功”回执，并完整记录授权要素；如不通过,则返回“已拒绝”回执，并如实填写拒绝码和描述信息。</w:t>
      </w:r>
    </w:p>
    <w:p w14:paraId="52325D36">
      <w:pPr>
        <w:rPr>
          <w:rFonts w:ascii="Times New Roman" w:hAnsi="Times New Roman"/>
          <w:color w:val="000000"/>
          <w:highlight w:val="none"/>
        </w:rPr>
      </w:pPr>
      <w:r>
        <w:rPr>
          <w:rFonts w:hint="eastAsia" w:ascii="Times New Roman" w:hAnsi="Times New Roman"/>
          <w:color w:val="000000"/>
          <w:highlight w:val="none"/>
        </w:rPr>
        <w:t>付款行应在收到签约申请起的5个工作日内返回授权确认回执，如收款行在期限内未收到回执，应发起解除授权。</w:t>
      </w:r>
    </w:p>
    <w:p w14:paraId="212E2708">
      <w:pPr>
        <w:rPr>
          <w:rFonts w:ascii="Times New Roman" w:hAnsi="Times New Roman"/>
          <w:color w:val="000000"/>
          <w:highlight w:val="none"/>
        </w:rPr>
      </w:pPr>
      <w:r>
        <w:rPr>
          <w:rFonts w:hint="eastAsia" w:ascii="Times New Roman" w:hAnsi="Times New Roman"/>
          <w:color w:val="000000"/>
          <w:highlight w:val="none"/>
        </w:rPr>
        <w:t>3.参与机构需支持客户从收款行或者付款行发起解除授权支付协议流程：</w:t>
      </w:r>
    </w:p>
    <w:p w14:paraId="7D13F2A1">
      <w:pPr>
        <w:rPr>
          <w:rFonts w:ascii="Times New Roman" w:hAnsi="Times New Roman"/>
          <w:color w:val="000000"/>
          <w:highlight w:val="none"/>
        </w:rPr>
      </w:pPr>
      <w:r>
        <w:rPr>
          <w:rFonts w:hint="eastAsia" w:ascii="Times New Roman" w:hAnsi="Times New Roman"/>
          <w:color w:val="000000"/>
          <w:highlight w:val="none"/>
        </w:rPr>
        <w:t>当收款行发起时，收款行检查收款人信息以及要撤销的授权支付协议号后，通过“客户支付协议管理报文（beps.351.001.01）”发起撤销申请，按现有授权支付协议撤销业务流程 办理。</w:t>
      </w:r>
    </w:p>
    <w:p w14:paraId="7F888220">
      <w:pPr>
        <w:rPr>
          <w:rFonts w:ascii="Times New Roman" w:hAnsi="Times New Roman"/>
          <w:color w:val="000000"/>
          <w:highlight w:val="none"/>
        </w:rPr>
      </w:pPr>
      <w:r>
        <w:rPr>
          <w:rFonts w:hint="eastAsia" w:ascii="Times New Roman" w:hAnsi="Times New Roman"/>
          <w:color w:val="000000"/>
          <w:highlight w:val="none"/>
        </w:rPr>
        <w:t>当付款行发起时，付款行检查付款人信息以及要撤销的授权支付协议号后，通过“客户支付协议管理报文（beps.351.001.01）”发起撤销申请，通知收款行原协议已撤销 。</w:t>
      </w:r>
    </w:p>
    <w:p w14:paraId="51B0D2F4">
      <w:pPr>
        <w:rPr>
          <w:rFonts w:ascii="Times New Roman" w:hAnsi="Times New Roman"/>
          <w:color w:val="000000"/>
          <w:highlight w:val="none"/>
        </w:rPr>
      </w:pPr>
      <w:r>
        <w:rPr>
          <w:rFonts w:hint="eastAsia" w:ascii="Times New Roman" w:hAnsi="Times New Roman"/>
          <w:color w:val="000000"/>
          <w:highlight w:val="none"/>
        </w:rPr>
        <w:t>收、付款行撤销协议后，应及时将协议变动情况通知客户。</w:t>
      </w:r>
    </w:p>
    <w:p w14:paraId="72FC9961">
      <w:pPr>
        <w:rPr>
          <w:rFonts w:ascii="Times New Roman" w:hAnsi="Times New Roman"/>
          <w:color w:val="000000"/>
          <w:highlight w:val="none"/>
        </w:rPr>
      </w:pPr>
      <w:r>
        <w:rPr>
          <w:rFonts w:hint="eastAsia" w:ascii="Times New Roman" w:hAnsi="Times New Roman"/>
          <w:color w:val="000000"/>
          <w:highlight w:val="none"/>
        </w:rPr>
        <w:t>五、配合核心、柜面、分布式服务平台等系统信创建设的测试和部分交易优化</w:t>
      </w:r>
      <w:r>
        <w:rPr>
          <w:rFonts w:ascii="Times New Roman" w:hAnsi="Times New Roman"/>
          <w:color w:val="000000"/>
          <w:highlight w:val="none"/>
        </w:rPr>
        <w:t>：</w:t>
      </w:r>
    </w:p>
    <w:p w14:paraId="015A0F7D">
      <w:pPr>
        <w:rPr>
          <w:rFonts w:ascii="Times New Roman" w:hAnsi="Times New Roman"/>
          <w:color w:val="000000"/>
          <w:highlight w:val="none"/>
        </w:rPr>
      </w:pPr>
      <w:r>
        <w:rPr>
          <w:rFonts w:hint="eastAsia" w:ascii="Times New Roman" w:hAnsi="Times New Roman"/>
          <w:color w:val="000000"/>
          <w:highlight w:val="none"/>
        </w:rPr>
        <w:t>1</w:t>
      </w:r>
      <w:r>
        <w:rPr>
          <w:rFonts w:ascii="Times New Roman" w:hAnsi="Times New Roman"/>
          <w:color w:val="000000"/>
          <w:highlight w:val="none"/>
        </w:rPr>
        <w:t>.</w:t>
      </w:r>
      <w:r>
        <w:rPr>
          <w:rFonts w:hint="eastAsia" w:ascii="Times New Roman" w:hAnsi="Times New Roman"/>
          <w:color w:val="000000"/>
          <w:highlight w:val="none"/>
        </w:rPr>
        <w:t>配合智能柜台测试：客户账户信息验证申请接口；客户账户信息下载申请接口；最优汇路查询；二代支付转账；客户账户信息变更申请接口；</w:t>
      </w:r>
    </w:p>
    <w:p w14:paraId="2BD6167D">
      <w:pPr>
        <w:rPr>
          <w:rFonts w:ascii="Times New Roman" w:hAnsi="Times New Roman"/>
          <w:color w:val="000000"/>
          <w:highlight w:val="none"/>
        </w:rPr>
      </w:pPr>
      <w:r>
        <w:rPr>
          <w:rFonts w:hint="eastAsia" w:ascii="Times New Roman" w:hAnsi="Times New Roman"/>
          <w:color w:val="000000"/>
          <w:highlight w:val="none"/>
        </w:rPr>
        <w:t>2</w:t>
      </w:r>
      <w:r>
        <w:rPr>
          <w:rFonts w:hint="eastAsia"/>
          <w:color w:val="000000"/>
          <w:highlight w:val="none"/>
          <w:lang w:val="en-US" w:eastAsia="zh-CN"/>
        </w:rPr>
        <w:t>.</w:t>
      </w:r>
      <w:r>
        <w:rPr>
          <w:rFonts w:hint="eastAsia" w:ascii="Times New Roman" w:hAnsi="Times New Roman"/>
          <w:color w:val="000000"/>
          <w:highlight w:val="none"/>
        </w:rPr>
        <w:t>配合柜面进行测试：汇兑交易录入；交易信息复核；交易信息修改；往来账概要信息查询；往来账明细信息查询；待授权信息查询；授权处理；查询查复书查询；对账信息查询；待人工确认查询接口；手工确认操作接口等，配合查证问题及环境准备；客户账户信息注册申请接口，配合查证问题及环境准备</w:t>
      </w:r>
      <w:r>
        <w:rPr>
          <w:rFonts w:ascii="Times New Roman" w:hAnsi="Times New Roman"/>
          <w:color w:val="000000"/>
          <w:highlight w:val="none"/>
        </w:rPr>
        <w:t>；</w:t>
      </w:r>
    </w:p>
    <w:p w14:paraId="05ADC69E">
      <w:pPr>
        <w:rPr>
          <w:rFonts w:ascii="Times New Roman" w:hAnsi="Times New Roman"/>
          <w:color w:val="000000"/>
          <w:highlight w:val="none"/>
        </w:rPr>
      </w:pPr>
      <w:r>
        <w:rPr>
          <w:rFonts w:hint="eastAsia" w:ascii="Times New Roman" w:hAnsi="Times New Roman"/>
          <w:color w:val="000000"/>
          <w:highlight w:val="none"/>
        </w:rPr>
        <w:t>3</w:t>
      </w:r>
      <w:r>
        <w:rPr>
          <w:rFonts w:hint="eastAsia"/>
          <w:color w:val="000000"/>
          <w:highlight w:val="none"/>
          <w:lang w:val="en-US" w:eastAsia="zh-CN"/>
        </w:rPr>
        <w:t>.</w:t>
      </w:r>
      <w:r>
        <w:rPr>
          <w:rFonts w:hint="eastAsia" w:ascii="Times New Roman" w:hAnsi="Times New Roman"/>
          <w:color w:val="000000"/>
          <w:highlight w:val="none"/>
        </w:rPr>
        <w:t>配合核心进行测试: ib1240记账接口；IB1243记账接口；ib1690客户信息查询接口；ib1691账户信息查询接口；ap0092对账文件查询接口；cm9997交易状态查证接口；cm9999冲账接口等，配合查证问题及环境准备</w:t>
      </w:r>
      <w:r>
        <w:rPr>
          <w:rFonts w:ascii="Times New Roman" w:hAnsi="Times New Roman"/>
          <w:color w:val="000000"/>
          <w:highlight w:val="none"/>
        </w:rPr>
        <w:t>。</w:t>
      </w:r>
    </w:p>
    <w:p w14:paraId="49ACDA04">
      <w:pPr>
        <w:rPr>
          <w:rFonts w:ascii="Times New Roman" w:hAnsi="Times New Roman"/>
          <w:color w:val="000000"/>
          <w:highlight w:val="none"/>
        </w:rPr>
      </w:pPr>
      <w:r>
        <w:rPr>
          <w:rFonts w:hint="eastAsia" w:ascii="Times New Roman" w:hAnsi="Times New Roman"/>
          <w:color w:val="000000"/>
          <w:highlight w:val="none"/>
        </w:rPr>
        <w:t>六、针对小额节假日交易金额无上限，但工作日交易金额上限为100万的情况下，在节假日未发送的业务，在工作日处理时重新智能汇路支持重新发起：</w:t>
      </w:r>
    </w:p>
    <w:p w14:paraId="2F31B964">
      <w:pPr>
        <w:rPr>
          <w:rFonts w:ascii="Times New Roman" w:hAnsi="Times New Roman"/>
          <w:color w:val="000000"/>
          <w:highlight w:val="none"/>
        </w:rPr>
      </w:pPr>
      <w:r>
        <w:rPr>
          <w:rFonts w:hint="eastAsia" w:ascii="Times New Roman" w:hAnsi="Times New Roman"/>
          <w:color w:val="000000"/>
          <w:highlight w:val="none"/>
        </w:rPr>
        <w:t>1.针对次日到账交易遇第二日因节假日无法按照原汇路发往至对手行，需按照其他的汇路的校验规则对汇路进行重新选择</w:t>
      </w:r>
      <w:r>
        <w:rPr>
          <w:rFonts w:ascii="Times New Roman" w:hAnsi="Times New Roman"/>
          <w:color w:val="000000"/>
          <w:highlight w:val="none"/>
        </w:rPr>
        <w:t>；</w:t>
      </w:r>
    </w:p>
    <w:p w14:paraId="298AFA0A">
      <w:pPr>
        <w:rPr>
          <w:rFonts w:ascii="Times New Roman" w:hAnsi="Times New Roman"/>
          <w:color w:val="000000"/>
          <w:highlight w:val="none"/>
        </w:rPr>
      </w:pPr>
      <w:r>
        <w:rPr>
          <w:rFonts w:hint="eastAsia" w:ascii="Times New Roman" w:hAnsi="Times New Roman"/>
          <w:color w:val="000000"/>
          <w:highlight w:val="none"/>
        </w:rPr>
        <w:t>2.根据重新路由的汇路进行根据配置的账务分录进行账务处理，并发送至对手行，并针对该场景的异常进行特殊化登记处理</w:t>
      </w:r>
      <w:r>
        <w:rPr>
          <w:rFonts w:ascii="Times New Roman" w:hAnsi="Times New Roman"/>
          <w:color w:val="000000"/>
          <w:highlight w:val="none"/>
        </w:rPr>
        <w:t>；</w:t>
      </w:r>
    </w:p>
    <w:p w14:paraId="6CE150E2">
      <w:pPr>
        <w:rPr>
          <w:rFonts w:ascii="Times New Roman" w:hAnsi="Times New Roman"/>
          <w:color w:val="000000"/>
          <w:highlight w:val="none"/>
        </w:rPr>
      </w:pPr>
      <w:r>
        <w:rPr>
          <w:rFonts w:hint="eastAsia" w:ascii="Times New Roman" w:hAnsi="Times New Roman"/>
          <w:color w:val="000000"/>
          <w:highlight w:val="none"/>
        </w:rPr>
        <w:t>3.针对二次汇路的扣账失败、扣账超时的异常处理</w:t>
      </w:r>
      <w:r>
        <w:rPr>
          <w:rFonts w:ascii="Times New Roman" w:hAnsi="Times New Roman"/>
          <w:color w:val="000000"/>
          <w:highlight w:val="none"/>
        </w:rPr>
        <w:t>；</w:t>
      </w:r>
    </w:p>
    <w:p w14:paraId="27F9D8C4">
      <w:pPr>
        <w:rPr>
          <w:rFonts w:ascii="Times New Roman" w:hAnsi="Times New Roman"/>
          <w:color w:val="000000"/>
          <w:highlight w:val="none"/>
        </w:rPr>
      </w:pPr>
      <w:r>
        <w:rPr>
          <w:rFonts w:hint="eastAsia" w:ascii="Times New Roman" w:hAnsi="Times New Roman"/>
          <w:color w:val="000000"/>
          <w:highlight w:val="none"/>
        </w:rPr>
        <w:t>4.针对二次汇路的发送失败、发送超时的异常处理</w:t>
      </w:r>
      <w:r>
        <w:rPr>
          <w:rFonts w:ascii="Times New Roman" w:hAnsi="Times New Roman"/>
          <w:color w:val="000000"/>
          <w:highlight w:val="none"/>
        </w:rPr>
        <w:t>；</w:t>
      </w:r>
    </w:p>
    <w:p w14:paraId="5BB55F22">
      <w:pPr>
        <w:rPr>
          <w:rFonts w:ascii="Times New Roman" w:hAnsi="Times New Roman"/>
          <w:color w:val="000000"/>
          <w:highlight w:val="none"/>
        </w:rPr>
      </w:pPr>
      <w:r>
        <w:rPr>
          <w:rFonts w:hint="eastAsia" w:ascii="Times New Roman" w:hAnsi="Times New Roman"/>
          <w:color w:val="000000"/>
          <w:highlight w:val="none"/>
        </w:rPr>
        <w:t>5.针对二次汇路的需授权交易进行授权处理，对授权不通过的交易进行退账处理</w:t>
      </w:r>
      <w:r>
        <w:rPr>
          <w:rFonts w:ascii="Times New Roman" w:hAnsi="Times New Roman"/>
          <w:color w:val="000000"/>
          <w:highlight w:val="none"/>
        </w:rPr>
        <w:t>；</w:t>
      </w:r>
    </w:p>
    <w:p w14:paraId="5E342DE7">
      <w:pPr>
        <w:rPr>
          <w:rFonts w:ascii="Times New Roman" w:hAnsi="Times New Roman"/>
          <w:color w:val="000000"/>
          <w:highlight w:val="none"/>
        </w:rPr>
      </w:pPr>
      <w:r>
        <w:rPr>
          <w:rFonts w:hint="eastAsia" w:ascii="Times New Roman" w:hAnsi="Times New Roman"/>
          <w:color w:val="000000"/>
          <w:highlight w:val="none"/>
        </w:rPr>
        <w:t>6.针对二次汇路授权不通过的交易进行退账处理</w:t>
      </w:r>
      <w:r>
        <w:rPr>
          <w:rFonts w:ascii="Times New Roman" w:hAnsi="Times New Roman"/>
          <w:color w:val="000000"/>
          <w:highlight w:val="none"/>
        </w:rPr>
        <w:t>；</w:t>
      </w:r>
    </w:p>
    <w:p w14:paraId="29906DB9">
      <w:pPr>
        <w:rPr>
          <w:rFonts w:ascii="Times New Roman" w:hAnsi="Times New Roman"/>
          <w:color w:val="000000"/>
          <w:highlight w:val="none"/>
        </w:rPr>
      </w:pPr>
      <w:r>
        <w:rPr>
          <w:rFonts w:hint="eastAsia" w:ascii="Times New Roman" w:hAnsi="Times New Roman"/>
          <w:color w:val="000000"/>
          <w:highlight w:val="none"/>
        </w:rPr>
        <w:t>7.结合二次汇路的发送交易，修改现有的待清的试算规则，以及清算汇总的查询</w:t>
      </w:r>
      <w:r>
        <w:rPr>
          <w:rFonts w:ascii="Times New Roman" w:hAnsi="Times New Roman"/>
          <w:color w:val="000000"/>
          <w:highlight w:val="none"/>
        </w:rPr>
        <w:t>；</w:t>
      </w:r>
    </w:p>
    <w:p w14:paraId="1656AB19">
      <w:pPr>
        <w:rPr>
          <w:rFonts w:ascii="Times New Roman" w:hAnsi="Times New Roman"/>
          <w:color w:val="000000"/>
          <w:highlight w:val="none"/>
        </w:rPr>
      </w:pPr>
      <w:r>
        <w:rPr>
          <w:rFonts w:hint="eastAsia" w:ascii="Times New Roman" w:hAnsi="Times New Roman"/>
          <w:color w:val="000000"/>
          <w:highlight w:val="none"/>
        </w:rPr>
        <w:t>8.由于需对汇路进行重新调整，需要根据实际情况来查询该笔交易的交易状态</w:t>
      </w:r>
      <w:r>
        <w:rPr>
          <w:rFonts w:ascii="Times New Roman" w:hAnsi="Times New Roman"/>
          <w:color w:val="000000"/>
          <w:highlight w:val="none"/>
        </w:rPr>
        <w:t>；</w:t>
      </w:r>
    </w:p>
    <w:p w14:paraId="676DBC82">
      <w:pPr>
        <w:rPr>
          <w:rFonts w:ascii="Times New Roman" w:hAnsi="Times New Roman"/>
          <w:color w:val="000000"/>
          <w:highlight w:val="none"/>
        </w:rPr>
      </w:pPr>
      <w:r>
        <w:rPr>
          <w:rFonts w:hint="eastAsia" w:ascii="Times New Roman" w:hAnsi="Times New Roman"/>
          <w:color w:val="000000"/>
          <w:highlight w:val="none"/>
        </w:rPr>
        <w:t>9.针对二次汇路发送的交易，结合现有的对账流程，需修改核心的对账规则，以及完整性对账规则。</w:t>
      </w:r>
    </w:p>
    <w:p w14:paraId="2D7AB797">
      <w:pPr>
        <w:rPr>
          <w:rFonts w:ascii="Times New Roman" w:hAnsi="Times New Roman"/>
          <w:color w:val="000000"/>
          <w:highlight w:val="none"/>
        </w:rPr>
      </w:pPr>
      <w:r>
        <w:rPr>
          <w:rFonts w:hint="eastAsia" w:ascii="Times New Roman" w:hAnsi="Times New Roman"/>
          <w:color w:val="000000"/>
          <w:highlight w:val="none"/>
        </w:rPr>
        <w:t>七、部分交易从对象存储迁移到文件传输平台：</w:t>
      </w:r>
    </w:p>
    <w:p w14:paraId="1648DE30">
      <w:pPr>
        <w:rPr>
          <w:rFonts w:ascii="Times New Roman" w:hAnsi="Times New Roman"/>
          <w:color w:val="000000"/>
          <w:highlight w:val="none"/>
        </w:rPr>
      </w:pPr>
      <w:r>
        <w:rPr>
          <w:rFonts w:hint="eastAsia" w:ascii="Times New Roman" w:hAnsi="Times New Roman"/>
          <w:color w:val="000000"/>
          <w:highlight w:val="none"/>
        </w:rPr>
        <w:t>1.增量行名行号供数由以前的对象存储迁移到文件传输平台</w:t>
      </w:r>
      <w:r>
        <w:rPr>
          <w:rFonts w:ascii="Times New Roman" w:hAnsi="Times New Roman"/>
          <w:color w:val="000000"/>
          <w:highlight w:val="none"/>
        </w:rPr>
        <w:t>；</w:t>
      </w:r>
    </w:p>
    <w:p w14:paraId="0BDDF533">
      <w:pPr>
        <w:rPr>
          <w:rFonts w:ascii="Times New Roman" w:hAnsi="Times New Roman"/>
          <w:color w:val="000000"/>
          <w:highlight w:val="none"/>
        </w:rPr>
      </w:pPr>
      <w:r>
        <w:rPr>
          <w:rFonts w:hint="eastAsia" w:ascii="Times New Roman" w:hAnsi="Times New Roman"/>
          <w:color w:val="000000"/>
          <w:highlight w:val="none"/>
        </w:rPr>
        <w:t>2.全量行名行号供数由以前的对象存储迁移到文件传输平台</w:t>
      </w:r>
      <w:r>
        <w:rPr>
          <w:rFonts w:ascii="Times New Roman" w:hAnsi="Times New Roman"/>
          <w:color w:val="000000"/>
          <w:highlight w:val="none"/>
        </w:rPr>
        <w:t>；</w:t>
      </w:r>
    </w:p>
    <w:p w14:paraId="05C630B3">
      <w:pPr>
        <w:rPr>
          <w:rFonts w:ascii="Times New Roman" w:hAnsi="Times New Roman"/>
          <w:color w:val="000000"/>
          <w:highlight w:val="none"/>
        </w:rPr>
      </w:pPr>
      <w:r>
        <w:rPr>
          <w:rFonts w:hint="eastAsia" w:ascii="Times New Roman" w:hAnsi="Times New Roman"/>
          <w:color w:val="000000"/>
          <w:highlight w:val="none"/>
        </w:rPr>
        <w:t>3.通用非签名信息往账配合对象存储改造，修改相应的接口对应</w:t>
      </w:r>
      <w:r>
        <w:rPr>
          <w:rFonts w:ascii="Times New Roman" w:hAnsi="Times New Roman"/>
          <w:color w:val="000000"/>
          <w:highlight w:val="none"/>
        </w:rPr>
        <w:t>；</w:t>
      </w:r>
    </w:p>
    <w:p w14:paraId="6AAFF06F">
      <w:pPr>
        <w:rPr>
          <w:rFonts w:ascii="Times New Roman" w:hAnsi="Times New Roman"/>
          <w:color w:val="000000"/>
          <w:highlight w:val="none"/>
        </w:rPr>
      </w:pPr>
      <w:r>
        <w:rPr>
          <w:rFonts w:hint="eastAsia" w:ascii="Times New Roman" w:hAnsi="Times New Roman"/>
          <w:color w:val="000000"/>
          <w:highlight w:val="none"/>
        </w:rPr>
        <w:t>4.通用非签名信息来账配合对象存储改造，修改相应的接口对应</w:t>
      </w:r>
      <w:r>
        <w:rPr>
          <w:rFonts w:ascii="Times New Roman" w:hAnsi="Times New Roman"/>
          <w:color w:val="000000"/>
          <w:highlight w:val="none"/>
        </w:rPr>
        <w:t>；</w:t>
      </w:r>
    </w:p>
    <w:p w14:paraId="32CAAD01">
      <w:pPr>
        <w:rPr>
          <w:rFonts w:ascii="Times New Roman" w:hAnsi="Times New Roman"/>
          <w:color w:val="000000"/>
          <w:highlight w:val="none"/>
        </w:rPr>
      </w:pPr>
      <w:r>
        <w:rPr>
          <w:rFonts w:hint="eastAsia" w:ascii="Times New Roman" w:hAnsi="Times New Roman"/>
          <w:color w:val="000000"/>
          <w:highlight w:val="none"/>
        </w:rPr>
        <w:t>5.通用非签名信息来账应答配合对象存储改造，修改相应的接口对应</w:t>
      </w:r>
      <w:r>
        <w:rPr>
          <w:rFonts w:ascii="Times New Roman" w:hAnsi="Times New Roman"/>
          <w:color w:val="000000"/>
          <w:highlight w:val="none"/>
        </w:rPr>
        <w:t>；</w:t>
      </w:r>
    </w:p>
    <w:p w14:paraId="6D1D1F94">
      <w:pPr>
        <w:rPr>
          <w:rFonts w:ascii="Times New Roman" w:hAnsi="Times New Roman"/>
          <w:color w:val="000000"/>
          <w:highlight w:val="none"/>
        </w:rPr>
      </w:pPr>
      <w:r>
        <w:rPr>
          <w:rFonts w:hint="eastAsia" w:ascii="Times New Roman" w:hAnsi="Times New Roman"/>
          <w:color w:val="000000"/>
          <w:highlight w:val="none"/>
        </w:rPr>
        <w:t>6.城银对账文件由以前的对象存储迁移到文件传输平台</w:t>
      </w:r>
      <w:r>
        <w:rPr>
          <w:rFonts w:ascii="Times New Roman" w:hAnsi="Times New Roman"/>
          <w:color w:val="000000"/>
          <w:highlight w:val="none"/>
        </w:rPr>
        <w:t>；</w:t>
      </w:r>
    </w:p>
    <w:p w14:paraId="75C15074">
      <w:pPr>
        <w:rPr>
          <w:rFonts w:ascii="Times New Roman" w:hAnsi="Times New Roman"/>
          <w:color w:val="000000"/>
          <w:highlight w:val="none"/>
        </w:rPr>
      </w:pPr>
      <w:r>
        <w:rPr>
          <w:rFonts w:hint="eastAsia" w:ascii="Times New Roman" w:hAnsi="Times New Roman"/>
          <w:color w:val="000000"/>
          <w:highlight w:val="none"/>
        </w:rPr>
        <w:t>7.三峡付对账文件由以前的对象存储迁移到文件传输平台</w:t>
      </w:r>
      <w:r>
        <w:rPr>
          <w:rFonts w:ascii="Times New Roman" w:hAnsi="Times New Roman"/>
          <w:color w:val="000000"/>
          <w:highlight w:val="none"/>
        </w:rPr>
        <w:t>；</w:t>
      </w:r>
    </w:p>
    <w:p w14:paraId="2E9EC92B">
      <w:pPr>
        <w:rPr>
          <w:rFonts w:ascii="Times New Roman" w:hAnsi="Times New Roman"/>
          <w:color w:val="000000"/>
          <w:highlight w:val="none"/>
        </w:rPr>
      </w:pPr>
      <w:r>
        <w:rPr>
          <w:rFonts w:hint="eastAsia" w:ascii="Times New Roman" w:hAnsi="Times New Roman"/>
          <w:color w:val="000000"/>
          <w:highlight w:val="none"/>
        </w:rPr>
        <w:t>8.其他渠道对账文件（网银）由以前的对象存储迁移到文件传输平台</w:t>
      </w:r>
      <w:r>
        <w:rPr>
          <w:rFonts w:ascii="Times New Roman" w:hAnsi="Times New Roman"/>
          <w:color w:val="000000"/>
          <w:highlight w:val="none"/>
        </w:rPr>
        <w:t>；</w:t>
      </w:r>
    </w:p>
    <w:p w14:paraId="39362BA5">
      <w:pPr>
        <w:rPr>
          <w:rFonts w:ascii="Times New Roman" w:hAnsi="Times New Roman"/>
          <w:color w:val="000000"/>
          <w:highlight w:val="none"/>
        </w:rPr>
      </w:pPr>
      <w:r>
        <w:rPr>
          <w:rFonts w:hint="eastAsia" w:ascii="Times New Roman" w:hAnsi="Times New Roman"/>
          <w:color w:val="000000"/>
          <w:highlight w:val="none"/>
        </w:rPr>
        <w:t>9.小额定期借记业务文件，配合对象存储改造，修改小额定期借记调用对象存储接口</w:t>
      </w:r>
      <w:r>
        <w:rPr>
          <w:rFonts w:ascii="Times New Roman" w:hAnsi="Times New Roman"/>
          <w:color w:val="000000"/>
          <w:highlight w:val="none"/>
        </w:rPr>
        <w:t>。</w:t>
      </w:r>
    </w:p>
    <w:p w14:paraId="6B326F77">
      <w:pPr>
        <w:rPr>
          <w:rFonts w:ascii="Times New Roman" w:hAnsi="Times New Roman"/>
          <w:color w:val="000000"/>
          <w:highlight w:val="none"/>
        </w:rPr>
      </w:pPr>
      <w:r>
        <w:rPr>
          <w:rFonts w:hint="eastAsia" w:ascii="Times New Roman" w:hAnsi="Times New Roman"/>
          <w:color w:val="000000"/>
          <w:highlight w:val="none"/>
        </w:rPr>
        <w:t>八、批量代发授权规则优化：交易金额由单笔授权方式调整为累计授权：</w:t>
      </w:r>
    </w:p>
    <w:p w14:paraId="7E0BD405">
      <w:pPr>
        <w:rPr>
          <w:rFonts w:ascii="Times New Roman" w:hAnsi="Times New Roman"/>
          <w:color w:val="000000"/>
          <w:highlight w:val="none"/>
        </w:rPr>
      </w:pPr>
      <w:r>
        <w:rPr>
          <w:rFonts w:hint="eastAsia" w:ascii="Times New Roman" w:hAnsi="Times New Roman"/>
          <w:color w:val="000000"/>
          <w:highlight w:val="none"/>
        </w:rPr>
        <w:t>1.法院案款授权由单笔授权修改为累计金额授权</w:t>
      </w:r>
      <w:r>
        <w:rPr>
          <w:rFonts w:ascii="Times New Roman" w:hAnsi="Times New Roman"/>
          <w:color w:val="000000"/>
          <w:highlight w:val="none"/>
        </w:rPr>
        <w:t>；</w:t>
      </w:r>
    </w:p>
    <w:p w14:paraId="1F56007B">
      <w:pPr>
        <w:rPr>
          <w:rFonts w:ascii="Times New Roman" w:hAnsi="Times New Roman"/>
          <w:color w:val="000000"/>
          <w:highlight w:val="none"/>
        </w:rPr>
      </w:pPr>
      <w:r>
        <w:rPr>
          <w:rFonts w:hint="eastAsia" w:ascii="Times New Roman" w:hAnsi="Times New Roman"/>
          <w:color w:val="000000"/>
          <w:highlight w:val="none"/>
        </w:rPr>
        <w:t>2.批量转账授权由单笔授权修改为累计金额授权</w:t>
      </w:r>
      <w:r>
        <w:rPr>
          <w:rFonts w:ascii="Times New Roman" w:hAnsi="Times New Roman"/>
          <w:color w:val="000000"/>
          <w:highlight w:val="none"/>
        </w:rPr>
        <w:t>；</w:t>
      </w:r>
    </w:p>
    <w:p w14:paraId="6220A800">
      <w:pPr>
        <w:rPr>
          <w:rFonts w:ascii="Times New Roman" w:hAnsi="Times New Roman"/>
          <w:color w:val="000000"/>
          <w:highlight w:val="none"/>
        </w:rPr>
      </w:pPr>
      <w:r>
        <w:rPr>
          <w:rFonts w:hint="eastAsia" w:ascii="Times New Roman" w:hAnsi="Times New Roman"/>
          <w:color w:val="000000"/>
          <w:highlight w:val="none"/>
        </w:rPr>
        <w:t>3.批量代发授权由单笔授权修改累计金额授权</w:t>
      </w:r>
      <w:r>
        <w:rPr>
          <w:rFonts w:ascii="Times New Roman" w:hAnsi="Times New Roman"/>
          <w:color w:val="000000"/>
          <w:highlight w:val="none"/>
        </w:rPr>
        <w:t>；</w:t>
      </w:r>
    </w:p>
    <w:p w14:paraId="70A0E14A">
      <w:pPr>
        <w:rPr>
          <w:rFonts w:ascii="Times New Roman" w:hAnsi="Times New Roman"/>
          <w:color w:val="000000"/>
          <w:highlight w:val="none"/>
        </w:rPr>
      </w:pPr>
      <w:r>
        <w:rPr>
          <w:rFonts w:hint="eastAsia" w:ascii="Times New Roman" w:hAnsi="Times New Roman"/>
          <w:color w:val="000000"/>
          <w:highlight w:val="none"/>
        </w:rPr>
        <w:t>4.多借多贷授权由单笔授权修改为累计金额授权</w:t>
      </w:r>
      <w:r>
        <w:rPr>
          <w:rFonts w:ascii="Times New Roman" w:hAnsi="Times New Roman"/>
          <w:color w:val="000000"/>
          <w:highlight w:val="none"/>
        </w:rPr>
        <w:t>；</w:t>
      </w:r>
    </w:p>
    <w:p w14:paraId="5438D419">
      <w:pPr>
        <w:rPr>
          <w:rFonts w:ascii="Times New Roman" w:hAnsi="Times New Roman"/>
          <w:color w:val="000000"/>
          <w:highlight w:val="none"/>
        </w:rPr>
      </w:pPr>
      <w:r>
        <w:rPr>
          <w:rFonts w:hint="eastAsia" w:ascii="Times New Roman" w:hAnsi="Times New Roman"/>
          <w:color w:val="000000"/>
          <w:highlight w:val="none"/>
        </w:rPr>
        <w:t>5.数字货币代发授权由单笔授权修改累计金额授权</w:t>
      </w:r>
      <w:r>
        <w:rPr>
          <w:rFonts w:ascii="Times New Roman" w:hAnsi="Times New Roman"/>
          <w:color w:val="000000"/>
          <w:highlight w:val="none"/>
        </w:rPr>
        <w:t>；</w:t>
      </w:r>
    </w:p>
    <w:p w14:paraId="306E7C9F">
      <w:pPr>
        <w:rPr>
          <w:rFonts w:ascii="Times New Roman" w:hAnsi="Times New Roman"/>
          <w:color w:val="000000"/>
          <w:highlight w:val="none"/>
        </w:rPr>
      </w:pPr>
      <w:r>
        <w:rPr>
          <w:rFonts w:hint="eastAsia" w:ascii="Times New Roman" w:hAnsi="Times New Roman"/>
          <w:color w:val="000000"/>
          <w:highlight w:val="none"/>
        </w:rPr>
        <w:t>6.管理端新增支持累计金额授权的配置技术要求。</w:t>
      </w:r>
    </w:p>
    <w:p w14:paraId="686FCA16">
      <w:pPr>
        <w:rPr>
          <w:rFonts w:ascii="Times New Roman" w:hAnsi="Times New Roman"/>
          <w:color w:val="000000"/>
          <w:highlight w:val="none"/>
        </w:rPr>
      </w:pPr>
      <w:r>
        <w:rPr>
          <w:rFonts w:hint="eastAsia" w:ascii="Times New Roman" w:hAnsi="Times New Roman"/>
          <w:color w:val="000000"/>
          <w:highlight w:val="none"/>
        </w:rPr>
        <w:t>九、优化超网贷记来账同一客户同时存在多笔贷记来账时，系统入账校验规则，以解决现系统锁表导致超时的问题</w:t>
      </w:r>
      <w:r>
        <w:rPr>
          <w:rFonts w:ascii="Times New Roman" w:hAnsi="Times New Roman"/>
          <w:color w:val="000000"/>
          <w:highlight w:val="none"/>
        </w:rPr>
        <w:t>：</w:t>
      </w:r>
    </w:p>
    <w:p w14:paraId="375DECA9">
      <w:pPr>
        <w:rPr>
          <w:rFonts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根据核心要求修改调用核心不通的账户校验规则</w:t>
      </w:r>
      <w:r>
        <w:rPr>
          <w:rFonts w:ascii="Times New Roman" w:hAnsi="Times New Roman"/>
          <w:color w:val="000000"/>
          <w:highlight w:val="none"/>
        </w:rPr>
        <w:t>；</w:t>
      </w:r>
    </w:p>
    <w:p w14:paraId="30A80E02">
      <w:pPr>
        <w:rPr>
          <w:rFonts w:ascii="Times New Roman" w:hAnsi="Times New Roman"/>
          <w:color w:val="000000"/>
          <w:highlight w:val="none"/>
        </w:rPr>
      </w:pPr>
      <w:r>
        <w:rPr>
          <w:rFonts w:ascii="Times New Roman" w:hAnsi="Times New Roman"/>
          <w:color w:val="000000"/>
          <w:highlight w:val="none"/>
        </w:rPr>
        <w:t>2.</w:t>
      </w:r>
      <w:r>
        <w:rPr>
          <w:rFonts w:hint="eastAsia" w:ascii="Times New Roman" w:hAnsi="Times New Roman"/>
          <w:color w:val="000000"/>
          <w:highlight w:val="none"/>
        </w:rPr>
        <w:t>压测超网贷记来账交易，根据预估生产交易数量，压测超网贷记交易是否满足生产情况</w:t>
      </w:r>
      <w:r>
        <w:rPr>
          <w:rFonts w:ascii="Times New Roman" w:hAnsi="Times New Roman"/>
          <w:color w:val="000000"/>
          <w:highlight w:val="none"/>
        </w:rPr>
        <w:t>。</w:t>
      </w:r>
    </w:p>
    <w:p w14:paraId="5F2458CC">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2.</w:t>
      </w:r>
      <w:r>
        <w:rPr>
          <w:rFonts w:hint="eastAsia" w:ascii="Times New Roman" w:hAnsi="Times New Roman"/>
          <w:highlight w:val="none"/>
        </w:rPr>
        <w:t>技术要求</w:t>
      </w:r>
    </w:p>
    <w:p w14:paraId="51A07E0E">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.1 </w:t>
      </w:r>
      <w:r>
        <w:rPr>
          <w:rFonts w:hint="eastAsia" w:ascii="Times New Roman" w:hAnsi="Times New Roman"/>
          <w:szCs w:val="24"/>
          <w:highlight w:val="none"/>
        </w:rPr>
        <w:t>总体原则</w:t>
      </w:r>
    </w:p>
    <w:p w14:paraId="7D53272F">
      <w:pPr>
        <w:rPr>
          <w:rFonts w:ascii="Times New Roman" w:hAnsi="Times New Roman"/>
          <w:szCs w:val="24"/>
          <w:highlight w:val="none"/>
        </w:rPr>
      </w:pPr>
      <w:r>
        <w:rPr>
          <w:rFonts w:hint="eastAsia" w:ascii="Times New Roman" w:hAnsi="Times New Roman"/>
          <w:szCs w:val="24"/>
          <w:highlight w:val="none"/>
        </w:rPr>
        <w:t>系统的建设应遵循集成性、先进性、可扩展性、稳定性、安全性、经济性、前瞻性和可维护性相结合的原则</w:t>
      </w:r>
      <w:r>
        <w:rPr>
          <w:rFonts w:ascii="Times New Roman" w:hAnsi="Times New Roman"/>
          <w:szCs w:val="24"/>
          <w:highlight w:val="none"/>
        </w:rPr>
        <w:t>。</w:t>
      </w:r>
    </w:p>
    <w:p w14:paraId="6ECBFFDB">
      <w:pPr>
        <w:rPr>
          <w:rFonts w:ascii="Times New Roman" w:hAnsi="Times New Roman"/>
          <w:szCs w:val="24"/>
          <w:highlight w:val="none"/>
        </w:rPr>
      </w:pPr>
      <w:r>
        <w:rPr>
          <w:rFonts w:ascii="Times New Roman" w:hAnsi="Times New Roman"/>
          <w:szCs w:val="24"/>
          <w:highlight w:val="none"/>
        </w:rPr>
        <w:t xml:space="preserve">2.1.1 </w:t>
      </w:r>
      <w:r>
        <w:rPr>
          <w:rFonts w:hint="eastAsia" w:ascii="Times New Roman" w:hAnsi="Times New Roman"/>
          <w:szCs w:val="24"/>
          <w:highlight w:val="none"/>
        </w:rPr>
        <w:t>集成性：系统建设需充分考虑与其它系统的集成，能快速与比选人其它业务和管理系统的集成。</w:t>
      </w:r>
    </w:p>
    <w:p w14:paraId="57B87B46">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2 先进性：软件系统的选择与开发应在满足业务需求的基础上具有易改造、易升级、易操作、易维护等特点。</w:t>
      </w:r>
    </w:p>
    <w:p w14:paraId="1DFBA231">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3 可扩展性：支持业务和系统的可扩展，支持行业应用可扩展，具有向后兼容的能力。</w:t>
      </w:r>
    </w:p>
    <w:p w14:paraId="7CDDD47D">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4 稳定性：系统要确保系统平稳运行，支持7×24小时连续运行，满足高峰处理的需要。</w:t>
      </w:r>
    </w:p>
    <w:p w14:paraId="69753FAE">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5 安全性：</w:t>
      </w:r>
    </w:p>
    <w:p w14:paraId="0095B878">
      <w:pPr>
        <w:rPr>
          <w:rFonts w:ascii="Times New Roman" w:hAnsi="Times New Roman"/>
          <w:szCs w:val="24"/>
          <w:highlight w:val="none"/>
        </w:rPr>
      </w:pPr>
      <w:r>
        <w:rPr>
          <w:rFonts w:ascii="Times New Roman" w:hAnsi="Times New Roman"/>
          <w:szCs w:val="24"/>
          <w:highlight w:val="none"/>
        </w:rPr>
        <w:t>1</w:t>
      </w:r>
      <w:r>
        <w:rPr>
          <w:rFonts w:hint="eastAsia" w:ascii="Times New Roman" w:hAnsi="Times New Roman"/>
          <w:szCs w:val="24"/>
          <w:highlight w:val="none"/>
        </w:rPr>
        <w:t>）系统必须建立在成熟稳定的硬件环境和应用软件基础上，通过完善的备份恢复策略、安全控制机制、可靠的运行管理监控和故障处理手段来保障系统的运行稳定、安全。</w:t>
      </w:r>
    </w:p>
    <w:p w14:paraId="34DEE376">
      <w:pPr>
        <w:rPr>
          <w:rFonts w:ascii="Times New Roman" w:hAnsi="Times New Roman"/>
          <w:szCs w:val="24"/>
          <w:highlight w:val="none"/>
        </w:rPr>
      </w:pPr>
      <w:r>
        <w:rPr>
          <w:rFonts w:ascii="Times New Roman" w:hAnsi="Times New Roman"/>
          <w:szCs w:val="24"/>
          <w:highlight w:val="none"/>
        </w:rPr>
        <w:t>2</w:t>
      </w:r>
      <w:r>
        <w:rPr>
          <w:rFonts w:hint="eastAsia" w:ascii="Times New Roman" w:hAnsi="Times New Roman"/>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1403A54F">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24AE4CBA">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11F034B6">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8 可维护性：系统可维护，运行成本可控。</w:t>
      </w:r>
    </w:p>
    <w:p w14:paraId="252DC1F0">
      <w:pPr>
        <w:pStyle w:val="4"/>
        <w:rPr>
          <w:rFonts w:ascii="Times New Roman" w:hAnsi="Times New Roman"/>
          <w:color w:val="000000"/>
          <w:szCs w:val="24"/>
          <w:highlight w:val="none"/>
        </w:rPr>
      </w:pPr>
      <w:r>
        <w:rPr>
          <w:rFonts w:hint="eastAsia" w:ascii="Times New Roman" w:hAnsi="Times New Roman"/>
          <w:color w:val="000000"/>
          <w:szCs w:val="24"/>
          <w:highlight w:val="none"/>
        </w:rPr>
        <w:t>2.2 用户体验要求</w:t>
      </w:r>
    </w:p>
    <w:p w14:paraId="493A336E">
      <w:pPr>
        <w:rPr>
          <w:rFonts w:ascii="Times New Roman" w:hAnsi="Times New Roman"/>
          <w:szCs w:val="24"/>
          <w:highlight w:val="none"/>
        </w:rPr>
      </w:pPr>
      <w:r>
        <w:rPr>
          <w:rFonts w:hint="eastAsia" w:ascii="Times New Roman" w:hAnsi="Times New Roman"/>
          <w:szCs w:val="24"/>
          <w:highlight w:val="none"/>
        </w:rPr>
        <w:t>界面可根据用户需求灵活更改（增强标签分类特性），注重用户体验，使系统各项功能易见、易学、易用。</w:t>
      </w:r>
    </w:p>
    <w:p w14:paraId="6FAD2E3E">
      <w:pPr>
        <w:rPr>
          <w:rFonts w:ascii="Times New Roman" w:hAnsi="Times New Roman"/>
          <w:color w:val="000000"/>
          <w:szCs w:val="24"/>
          <w:highlight w:val="none"/>
        </w:rPr>
      </w:pPr>
      <w:r>
        <w:rPr>
          <w:rFonts w:hint="eastAsia" w:ascii="Times New Roman" w:hAnsi="Times New Roman"/>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008AB26A">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.3 </w:t>
      </w:r>
      <w:r>
        <w:rPr>
          <w:rFonts w:hint="eastAsia" w:ascii="Times New Roman" w:hAnsi="Times New Roman"/>
          <w:szCs w:val="24"/>
          <w:highlight w:val="none"/>
        </w:rPr>
        <w:t>系统技术架构要求</w:t>
      </w:r>
    </w:p>
    <w:p w14:paraId="40E3860C">
      <w:pPr>
        <w:rPr>
          <w:rFonts w:ascii="Times New Roman" w:hAnsi="Times New Roman"/>
          <w:szCs w:val="24"/>
          <w:highlight w:val="none"/>
        </w:rPr>
      </w:pPr>
      <w:r>
        <w:rPr>
          <w:rFonts w:hint="eastAsia" w:ascii="Times New Roman" w:hAnsi="Times New Roman"/>
          <w:szCs w:val="24"/>
          <w:highlight w:val="none"/>
        </w:rPr>
        <w:t>1）系统技术架构合理，数据结构合理，避免数据冗余，具有良好的扩展性、维护性和稳定性。如服务限流机制、服务降级机制等服务管控机制的应用，保障系统稳定运行。</w:t>
      </w:r>
    </w:p>
    <w:p w14:paraId="2ACF4D1A">
      <w:pPr>
        <w:rPr>
          <w:rFonts w:ascii="Times New Roman" w:hAnsi="Times New Roman"/>
          <w:szCs w:val="24"/>
          <w:highlight w:val="none"/>
        </w:rPr>
      </w:pPr>
      <w:r>
        <w:rPr>
          <w:rFonts w:ascii="Times New Roman" w:hAnsi="Times New Roman"/>
          <w:szCs w:val="24"/>
          <w:highlight w:val="none"/>
        </w:rPr>
        <w:t>2</w:t>
      </w:r>
      <w:r>
        <w:rPr>
          <w:rFonts w:hint="eastAsia" w:ascii="Times New Roman" w:hAnsi="Times New Roman"/>
          <w:szCs w:val="24"/>
          <w:highlight w:val="none"/>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9B927AB">
      <w:pPr>
        <w:rPr>
          <w:rFonts w:ascii="Times New Roman" w:hAnsi="Times New Roman"/>
          <w:szCs w:val="24"/>
          <w:highlight w:val="none"/>
        </w:rPr>
      </w:pPr>
      <w:r>
        <w:rPr>
          <w:rFonts w:ascii="Times New Roman" w:hAnsi="Times New Roman"/>
          <w:szCs w:val="24"/>
          <w:highlight w:val="none"/>
        </w:rPr>
        <w:t>3</w:t>
      </w:r>
      <w:r>
        <w:rPr>
          <w:rFonts w:hint="eastAsia" w:ascii="Times New Roman" w:hAnsi="Times New Roman"/>
          <w:szCs w:val="24"/>
          <w:highlight w:val="none"/>
        </w:rPr>
        <w:t>）支持集群部署方式，适应本行未来业务发展的需要。应用系统之间逻辑独立、启停服务时系统间不相互影响的部署方案。应用系统应支持双活跨数据中心的部署方案。</w:t>
      </w:r>
    </w:p>
    <w:p w14:paraId="16ACA8AD">
      <w:pPr>
        <w:rPr>
          <w:rFonts w:ascii="Times New Roman" w:hAnsi="Times New Roman"/>
          <w:szCs w:val="24"/>
          <w:highlight w:val="none"/>
        </w:rPr>
      </w:pPr>
      <w:r>
        <w:rPr>
          <w:rFonts w:ascii="Times New Roman" w:hAnsi="Times New Roman"/>
          <w:szCs w:val="24"/>
          <w:highlight w:val="none"/>
        </w:rPr>
        <w:t>4</w:t>
      </w:r>
      <w:r>
        <w:rPr>
          <w:rFonts w:hint="eastAsia" w:ascii="Times New Roman" w:hAnsi="Times New Roman"/>
          <w:szCs w:val="24"/>
          <w:highlight w:val="none"/>
        </w:rPr>
        <w:t>）</w:t>
      </w:r>
      <w:r>
        <w:rPr>
          <w:rFonts w:ascii="Times New Roman" w:hAnsi="Times New Roman"/>
          <w:szCs w:val="24"/>
          <w:highlight w:val="none"/>
        </w:rPr>
        <w:t>系统设计思路必须支持在现有</w:t>
      </w:r>
      <w:r>
        <w:rPr>
          <w:rFonts w:hint="eastAsia" w:ascii="Times New Roman" w:hAnsi="Times New Roman"/>
          <w:szCs w:val="24"/>
          <w:highlight w:val="none"/>
        </w:rPr>
        <w:t>系统</w:t>
      </w:r>
      <w:r>
        <w:rPr>
          <w:rFonts w:ascii="Times New Roman" w:hAnsi="Times New Roman"/>
          <w:szCs w:val="24"/>
          <w:highlight w:val="none"/>
        </w:rPr>
        <w:t>基础上进行开发和升级</w:t>
      </w:r>
      <w:r>
        <w:rPr>
          <w:rFonts w:hint="eastAsia" w:ascii="Times New Roman" w:hAnsi="Times New Roman"/>
          <w:szCs w:val="24"/>
          <w:highlight w:val="none"/>
        </w:rPr>
        <w:t>。</w:t>
      </w:r>
    </w:p>
    <w:p w14:paraId="2B1A3158">
      <w:pPr>
        <w:rPr>
          <w:rFonts w:ascii="Times New Roman" w:hAnsi="Times New Roman"/>
          <w:szCs w:val="24"/>
          <w:highlight w:val="none"/>
        </w:rPr>
      </w:pPr>
      <w:r>
        <w:rPr>
          <w:rFonts w:ascii="Times New Roman" w:hAnsi="Times New Roman"/>
          <w:szCs w:val="24"/>
          <w:highlight w:val="none"/>
        </w:rPr>
        <w:t>5</w:t>
      </w:r>
      <w:r>
        <w:rPr>
          <w:rFonts w:hint="eastAsia" w:ascii="Times New Roman" w:hAnsi="Times New Roman"/>
          <w:szCs w:val="24"/>
          <w:highlight w:val="none"/>
        </w:rPr>
        <w:t>）</w:t>
      </w:r>
      <w:r>
        <w:rPr>
          <w:rFonts w:ascii="Times New Roman" w:hAnsi="Times New Roman"/>
          <w:szCs w:val="24"/>
          <w:highlight w:val="none"/>
        </w:rPr>
        <w:t>支持可视化IDE开发工具进行开发。</w:t>
      </w:r>
    </w:p>
    <w:p w14:paraId="33C5E486">
      <w:pPr>
        <w:rPr>
          <w:rFonts w:ascii="Times New Roman" w:hAnsi="Times New Roman"/>
          <w:szCs w:val="24"/>
          <w:highlight w:val="none"/>
        </w:rPr>
      </w:pPr>
      <w:r>
        <w:rPr>
          <w:rFonts w:ascii="Times New Roman" w:hAnsi="Times New Roman"/>
          <w:szCs w:val="24"/>
          <w:highlight w:val="none"/>
        </w:rPr>
        <w:t>6</w:t>
      </w:r>
      <w:r>
        <w:rPr>
          <w:rFonts w:hint="eastAsia" w:ascii="Times New Roman" w:hAnsi="Times New Roman"/>
          <w:szCs w:val="24"/>
          <w:highlight w:val="none"/>
        </w:rPr>
        <w:t>）系统支持域名部署</w:t>
      </w:r>
    </w:p>
    <w:p w14:paraId="0DAC112F">
      <w:pPr>
        <w:pStyle w:val="4"/>
        <w:rPr>
          <w:rFonts w:ascii="Times New Roman" w:hAnsi="Times New Roman"/>
          <w:szCs w:val="24"/>
          <w:highlight w:val="none"/>
        </w:rPr>
      </w:pPr>
      <w:r>
        <w:rPr>
          <w:rFonts w:ascii="Times New Roman" w:hAnsi="Times New Roman"/>
          <w:szCs w:val="24"/>
          <w:highlight w:val="none"/>
        </w:rPr>
        <w:t xml:space="preserve">2.4 </w:t>
      </w:r>
      <w:r>
        <w:rPr>
          <w:rFonts w:hint="eastAsia" w:ascii="Times New Roman" w:hAnsi="Times New Roman"/>
          <w:szCs w:val="24"/>
          <w:highlight w:val="none"/>
        </w:rPr>
        <w:t>系统性能要求</w:t>
      </w:r>
    </w:p>
    <w:p w14:paraId="3EAC2758">
      <w:pPr>
        <w:rPr>
          <w:rFonts w:ascii="Times New Roman" w:hAnsi="Times New Roman"/>
          <w:szCs w:val="24"/>
          <w:highlight w:val="none"/>
        </w:rPr>
      </w:pPr>
      <w:r>
        <w:rPr>
          <w:rFonts w:hint="eastAsia" w:ascii="Times New Roman" w:hAnsi="Times New Roman"/>
          <w:szCs w:val="24"/>
          <w:highlight w:val="none"/>
        </w:rPr>
        <w:t>1）应具有高效的运行效率，能通过负载均衡、流量控制、消息缓存等机制，提供大规模、高并发量的交易处理能力，满足登陆、查询、日终批量等性能需求；</w:t>
      </w:r>
    </w:p>
    <w:p w14:paraId="0185E2C8">
      <w:pPr>
        <w:rPr>
          <w:rFonts w:ascii="Times New Roman" w:hAnsi="Times New Roman"/>
          <w:szCs w:val="24"/>
          <w:highlight w:val="none"/>
        </w:rPr>
      </w:pPr>
      <w:r>
        <w:rPr>
          <w:rFonts w:hint="eastAsia" w:ascii="Times New Roman" w:hAnsi="Times New Roman"/>
          <w:szCs w:val="24"/>
          <w:highlight w:val="none"/>
        </w:rPr>
        <w:t>2）系统必须提供平台级的负载均衡和容错能力；</w:t>
      </w:r>
    </w:p>
    <w:p w14:paraId="72C0FD4B">
      <w:pPr>
        <w:rPr>
          <w:rFonts w:ascii="Times New Roman" w:hAnsi="Times New Roman"/>
          <w:szCs w:val="24"/>
          <w:highlight w:val="none"/>
        </w:rPr>
      </w:pPr>
      <w:r>
        <w:rPr>
          <w:rFonts w:hint="eastAsia" w:ascii="Times New Roman" w:hAnsi="Times New Roman"/>
          <w:szCs w:val="24"/>
          <w:highlight w:val="none"/>
        </w:rPr>
        <w:t>3）主机系统能够保持7*24稳定的不间断运行，从系统软硬件平台及网络等方面来保证系统的稳定性；</w:t>
      </w:r>
    </w:p>
    <w:p w14:paraId="0F60C60B">
      <w:pPr>
        <w:rPr>
          <w:rFonts w:ascii="Times New Roman" w:hAnsi="Times New Roman"/>
          <w:szCs w:val="24"/>
          <w:highlight w:val="none"/>
        </w:rPr>
      </w:pPr>
      <w:r>
        <w:rPr>
          <w:rFonts w:hint="eastAsia" w:ascii="Times New Roman" w:hAnsi="Times New Roman"/>
          <w:szCs w:val="24"/>
          <w:highlight w:val="none"/>
        </w:rPr>
        <w:t>4）可用率：系统总体平均可用率在99.99%以上。</w:t>
      </w:r>
    </w:p>
    <w:p w14:paraId="3DC8BEC2">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.5 </w:t>
      </w:r>
      <w:r>
        <w:rPr>
          <w:rFonts w:hint="eastAsia" w:ascii="Times New Roman" w:hAnsi="Times New Roman"/>
          <w:szCs w:val="24"/>
          <w:highlight w:val="none"/>
        </w:rPr>
        <w:t>安全性要求</w:t>
      </w:r>
    </w:p>
    <w:p w14:paraId="7ED963F1">
      <w:pPr>
        <w:rPr>
          <w:rFonts w:ascii="Times New Roman" w:hAnsi="Times New Roman"/>
          <w:szCs w:val="24"/>
          <w:highlight w:val="none"/>
        </w:rPr>
      </w:pPr>
      <w:r>
        <w:rPr>
          <w:rFonts w:hint="eastAsia" w:ascii="Times New Roman" w:hAnsi="Times New Roman"/>
          <w:szCs w:val="24"/>
          <w:highlight w:val="none"/>
        </w:rPr>
        <w:t>为确保信息安全，采取的措施包括但不限于以下：</w:t>
      </w:r>
    </w:p>
    <w:p w14:paraId="3F8C97F7">
      <w:pPr>
        <w:rPr>
          <w:rFonts w:ascii="Times New Roman" w:hAnsi="Times New Roman"/>
          <w:szCs w:val="24"/>
          <w:highlight w:val="none"/>
        </w:rPr>
      </w:pPr>
      <w:r>
        <w:rPr>
          <w:rFonts w:hint="eastAsia" w:ascii="Times New Roman" w:hAnsi="Times New Roman"/>
          <w:szCs w:val="24"/>
          <w:highlight w:val="none"/>
        </w:rPr>
        <w:t>1）平台安全：架构设计符合安全性要求，平台软件达到安全设计标准且不低于同业相关系统要求。</w:t>
      </w:r>
    </w:p>
    <w:p w14:paraId="39449D8F">
      <w:pPr>
        <w:rPr>
          <w:rFonts w:ascii="Times New Roman" w:hAnsi="Times New Roman"/>
          <w:szCs w:val="24"/>
          <w:highlight w:val="none"/>
        </w:rPr>
      </w:pPr>
      <w:r>
        <w:rPr>
          <w:rFonts w:hint="eastAsia" w:ascii="Times New Roman" w:hAnsi="Times New Roman"/>
          <w:szCs w:val="24"/>
          <w:highlight w:val="none"/>
        </w:rPr>
        <w:t>2）数据安全：支持文档安全软件整合技术，从而做到数据传输加密、远程安全访问、数据存储加密，数据部署网络区域应支持入侵检测与防御系统、防火墙的应用。</w:t>
      </w:r>
    </w:p>
    <w:p w14:paraId="2878E2BC">
      <w:pPr>
        <w:rPr>
          <w:rFonts w:ascii="Times New Roman" w:hAnsi="Times New Roman"/>
          <w:szCs w:val="24"/>
          <w:highlight w:val="none"/>
        </w:rPr>
      </w:pPr>
      <w:r>
        <w:rPr>
          <w:rFonts w:hint="eastAsia" w:ascii="Times New Roman" w:hAnsi="Times New Roman"/>
          <w:szCs w:val="24"/>
          <w:highlight w:val="none"/>
        </w:rPr>
        <w:t>3）容灾备份：支持各种容灾的软硬件设备的使用等。</w:t>
      </w:r>
    </w:p>
    <w:p w14:paraId="35481656">
      <w:pPr>
        <w:rPr>
          <w:rFonts w:ascii="Times New Roman" w:hAnsi="Times New Roman"/>
          <w:szCs w:val="24"/>
          <w:highlight w:val="none"/>
        </w:rPr>
      </w:pPr>
      <w:r>
        <w:rPr>
          <w:rFonts w:hint="eastAsia" w:ascii="Times New Roman" w:hAnsi="Times New Roman"/>
          <w:szCs w:val="24"/>
          <w:highlight w:val="none"/>
        </w:rPr>
        <w:t>4）管理安全：提供完善的日志功能，能够记录系统使用人员的关键操作，保证系统应用的安全。</w:t>
      </w:r>
    </w:p>
    <w:p w14:paraId="1985C5D5">
      <w:pPr>
        <w:rPr>
          <w:rFonts w:ascii="Times New Roman" w:hAnsi="Times New Roman"/>
          <w:szCs w:val="24"/>
          <w:highlight w:val="none"/>
        </w:rPr>
      </w:pPr>
      <w:r>
        <w:rPr>
          <w:rFonts w:hint="eastAsia" w:ascii="Times New Roman" w:hAnsi="Times New Roman"/>
          <w:szCs w:val="24"/>
          <w:highlight w:val="none"/>
        </w:rPr>
        <w:t>5）密码策略：初始密码强制更改、启用验证码、密码过期控制、密码错误次数控制、密码强度设置等，不得以明文的方式保存任何相关密码，防止暴力破解和恶意攻击。</w:t>
      </w:r>
    </w:p>
    <w:p w14:paraId="1A1243CA">
      <w:pPr>
        <w:rPr>
          <w:rFonts w:ascii="Times New Roman" w:hAnsi="Times New Roman"/>
          <w:szCs w:val="24"/>
          <w:highlight w:val="none"/>
        </w:rPr>
      </w:pPr>
      <w:r>
        <w:rPr>
          <w:rFonts w:hint="eastAsia" w:ascii="Times New Roman" w:hAnsi="Times New Roman"/>
          <w:szCs w:val="24"/>
          <w:highlight w:val="none"/>
        </w:rPr>
        <w:t>6）系统严密、灵活的访问安全控制</w:t>
      </w:r>
      <w:r>
        <w:rPr>
          <w:rFonts w:ascii="Times New Roman" w:hAnsi="Times New Roman"/>
          <w:szCs w:val="24"/>
          <w:highlight w:val="none"/>
        </w:rPr>
        <w:t>。</w:t>
      </w:r>
    </w:p>
    <w:p w14:paraId="759DCBC5">
      <w:pPr>
        <w:rPr>
          <w:rFonts w:ascii="Times New Roman" w:hAnsi="Times New Roman"/>
          <w:szCs w:val="24"/>
          <w:highlight w:val="none"/>
        </w:rPr>
      </w:pPr>
      <w:r>
        <w:rPr>
          <w:rFonts w:hint="eastAsia" w:ascii="Times New Roman" w:hAnsi="Times New Roman"/>
          <w:szCs w:val="24"/>
          <w:highlight w:val="none"/>
        </w:rPr>
        <w:t>7）系统有整体的用户/权限管理体系，可统一进行用户/权限的管理，实现到字段级的查询、修改、管理权限控制</w:t>
      </w:r>
      <w:r>
        <w:rPr>
          <w:rFonts w:ascii="Times New Roman" w:hAnsi="Times New Roman"/>
          <w:szCs w:val="24"/>
          <w:highlight w:val="none"/>
        </w:rPr>
        <w:t>。</w:t>
      </w:r>
    </w:p>
    <w:p w14:paraId="7DBE5501">
      <w:pPr>
        <w:rPr>
          <w:rFonts w:ascii="Times New Roman" w:hAnsi="Times New Roman"/>
          <w:color w:val="FF0000"/>
          <w:szCs w:val="24"/>
          <w:highlight w:val="none"/>
        </w:rPr>
      </w:pPr>
      <w:r>
        <w:rPr>
          <w:rFonts w:ascii="Times New Roman" w:hAnsi="Times New Roman"/>
          <w:szCs w:val="24"/>
          <w:highlight w:val="none"/>
        </w:rPr>
        <w:t>8）系统开发必须满足比选人软件研发项目安全需求基线要求。</w:t>
      </w:r>
    </w:p>
    <w:p w14:paraId="77608ADA">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.6 </w:t>
      </w:r>
      <w:r>
        <w:rPr>
          <w:rFonts w:hint="eastAsia" w:ascii="Times New Roman" w:hAnsi="Times New Roman"/>
          <w:szCs w:val="24"/>
          <w:highlight w:val="none"/>
        </w:rPr>
        <w:t>可扩展性需求</w:t>
      </w:r>
    </w:p>
    <w:p w14:paraId="2BC3DD1A">
      <w:pPr>
        <w:rPr>
          <w:rFonts w:ascii="Times New Roman" w:hAnsi="Times New Roman"/>
          <w:szCs w:val="24"/>
          <w:highlight w:val="none"/>
        </w:rPr>
      </w:pPr>
      <w:r>
        <w:rPr>
          <w:rFonts w:hint="eastAsia" w:ascii="Times New Roman" w:hAnsi="Times New Roman"/>
          <w:szCs w:val="24"/>
          <w:highlight w:val="none"/>
        </w:rPr>
        <w:t>1）系统要求支持主流操作系统、数据库和通讯中间件，对软、硬件平台具有良好的可扩展能力，支持跨平台客制化开发。</w:t>
      </w:r>
    </w:p>
    <w:p w14:paraId="5AEE8B68">
      <w:pPr>
        <w:rPr>
          <w:rFonts w:ascii="Times New Roman" w:hAnsi="Times New Roman"/>
          <w:szCs w:val="24"/>
          <w:highlight w:val="none"/>
        </w:rPr>
      </w:pPr>
      <w:r>
        <w:rPr>
          <w:rFonts w:hint="eastAsia" w:ascii="Times New Roman" w:hAnsi="Times New Roman"/>
          <w:szCs w:val="24"/>
          <w:highlight w:val="none"/>
        </w:rPr>
        <w:t>2）支持交易数据导入、模型参数维护、计量、会计核算、报表模块对于新产品的支持，系统容易改进、扩展和升级。</w:t>
      </w:r>
    </w:p>
    <w:p w14:paraId="5F6E6E33">
      <w:pPr>
        <w:rPr>
          <w:rFonts w:ascii="Times New Roman" w:hAnsi="Times New Roman"/>
          <w:szCs w:val="24"/>
          <w:highlight w:val="none"/>
        </w:rPr>
      </w:pPr>
      <w:r>
        <w:rPr>
          <w:rFonts w:hint="eastAsia" w:ascii="Times New Roman" w:hAnsi="Times New Roman"/>
          <w:szCs w:val="24"/>
          <w:highlight w:val="none"/>
        </w:rPr>
        <w:t>3）提供的平台能够很好的实现业务功能扩展的灵活性，通过后台服务器对业务功能的模块化处理和可配置处理实现对功能的一站式更新，且不影响原有系统的正常运行。</w:t>
      </w:r>
    </w:p>
    <w:p w14:paraId="15519DA2">
      <w:pPr>
        <w:rPr>
          <w:rFonts w:ascii="Times New Roman" w:hAnsi="Times New Roman"/>
          <w:szCs w:val="24"/>
          <w:highlight w:val="none"/>
        </w:rPr>
      </w:pPr>
      <w:r>
        <w:rPr>
          <w:rFonts w:hint="eastAsia" w:ascii="Times New Roman" w:hAnsi="Times New Roman"/>
          <w:szCs w:val="24"/>
          <w:highlight w:val="none"/>
        </w:rPr>
        <w:t>4）系统的计算能力支持横向扩展；</w:t>
      </w:r>
    </w:p>
    <w:p w14:paraId="4C7E643A">
      <w:pPr>
        <w:rPr>
          <w:rFonts w:ascii="Times New Roman" w:hAnsi="Times New Roman"/>
          <w:szCs w:val="24"/>
          <w:highlight w:val="none"/>
        </w:rPr>
      </w:pPr>
      <w:r>
        <w:rPr>
          <w:rFonts w:hint="eastAsia" w:ascii="Times New Roman" w:hAnsi="Times New Roman"/>
          <w:szCs w:val="24"/>
          <w:highlight w:val="none"/>
        </w:rPr>
        <w:t>5）对第三方平台提供良好的接口支持和扩展能力。</w:t>
      </w:r>
    </w:p>
    <w:p w14:paraId="2504608B">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.7 </w:t>
      </w:r>
      <w:r>
        <w:rPr>
          <w:rFonts w:hint="eastAsia" w:ascii="Times New Roman" w:hAnsi="Times New Roman"/>
          <w:szCs w:val="24"/>
          <w:highlight w:val="none"/>
        </w:rPr>
        <w:t>二次开发要求</w:t>
      </w:r>
    </w:p>
    <w:p w14:paraId="509E8DCA">
      <w:pPr>
        <w:rPr>
          <w:rFonts w:ascii="Times New Roman" w:hAnsi="Times New Roman"/>
          <w:szCs w:val="24"/>
          <w:highlight w:val="none"/>
        </w:rPr>
      </w:pPr>
      <w:r>
        <w:rPr>
          <w:rFonts w:hint="eastAsia" w:ascii="Times New Roman" w:hAnsi="Times New Roman"/>
          <w:szCs w:val="24"/>
          <w:highlight w:val="none"/>
        </w:rPr>
        <w:t>为满足本行业务发展需要，系统应能灵活、方便、快捷地支持个性化需求开发，相关要求包括：</w:t>
      </w:r>
    </w:p>
    <w:p w14:paraId="76816A75">
      <w:pPr>
        <w:rPr>
          <w:rFonts w:ascii="Times New Roman" w:hAnsi="Times New Roman"/>
          <w:szCs w:val="24"/>
          <w:highlight w:val="none"/>
        </w:rPr>
      </w:pPr>
      <w:r>
        <w:rPr>
          <w:rFonts w:hint="eastAsia" w:ascii="Times New Roman" w:hAnsi="Times New Roman"/>
          <w:szCs w:val="24"/>
          <w:highlight w:val="none"/>
        </w:rPr>
        <w:t>1）支持模型参数的个性化调整，从而适应监管要求及行内业务需求的变化；</w:t>
      </w:r>
    </w:p>
    <w:p w14:paraId="2464A2B0">
      <w:pPr>
        <w:rPr>
          <w:rFonts w:ascii="Times New Roman" w:hAnsi="Times New Roman"/>
          <w:szCs w:val="24"/>
          <w:highlight w:val="none"/>
        </w:rPr>
      </w:pPr>
      <w:r>
        <w:rPr>
          <w:rFonts w:hint="eastAsia" w:ascii="Times New Roman" w:hAnsi="Times New Roman"/>
          <w:szCs w:val="24"/>
          <w:highlight w:val="none"/>
        </w:rPr>
        <w:t>2）支持数据采集范围扩展及接口快速开发；</w:t>
      </w:r>
    </w:p>
    <w:p w14:paraId="55ADA88E">
      <w:pPr>
        <w:rPr>
          <w:rFonts w:ascii="Times New Roman" w:hAnsi="Times New Roman"/>
          <w:szCs w:val="24"/>
          <w:highlight w:val="none"/>
        </w:rPr>
      </w:pPr>
      <w:r>
        <w:rPr>
          <w:rFonts w:hint="eastAsia" w:ascii="Times New Roman" w:hAnsi="Times New Roman"/>
          <w:szCs w:val="24"/>
          <w:highlight w:val="none"/>
        </w:rPr>
        <w:t>3）支持较为便捷的全量/增量程序版本抽取和提交；</w:t>
      </w:r>
    </w:p>
    <w:p w14:paraId="5314AD25">
      <w:pPr>
        <w:rPr>
          <w:rFonts w:ascii="Times New Roman" w:hAnsi="Times New Roman"/>
          <w:szCs w:val="24"/>
          <w:highlight w:val="none"/>
        </w:rPr>
      </w:pPr>
      <w:r>
        <w:rPr>
          <w:rFonts w:hint="eastAsia" w:ascii="Times New Roman" w:hAnsi="Times New Roman"/>
          <w:szCs w:val="24"/>
          <w:highlight w:val="none"/>
        </w:rPr>
        <w:t>4）支持日常需求改造涉及的其他开发要求。</w:t>
      </w:r>
    </w:p>
    <w:p w14:paraId="5AF662A5">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.8 </w:t>
      </w:r>
      <w:r>
        <w:rPr>
          <w:rFonts w:hint="eastAsia" w:ascii="Times New Roman" w:hAnsi="Times New Roman"/>
          <w:szCs w:val="24"/>
          <w:highlight w:val="none"/>
        </w:rPr>
        <w:t>其它非功能性要求</w:t>
      </w:r>
    </w:p>
    <w:p w14:paraId="462E9E2F">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1 运维要求</w:t>
      </w:r>
    </w:p>
    <w:p w14:paraId="17F72A48">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1 运维要求</w:t>
      </w:r>
    </w:p>
    <w:p w14:paraId="641426FD">
      <w:pPr>
        <w:rPr>
          <w:rFonts w:ascii="Times New Roman" w:hAnsi="Times New Roman"/>
          <w:szCs w:val="24"/>
          <w:highlight w:val="none"/>
        </w:rPr>
      </w:pPr>
      <w:r>
        <w:rPr>
          <w:rFonts w:hint="eastAsia" w:ascii="Times New Roman" w:hAnsi="Times New Roman"/>
          <w:szCs w:val="24"/>
          <w:highlight w:val="none"/>
        </w:rPr>
        <w:t>1）提供日常运行监控和完整的系统维护管理的方案：提供日志、实时交易监控等系统问题定位方案；提供日志和历史数据备份、清理机制；</w:t>
      </w:r>
    </w:p>
    <w:p w14:paraId="16E15162">
      <w:pPr>
        <w:rPr>
          <w:rFonts w:ascii="Times New Roman" w:hAnsi="Times New Roman"/>
          <w:szCs w:val="24"/>
          <w:highlight w:val="none"/>
        </w:rPr>
      </w:pPr>
      <w:r>
        <w:rPr>
          <w:rFonts w:hint="eastAsia" w:ascii="Times New Roman" w:hAnsi="Times New Roman"/>
          <w:szCs w:val="24"/>
          <w:highlight w:val="none"/>
        </w:rPr>
        <w:t>2） 提供应用系统之间逻辑独立、启停服务时系统间不相互影响的部署方案（十分重要），保障系统的7*24小时运行；</w:t>
      </w:r>
    </w:p>
    <w:p w14:paraId="41DD9A3B">
      <w:pPr>
        <w:rPr>
          <w:rFonts w:ascii="Times New Roman" w:hAnsi="Times New Roman"/>
          <w:szCs w:val="24"/>
          <w:highlight w:val="none"/>
        </w:rPr>
      </w:pPr>
      <w:r>
        <w:rPr>
          <w:rFonts w:hint="eastAsia" w:ascii="Times New Roman" w:hAnsi="Times New Roman"/>
          <w:szCs w:val="24"/>
          <w:highlight w:val="none"/>
        </w:rPr>
        <w:t>3）提供系统资源运行情况实时监控报告；提供系统出现异常预警报告；提供系统运行情况报表等。</w:t>
      </w:r>
    </w:p>
    <w:p w14:paraId="5EEB057F">
      <w:pPr>
        <w:rPr>
          <w:rFonts w:ascii="Times New Roman" w:hAnsi="Times New Roman"/>
          <w:szCs w:val="24"/>
          <w:highlight w:val="none"/>
        </w:rPr>
      </w:pPr>
      <w:r>
        <w:rPr>
          <w:rFonts w:hint="eastAsia" w:ascii="Times New Roman" w:hAnsi="Times New Roman"/>
          <w:szCs w:val="24"/>
          <w:highlight w:val="none"/>
        </w:rPr>
        <w:t>4）涉及重大生产故障，需15分钟内响应，30分钟内提供临时解决方案并能恢复生产服务，并安排响应的技术专家进行技术支持。</w:t>
      </w:r>
    </w:p>
    <w:p w14:paraId="7E3486A3">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2 日志要求</w:t>
      </w:r>
    </w:p>
    <w:p w14:paraId="2A8D0C33">
      <w:pPr>
        <w:rPr>
          <w:rFonts w:ascii="Times New Roman" w:hAnsi="Times New Roman"/>
          <w:szCs w:val="24"/>
          <w:highlight w:val="none"/>
        </w:rPr>
      </w:pPr>
      <w:r>
        <w:rPr>
          <w:rFonts w:hint="eastAsia" w:ascii="Times New Roman" w:hAnsi="Times New Roman"/>
          <w:szCs w:val="24"/>
          <w:highlight w:val="none"/>
        </w:rPr>
        <w:t>1）应完整记录所有通讯日志，如果通讯日志为字节码的，不能直接查看的，应提供查看工具。</w:t>
      </w:r>
    </w:p>
    <w:p w14:paraId="3D0EDEA5">
      <w:pPr>
        <w:rPr>
          <w:rFonts w:ascii="Times New Roman" w:hAnsi="Times New Roman"/>
          <w:szCs w:val="24"/>
          <w:highlight w:val="none"/>
        </w:rPr>
      </w:pPr>
      <w:r>
        <w:rPr>
          <w:rFonts w:hint="eastAsia" w:ascii="Times New Roman" w:hAnsi="Times New Roman"/>
          <w:szCs w:val="24"/>
          <w:highlight w:val="none"/>
        </w:rPr>
        <w:t>2）应完整记录交易日志，方便交易统计分析，不同类型的交易可分不同的交易日志表。</w:t>
      </w:r>
    </w:p>
    <w:p w14:paraId="79F3188C">
      <w:pPr>
        <w:rPr>
          <w:rFonts w:ascii="Times New Roman" w:hAnsi="Times New Roman"/>
          <w:szCs w:val="24"/>
          <w:highlight w:val="none"/>
        </w:rPr>
      </w:pPr>
      <w:r>
        <w:rPr>
          <w:rFonts w:hint="eastAsia" w:ascii="Times New Roman" w:hAnsi="Times New Roman"/>
          <w:szCs w:val="24"/>
          <w:highlight w:val="none"/>
        </w:rPr>
        <w:t>3）可在线动态调整日志级别，在生产环境下定位问题时不需要中断服务。</w:t>
      </w:r>
    </w:p>
    <w:p w14:paraId="18DDFD7B">
      <w:pPr>
        <w:rPr>
          <w:rFonts w:ascii="Times New Roman" w:hAnsi="Times New Roman"/>
          <w:szCs w:val="24"/>
          <w:highlight w:val="none"/>
        </w:rPr>
      </w:pPr>
      <w:r>
        <w:rPr>
          <w:rFonts w:hint="eastAsia" w:ascii="Times New Roman" w:hAnsi="Times New Roman"/>
          <w:szCs w:val="24"/>
          <w:highlight w:val="none"/>
        </w:rPr>
        <w:t>4）系统相关日志应输出在应用目录之外。</w:t>
      </w:r>
    </w:p>
    <w:p w14:paraId="6D1074EB">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3 自动监控指标</w:t>
      </w:r>
      <w:r>
        <w:rPr>
          <w:rFonts w:ascii="Times New Roman" w:hAnsi="Times New Roman"/>
          <w:szCs w:val="24"/>
          <w:highlight w:val="none"/>
        </w:rPr>
        <w:t>（接入比选人监控）</w:t>
      </w:r>
    </w:p>
    <w:p w14:paraId="4CB187BA">
      <w:pPr>
        <w:rPr>
          <w:rFonts w:ascii="Times New Roman" w:hAnsi="Times New Roman"/>
          <w:szCs w:val="24"/>
          <w:highlight w:val="none"/>
        </w:rPr>
      </w:pPr>
      <w:r>
        <w:rPr>
          <w:rFonts w:hint="eastAsia" w:ascii="Times New Roman" w:hAnsi="Times New Roman"/>
          <w:szCs w:val="24"/>
          <w:highlight w:val="none"/>
        </w:rPr>
        <w:t>1）磁盘占用率（关键目录）、CPU使用率、内存占用率等；</w:t>
      </w:r>
    </w:p>
    <w:p w14:paraId="25813045">
      <w:pPr>
        <w:rPr>
          <w:rFonts w:ascii="Times New Roman" w:hAnsi="Times New Roman"/>
          <w:szCs w:val="24"/>
          <w:highlight w:val="none"/>
        </w:rPr>
      </w:pPr>
      <w:r>
        <w:rPr>
          <w:rFonts w:hint="eastAsia" w:ascii="Times New Roman" w:hAnsi="Times New Roman"/>
          <w:szCs w:val="24"/>
          <w:highlight w:val="none"/>
        </w:rPr>
        <w:t>2）数据库连接池使用情况：总连接数、空闲连接数、使用中连接数；线程池使用情况：总线程、空闲线程、使用中线程；</w:t>
      </w:r>
    </w:p>
    <w:p w14:paraId="7F1999FB">
      <w:pPr>
        <w:rPr>
          <w:rFonts w:ascii="Times New Roman" w:hAnsi="Times New Roman"/>
          <w:szCs w:val="24"/>
          <w:highlight w:val="none"/>
        </w:rPr>
      </w:pPr>
      <w:r>
        <w:rPr>
          <w:rFonts w:hint="eastAsia" w:ascii="Times New Roman" w:hAnsi="Times New Roman"/>
          <w:szCs w:val="24"/>
          <w:highlight w:val="none"/>
        </w:rPr>
        <w:t>3）虚拟机堆内存情况（适用Java）：空闲内存、使用中内存；</w:t>
      </w:r>
    </w:p>
    <w:p w14:paraId="362B7499">
      <w:pPr>
        <w:rPr>
          <w:rFonts w:ascii="Times New Roman" w:hAnsi="Times New Roman"/>
          <w:szCs w:val="24"/>
          <w:highlight w:val="none"/>
        </w:rPr>
      </w:pPr>
      <w:r>
        <w:rPr>
          <w:rFonts w:hint="eastAsia" w:ascii="Times New Roman" w:hAnsi="Times New Roman"/>
          <w:szCs w:val="24"/>
          <w:highlight w:val="none"/>
        </w:rPr>
        <w:t>4）交易级的错误，应用系统重大错误；</w:t>
      </w:r>
    </w:p>
    <w:p w14:paraId="5888B8E7">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.9 </w:t>
      </w:r>
      <w:r>
        <w:rPr>
          <w:rFonts w:hint="eastAsia" w:ascii="Times New Roman" w:hAnsi="Times New Roman"/>
          <w:szCs w:val="24"/>
          <w:highlight w:val="none"/>
        </w:rPr>
        <w:t>应当遵循的标准和规范</w:t>
      </w:r>
    </w:p>
    <w:p w14:paraId="226E2C2D">
      <w:pPr>
        <w:rPr>
          <w:rFonts w:ascii="Times New Roman" w:hAnsi="Times New Roman"/>
          <w:szCs w:val="24"/>
          <w:highlight w:val="none"/>
        </w:rPr>
      </w:pPr>
      <w:r>
        <w:rPr>
          <w:rFonts w:hint="eastAsia" w:ascii="Times New Roman" w:hAnsi="Times New Roman"/>
          <w:szCs w:val="24"/>
          <w:highlight w:val="none"/>
        </w:rPr>
        <w:t>应用应实现与行内各种操作系统、中间件、数据库、业务系统及工具软件进行平滑对接。</w:t>
      </w:r>
      <w:r>
        <w:rPr>
          <w:rFonts w:ascii="Times New Roman" w:hAnsi="Times New Roman"/>
          <w:szCs w:val="24"/>
          <w:highlight w:val="none"/>
        </w:rPr>
        <w:t>必须熟练使用现有系统的开发工具和比选人部署方式。</w:t>
      </w:r>
      <w:r>
        <w:rPr>
          <w:rFonts w:hint="eastAsia" w:ascii="Times New Roman" w:hAnsi="Times New Roman"/>
          <w:szCs w:val="24"/>
          <w:highlight w:val="none"/>
        </w:rPr>
        <w:t>系统的底层应支持各个层次的多种协议，支持与业务系统的互通、互联，应用系统采用标准的数据交换方式，保证数据共享。</w:t>
      </w:r>
    </w:p>
    <w:p w14:paraId="4EE707E2">
      <w:pPr>
        <w:rPr>
          <w:rFonts w:ascii="Times New Roman" w:hAnsi="Times New Roman"/>
          <w:szCs w:val="24"/>
          <w:highlight w:val="none"/>
        </w:rPr>
      </w:pPr>
      <w:r>
        <w:rPr>
          <w:rFonts w:hint="eastAsia" w:ascii="Times New Roman" w:hAnsi="Times New Roman"/>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00C160E1">
      <w:pPr>
        <w:rPr>
          <w:rFonts w:ascii="Times New Roman" w:hAnsi="Times New Roman"/>
          <w:szCs w:val="24"/>
          <w:highlight w:val="none"/>
        </w:rPr>
      </w:pPr>
      <w:r>
        <w:rPr>
          <w:rFonts w:hint="eastAsia" w:ascii="Times New Roman" w:hAnsi="Times New Roman"/>
          <w:szCs w:val="24"/>
          <w:highlight w:val="none"/>
        </w:rPr>
        <w:t>业务处理符合国家法律、法规和有关政策规定。数据标准要满足银监会及人民银行相关管理办法及标准化的要求。</w:t>
      </w:r>
    </w:p>
    <w:p w14:paraId="048AA1C4">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.10 </w:t>
      </w:r>
      <w:r>
        <w:rPr>
          <w:rFonts w:hint="eastAsia" w:ascii="Times New Roman" w:hAnsi="Times New Roman"/>
          <w:szCs w:val="24"/>
          <w:highlight w:val="none"/>
        </w:rPr>
        <w:t>其他技术要求</w:t>
      </w:r>
    </w:p>
    <w:p w14:paraId="60D5994A">
      <w:pPr>
        <w:rPr>
          <w:rFonts w:ascii="Times New Roman" w:hAnsi="Times New Roman"/>
          <w:color w:val="000000"/>
          <w:szCs w:val="24"/>
          <w:highlight w:val="none"/>
        </w:rPr>
      </w:pPr>
      <w:r>
        <w:rPr>
          <w:rFonts w:hint="eastAsia" w:ascii="Times New Roman" w:hAnsi="Times New Roman"/>
          <w:szCs w:val="24"/>
          <w:highlight w:val="none"/>
        </w:rPr>
        <w:t>1）开</w:t>
      </w:r>
      <w:r>
        <w:rPr>
          <w:rFonts w:hint="eastAsia" w:ascii="Times New Roman" w:hAnsi="Times New Roman"/>
          <w:color w:val="000000"/>
          <w:szCs w:val="24"/>
          <w:highlight w:val="none"/>
        </w:rPr>
        <w:t>发环境基于</w:t>
      </w:r>
      <w:r>
        <w:rPr>
          <w:rFonts w:ascii="Times New Roman" w:hAnsi="Times New Roman"/>
          <w:color w:val="000000"/>
          <w:szCs w:val="24"/>
          <w:highlight w:val="none"/>
        </w:rPr>
        <w:t>java、Python技术</w:t>
      </w:r>
      <w:r>
        <w:rPr>
          <w:rFonts w:hint="eastAsia" w:ascii="Times New Roman" w:hAnsi="Times New Roman"/>
          <w:color w:val="000000"/>
          <w:szCs w:val="24"/>
          <w:highlight w:val="none"/>
        </w:rPr>
        <w:t>框架，支持JDK版本：JDK1.8及以上版本。</w:t>
      </w:r>
    </w:p>
    <w:p w14:paraId="2A1BF00E">
      <w:pPr>
        <w:rPr>
          <w:rFonts w:ascii="Times New Roman" w:hAnsi="Times New Roman"/>
          <w:color w:val="000000"/>
          <w:szCs w:val="24"/>
          <w:highlight w:val="none"/>
        </w:rPr>
      </w:pPr>
      <w:r>
        <w:rPr>
          <w:rFonts w:hint="eastAsia" w:ascii="Times New Roman" w:hAnsi="Times New Roman"/>
          <w:color w:val="000000"/>
          <w:szCs w:val="24"/>
          <w:highlight w:val="none"/>
        </w:rPr>
        <w:t>2）操作系统、数据库和中间件满足以下要求：服务端操作系统支持Linux（RHEL 7.</w:t>
      </w:r>
      <w:r>
        <w:rPr>
          <w:rFonts w:ascii="Times New Roman" w:hAnsi="Times New Roman"/>
          <w:color w:val="000000"/>
          <w:szCs w:val="24"/>
          <w:highlight w:val="none"/>
        </w:rPr>
        <w:t>9</w:t>
      </w:r>
      <w:r>
        <w:rPr>
          <w:rFonts w:hint="eastAsia" w:ascii="Times New Roman" w:hAnsi="Times New Roman"/>
          <w:color w:val="000000"/>
          <w:szCs w:val="24"/>
          <w:highlight w:val="none"/>
        </w:rPr>
        <w:t>），支持Oracle（19C）数据库（支持rac），支持Weblogic（12.2.1.</w:t>
      </w:r>
      <w:r>
        <w:rPr>
          <w:rFonts w:ascii="Times New Roman" w:hAnsi="Times New Roman"/>
          <w:color w:val="000000"/>
          <w:szCs w:val="24"/>
          <w:highlight w:val="none"/>
        </w:rPr>
        <w:t>4</w:t>
      </w:r>
      <w:r>
        <w:rPr>
          <w:rFonts w:hint="eastAsia" w:ascii="Times New Roman" w:hAnsi="Times New Roman"/>
          <w:color w:val="000000"/>
          <w:szCs w:val="24"/>
          <w:highlight w:val="none"/>
        </w:rPr>
        <w:t>及以上）中间件及Tomcat中间件。</w:t>
      </w:r>
    </w:p>
    <w:p w14:paraId="3DAB37F6">
      <w:pPr>
        <w:rPr>
          <w:rFonts w:ascii="Times New Roman" w:hAnsi="Times New Roman"/>
          <w:color w:val="000000"/>
          <w:szCs w:val="24"/>
          <w:highlight w:val="none"/>
        </w:rPr>
      </w:pPr>
      <w:r>
        <w:rPr>
          <w:rFonts w:hint="eastAsia" w:ascii="Times New Roman" w:hAnsi="Times New Roman"/>
          <w:color w:val="000000"/>
          <w:szCs w:val="24"/>
          <w:highlight w:val="none"/>
        </w:rPr>
        <w:t>3）必须支持Windows全系操作系统，即WinXP/Win7/Win8/Win10，支持谷歌、360、IE6及以上版本浏览器使用。</w:t>
      </w:r>
    </w:p>
    <w:p w14:paraId="4C3E0804">
      <w:pPr>
        <w:rPr>
          <w:rFonts w:ascii="Times New Roman" w:hAnsi="Times New Roman"/>
          <w:color w:val="000000"/>
          <w:szCs w:val="24"/>
          <w:highlight w:val="none"/>
        </w:rPr>
      </w:pPr>
      <w:r>
        <w:rPr>
          <w:rFonts w:ascii="Times New Roman" w:hAnsi="Times New Roman"/>
          <w:color w:val="000000"/>
          <w:szCs w:val="24"/>
          <w:highlight w:val="none"/>
        </w:rPr>
        <w:t>4</w:t>
      </w:r>
      <w:r>
        <w:rPr>
          <w:rFonts w:hint="eastAsia" w:ascii="Times New Roman" w:hAnsi="Times New Roman"/>
          <w:color w:val="000000"/>
          <w:szCs w:val="24"/>
          <w:highlight w:val="none"/>
        </w:rPr>
        <w:t>）系统基础架构和底层数据库具备灵活性。</w:t>
      </w:r>
    </w:p>
    <w:p w14:paraId="0EC5F7F4">
      <w:pPr>
        <w:rPr>
          <w:rFonts w:ascii="Times New Roman" w:hAnsi="Times New Roman"/>
          <w:color w:val="000000"/>
          <w:szCs w:val="24"/>
          <w:highlight w:val="none"/>
        </w:rPr>
      </w:pPr>
      <w:r>
        <w:rPr>
          <w:rFonts w:ascii="Times New Roman" w:hAnsi="Times New Roman"/>
          <w:color w:val="000000"/>
          <w:szCs w:val="24"/>
          <w:highlight w:val="none"/>
        </w:rPr>
        <w:t>5</w:t>
      </w:r>
      <w:r>
        <w:rPr>
          <w:rFonts w:hint="eastAsia" w:ascii="Times New Roman" w:hAnsi="Times New Roman"/>
          <w:color w:val="000000"/>
          <w:szCs w:val="24"/>
          <w:highlight w:val="none"/>
        </w:rPr>
        <w:t>）系统可集群部署，支持负载均衡，具备横向可扩展性。</w:t>
      </w:r>
    </w:p>
    <w:p w14:paraId="236E5B89">
      <w:pPr>
        <w:rPr>
          <w:rFonts w:ascii="Times New Roman" w:hAnsi="Times New Roman"/>
          <w:color w:val="000000"/>
          <w:szCs w:val="24"/>
          <w:highlight w:val="none"/>
        </w:rPr>
      </w:pPr>
      <w:r>
        <w:rPr>
          <w:rFonts w:ascii="Times New Roman" w:hAnsi="Times New Roman"/>
          <w:color w:val="000000"/>
          <w:szCs w:val="24"/>
          <w:highlight w:val="none"/>
        </w:rPr>
        <w:t>6</w:t>
      </w:r>
      <w:r>
        <w:rPr>
          <w:rFonts w:hint="eastAsia" w:ascii="Times New Roman" w:hAnsi="Times New Roman"/>
          <w:color w:val="000000"/>
          <w:szCs w:val="24"/>
          <w:highlight w:val="none"/>
        </w:rPr>
        <w:t>）系统处理能力能够满足现有业务数据以及未来三年可能发展的业务数据量。</w:t>
      </w:r>
    </w:p>
    <w:p w14:paraId="68FAC9D5">
      <w:pPr>
        <w:rPr>
          <w:rFonts w:ascii="Times New Roman" w:hAnsi="Times New Roman"/>
          <w:color w:val="000000"/>
          <w:szCs w:val="24"/>
          <w:highlight w:val="none"/>
        </w:rPr>
      </w:pPr>
      <w:r>
        <w:rPr>
          <w:rFonts w:ascii="Times New Roman" w:hAnsi="Times New Roman"/>
          <w:color w:val="000000"/>
          <w:szCs w:val="24"/>
          <w:highlight w:val="none"/>
        </w:rPr>
        <w:t>7</w:t>
      </w:r>
      <w:r>
        <w:rPr>
          <w:rFonts w:hint="eastAsia" w:ascii="Times New Roman" w:hAnsi="Times New Roman"/>
          <w:color w:val="000000"/>
          <w:szCs w:val="24"/>
          <w:highlight w:val="none"/>
        </w:rPr>
        <w:t>）系统开发需要符合我行开发规范和整体框架要求。</w:t>
      </w:r>
    </w:p>
    <w:p w14:paraId="51D1F7D9">
      <w:pPr>
        <w:rPr>
          <w:rFonts w:ascii="Times New Roman" w:hAnsi="Times New Roman"/>
          <w:color w:val="000000"/>
          <w:szCs w:val="24"/>
          <w:highlight w:val="none"/>
        </w:rPr>
      </w:pPr>
      <w:r>
        <w:rPr>
          <w:rFonts w:ascii="Times New Roman" w:hAnsi="Times New Roman"/>
          <w:color w:val="000000"/>
          <w:szCs w:val="24"/>
          <w:highlight w:val="none"/>
        </w:rPr>
        <w:t>8</w:t>
      </w:r>
      <w:r>
        <w:rPr>
          <w:rFonts w:hint="eastAsia" w:ascii="Times New Roman" w:hAnsi="Times New Roman"/>
          <w:color w:val="000000"/>
          <w:szCs w:val="24"/>
          <w:highlight w:val="none"/>
        </w:rPr>
        <w:t>）系统需支持dns方式连接数据库以及应用。</w:t>
      </w:r>
    </w:p>
    <w:p w14:paraId="3BD8165C">
      <w:pPr>
        <w:rPr>
          <w:rFonts w:ascii="Times New Roman" w:hAnsi="Times New Roman"/>
          <w:color w:val="000000"/>
          <w:szCs w:val="24"/>
          <w:highlight w:val="none"/>
        </w:rPr>
      </w:pPr>
      <w:r>
        <w:rPr>
          <w:rFonts w:ascii="Times New Roman" w:hAnsi="Times New Roman"/>
          <w:color w:val="000000"/>
          <w:szCs w:val="24"/>
          <w:highlight w:val="none"/>
        </w:rPr>
        <w:t>9</w:t>
      </w:r>
      <w:r>
        <w:rPr>
          <w:rFonts w:hint="eastAsia" w:ascii="Times New Roman" w:hAnsi="Times New Roman"/>
          <w:color w:val="000000"/>
          <w:szCs w:val="24"/>
          <w:highlight w:val="none"/>
        </w:rPr>
        <w:t>）原则上不对系统许可（license）做限制。</w:t>
      </w:r>
    </w:p>
    <w:p w14:paraId="1E695E23">
      <w:pP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rPr>
        <w:t>1</w:t>
      </w:r>
      <w:r>
        <w:rPr>
          <w:rFonts w:ascii="Times New Roman" w:hAnsi="Times New Roman"/>
          <w:color w:val="000000"/>
          <w:szCs w:val="24"/>
          <w:highlight w:val="none"/>
        </w:rPr>
        <w:t>0</w:t>
      </w:r>
      <w:r>
        <w:rPr>
          <w:rFonts w:hint="eastAsia" w:ascii="Times New Roman" w:hAnsi="Times New Roman"/>
          <w:color w:val="000000"/>
          <w:szCs w:val="24"/>
          <w:highlight w:val="none"/>
        </w:rPr>
        <w:t>）参选人需提供完善的数据备份方案及备份机制</w:t>
      </w:r>
      <w:r>
        <w:rPr>
          <w:rFonts w:hint="eastAsia" w:ascii="Times New Roman" w:hAnsi="Times New Roman"/>
          <w:color w:val="000000"/>
          <w:szCs w:val="24"/>
          <w:highlight w:val="none"/>
          <w:lang w:eastAsia="zh-CN"/>
        </w:rPr>
        <w:t>【</w:t>
      </w:r>
      <w:r>
        <w:rPr>
          <w:rFonts w:hint="eastAsia" w:ascii="Times New Roman" w:hAnsi="Times New Roman"/>
          <w:color w:val="000000"/>
          <w:szCs w:val="24"/>
          <w:highlight w:val="none"/>
          <w:lang w:val="en-US" w:eastAsia="zh-CN"/>
        </w:rPr>
        <w:t>提交</w:t>
      </w:r>
      <w:r>
        <w:rPr>
          <w:rFonts w:hint="eastAsia" w:ascii="Times New Roman" w:hAnsi="Times New Roman"/>
          <w:color w:val="000000"/>
          <w:szCs w:val="24"/>
          <w:highlight w:val="none"/>
        </w:rPr>
        <w:t>数据备份方案</w:t>
      </w:r>
      <w:r>
        <w:rPr>
          <w:rFonts w:hint="eastAsia" w:ascii="Times New Roman" w:hAnsi="Times New Roman"/>
          <w:color w:val="000000"/>
          <w:szCs w:val="24"/>
          <w:highlight w:val="none"/>
          <w:lang w:eastAsia="zh-CN"/>
        </w:rPr>
        <w:t>】</w:t>
      </w:r>
      <w:r>
        <w:rPr>
          <w:rFonts w:hint="eastAsia" w:ascii="Times New Roman" w:hAnsi="Times New Roman"/>
          <w:color w:val="000000"/>
          <w:szCs w:val="24"/>
          <w:highlight w:val="none"/>
        </w:rPr>
        <w:t>。</w:t>
      </w:r>
    </w:p>
    <w:p w14:paraId="1B9C561E">
      <w:pPr>
        <w:rPr>
          <w:rFonts w:ascii="Times New Roman" w:hAnsi="Times New Roman"/>
          <w:color w:val="FF0000"/>
          <w:szCs w:val="24"/>
          <w:highlight w:val="none"/>
        </w:rPr>
      </w:pPr>
      <w:r>
        <w:rPr>
          <w:rFonts w:hint="eastAsia" w:ascii="Times New Roman" w:hAnsi="Times New Roman"/>
          <w:szCs w:val="24"/>
          <w:highlight w:val="none"/>
        </w:rPr>
        <w:t>1</w:t>
      </w:r>
      <w:r>
        <w:rPr>
          <w:rFonts w:ascii="Times New Roman" w:hAnsi="Times New Roman"/>
          <w:szCs w:val="24"/>
          <w:highlight w:val="none"/>
        </w:rPr>
        <w:t>1</w:t>
      </w:r>
      <w:r>
        <w:rPr>
          <w:rFonts w:hint="eastAsia" w:ascii="Times New Roman" w:hAnsi="Times New Roman"/>
          <w:szCs w:val="24"/>
          <w:highlight w:val="none"/>
        </w:rPr>
        <w:t>）技术RTO（恢复时间目标）：</w:t>
      </w:r>
      <w:r>
        <w:rPr>
          <w:rFonts w:ascii="Times New Roman" w:hAnsi="Times New Roman"/>
          <w:szCs w:val="24"/>
          <w:highlight w:val="none"/>
        </w:rPr>
        <w:t>3</w:t>
      </w:r>
      <w:r>
        <w:rPr>
          <w:rFonts w:hint="eastAsia" w:ascii="Times New Roman" w:hAnsi="Times New Roman"/>
          <w:szCs w:val="24"/>
          <w:highlight w:val="none"/>
        </w:rPr>
        <w:t>小时；技术RPO（恢复时间点目标）：</w:t>
      </w:r>
      <w:r>
        <w:rPr>
          <w:rFonts w:ascii="Times New Roman" w:hAnsi="Times New Roman"/>
          <w:szCs w:val="24"/>
          <w:highlight w:val="none"/>
        </w:rPr>
        <w:t>0.5</w:t>
      </w:r>
      <w:r>
        <w:rPr>
          <w:rFonts w:hint="eastAsia" w:ascii="Times New Roman" w:hAnsi="Times New Roman"/>
          <w:szCs w:val="24"/>
          <w:highlight w:val="none"/>
        </w:rPr>
        <w:t>小时。</w:t>
      </w:r>
    </w:p>
    <w:p w14:paraId="6AF3C003">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2</w:t>
      </w:r>
      <w:r>
        <w:rPr>
          <w:rFonts w:hint="eastAsia" w:ascii="Times New Roman" w:hAnsi="Times New Roman"/>
          <w:color w:val="000000"/>
          <w:szCs w:val="24"/>
          <w:highlight w:val="none"/>
        </w:rPr>
        <w:t>）禁止应用软件部署使用的安装码或授权码与其运行的基础环境（如：硬盘序列号、CPU序列号或网卡序列号等）进行绑定。</w:t>
      </w:r>
    </w:p>
    <w:p w14:paraId="69BA0749">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3</w:t>
      </w:r>
      <w:r>
        <w:rPr>
          <w:rFonts w:hint="eastAsia" w:ascii="Times New Roman" w:hAnsi="Times New Roman"/>
          <w:color w:val="000000"/>
          <w:szCs w:val="24"/>
          <w:highlight w:val="none"/>
        </w:rPr>
        <w:t>）系统在集群部署共享文件访问时使用对象存储（不得使用NAS）</w:t>
      </w:r>
      <w:r>
        <w:rPr>
          <w:rFonts w:ascii="Times New Roman" w:hAnsi="Times New Roman"/>
          <w:color w:val="000000"/>
          <w:szCs w:val="24"/>
          <w:highlight w:val="none"/>
        </w:rPr>
        <w:t>，若比选人架构存在特殊要求，此项不予考虑</w:t>
      </w:r>
      <w:r>
        <w:rPr>
          <w:rFonts w:hint="eastAsia" w:ascii="Times New Roman" w:hAnsi="Times New Roman"/>
          <w:color w:val="000000"/>
          <w:szCs w:val="24"/>
          <w:highlight w:val="none"/>
        </w:rPr>
        <w:t>。</w:t>
      </w:r>
    </w:p>
    <w:p w14:paraId="0C9C139E">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4</w:t>
      </w:r>
      <w:r>
        <w:rPr>
          <w:rFonts w:hint="eastAsia" w:ascii="Times New Roman" w:hAnsi="Times New Roman"/>
          <w:color w:val="000000"/>
          <w:szCs w:val="24"/>
          <w:highlight w:val="none"/>
        </w:rPr>
        <w:t>）满足国家保密标准及要求。</w:t>
      </w:r>
    </w:p>
    <w:p w14:paraId="275721E1">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5</w:t>
      </w:r>
      <w:r>
        <w:rPr>
          <w:rFonts w:hint="eastAsia" w:ascii="Times New Roman" w:hAnsi="Times New Roman"/>
          <w:color w:val="000000"/>
          <w:szCs w:val="24"/>
          <w:highlight w:val="none"/>
        </w:rPr>
        <w:t>）</w:t>
      </w:r>
      <w:r>
        <w:rPr>
          <w:rFonts w:hint="eastAsia" w:ascii="Times New Roman" w:hAnsi="Times New Roman" w:cs="Times New Roman"/>
          <w:szCs w:val="24"/>
          <w:highlight w:val="none"/>
        </w:rPr>
        <w:t>系统所使用技术需满足监管或</w:t>
      </w:r>
      <w:r>
        <w:rPr>
          <w:rFonts w:ascii="Times New Roman" w:hAnsi="Times New Roman" w:cs="Times New Roman"/>
          <w:szCs w:val="24"/>
          <w:highlight w:val="none"/>
        </w:rPr>
        <w:t>比选人</w:t>
      </w:r>
      <w:r>
        <w:rPr>
          <w:rFonts w:hint="eastAsia" w:ascii="Times New Roman" w:hAnsi="Times New Roman" w:cs="Times New Roman"/>
          <w:szCs w:val="24"/>
          <w:highlight w:val="none"/>
        </w:rPr>
        <w:t>安全要求，并对不符合安全标准的内容进行维护。</w:t>
      </w:r>
    </w:p>
    <w:p w14:paraId="1651A6CE">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3.</w:t>
      </w:r>
      <w:r>
        <w:rPr>
          <w:rFonts w:hint="eastAsia" w:ascii="Times New Roman" w:hAnsi="Times New Roman"/>
          <w:highlight w:val="none"/>
        </w:rPr>
        <w:t>测试要求</w:t>
      </w:r>
    </w:p>
    <w:p w14:paraId="3CCEE666">
      <w:pPr>
        <w:spacing w:line="360" w:lineRule="auto"/>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选人应负责系统的单元</w:t>
      </w:r>
      <w:r>
        <w:rPr>
          <w:rFonts w:hint="eastAsia" w:ascii="Times New Roman" w:hAnsi="Times New Roman"/>
          <w:strike w:val="0"/>
          <w:dstrike w:val="0"/>
          <w:color w:val="000000"/>
          <w:szCs w:val="24"/>
          <w:highlight w:val="none"/>
          <w:lang w:eastAsia="zh-CN"/>
        </w:rPr>
        <w:t>和</w:t>
      </w:r>
      <w:r>
        <w:rPr>
          <w:rFonts w:hint="eastAsia" w:ascii="Times New Roman" w:hAnsi="Times New Roman"/>
          <w:strike w:val="0"/>
          <w:dstrike w:val="0"/>
          <w:color w:val="000000"/>
          <w:szCs w:val="24"/>
          <w:highlight w:val="none"/>
        </w:rPr>
        <w:t>集成测试</w:t>
      </w:r>
      <w:r>
        <w:rPr>
          <w:rFonts w:ascii="Times New Roman" w:hAnsi="Times New Roman"/>
          <w:color w:val="000000"/>
          <w:szCs w:val="24"/>
          <w:highlight w:val="none"/>
        </w:rPr>
        <w:t>，提交完整的测试案例及达到准出标准的单元</w:t>
      </w:r>
      <w:r>
        <w:rPr>
          <w:rFonts w:hint="eastAsia" w:ascii="Times New Roman" w:hAnsi="Times New Roman"/>
          <w:strike w:val="0"/>
          <w:dstrike w:val="0"/>
          <w:color w:val="000000"/>
          <w:szCs w:val="24"/>
          <w:highlight w:val="none"/>
          <w:lang w:eastAsia="zh-CN"/>
        </w:rPr>
        <w:t>和</w:t>
      </w:r>
      <w:r>
        <w:rPr>
          <w:rFonts w:hint="eastAsia" w:ascii="Times New Roman" w:hAnsi="Times New Roman"/>
          <w:strike w:val="0"/>
          <w:dstrike w:val="0"/>
          <w:color w:val="000000"/>
          <w:szCs w:val="24"/>
          <w:highlight w:val="none"/>
        </w:rPr>
        <w:t>集成</w:t>
      </w:r>
      <w:r>
        <w:rPr>
          <w:rFonts w:ascii="Times New Roman" w:hAnsi="Times New Roman"/>
          <w:color w:val="000000"/>
          <w:szCs w:val="24"/>
          <w:highlight w:val="none"/>
        </w:rPr>
        <w:t>测试报告。</w:t>
      </w:r>
    </w:p>
    <w:p w14:paraId="71374D33">
      <w:pPr>
        <w:spacing w:line="360" w:lineRule="auto"/>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选人应提供专职的性能测试负责人及性能测试人员进行系统的性能测试，提交满足系统性能指标的性能测试报告。</w:t>
      </w:r>
    </w:p>
    <w:p w14:paraId="663DF662">
      <w:pPr>
        <w:spacing w:line="360" w:lineRule="auto"/>
        <w:rPr>
          <w:rFonts w:ascii="Times New Roman" w:hAnsi="Times New Roman"/>
          <w:color w:val="000000"/>
          <w:szCs w:val="24"/>
          <w:highlight w:val="none"/>
        </w:rPr>
      </w:pPr>
      <w:r>
        <w:rPr>
          <w:rFonts w:ascii="Times New Roman" w:hAnsi="Times New Roman"/>
          <w:color w:val="000000"/>
          <w:szCs w:val="24"/>
          <w:highlight w:val="none"/>
        </w:rPr>
        <w:t>3</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选人应指派专职的测试项目经理及项目成员进行系统测试，参照</w:t>
      </w:r>
      <w:r>
        <w:rPr>
          <w:rFonts w:hint="eastAsia" w:ascii="Times New Roman" w:hAnsi="Times New Roman"/>
          <w:color w:val="000000"/>
          <w:szCs w:val="24"/>
          <w:highlight w:val="none"/>
        </w:rPr>
        <w:t>比选人</w:t>
      </w:r>
      <w:r>
        <w:rPr>
          <w:rFonts w:ascii="Times New Roman" w:hAnsi="Times New Roman"/>
          <w:color w:val="000000"/>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7"/>
        <w:gridCol w:w="6893"/>
      </w:tblGrid>
      <w:tr w14:paraId="433FA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815541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系统测试准入准出标准</w:t>
            </w:r>
          </w:p>
        </w:tc>
      </w:tr>
      <w:tr w14:paraId="1C6A6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BD4EAA9">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一、系统测试准入标准</w:t>
            </w:r>
          </w:p>
        </w:tc>
      </w:tr>
      <w:tr w14:paraId="68739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7C24E42">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阶段</w:t>
            </w:r>
          </w:p>
        </w:tc>
        <w:tc>
          <w:tcPr>
            <w:tcW w:w="6889" w:type="dxa"/>
            <w:shd w:val="clear" w:color="auto" w:fill="auto"/>
            <w:vAlign w:val="center"/>
          </w:tcPr>
          <w:p w14:paraId="4581E3F9">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准入条件</w:t>
            </w:r>
          </w:p>
        </w:tc>
      </w:tr>
      <w:tr w14:paraId="1C3CB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6C427F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计划阶段</w:t>
            </w:r>
          </w:p>
        </w:tc>
        <w:tc>
          <w:tcPr>
            <w:tcW w:w="6889" w:type="dxa"/>
            <w:shd w:val="clear" w:color="auto" w:fill="auto"/>
            <w:vAlign w:val="center"/>
          </w:tcPr>
          <w:p w14:paraId="17DA0C4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开发项目在立项之初应提交纸质测试服务申请单给测试负责人</w:t>
            </w:r>
          </w:p>
        </w:tc>
      </w:tr>
      <w:tr w14:paraId="1BA1C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828E50A">
            <w:pPr>
              <w:rPr>
                <w:highlight w:val="none"/>
              </w:rPr>
            </w:pPr>
          </w:p>
        </w:tc>
        <w:tc>
          <w:tcPr>
            <w:tcW w:w="6889" w:type="dxa"/>
            <w:shd w:val="clear" w:color="auto" w:fill="auto"/>
            <w:vAlign w:val="center"/>
          </w:tcPr>
          <w:p w14:paraId="16D629C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开发项目整体项目计划必须包含系统测试计划或系统测试计划时间</w:t>
            </w:r>
          </w:p>
        </w:tc>
      </w:tr>
      <w:tr w14:paraId="42057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1B49B82">
            <w:pPr>
              <w:rPr>
                <w:highlight w:val="none"/>
              </w:rPr>
            </w:pPr>
          </w:p>
        </w:tc>
        <w:tc>
          <w:tcPr>
            <w:tcW w:w="6889" w:type="dxa"/>
            <w:shd w:val="clear" w:color="auto" w:fill="auto"/>
            <w:vAlign w:val="center"/>
          </w:tcPr>
          <w:p w14:paraId="5E07558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测试方要求的需求说明书及相关说明书已经通过评审，并形成终稿；文档包括但不限于：业务需求、需求说明书、系统原型、概要设计（可选）、用户手册（可选）</w:t>
            </w:r>
          </w:p>
        </w:tc>
      </w:tr>
      <w:tr w14:paraId="28EF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A6FEFD7">
            <w:pPr>
              <w:rPr>
                <w:highlight w:val="none"/>
              </w:rPr>
            </w:pPr>
          </w:p>
        </w:tc>
        <w:tc>
          <w:tcPr>
            <w:tcW w:w="6889" w:type="dxa"/>
            <w:shd w:val="clear" w:color="auto" w:fill="auto"/>
            <w:vAlign w:val="center"/>
          </w:tcPr>
          <w:p w14:paraId="36A85A5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变更影响范围是否提供</w:t>
            </w:r>
          </w:p>
        </w:tc>
      </w:tr>
      <w:tr w14:paraId="3BDF1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7E174F6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执行阶段</w:t>
            </w:r>
          </w:p>
        </w:tc>
        <w:tc>
          <w:tcPr>
            <w:tcW w:w="6889" w:type="dxa"/>
            <w:shd w:val="clear" w:color="auto" w:fill="auto"/>
            <w:vAlign w:val="center"/>
          </w:tcPr>
          <w:p w14:paraId="1F6E67A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36DF5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C2DFA13">
            <w:pPr>
              <w:rPr>
                <w:highlight w:val="none"/>
              </w:rPr>
            </w:pPr>
          </w:p>
        </w:tc>
        <w:tc>
          <w:tcPr>
            <w:tcW w:w="6889" w:type="dxa"/>
            <w:shd w:val="clear" w:color="auto" w:fill="auto"/>
            <w:vAlign w:val="center"/>
          </w:tcPr>
          <w:p w14:paraId="1F71910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系统测试案例准备就绪（案例密度为35条/每功能点）</w:t>
            </w:r>
          </w:p>
        </w:tc>
      </w:tr>
      <w:tr w14:paraId="280B9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2" w:hRule="atLeast"/>
        </w:trPr>
        <w:tc>
          <w:tcPr>
            <w:tcW w:w="1296" w:type="dxa"/>
            <w:vMerge w:val="continue"/>
            <w:shd w:val="clear" w:color="auto" w:fill="auto"/>
            <w:vAlign w:val="center"/>
          </w:tcPr>
          <w:p w14:paraId="13D840B5">
            <w:pPr>
              <w:rPr>
                <w:highlight w:val="none"/>
              </w:rPr>
            </w:pPr>
          </w:p>
        </w:tc>
        <w:tc>
          <w:tcPr>
            <w:tcW w:w="6889" w:type="dxa"/>
            <w:shd w:val="clear" w:color="auto" w:fill="auto"/>
            <w:vAlign w:val="center"/>
          </w:tcPr>
          <w:p w14:paraId="4B1A305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测试环境准备就绪</w:t>
            </w:r>
          </w:p>
        </w:tc>
      </w:tr>
      <w:tr w14:paraId="76A81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vMerge w:val="continue"/>
            <w:shd w:val="clear" w:color="auto" w:fill="auto"/>
            <w:vAlign w:val="center"/>
          </w:tcPr>
          <w:p w14:paraId="3E55018B">
            <w:pPr>
              <w:rPr>
                <w:highlight w:val="none"/>
              </w:rPr>
            </w:pPr>
          </w:p>
        </w:tc>
        <w:tc>
          <w:tcPr>
            <w:tcW w:w="6889" w:type="dxa"/>
            <w:shd w:val="clear" w:color="auto" w:fill="auto"/>
            <w:vAlign w:val="center"/>
          </w:tcPr>
          <w:p w14:paraId="44E1215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测试版本能够成功部署到测试环境。（如果测试和开发处于同一环境，则在系统测试开始前应该按照开发提交的版本重新部署）</w:t>
            </w:r>
          </w:p>
        </w:tc>
      </w:tr>
      <w:tr w14:paraId="609A2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C53CC88">
            <w:pPr>
              <w:rPr>
                <w:highlight w:val="none"/>
              </w:rPr>
            </w:pPr>
          </w:p>
        </w:tc>
        <w:tc>
          <w:tcPr>
            <w:tcW w:w="6889" w:type="dxa"/>
            <w:shd w:val="clear" w:color="auto" w:fill="auto"/>
            <w:vAlign w:val="center"/>
          </w:tcPr>
          <w:p w14:paraId="268E203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冒烟测试达到通过标准（冒烟测试案例通过率大于90%，有效缺陷率不高于10%）</w:t>
            </w:r>
          </w:p>
        </w:tc>
      </w:tr>
      <w:tr w14:paraId="47DDC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C6CAA30">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二、暂停/继续标准：满足下列之一的条件并由项目组审核同意，测试可以暂停</w:t>
            </w:r>
          </w:p>
        </w:tc>
      </w:tr>
      <w:tr w14:paraId="608C9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9165266">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259E889B">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暂停条件</w:t>
            </w:r>
          </w:p>
        </w:tc>
      </w:tr>
      <w:tr w14:paraId="2A328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C7DB67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21A947D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由于程序、环境原因导致测试无法进行</w:t>
            </w:r>
          </w:p>
        </w:tc>
      </w:tr>
      <w:tr w14:paraId="1B14B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64D39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6EBBAC1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项目暂停，已无测试必要</w:t>
            </w:r>
          </w:p>
        </w:tc>
      </w:tr>
      <w:tr w14:paraId="48852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22A416">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3</w:t>
            </w:r>
          </w:p>
        </w:tc>
        <w:tc>
          <w:tcPr>
            <w:tcW w:w="6889" w:type="dxa"/>
            <w:shd w:val="clear" w:color="auto" w:fill="auto"/>
            <w:vAlign w:val="center"/>
          </w:tcPr>
          <w:p w14:paraId="63CDC26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测试需求稳定指数小于70%，则暂停测试执行</w:t>
            </w:r>
          </w:p>
        </w:tc>
      </w:tr>
      <w:tr w14:paraId="267D1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3E218490">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4</w:t>
            </w:r>
          </w:p>
        </w:tc>
        <w:tc>
          <w:tcPr>
            <w:tcW w:w="6889" w:type="dxa"/>
            <w:shd w:val="clear" w:color="auto" w:fill="auto"/>
            <w:vAlign w:val="center"/>
          </w:tcPr>
          <w:p w14:paraId="0060F53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每个里程碑节点或执行轮次案例执行通过率低于60%，则暂停测试执行</w:t>
            </w:r>
          </w:p>
        </w:tc>
      </w:tr>
      <w:tr w14:paraId="20062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6F823C9">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5</w:t>
            </w:r>
          </w:p>
        </w:tc>
        <w:tc>
          <w:tcPr>
            <w:tcW w:w="6889" w:type="dxa"/>
            <w:shd w:val="clear" w:color="auto" w:fill="auto"/>
            <w:vAlign w:val="center"/>
          </w:tcPr>
          <w:p w14:paraId="3267264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每个里程碑节点或执行轮次缺陷解决率低于50%，则暂停测试执行</w:t>
            </w:r>
          </w:p>
        </w:tc>
      </w:tr>
      <w:tr w14:paraId="1FB42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15FDCA7">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6</w:t>
            </w:r>
          </w:p>
        </w:tc>
        <w:tc>
          <w:tcPr>
            <w:tcW w:w="6889" w:type="dxa"/>
            <w:shd w:val="clear" w:color="auto" w:fill="auto"/>
            <w:vAlign w:val="center"/>
          </w:tcPr>
          <w:p w14:paraId="0311C89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每个里程碑节点或执行轮次缺陷的案例命中率大于25%，则暂停测试执行</w:t>
            </w:r>
          </w:p>
        </w:tc>
      </w:tr>
      <w:tr w14:paraId="54A7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01E4A18">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7</w:t>
            </w:r>
          </w:p>
        </w:tc>
        <w:tc>
          <w:tcPr>
            <w:tcW w:w="6889" w:type="dxa"/>
            <w:shd w:val="clear" w:color="auto" w:fill="auto"/>
            <w:vAlign w:val="center"/>
          </w:tcPr>
          <w:p w14:paraId="0E66370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每个里程碑节点或执行轮次严重以上缺陷占比大于35%，则暂停测试执行</w:t>
            </w:r>
          </w:p>
        </w:tc>
      </w:tr>
      <w:tr w14:paraId="4E0CE1BA">
        <w:tblPrEx>
          <w:tblCellMar>
            <w:top w:w="0" w:type="dxa"/>
            <w:left w:w="108" w:type="dxa"/>
            <w:bottom w:w="0" w:type="dxa"/>
            <w:right w:w="108" w:type="dxa"/>
          </w:tblCellMar>
        </w:tblPrEx>
        <w:trPr>
          <w:trHeight w:val="285" w:hRule="atLeast"/>
        </w:trPr>
        <w:tc>
          <w:tcPr>
            <w:tcW w:w="1296" w:type="dxa"/>
            <w:shd w:val="clear" w:color="auto" w:fill="auto"/>
            <w:vAlign w:val="center"/>
          </w:tcPr>
          <w:p w14:paraId="7FA7D12E">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8</w:t>
            </w:r>
          </w:p>
        </w:tc>
        <w:tc>
          <w:tcPr>
            <w:tcW w:w="6889" w:type="dxa"/>
            <w:shd w:val="clear" w:color="auto" w:fill="auto"/>
            <w:vAlign w:val="center"/>
          </w:tcPr>
          <w:p w14:paraId="14E88F3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测试环境、测试数据、测试人员等等测试必备条件不再具备或发生变化导致测试不能进行，则暂停测试执行</w:t>
            </w:r>
          </w:p>
        </w:tc>
      </w:tr>
      <w:tr w14:paraId="777DB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F306119">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9</w:t>
            </w:r>
          </w:p>
        </w:tc>
        <w:tc>
          <w:tcPr>
            <w:tcW w:w="6889" w:type="dxa"/>
            <w:shd w:val="clear" w:color="auto" w:fill="auto"/>
            <w:vAlign w:val="center"/>
          </w:tcPr>
          <w:p w14:paraId="05769FA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项目组确定的可以暂停的其他条件</w:t>
            </w:r>
          </w:p>
        </w:tc>
      </w:tr>
      <w:tr w14:paraId="2148C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B14CB17">
            <w:pPr>
              <w:spacing w:line="240" w:lineRule="auto"/>
              <w:ind w:firstLine="0" w:firstLineChars="0"/>
              <w:jc w:val="center"/>
              <w:rPr>
                <w:rFonts w:hint="default" w:ascii="Times New Roman" w:hAnsi="Times New Roman" w:eastAsia="宋体"/>
                <w:color w:val="000000"/>
                <w:szCs w:val="24"/>
                <w:highlight w:val="none"/>
                <w:lang w:val="en-US" w:eastAsia="zh-CN"/>
              </w:rPr>
            </w:pPr>
            <w:r>
              <w:rPr>
                <w:rFonts w:hint="eastAsia" w:ascii="Times New Roman" w:hAnsi="Times New Roman"/>
                <w:color w:val="000000"/>
                <w:szCs w:val="24"/>
                <w:highlight w:val="none"/>
                <w:lang w:val="en-US" w:eastAsia="zh-CN"/>
              </w:rPr>
              <w:t>10</w:t>
            </w:r>
          </w:p>
        </w:tc>
        <w:tc>
          <w:tcPr>
            <w:tcW w:w="6889" w:type="dxa"/>
            <w:shd w:val="clear" w:color="auto" w:fill="auto"/>
            <w:vAlign w:val="center"/>
          </w:tcPr>
          <w:p w14:paraId="5CDDD98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恢复以上的条件并由项目组审核同意，测试可以继续</w:t>
            </w:r>
          </w:p>
        </w:tc>
      </w:tr>
      <w:tr w14:paraId="69AE5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A4D0AF6">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三、系统测试准出标准：同时满足以下条件，系统测试完成</w:t>
            </w:r>
          </w:p>
        </w:tc>
      </w:tr>
      <w:tr w14:paraId="3C8C7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E71FE79">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45DA837C">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准出条件</w:t>
            </w:r>
          </w:p>
        </w:tc>
      </w:tr>
      <w:tr w14:paraId="26D4F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C461C0B">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1C4196B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测试需求覆盖率达到100%，测试案例覆盖度100%</w:t>
            </w:r>
          </w:p>
        </w:tc>
      </w:tr>
      <w:tr w14:paraId="621CB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1914DE1">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679C80D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测试案例执行率达到100%，测试通过率95%</w:t>
            </w:r>
          </w:p>
        </w:tc>
      </w:tr>
      <w:tr w14:paraId="047B4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0ED5BD56">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3</w:t>
            </w:r>
          </w:p>
        </w:tc>
        <w:tc>
          <w:tcPr>
            <w:tcW w:w="6889" w:type="dxa"/>
            <w:shd w:val="clear" w:color="auto" w:fill="auto"/>
            <w:vAlign w:val="center"/>
          </w:tcPr>
          <w:p w14:paraId="7E68B2B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缺陷修复率达到95%</w:t>
            </w:r>
          </w:p>
        </w:tc>
      </w:tr>
      <w:tr w14:paraId="7CC4C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67CAEA">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0BC75D2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致命缺陷、严重缺陷解决率达到100%</w:t>
            </w:r>
          </w:p>
        </w:tc>
      </w:tr>
      <w:tr w14:paraId="0F593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E02BAB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21E32D5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一般缺陷、微小缺陷解决率达到90%以上，建议缺陷解决率达到80%以上，且未解决缺陷得项目组认可</w:t>
            </w:r>
          </w:p>
        </w:tc>
      </w:tr>
      <w:tr w14:paraId="607F5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215555B">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3894BB6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提交系统测试报告及通过评审</w:t>
            </w:r>
          </w:p>
        </w:tc>
      </w:tr>
      <w:tr w14:paraId="759FD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47577CA">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四、测试指标公式附录</w:t>
            </w:r>
          </w:p>
        </w:tc>
      </w:tr>
      <w:tr w14:paraId="097B6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F7AEC0D">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TPI</w:t>
            </w:r>
          </w:p>
        </w:tc>
        <w:tc>
          <w:tcPr>
            <w:tcW w:w="6889" w:type="dxa"/>
            <w:shd w:val="clear" w:color="auto" w:fill="auto"/>
            <w:vAlign w:val="center"/>
          </w:tcPr>
          <w:p w14:paraId="16F8F71A">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公式</w:t>
            </w:r>
          </w:p>
        </w:tc>
      </w:tr>
      <w:tr w14:paraId="6587D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45EC0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w:t>
            </w:r>
          </w:p>
        </w:tc>
        <w:tc>
          <w:tcPr>
            <w:tcW w:w="6889" w:type="dxa"/>
            <w:shd w:val="clear" w:color="auto" w:fill="auto"/>
            <w:vAlign w:val="center"/>
          </w:tcPr>
          <w:p w14:paraId="3BCF355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测试需求覆盖点/软件需求功能点</w:t>
            </w:r>
          </w:p>
        </w:tc>
      </w:tr>
      <w:tr w14:paraId="55FD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372810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有效案例总数</w:t>
            </w:r>
          </w:p>
        </w:tc>
        <w:tc>
          <w:tcPr>
            <w:tcW w:w="6889" w:type="dxa"/>
            <w:shd w:val="clear" w:color="auto" w:fill="auto"/>
            <w:vAlign w:val="center"/>
          </w:tcPr>
          <w:p w14:paraId="139009E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案例总数-无效案例总数</w:t>
            </w:r>
          </w:p>
        </w:tc>
      </w:tr>
      <w:tr w14:paraId="77E65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25658C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w:t>
            </w:r>
          </w:p>
        </w:tc>
        <w:tc>
          <w:tcPr>
            <w:tcW w:w="6889" w:type="dxa"/>
            <w:shd w:val="clear" w:color="auto" w:fill="auto"/>
            <w:vAlign w:val="center"/>
          </w:tcPr>
          <w:p w14:paraId="44D3D48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缺陷总数-无效缺陷总数-伪缺陷总数</w:t>
            </w:r>
          </w:p>
        </w:tc>
      </w:tr>
      <w:tr w14:paraId="5CC19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AAC2E8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w:t>
            </w:r>
          </w:p>
        </w:tc>
        <w:tc>
          <w:tcPr>
            <w:tcW w:w="6889" w:type="dxa"/>
            <w:shd w:val="clear" w:color="auto" w:fill="auto"/>
            <w:vAlign w:val="center"/>
          </w:tcPr>
          <w:p w14:paraId="03259B3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严重及致命缺陷总数-无效的严重及致命缺陷总数</w:t>
            </w:r>
          </w:p>
        </w:tc>
      </w:tr>
      <w:tr w14:paraId="6925A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2CAF9D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案例执行率</w:t>
            </w:r>
          </w:p>
        </w:tc>
        <w:tc>
          <w:tcPr>
            <w:tcW w:w="6889" w:type="dxa"/>
            <w:shd w:val="clear" w:color="auto" w:fill="auto"/>
            <w:vAlign w:val="center"/>
          </w:tcPr>
          <w:p w14:paraId="50248C0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每轮执行案例数/每轮计划执行的案例个数</w:t>
            </w:r>
          </w:p>
        </w:tc>
      </w:tr>
      <w:tr w14:paraId="0FEDF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6312B3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需求稳定指数</w:t>
            </w:r>
          </w:p>
        </w:tc>
        <w:tc>
          <w:tcPr>
            <w:tcW w:w="6889" w:type="dxa"/>
            <w:shd w:val="clear" w:color="auto" w:fill="auto"/>
            <w:vAlign w:val="center"/>
          </w:tcPr>
          <w:p w14:paraId="32288EC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（测试需求分析中规则数量-业务需求因素引起变更的测试需求规则数-开发因素引起变更的测试需求规则数）/测试需求分析中规则数量</w:t>
            </w:r>
          </w:p>
        </w:tc>
      </w:tr>
      <w:tr w14:paraId="7415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54FDD5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案例执行通过率</w:t>
            </w:r>
          </w:p>
        </w:tc>
        <w:tc>
          <w:tcPr>
            <w:tcW w:w="6889" w:type="dxa"/>
            <w:shd w:val="clear" w:color="auto" w:fill="auto"/>
            <w:vAlign w:val="center"/>
          </w:tcPr>
          <w:p w14:paraId="280373F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每轮执行通过的案例个数/每轮执行案例数</w:t>
            </w:r>
          </w:p>
        </w:tc>
      </w:tr>
      <w:tr w14:paraId="0DAA3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4F9C9C1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缺陷的案例命中率</w:t>
            </w:r>
          </w:p>
        </w:tc>
        <w:tc>
          <w:tcPr>
            <w:tcW w:w="6889" w:type="dxa"/>
            <w:shd w:val="clear" w:color="auto" w:fill="auto"/>
            <w:vAlign w:val="bottom"/>
          </w:tcPr>
          <w:p w14:paraId="151B308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有效缺陷总数/有效案例总数</w:t>
            </w:r>
          </w:p>
        </w:tc>
      </w:tr>
      <w:tr w14:paraId="29CFE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0BC8319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严重以上缺陷占比</w:t>
            </w:r>
          </w:p>
        </w:tc>
        <w:tc>
          <w:tcPr>
            <w:tcW w:w="6889" w:type="dxa"/>
            <w:shd w:val="clear" w:color="auto" w:fill="auto"/>
            <w:vAlign w:val="bottom"/>
          </w:tcPr>
          <w:p w14:paraId="749EF5F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严重以上缺陷总数/有效缺陷总数</w:t>
            </w:r>
          </w:p>
        </w:tc>
      </w:tr>
      <w:tr w14:paraId="317FF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45837B7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缺陷解决率</w:t>
            </w:r>
          </w:p>
        </w:tc>
        <w:tc>
          <w:tcPr>
            <w:tcW w:w="6889" w:type="dxa"/>
            <w:shd w:val="clear" w:color="auto" w:fill="auto"/>
            <w:vAlign w:val="bottom"/>
          </w:tcPr>
          <w:p w14:paraId="2867F64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关闭缺陷总数/有效缺陷总数</w:t>
            </w:r>
          </w:p>
        </w:tc>
      </w:tr>
    </w:tbl>
    <w:p w14:paraId="1246588B">
      <w:pPr>
        <w:rPr>
          <w:rFonts w:ascii="Times New Roman" w:hAnsi="Times New Roman"/>
          <w:color w:val="000000"/>
          <w:highlight w:val="none"/>
        </w:rPr>
      </w:pPr>
    </w:p>
    <w:p w14:paraId="280E3E26">
      <w:pPr>
        <w:pStyle w:val="3"/>
        <w:numPr>
          <w:ilvl w:val="0"/>
          <w:numId w:val="0"/>
        </w:numPr>
        <w:ind w:left="360" w:leftChars="0" w:hanging="360" w:firstLineChars="0"/>
        <w:rPr>
          <w:rFonts w:ascii="Times New Roman" w:hAnsi="Times New Roman"/>
          <w:color w:val="000000"/>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4.</w:t>
      </w:r>
      <w:r>
        <w:rPr>
          <w:rFonts w:hint="eastAsia" w:ascii="Times New Roman" w:hAnsi="Times New Roman" w:cs="Cambria"/>
          <w:bCs w:val="0"/>
          <w:color w:val="000000"/>
          <w:highlight w:val="none"/>
        </w:rPr>
        <w:t>人员要求</w:t>
      </w:r>
    </w:p>
    <w:p w14:paraId="11FC912C">
      <w:pPr>
        <w:tabs>
          <w:tab w:val="left" w:pos="-111"/>
        </w:tabs>
        <w:snapToGrid w:val="0"/>
        <w:spacing w:line="360" w:lineRule="auto"/>
        <w:rPr>
          <w:rFonts w:hint="eastAsia" w:ascii="Times New Roman" w:hAnsi="Times New Roman" w:eastAsia="宋体" w:cs="Cambria"/>
          <w:b/>
          <w:szCs w:val="24"/>
          <w:highlight w:val="none"/>
          <w:lang w:eastAsia="zh-CN"/>
        </w:rPr>
      </w:pPr>
      <w:bookmarkStart w:id="41" w:name="_Toc89675142"/>
      <w:r>
        <w:rPr>
          <w:rFonts w:ascii="Times New Roman" w:hAnsi="Times New Roman"/>
          <w:highlight w:val="none"/>
        </w:rPr>
        <w:t>1</w:t>
      </w:r>
      <w:r>
        <w:rPr>
          <w:rFonts w:hint="eastAsia" w:ascii="Times New Roman" w:hAnsi="Times New Roman"/>
          <w:highlight w:val="none"/>
        </w:rPr>
        <w:t>）</w:t>
      </w:r>
      <w:r>
        <w:rPr>
          <w:rFonts w:ascii="Times New Roman" w:hAnsi="Times New Roman"/>
          <w:highlight w:val="none"/>
        </w:rPr>
        <w:t>参选</w:t>
      </w:r>
      <w:r>
        <w:rPr>
          <w:rFonts w:hint="eastAsia" w:ascii="Times New Roman" w:hAnsi="Times New Roman"/>
          <w:highlight w:val="none"/>
        </w:rPr>
        <w:t>人应承诺未征得我行书面同意的情况下不得更换项目成员</w:t>
      </w:r>
      <w:r>
        <w:rPr>
          <w:rFonts w:hint="eastAsia" w:ascii="Times New Roman" w:hAnsi="Times New Roman"/>
          <w:highlight w:val="none"/>
          <w:lang w:eastAsia="zh-CN"/>
        </w:rPr>
        <w:t>，</w:t>
      </w:r>
      <w:r>
        <w:rPr>
          <w:rFonts w:hint="eastAsia" w:ascii="Times New Roman" w:hAnsi="Times New Roman"/>
          <w:highlight w:val="none"/>
          <w:lang w:val="en-US" w:eastAsia="zh-CN"/>
        </w:rPr>
        <w:t>项目组成员必须与比选资料中提供的人员一致，否则视为丧失参选资格。</w:t>
      </w:r>
      <w:bookmarkEnd w:id="41"/>
      <w:r>
        <w:rPr>
          <w:rFonts w:hint="eastAsia" w:ascii="Times New Roman" w:hAnsi="Times New Roman"/>
          <w:highlight w:val="none"/>
          <w:lang w:val="en-US" w:eastAsia="zh-CN"/>
        </w:rPr>
        <w:t>若后续实施过程中发现参选人提供的人员信息存在虚假并低于人员使用要求，将视为合同违约，将以合同违约终止合同，并要求参选人按照合同进行赔偿。</w:t>
      </w:r>
      <w:r>
        <w:rPr>
          <w:rFonts w:hint="eastAsia" w:ascii="Times New Roman" w:hAnsi="Times New Roman"/>
          <w:highlight w:val="none"/>
          <w:lang w:eastAsia="zh-CN"/>
        </w:rPr>
        <w:t>【</w:t>
      </w:r>
      <w:r>
        <w:rPr>
          <w:rFonts w:hint="eastAsia" w:ascii="Times New Roman" w:hAnsi="Times New Roman"/>
          <w:highlight w:val="none"/>
          <w:lang w:val="en-US" w:eastAsia="zh-CN"/>
        </w:rPr>
        <w:t>提供响应承诺函，并对该条单独响应</w:t>
      </w:r>
      <w:r>
        <w:rPr>
          <w:rFonts w:hint="eastAsia" w:ascii="Times New Roman" w:hAnsi="Times New Roman"/>
          <w:highlight w:val="none"/>
          <w:lang w:eastAsia="zh-CN"/>
        </w:rPr>
        <w:t>】</w:t>
      </w:r>
    </w:p>
    <w:p w14:paraId="0DAAF8E2">
      <w:pPr>
        <w:snapToGrid w:val="0"/>
        <w:spacing w:line="360" w:lineRule="auto"/>
        <w:rPr>
          <w:rFonts w:ascii="Times New Roman" w:hAnsi="Times New Roman"/>
          <w:color w:val="000000"/>
          <w:highlight w:val="none"/>
        </w:rPr>
      </w:pPr>
      <w:r>
        <w:rPr>
          <w:rFonts w:ascii="Times New Roman" w:hAnsi="Times New Roman"/>
          <w:highlight w:val="none"/>
        </w:rPr>
        <w:t>2</w:t>
      </w:r>
      <w:r>
        <w:rPr>
          <w:rFonts w:hint="eastAsia" w:ascii="Times New Roman" w:hAnsi="Times New Roman"/>
          <w:highlight w:val="none"/>
        </w:rPr>
        <w:t>）</w:t>
      </w:r>
      <w:r>
        <w:rPr>
          <w:rFonts w:hint="eastAsia" w:ascii="Times New Roman" w:hAnsi="Times New Roman"/>
          <w:snapToGrid w:val="0"/>
          <w:kern w:val="0"/>
          <w:szCs w:val="28"/>
          <w:highlight w:val="none"/>
        </w:rPr>
        <w:t>所有成员必须为</w:t>
      </w:r>
      <w:r>
        <w:rPr>
          <w:rFonts w:hint="eastAsia" w:ascii="Times New Roman" w:hAnsi="Times New Roman"/>
          <w:highlight w:val="none"/>
        </w:rPr>
        <w:t>参选人</w:t>
      </w:r>
      <w:r>
        <w:rPr>
          <w:rFonts w:hint="eastAsia" w:ascii="Times New Roman" w:hAnsi="Times New Roman"/>
          <w:snapToGrid w:val="0"/>
          <w:kern w:val="0"/>
          <w:szCs w:val="28"/>
          <w:highlight w:val="none"/>
        </w:rPr>
        <w:t>单位员工，</w:t>
      </w:r>
      <w:r>
        <w:rPr>
          <w:rFonts w:hint="eastAsia" w:ascii="Times New Roman" w:hAnsi="Times New Roman"/>
          <w:highlight w:val="none"/>
        </w:rPr>
        <w:t>参选人</w:t>
      </w:r>
      <w:r>
        <w:rPr>
          <w:rFonts w:hint="eastAsia" w:ascii="Times New Roman" w:hAnsi="Times New Roman"/>
          <w:snapToGrid w:val="0"/>
          <w:kern w:val="0"/>
          <w:szCs w:val="28"/>
          <w:highlight w:val="none"/>
        </w:rPr>
        <w:t>项目组成员须提供近半年公司为其缴纳社保的证明材料，不得外包其他单位员工。</w:t>
      </w:r>
      <w:r>
        <w:rPr>
          <w:rFonts w:ascii="Times New Roman" w:hAnsi="Times New Roman"/>
          <w:snapToGrid w:val="0"/>
          <w:kern w:val="0"/>
          <w:szCs w:val="28"/>
          <w:highlight w:val="none"/>
        </w:rPr>
        <w:t>（员工参保单位为参选人或委托第三方公司代缴，均认定有效；若员工社保委托第三方公司代缴，需提供代缴材料证明与第三方签订的合同或协议。）</w:t>
      </w:r>
      <w:r>
        <w:rPr>
          <w:rFonts w:hint="eastAsia" w:ascii="Times New Roman" w:hAnsi="Times New Roman" w:cs="Times New Roman"/>
          <w:b/>
          <w:snapToGrid w:val="0"/>
          <w:kern w:val="0"/>
          <w:szCs w:val="28"/>
          <w:highlight w:val="none"/>
        </w:rPr>
        <w:t>【</w:t>
      </w:r>
      <w:r>
        <w:rPr>
          <w:rFonts w:hint="eastAsia" w:ascii="Times New Roman" w:hAnsi="Times New Roman" w:cs="Times New Roman"/>
          <w:bCs/>
          <w:snapToGrid w:val="0"/>
          <w:kern w:val="0"/>
          <w:szCs w:val="28"/>
          <w:highlight w:val="none"/>
        </w:rPr>
        <w:t>提供</w:t>
      </w:r>
      <w:r>
        <w:rPr>
          <w:rFonts w:hint="eastAsia" w:ascii="Times New Roman" w:hAnsi="Times New Roman"/>
          <w:highlight w:val="none"/>
        </w:rPr>
        <w:t>近半年公司为项目组成员缴纳社保的证明材料</w:t>
      </w:r>
      <w:r>
        <w:rPr>
          <w:rFonts w:hint="eastAsia" w:ascii="Times New Roman" w:hAnsi="Times New Roman" w:cs="Times New Roman"/>
          <w:b/>
          <w:snapToGrid w:val="0"/>
          <w:kern w:val="0"/>
          <w:szCs w:val="28"/>
          <w:highlight w:val="none"/>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2236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1A01C08">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06F1AE71">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主导过</w:t>
            </w:r>
            <w:r>
              <w:rPr>
                <w:rFonts w:ascii="Times New Roman" w:hAnsi="Times New Roman" w:cs="Cambria"/>
                <w:color w:val="000000"/>
                <w:kern w:val="0"/>
                <w:highlight w:val="none"/>
              </w:rPr>
              <w:t>三</w:t>
            </w:r>
            <w:r>
              <w:rPr>
                <w:rFonts w:hint="eastAsia" w:ascii="Times New Roman" w:hAnsi="Times New Roman" w:cs="Cambria"/>
                <w:color w:val="000000"/>
                <w:kern w:val="0"/>
                <w:highlight w:val="none"/>
              </w:rPr>
              <w:t>个</w:t>
            </w:r>
            <w:r>
              <w:rPr>
                <w:rFonts w:ascii="Times New Roman" w:hAnsi="Times New Roman" w:cs="Cambria"/>
                <w:color w:val="000000"/>
                <w:kern w:val="0"/>
                <w:highlight w:val="none"/>
              </w:rPr>
              <w:t>及</w:t>
            </w:r>
            <w:r>
              <w:rPr>
                <w:rFonts w:hint="eastAsia" w:ascii="Times New Roman" w:hAnsi="Times New Roman" w:cs="Cambria"/>
                <w:color w:val="000000"/>
                <w:kern w:val="0"/>
                <w:highlight w:val="none"/>
              </w:rPr>
              <w:t>以上同类项目和具有</w:t>
            </w:r>
            <w:r>
              <w:rPr>
                <w:rFonts w:ascii="Times New Roman" w:hAnsi="Times New Roman" w:cs="Cambria"/>
                <w:color w:val="000000"/>
                <w:kern w:val="0"/>
                <w:highlight w:val="none"/>
              </w:rPr>
              <w:t>七</w:t>
            </w:r>
            <w:r>
              <w:rPr>
                <w:rFonts w:hint="eastAsia" w:ascii="Times New Roman" w:hAnsi="Times New Roman" w:cs="Cambria"/>
                <w:color w:val="000000"/>
                <w:kern w:val="0"/>
                <w:highlight w:val="none"/>
              </w:rPr>
              <w:t>年以上</w:t>
            </w:r>
            <w:r>
              <w:rPr>
                <w:rFonts w:ascii="Times New Roman" w:hAnsi="Times New Roman" w:cs="Cambria"/>
                <w:color w:val="000000"/>
                <w:kern w:val="0"/>
                <w:highlight w:val="none"/>
              </w:rPr>
              <w:t>支付系统</w:t>
            </w:r>
            <w:r>
              <w:rPr>
                <w:rFonts w:hint="eastAsia" w:ascii="Times New Roman" w:hAnsi="Times New Roman" w:cs="Cambria"/>
                <w:color w:val="000000"/>
                <w:kern w:val="0"/>
                <w:highlight w:val="none"/>
              </w:rPr>
              <w:t>项目经理工作经验</w:t>
            </w:r>
            <w:r>
              <w:rPr>
                <w:rFonts w:hint="eastAsia" w:ascii="Times New Roman" w:hAnsi="Times New Roman"/>
                <w:color w:val="000000"/>
                <w:highlight w:val="none"/>
              </w:rPr>
              <w:t>，具有独当一面的技术能力；直接对项目的实施负责，通过对工期、成本、质量的控制（包括总体制定、执行、跟踪、调整相关计划，协调项目可用资源），确保项目按要求完成。</w:t>
            </w:r>
          </w:p>
        </w:tc>
      </w:tr>
      <w:tr w14:paraId="0BC8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CB47FC6">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1FFB8C7A">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主导完成过</w:t>
            </w:r>
            <w:r>
              <w:rPr>
                <w:rFonts w:ascii="Times New Roman" w:hAnsi="Times New Roman" w:cs="Cambria"/>
                <w:color w:val="000000"/>
                <w:kern w:val="0"/>
                <w:highlight w:val="none"/>
              </w:rPr>
              <w:t>五</w:t>
            </w:r>
            <w:r>
              <w:rPr>
                <w:rFonts w:hint="eastAsia" w:ascii="Times New Roman" w:hAnsi="Times New Roman" w:cs="Cambria"/>
                <w:color w:val="000000"/>
                <w:kern w:val="0"/>
                <w:highlight w:val="none"/>
              </w:rPr>
              <w:t>个</w:t>
            </w:r>
            <w:r>
              <w:rPr>
                <w:rFonts w:ascii="Times New Roman" w:hAnsi="Times New Roman" w:cs="Cambria"/>
                <w:color w:val="000000"/>
                <w:kern w:val="0"/>
                <w:highlight w:val="none"/>
              </w:rPr>
              <w:t>及</w:t>
            </w:r>
            <w:r>
              <w:rPr>
                <w:rFonts w:hint="eastAsia" w:ascii="Times New Roman" w:hAnsi="Times New Roman" w:cs="Cambria"/>
                <w:color w:val="000000"/>
                <w:kern w:val="0"/>
                <w:highlight w:val="none"/>
              </w:rPr>
              <w:t>以上同类项目和具有</w:t>
            </w:r>
            <w:r>
              <w:rPr>
                <w:rFonts w:ascii="Times New Roman" w:hAnsi="Times New Roman" w:cs="Cambria"/>
                <w:color w:val="000000"/>
                <w:kern w:val="0"/>
                <w:highlight w:val="none"/>
              </w:rPr>
              <w:t>六</w:t>
            </w:r>
            <w:r>
              <w:rPr>
                <w:rFonts w:hint="eastAsia" w:ascii="Times New Roman" w:hAnsi="Times New Roman" w:cs="Cambria"/>
                <w:color w:val="000000"/>
                <w:kern w:val="0"/>
                <w:highlight w:val="none"/>
              </w:rPr>
              <w:t>年以上</w:t>
            </w:r>
            <w:r>
              <w:rPr>
                <w:rFonts w:ascii="Times New Roman" w:hAnsi="Times New Roman" w:cs="Cambria"/>
                <w:color w:val="000000"/>
                <w:kern w:val="0"/>
                <w:highlight w:val="none"/>
              </w:rPr>
              <w:t>支付系统</w:t>
            </w:r>
            <w:r>
              <w:rPr>
                <w:rFonts w:hint="eastAsia" w:ascii="Times New Roman" w:hAnsi="Times New Roman" w:cs="Cambria"/>
                <w:color w:val="000000"/>
                <w:kern w:val="0"/>
                <w:highlight w:val="none"/>
              </w:rPr>
              <w:t>工作经验</w:t>
            </w:r>
            <w:r>
              <w:rPr>
                <w:rFonts w:ascii="Times New Roman" w:hAnsi="Times New Roman" w:cs="Cambria"/>
                <w:color w:val="000000"/>
                <w:kern w:val="0"/>
                <w:highlight w:val="none"/>
              </w:rPr>
              <w:t>，熟练掌握</w:t>
            </w:r>
            <w:r>
              <w:rPr>
                <w:rFonts w:hint="eastAsia" w:ascii="Times New Roman" w:hAnsi="Times New Roman" w:cs="Cambria"/>
                <w:color w:val="000000"/>
                <w:kern w:val="0"/>
                <w:highlight w:val="none"/>
              </w:rPr>
              <w:t>需求分析</w:t>
            </w:r>
            <w:r>
              <w:rPr>
                <w:rFonts w:ascii="Times New Roman" w:hAnsi="Times New Roman" w:cs="Cambria"/>
                <w:color w:val="000000"/>
                <w:kern w:val="0"/>
                <w:highlight w:val="none"/>
              </w:rPr>
              <w:t>和</w:t>
            </w:r>
            <w:r>
              <w:rPr>
                <w:rFonts w:hint="eastAsia" w:ascii="Times New Roman" w:hAnsi="Times New Roman" w:cs="Cambria"/>
                <w:color w:val="000000"/>
                <w:kern w:val="0"/>
                <w:highlight w:val="none"/>
              </w:rPr>
              <w:t>设计</w:t>
            </w:r>
            <w:r>
              <w:rPr>
                <w:rFonts w:ascii="Times New Roman" w:hAnsi="Times New Roman" w:cs="Cambria"/>
                <w:color w:val="000000"/>
                <w:kern w:val="0"/>
                <w:highlight w:val="none"/>
              </w:rPr>
              <w:t>技能</w:t>
            </w:r>
            <w:r>
              <w:rPr>
                <w:rFonts w:hint="eastAsia" w:ascii="Times New Roman" w:hAnsi="Times New Roman" w:cs="Cambria"/>
                <w:color w:val="000000"/>
                <w:kern w:val="0"/>
                <w:highlight w:val="none"/>
              </w:rPr>
              <w:t>，</w:t>
            </w:r>
            <w:r>
              <w:rPr>
                <w:rFonts w:hint="eastAsia" w:ascii="Times New Roman" w:hAnsi="Times New Roman"/>
                <w:color w:val="000000"/>
                <w:highlight w:val="none"/>
              </w:rPr>
              <w:t>熟悉银行业务流程和相关法律法规，能够辅助比选人完成业务流程梳理、整合以及创新，善于表达，具有良好的沟通技巧和能力。</w:t>
            </w:r>
          </w:p>
        </w:tc>
      </w:tr>
      <w:tr w14:paraId="11A4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8892709">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40C245FE">
            <w:pPr>
              <w:snapToGrid w:val="0"/>
              <w:spacing w:line="240" w:lineRule="auto"/>
              <w:ind w:firstLine="0" w:firstLineChars="0"/>
              <w:rPr>
                <w:rFonts w:ascii="Times New Roman" w:hAnsi="Times New Roman"/>
                <w:color w:val="000000"/>
                <w:highlight w:val="none"/>
              </w:rPr>
            </w:pPr>
            <w:r>
              <w:rPr>
                <w:rFonts w:hint="eastAsia" w:ascii="Times New Roman" w:hAnsi="Times New Roman"/>
                <w:color w:val="000000"/>
                <w:highlight w:val="none"/>
              </w:rPr>
              <w:t>至少二年开发经验，开发组长须有至少五年开发经验，且均有银行</w:t>
            </w:r>
            <w:r>
              <w:rPr>
                <w:rFonts w:ascii="Times New Roman" w:hAnsi="Times New Roman" w:cs="Cambria"/>
                <w:color w:val="000000"/>
                <w:kern w:val="0"/>
                <w:highlight w:val="none"/>
              </w:rPr>
              <w:t>支付</w:t>
            </w:r>
            <w:r>
              <w:rPr>
                <w:rFonts w:hint="eastAsia" w:ascii="Times New Roman" w:hAnsi="Times New Roman"/>
                <w:color w:val="000000"/>
                <w:highlight w:val="none"/>
              </w:rPr>
              <w:t>相关系统的项目实施经历。</w:t>
            </w:r>
          </w:p>
        </w:tc>
      </w:tr>
    </w:tbl>
    <w:p w14:paraId="0972A37C">
      <w:pPr>
        <w:spacing w:line="360" w:lineRule="auto"/>
        <w:rPr>
          <w:rFonts w:hint="eastAsia" w:ascii="Times New Roman" w:hAnsi="Times New Roman" w:eastAsia="宋体"/>
          <w:snapToGrid w:val="0"/>
          <w:color w:val="000000"/>
          <w:kern w:val="0"/>
          <w:highlight w:val="none"/>
          <w:lang w:eastAsia="zh-CN"/>
        </w:rPr>
      </w:pPr>
      <w:r>
        <w:rPr>
          <w:rFonts w:ascii="Times New Roman" w:hAnsi="Times New Roman"/>
          <w:color w:val="000000"/>
          <w:highlight w:val="none"/>
        </w:rPr>
        <w:t>3</w:t>
      </w:r>
      <w:r>
        <w:rPr>
          <w:rFonts w:hint="eastAsia" w:ascii="Times New Roman" w:hAnsi="Times New Roman"/>
          <w:color w:val="000000"/>
          <w:highlight w:val="none"/>
        </w:rPr>
        <w:t>）</w:t>
      </w:r>
      <w:r>
        <w:rPr>
          <w:rFonts w:hint="eastAsia" w:ascii="Times New Roman" w:hAnsi="Times New Roman"/>
          <w:snapToGrid w:val="0"/>
          <w:color w:val="000000"/>
          <w:kern w:val="0"/>
          <w:highlight w:val="none"/>
        </w:rPr>
        <w:t>需提供人员简历信息，同时，比选人将对所提供的人员进行审核，达不到我行要求的将要求替换。项目经理及骨干成员须参加比选人组织的面试，面试人员在合同签订时不得进行更换。</w:t>
      </w:r>
      <w:r>
        <w:rPr>
          <w:rFonts w:hint="eastAsia" w:ascii="Times New Roman" w:hAnsi="Times New Roman"/>
          <w:snapToGrid w:val="0"/>
          <w:color w:val="000000"/>
          <w:kern w:val="0"/>
          <w:highlight w:val="none"/>
          <w:lang w:eastAsia="zh-CN"/>
        </w:rPr>
        <w:t>【</w:t>
      </w:r>
      <w:r>
        <w:rPr>
          <w:rFonts w:hint="eastAsia" w:ascii="Times New Roman" w:hAnsi="Times New Roman"/>
          <w:snapToGrid w:val="0"/>
          <w:color w:val="000000"/>
          <w:kern w:val="0"/>
          <w:highlight w:val="none"/>
          <w:lang w:val="en-US" w:eastAsia="zh-CN"/>
        </w:rPr>
        <w:t>提供</w:t>
      </w:r>
      <w:r>
        <w:rPr>
          <w:rFonts w:ascii="Times New Roman" w:hAnsi="Times New Roman" w:cs="Times New Roman"/>
          <w:snapToGrid w:val="0"/>
          <w:kern w:val="0"/>
          <w:highlight w:val="none"/>
        </w:rPr>
        <w:t>项目组成员简历信息</w:t>
      </w:r>
      <w:r>
        <w:rPr>
          <w:rFonts w:hint="eastAsia" w:ascii="Times New Roman" w:hAnsi="Times New Roman"/>
          <w:snapToGrid w:val="0"/>
          <w:color w:val="000000"/>
          <w:kern w:val="0"/>
          <w:highlight w:val="none"/>
          <w:lang w:eastAsia="zh-CN"/>
        </w:rPr>
        <w:t>】</w:t>
      </w:r>
    </w:p>
    <w:p w14:paraId="575EC775">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w:t>
      </w:r>
      <w:r>
        <w:rPr>
          <w:rFonts w:ascii="Times New Roman" w:hAnsi="Times New Roman"/>
          <w:color w:val="000000"/>
          <w:szCs w:val="24"/>
          <w:highlight w:val="none"/>
        </w:rPr>
        <w:t>项目组成员若有违约违规行为将由参选人承担责任。</w:t>
      </w:r>
    </w:p>
    <w:p w14:paraId="51F86046">
      <w:pPr>
        <w:pStyle w:val="3"/>
        <w:numPr>
          <w:ilvl w:val="0"/>
          <w:numId w:val="0"/>
        </w:numPr>
        <w:ind w:left="360" w:leftChars="0" w:hanging="360" w:firstLineChars="0"/>
        <w:rPr>
          <w:rFonts w:ascii="Times New Roman" w:hAnsi="Times New Roman"/>
          <w:color w:val="000000"/>
          <w:highlight w:val="none"/>
        </w:rPr>
      </w:pPr>
      <w:bookmarkStart w:id="42" w:name="_Toc89675144"/>
      <w:bookmarkStart w:id="43" w:name="_Toc15059418"/>
      <w:r>
        <w:rPr>
          <w:rFonts w:hint="default" w:ascii="Times New Roman" w:hAnsi="Times New Roman" w:eastAsia="宋体" w:cs="Times New Roman"/>
          <w:b/>
          <w:bCs/>
          <w:snapToGrid w:val="0"/>
          <w:color w:val="auto"/>
          <w:kern w:val="2"/>
          <w:sz w:val="24"/>
          <w:szCs w:val="24"/>
          <w:highlight w:val="none"/>
          <w:lang w:val="en-US" w:eastAsia="zh-CN" w:bidi="ar-SA"/>
        </w:rPr>
        <w:t>5.</w:t>
      </w:r>
      <w:r>
        <w:rPr>
          <w:rFonts w:hint="eastAsia" w:ascii="Times New Roman" w:hAnsi="Times New Roman"/>
          <w:color w:val="000000"/>
          <w:highlight w:val="none"/>
        </w:rPr>
        <w:t>项目实施要求</w:t>
      </w:r>
    </w:p>
    <w:p w14:paraId="4DCA2BA5">
      <w:pPr>
        <w:rPr>
          <w:rFonts w:ascii="Times New Roman" w:hAnsi="Times New Roman"/>
          <w:highlight w:val="none"/>
        </w:rPr>
      </w:pPr>
      <w:r>
        <w:rPr>
          <w:rFonts w:hint="eastAsia" w:ascii="Times New Roman" w:hAnsi="Times New Roman"/>
          <w:highlight w:val="none"/>
        </w:rPr>
        <w:t>在本项目实施周期内，如遇到原系统功能与需求不符，需要及时调整实施方案，满足比选人的要求，并征得比选人同意方可变更。</w:t>
      </w:r>
    </w:p>
    <w:p w14:paraId="748CFAC9">
      <w:pPr>
        <w:rPr>
          <w:rFonts w:ascii="Times New Roman" w:hAnsi="Times New Roman"/>
          <w:highlight w:val="none"/>
        </w:rPr>
      </w:pPr>
      <w:r>
        <w:rPr>
          <w:rFonts w:hint="eastAsia" w:ascii="Times New Roman" w:hAnsi="Times New Roman"/>
          <w:highlight w:val="none"/>
        </w:rPr>
        <w:t>参选人在项目实施过程中，需按照比选人项目管理规范提供相应文档（所有提交文档必须为中文）。</w:t>
      </w:r>
    </w:p>
    <w:p w14:paraId="155EBDAA">
      <w:pPr>
        <w:rPr>
          <w:rFonts w:ascii="Times New Roman" w:hAnsi="Times New Roman"/>
          <w:color w:val="000000"/>
          <w:highlight w:val="none"/>
        </w:rPr>
      </w:pPr>
      <w:r>
        <w:rPr>
          <w:rFonts w:hint="eastAsia" w:ascii="Times New Roman" w:hAnsi="Times New Roman"/>
          <w:highlight w:val="none"/>
        </w:rPr>
        <w:t>本项目为现场开发，原则上不允许远程开发模式，除非得到比选人的明确认可和授权。</w:t>
      </w:r>
    </w:p>
    <w:p w14:paraId="5BCFA7A0">
      <w:pPr>
        <w:pStyle w:val="3"/>
        <w:numPr>
          <w:ilvl w:val="0"/>
          <w:numId w:val="0"/>
        </w:numPr>
        <w:ind w:left="360" w:leftChars="0" w:hanging="360" w:firstLineChars="0"/>
        <w:rPr>
          <w:rFonts w:ascii="Times New Roman" w:hAnsi="Times New Roman"/>
          <w:color w:val="000000"/>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6.</w:t>
      </w:r>
      <w:r>
        <w:rPr>
          <w:rFonts w:hint="eastAsia" w:ascii="Times New Roman" w:hAnsi="Times New Roman"/>
          <w:color w:val="000000"/>
          <w:highlight w:val="none"/>
        </w:rPr>
        <w:t>项目源代码要求</w:t>
      </w:r>
    </w:p>
    <w:p w14:paraId="3E1704F4">
      <w:pPr>
        <w:rPr>
          <w:rFonts w:ascii="Times New Roman" w:hAnsi="Times New Roman"/>
          <w:color w:val="000000"/>
          <w:highlight w:val="none"/>
        </w:rPr>
      </w:pPr>
      <w:r>
        <w:rPr>
          <w:rFonts w:hint="eastAsia" w:ascii="Times New Roman" w:hAnsi="Times New Roman"/>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highlight w:val="none"/>
        </w:rPr>
        <w:t>归双方共有</w:t>
      </w:r>
      <w:r>
        <w:rPr>
          <w:rFonts w:hint="eastAsia" w:ascii="Times New Roman" w:hAnsi="Times New Roman"/>
          <w:highlight w:val="none"/>
        </w:rPr>
        <w:t>。针对共有部分，比选人拥有在比选人及其分支机构使用及后续开发的权利，参选人拥有在其公司和其他组织范围内使用的权利，但参选人使用时不得侵犯比选人利益。</w:t>
      </w:r>
    </w:p>
    <w:bookmarkEnd w:id="42"/>
    <w:bookmarkEnd w:id="43"/>
    <w:p w14:paraId="6AEFBD76">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7.</w:t>
      </w:r>
      <w:r>
        <w:rPr>
          <w:rFonts w:hint="eastAsia" w:ascii="Times New Roman" w:hAnsi="Times New Roman"/>
          <w:highlight w:val="none"/>
        </w:rPr>
        <w:t>交付周期、地点</w:t>
      </w:r>
    </w:p>
    <w:p w14:paraId="68342149">
      <w:pPr>
        <w:pStyle w:val="4"/>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.1 交付时间</w:t>
      </w:r>
    </w:p>
    <w:p w14:paraId="6B632520">
      <w:pPr>
        <w:rPr>
          <w:rFonts w:ascii="Times New Roman" w:hAnsi="Times New Roman"/>
          <w:highlight w:val="none"/>
        </w:rPr>
      </w:pPr>
      <w:r>
        <w:rPr>
          <w:rFonts w:hint="eastAsia" w:ascii="Times New Roman" w:hAnsi="Times New Roman"/>
          <w:highlight w:val="none"/>
        </w:rPr>
        <w:t>项目合同</w:t>
      </w:r>
      <w:r>
        <w:rPr>
          <w:rFonts w:ascii="Times New Roman" w:hAnsi="Times New Roman"/>
          <w:highlight w:val="none"/>
        </w:rPr>
        <w:t>签订后</w:t>
      </w:r>
      <w:r>
        <w:rPr>
          <w:rFonts w:hint="eastAsia"/>
          <w:highlight w:val="none"/>
          <w:lang w:val="en-US" w:eastAsia="zh-CN"/>
        </w:rPr>
        <w:t>五</w:t>
      </w:r>
      <w:r>
        <w:rPr>
          <w:rFonts w:ascii="Times New Roman" w:hAnsi="Times New Roman"/>
          <w:highlight w:val="none"/>
        </w:rPr>
        <w:t>个月内完成上线。</w:t>
      </w:r>
    </w:p>
    <w:p w14:paraId="18D7821A">
      <w:pPr>
        <w:pStyle w:val="4"/>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.2 实施及交付地点</w:t>
      </w:r>
    </w:p>
    <w:p w14:paraId="524FCDEC">
      <w:pPr>
        <w:rPr>
          <w:rFonts w:ascii="Times New Roman" w:hAnsi="Times New Roman"/>
          <w:highlight w:val="none"/>
        </w:rPr>
      </w:pPr>
      <w:r>
        <w:rPr>
          <w:rFonts w:hint="eastAsia" w:ascii="Times New Roman" w:hAnsi="Times New Roman"/>
          <w:highlight w:val="none"/>
        </w:rPr>
        <w:t>比选人指定地点。</w:t>
      </w:r>
    </w:p>
    <w:p w14:paraId="5B9945E4">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8.</w:t>
      </w:r>
      <w:r>
        <w:rPr>
          <w:rFonts w:hint="eastAsia" w:ascii="Times New Roman" w:hAnsi="Times New Roman"/>
          <w:highlight w:val="none"/>
        </w:rPr>
        <w:t>验收测试</w:t>
      </w:r>
    </w:p>
    <w:p w14:paraId="02D5E6CE">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.1 </w:t>
      </w:r>
      <w:r>
        <w:rPr>
          <w:rFonts w:hint="eastAsia" w:ascii="Times New Roman" w:hAnsi="Times New Roman"/>
          <w:szCs w:val="20"/>
          <w:highlight w:val="none"/>
        </w:rPr>
        <w:t>验收测试的范围</w:t>
      </w:r>
    </w:p>
    <w:p w14:paraId="18C56E38">
      <w:pPr>
        <w:rPr>
          <w:rFonts w:ascii="Times New Roman" w:hAnsi="Times New Roman"/>
          <w:highlight w:val="none"/>
        </w:rPr>
      </w:pPr>
      <w:r>
        <w:rPr>
          <w:rFonts w:hint="eastAsia" w:ascii="Times New Roman" w:hAnsi="Times New Roman"/>
          <w:highlight w:val="none"/>
        </w:rPr>
        <w:t>验收测试的范围为项目实施完毕,上线前最终确认的所有需求。</w:t>
      </w:r>
    </w:p>
    <w:p w14:paraId="083C6205">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.2 </w:t>
      </w:r>
      <w:r>
        <w:rPr>
          <w:rFonts w:hint="eastAsia" w:ascii="Times New Roman" w:hAnsi="Times New Roman"/>
          <w:szCs w:val="20"/>
          <w:highlight w:val="none"/>
        </w:rPr>
        <w:t>验收测试的组织</w:t>
      </w:r>
    </w:p>
    <w:p w14:paraId="753B805D">
      <w:pPr>
        <w:rPr>
          <w:rFonts w:ascii="Times New Roman" w:hAnsi="Times New Roman"/>
          <w:highlight w:val="none"/>
        </w:rPr>
      </w:pPr>
      <w:r>
        <w:rPr>
          <w:rFonts w:hint="eastAsia" w:ascii="Times New Roman" w:hAnsi="Times New Roman"/>
          <w:highlight w:val="none"/>
        </w:rPr>
        <w:t>1）验收测试小组由比选人、中选人等有关人员组成，负责对项目建设进行验收测试。</w:t>
      </w:r>
    </w:p>
    <w:p w14:paraId="6802EE3F">
      <w:pPr>
        <w:rPr>
          <w:rFonts w:ascii="Times New Roman" w:hAnsi="Times New Roman"/>
          <w:highlight w:val="none"/>
        </w:rPr>
      </w:pPr>
      <w:r>
        <w:rPr>
          <w:rFonts w:hint="eastAsia" w:ascii="Times New Roman" w:hAnsi="Times New Roman"/>
          <w:highlight w:val="none"/>
        </w:rPr>
        <w:t>2）中选人编制测试手册，经验收小组确认后，由验收小组负责验收测试。</w:t>
      </w:r>
    </w:p>
    <w:p w14:paraId="31140C49">
      <w:pPr>
        <w:rPr>
          <w:rFonts w:ascii="Times New Roman" w:hAnsi="Times New Roman"/>
          <w:highlight w:val="none"/>
        </w:rPr>
      </w:pPr>
      <w:r>
        <w:rPr>
          <w:rFonts w:hint="eastAsia" w:ascii="Times New Roman" w:hAnsi="Times New Roman"/>
          <w:highlight w:val="none"/>
        </w:rPr>
        <w:t>3）在验收测试过程中，出现严重缺陷或质量问题时，验收小组可以决定暂停所有测试，直至缺陷和问题得到纠正。</w:t>
      </w:r>
    </w:p>
    <w:p w14:paraId="735A611B">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.3 </w:t>
      </w:r>
      <w:r>
        <w:rPr>
          <w:rFonts w:hint="eastAsia" w:ascii="Times New Roman" w:hAnsi="Times New Roman"/>
          <w:szCs w:val="20"/>
          <w:highlight w:val="none"/>
        </w:rPr>
        <w:t>验收测试的程序</w:t>
      </w:r>
    </w:p>
    <w:p w14:paraId="28CB5D84">
      <w:pPr>
        <w:rPr>
          <w:rFonts w:ascii="Times New Roman" w:hAnsi="Times New Roman"/>
          <w:highlight w:val="none"/>
        </w:rPr>
      </w:pPr>
      <w:r>
        <w:rPr>
          <w:rFonts w:hint="eastAsia" w:ascii="Times New Roman" w:hAnsi="Times New Roman"/>
          <w:highlight w:val="none"/>
        </w:rPr>
        <w:t>1）对各功能模块进行测试；</w:t>
      </w:r>
    </w:p>
    <w:p w14:paraId="3CA74CF0">
      <w:pPr>
        <w:rPr>
          <w:rFonts w:ascii="Times New Roman" w:hAnsi="Times New Roman"/>
          <w:highlight w:val="none"/>
        </w:rPr>
      </w:pPr>
      <w:r>
        <w:rPr>
          <w:rFonts w:hint="eastAsia" w:ascii="Times New Roman" w:hAnsi="Times New Roman"/>
          <w:highlight w:val="none"/>
        </w:rPr>
        <w:t>2）在各功能模块测试合格的前提下，对系统进行全面初验；</w:t>
      </w:r>
    </w:p>
    <w:p w14:paraId="496DAB26">
      <w:pPr>
        <w:rPr>
          <w:rFonts w:ascii="Times New Roman" w:hAnsi="Times New Roman"/>
          <w:highlight w:val="none"/>
        </w:rPr>
      </w:pPr>
      <w:r>
        <w:rPr>
          <w:rFonts w:hint="eastAsia" w:ascii="Times New Roman" w:hAnsi="Times New Roman"/>
          <w:highlight w:val="none"/>
        </w:rPr>
        <w:t>3）系统验收测试合格后，进入试运行阶段；</w:t>
      </w:r>
    </w:p>
    <w:p w14:paraId="03B903D4">
      <w:pPr>
        <w:rPr>
          <w:rFonts w:ascii="Times New Roman" w:hAnsi="Times New Roman"/>
          <w:highlight w:val="none"/>
        </w:rPr>
      </w:pPr>
      <w:r>
        <w:rPr>
          <w:rFonts w:ascii="Times New Roman" w:hAnsi="Times New Roman"/>
          <w:highlight w:val="none"/>
        </w:rPr>
        <w:t>4</w:t>
      </w:r>
      <w:r>
        <w:rPr>
          <w:rFonts w:hint="eastAsia" w:ascii="Times New Roman" w:hAnsi="Times New Roman"/>
          <w:highlight w:val="none"/>
        </w:rPr>
        <w:t>）系统在全行上线运行三个月后，进行验收。</w:t>
      </w:r>
    </w:p>
    <w:p w14:paraId="4F9FFA76">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.4 </w:t>
      </w:r>
      <w:r>
        <w:rPr>
          <w:rFonts w:hint="eastAsia" w:ascii="Times New Roman" w:hAnsi="Times New Roman"/>
          <w:szCs w:val="20"/>
          <w:highlight w:val="none"/>
        </w:rPr>
        <w:t>验收测试的评定</w:t>
      </w:r>
    </w:p>
    <w:p w14:paraId="44765657">
      <w:pPr>
        <w:rPr>
          <w:rFonts w:ascii="Times New Roman" w:hAnsi="Times New Roman"/>
          <w:highlight w:val="none"/>
        </w:rPr>
      </w:pPr>
      <w:r>
        <w:rPr>
          <w:rFonts w:hint="eastAsia" w:ascii="Times New Roman" w:hAnsi="Times New Roman"/>
          <w:highlight w:val="none"/>
        </w:rPr>
        <w:t>测试结果按下列级别评定，并经验收小组签字认可：</w:t>
      </w:r>
    </w:p>
    <w:p w14:paraId="49E2043A">
      <w:pPr>
        <w:rPr>
          <w:rFonts w:ascii="Times New Roman" w:hAnsi="Times New Roman"/>
          <w:highlight w:val="none"/>
        </w:rPr>
      </w:pPr>
      <w:r>
        <w:rPr>
          <w:rFonts w:hint="eastAsia" w:ascii="Times New Roman" w:hAnsi="Times New Roman"/>
          <w:highlight w:val="none"/>
        </w:rPr>
        <w:t>•优良：功能和质量达到预期目的。</w:t>
      </w:r>
    </w:p>
    <w:p w14:paraId="7B544779">
      <w:pPr>
        <w:rPr>
          <w:rFonts w:ascii="Times New Roman" w:hAnsi="Times New Roman"/>
          <w:highlight w:val="none"/>
        </w:rPr>
      </w:pPr>
      <w:r>
        <w:rPr>
          <w:rFonts w:hint="eastAsia" w:ascii="Times New Roman" w:hAnsi="Times New Roman"/>
          <w:highlight w:val="none"/>
        </w:rPr>
        <w:t>•合格：部分功能和质量不能满足比选人的要求，但中选人（集成商）采取了改正措施，使测试结果达到预期目的。</w:t>
      </w:r>
    </w:p>
    <w:p w14:paraId="49ABD140">
      <w:pPr>
        <w:rPr>
          <w:rFonts w:ascii="Times New Roman" w:hAnsi="Times New Roman"/>
          <w:highlight w:val="none"/>
        </w:rPr>
      </w:pPr>
      <w:r>
        <w:rPr>
          <w:rFonts w:hint="eastAsia" w:ascii="Times New Roman" w:hAnsi="Times New Roman"/>
          <w:highlight w:val="none"/>
        </w:rPr>
        <w:t>•不合格：功能和质量不能满足比选人的要求。</w:t>
      </w:r>
    </w:p>
    <w:p w14:paraId="45127888">
      <w:pPr>
        <w:rPr>
          <w:rFonts w:ascii="Times New Roman" w:hAnsi="Times New Roman"/>
          <w:color w:val="auto"/>
          <w:highlight w:val="none"/>
        </w:rPr>
      </w:pPr>
      <w:r>
        <w:rPr>
          <w:rFonts w:ascii="Times New Roman" w:hAnsi="Times New Roman"/>
          <w:color w:val="auto"/>
          <w:highlight w:val="none"/>
        </w:rPr>
        <w:t>特别说明：</w:t>
      </w:r>
      <w:r>
        <w:rPr>
          <w:rFonts w:hint="eastAsia" w:ascii="Times New Roman" w:hAnsi="Times New Roman"/>
          <w:color w:val="auto"/>
          <w:highlight w:val="none"/>
        </w:rPr>
        <w:t>参选人需保障项目在合同签订后</w:t>
      </w:r>
      <w:r>
        <w:rPr>
          <w:rFonts w:ascii="Times New Roman" w:hAnsi="Times New Roman"/>
          <w:color w:val="auto"/>
          <w:highlight w:val="none"/>
        </w:rPr>
        <w:t>按照比选人计划</w:t>
      </w:r>
      <w:r>
        <w:rPr>
          <w:rFonts w:hint="eastAsia" w:ascii="Times New Roman" w:hAnsi="Times New Roman"/>
          <w:color w:val="auto"/>
          <w:highlight w:val="none"/>
        </w:rPr>
        <w:t>内完成上线</w:t>
      </w:r>
      <w:r>
        <w:rPr>
          <w:rFonts w:ascii="Times New Roman" w:hAnsi="Times New Roman"/>
          <w:color w:val="auto"/>
          <w:highlight w:val="none"/>
        </w:rPr>
        <w:t>，若无法完成目标要求将按照SLA服务协议进行扣款。外部监管需求按照实际情况和监管要求计划执行。</w:t>
      </w:r>
      <w:r>
        <w:rPr>
          <w:rFonts w:hint="eastAsia" w:ascii="Times New Roman" w:hAnsi="Times New Roman"/>
          <w:highlight w:val="none"/>
        </w:rPr>
        <w:t>中选人</w:t>
      </w:r>
      <w:r>
        <w:rPr>
          <w:rFonts w:hint="eastAsia"/>
          <w:highlight w:val="none"/>
          <w:lang w:val="en-US" w:eastAsia="zh-CN"/>
        </w:rPr>
        <w:t>需要在签订完合同后5个月内完成项目内容。</w:t>
      </w:r>
    </w:p>
    <w:p w14:paraId="05841EDA">
      <w:pPr>
        <w:pStyle w:val="3"/>
        <w:numPr>
          <w:ilvl w:val="0"/>
          <w:numId w:val="0"/>
        </w:numPr>
        <w:ind w:left="360" w:leftChars="0" w:hanging="360" w:firstLineChars="0"/>
        <w:rPr>
          <w:kern w:val="0"/>
          <w:highlight w:val="none"/>
        </w:rPr>
      </w:pPr>
      <w:r>
        <w:rPr>
          <w:rFonts w:hint="default" w:ascii="宋体" w:hAnsi="Cambria Math" w:eastAsia="宋体" w:cs="Times New Roman"/>
          <w:b/>
          <w:bCs/>
          <w:snapToGrid w:val="0"/>
          <w:color w:val="auto"/>
          <w:kern w:val="0"/>
          <w:sz w:val="24"/>
          <w:szCs w:val="24"/>
          <w:highlight w:val="none"/>
          <w:lang w:val="en-US" w:eastAsia="zh-CN" w:bidi="ar-SA"/>
        </w:rPr>
        <w:t>9.</w:t>
      </w:r>
      <w:r>
        <w:rPr>
          <w:rFonts w:hint="eastAsia"/>
          <w:kern w:val="0"/>
          <w:highlight w:val="none"/>
        </w:rPr>
        <w:t>售后服务和支持</w:t>
      </w:r>
    </w:p>
    <w:p w14:paraId="4B9D19F9">
      <w:pPr>
        <w:rPr>
          <w:rFonts w:ascii="Times New Roman" w:hAnsi="Times New Roman"/>
          <w:highlight w:val="none"/>
        </w:rPr>
      </w:pPr>
      <w:r>
        <w:rPr>
          <w:rFonts w:hint="eastAsia" w:ascii="Times New Roman" w:hAnsi="Times New Roman"/>
          <w:highlight w:val="none"/>
        </w:rPr>
        <w:t>服务和支持的范围：</w:t>
      </w:r>
    </w:p>
    <w:p w14:paraId="6BB8163A">
      <w:pPr>
        <w:rPr>
          <w:rFonts w:ascii="Times New Roman" w:hAnsi="Times New Roman"/>
          <w:highlight w:val="none"/>
        </w:rPr>
      </w:pPr>
      <w:r>
        <w:rPr>
          <w:rFonts w:hint="eastAsia" w:ascii="Times New Roman" w:hAnsi="Times New Roman"/>
          <w:highlight w:val="none"/>
        </w:rPr>
        <w:t>•系统的安装、部署和调试；</w:t>
      </w:r>
    </w:p>
    <w:p w14:paraId="3CDF0813">
      <w:pPr>
        <w:rPr>
          <w:rFonts w:ascii="Times New Roman" w:hAnsi="Times New Roman"/>
          <w:highlight w:val="none"/>
        </w:rPr>
      </w:pPr>
      <w:r>
        <w:rPr>
          <w:rFonts w:hint="eastAsia" w:ascii="Times New Roman" w:hAnsi="Times New Roman"/>
          <w:highlight w:val="none"/>
        </w:rPr>
        <w:t>•项目的验收测试；</w:t>
      </w:r>
    </w:p>
    <w:p w14:paraId="7C873E7E">
      <w:pPr>
        <w:rPr>
          <w:rFonts w:ascii="Times New Roman" w:hAnsi="Times New Roman"/>
          <w:highlight w:val="none"/>
        </w:rPr>
      </w:pPr>
      <w:r>
        <w:rPr>
          <w:rFonts w:hint="eastAsia" w:ascii="Times New Roman" w:hAnsi="Times New Roman"/>
          <w:highlight w:val="none"/>
        </w:rPr>
        <w:t>•项目的数据转换、数据迁移、模拟运行和试运行；</w:t>
      </w:r>
    </w:p>
    <w:p w14:paraId="2B5E262A">
      <w:pPr>
        <w:rPr>
          <w:rFonts w:ascii="Times New Roman" w:hAnsi="Times New Roman"/>
          <w:highlight w:val="none"/>
        </w:rPr>
      </w:pPr>
      <w:r>
        <w:rPr>
          <w:rFonts w:hint="eastAsia" w:ascii="Times New Roman" w:hAnsi="Times New Roman"/>
          <w:highlight w:val="none"/>
        </w:rPr>
        <w:t>•</w:t>
      </w:r>
      <w:r>
        <w:rPr>
          <w:rFonts w:hint="eastAsia" w:ascii="Times New Roman" w:hAnsi="Times New Roman"/>
          <w:color w:val="000000"/>
          <w:highlight w:val="none"/>
        </w:rPr>
        <w:t>维保</w:t>
      </w:r>
      <w:r>
        <w:rPr>
          <w:rFonts w:ascii="Times New Roman" w:hAnsi="Times New Roman"/>
          <w:color w:val="000000"/>
          <w:highlight w:val="none"/>
        </w:rPr>
        <w:t>范围包括</w:t>
      </w:r>
      <w:r>
        <w:rPr>
          <w:rFonts w:hint="eastAsia" w:ascii="Times New Roman" w:hAnsi="Times New Roman"/>
          <w:color w:val="000000"/>
          <w:highlight w:val="none"/>
        </w:rPr>
        <w:t>原</w:t>
      </w:r>
      <w:r>
        <w:rPr>
          <w:rFonts w:ascii="Times New Roman" w:hAnsi="Times New Roman"/>
          <w:color w:val="000000"/>
          <w:highlight w:val="none"/>
        </w:rPr>
        <w:t>系统（第二代支付系统）的原有</w:t>
      </w:r>
      <w:r>
        <w:rPr>
          <w:rFonts w:hint="eastAsia" w:ascii="Times New Roman" w:hAnsi="Times New Roman"/>
          <w:highlight w:val="none"/>
        </w:rPr>
        <w:t>部分</w:t>
      </w:r>
      <w:r>
        <w:rPr>
          <w:rFonts w:ascii="Times New Roman" w:hAnsi="Times New Roman"/>
          <w:color w:val="000000"/>
          <w:highlight w:val="none"/>
        </w:rPr>
        <w:t>和本项目新增部分的内容，即整个</w:t>
      </w:r>
      <w:r>
        <w:rPr>
          <w:rFonts w:hint="eastAsia" w:ascii="Times New Roman" w:hAnsi="Times New Roman"/>
          <w:color w:val="000000"/>
          <w:highlight w:val="none"/>
        </w:rPr>
        <w:t>“</w:t>
      </w:r>
      <w:r>
        <w:rPr>
          <w:rFonts w:ascii="Times New Roman" w:hAnsi="Times New Roman"/>
          <w:color w:val="000000"/>
          <w:highlight w:val="none"/>
        </w:rPr>
        <w:t>第二代支付系统</w:t>
      </w:r>
      <w:r>
        <w:rPr>
          <w:rFonts w:hint="eastAsia" w:ascii="Times New Roman" w:hAnsi="Times New Roman"/>
          <w:color w:val="000000"/>
          <w:highlight w:val="none"/>
        </w:rPr>
        <w:t>”</w:t>
      </w:r>
      <w:r>
        <w:rPr>
          <w:rFonts w:ascii="Times New Roman" w:hAnsi="Times New Roman"/>
          <w:color w:val="000000"/>
          <w:highlight w:val="none"/>
        </w:rPr>
        <w:t>所有内容；</w:t>
      </w:r>
    </w:p>
    <w:p w14:paraId="0841080E">
      <w:pPr>
        <w:rPr>
          <w:rFonts w:ascii="Times New Roman" w:hAnsi="Times New Roman"/>
          <w:highlight w:val="none"/>
        </w:rPr>
      </w:pPr>
      <w:r>
        <w:rPr>
          <w:rFonts w:hint="eastAsia" w:ascii="Times New Roman" w:hAnsi="Times New Roman"/>
          <w:highlight w:val="none"/>
        </w:rPr>
        <w:t>•与系统运行有关的技术问题（含操作系统、数据库、应用系统的整体性能调优等）</w:t>
      </w:r>
    </w:p>
    <w:p w14:paraId="498F271B">
      <w:pPr>
        <w:rPr>
          <w:rFonts w:ascii="Times New Roman" w:hAnsi="Times New Roman"/>
          <w:highlight w:val="none"/>
        </w:rPr>
      </w:pPr>
      <w:r>
        <w:rPr>
          <w:rFonts w:hint="eastAsia" w:ascii="Times New Roman" w:hAnsi="Times New Roman"/>
          <w:highlight w:val="none"/>
        </w:rPr>
        <w:t>•项目上线后两年内，针对本项目的完善性需求以及监管提出的安全性需求，中选人需免费进行开发。</w:t>
      </w:r>
    </w:p>
    <w:p w14:paraId="451325B8">
      <w:pPr>
        <w:rPr>
          <w:rFonts w:ascii="Times New Roman" w:hAnsi="Times New Roman"/>
          <w:highlight w:val="none"/>
        </w:rPr>
      </w:pPr>
      <w:r>
        <w:rPr>
          <w:rFonts w:hint="eastAsia" w:ascii="Times New Roman" w:hAnsi="Times New Roman"/>
          <w:highlight w:val="none"/>
        </w:rPr>
        <w:t>•相关技术及业务培训（其中在项目实施前必须组织技术人员进行平台二次开发培训，并提供平台的所有技术文档等）</w:t>
      </w:r>
    </w:p>
    <w:p w14:paraId="74A06A6E">
      <w:pPr>
        <w:rPr>
          <w:rFonts w:ascii="Times New Roman" w:hAnsi="Times New Roman"/>
          <w:highlight w:val="none"/>
        </w:rPr>
      </w:pPr>
      <w:r>
        <w:rPr>
          <w:rFonts w:hint="eastAsia" w:ascii="Times New Roman" w:hAnsi="Times New Roman"/>
          <w:highlight w:val="none"/>
        </w:rPr>
        <w:t>•</w:t>
      </w:r>
      <w:bookmarkStart w:id="44" w:name="_Hlk22733819"/>
      <w:r>
        <w:rPr>
          <w:rFonts w:hint="eastAsia" w:ascii="Times New Roman" w:hAnsi="Times New Roman"/>
          <w:highlight w:val="none"/>
        </w:rPr>
        <w:t>维保期</w:t>
      </w:r>
      <w:bookmarkEnd w:id="44"/>
      <w:r>
        <w:rPr>
          <w:rFonts w:hint="eastAsia" w:ascii="Times New Roman" w:hAnsi="Times New Roman"/>
          <w:highlight w:val="none"/>
        </w:rPr>
        <w:t>以年度计算，</w:t>
      </w:r>
      <w:r>
        <w:rPr>
          <w:rFonts w:ascii="Times New Roman" w:hAnsi="Times New Roman"/>
          <w:highlight w:val="none"/>
        </w:rPr>
        <w:t>应至少提供1</w:t>
      </w:r>
      <w:r>
        <w:rPr>
          <w:rFonts w:hint="eastAsia" w:ascii="Times New Roman" w:hAnsi="Times New Roman"/>
          <w:highlight w:val="none"/>
        </w:rPr>
        <w:t>年</w:t>
      </w:r>
      <w:r>
        <w:rPr>
          <w:rFonts w:ascii="Times New Roman" w:hAnsi="Times New Roman"/>
          <w:highlight w:val="none"/>
        </w:rPr>
        <w:t>维保</w:t>
      </w:r>
      <w:r>
        <w:rPr>
          <w:rFonts w:hint="eastAsia" w:ascii="Times New Roman" w:hAnsi="Times New Roman"/>
          <w:highlight w:val="none"/>
        </w:rPr>
        <w:t>，维保期起始日为验收后次日，维保期结束日需延期至到期当年的6月30日或12月31日中较近日期（即维保延期最长不超过半年）。</w:t>
      </w:r>
    </w:p>
    <w:p w14:paraId="7375752D">
      <w:pPr>
        <w:rPr>
          <w:rFonts w:hint="eastAsia" w:ascii="Times New Roman" w:hAnsi="Times New Roman" w:eastAsia="宋体"/>
          <w:color w:val="FF0000"/>
          <w:highlight w:val="none"/>
          <w:lang w:eastAsia="zh-CN"/>
        </w:rPr>
      </w:pPr>
      <w:r>
        <w:rPr>
          <w:rFonts w:hint="eastAsia" w:ascii="Times New Roman" w:hAnsi="Times New Roman"/>
          <w:highlight w:val="none"/>
        </w:rPr>
        <w:t>参选人在</w:t>
      </w:r>
      <w:r>
        <w:rPr>
          <w:rFonts w:hint="eastAsia"/>
          <w:b w:val="0"/>
          <w:highlight w:val="none"/>
        </w:rPr>
        <w:t>售后服务和培训方案</w:t>
      </w:r>
      <w:r>
        <w:rPr>
          <w:rFonts w:hint="eastAsia" w:ascii="Times New Roman" w:hAnsi="Times New Roman"/>
          <w:highlight w:val="none"/>
        </w:rPr>
        <w:t>中需对以上相关内容中进行阐述并作出相应承诺。</w:t>
      </w:r>
      <w:r>
        <w:rPr>
          <w:rFonts w:hint="eastAsia" w:ascii="Times New Roman" w:hAnsi="Times New Roman"/>
          <w:highlight w:val="none"/>
          <w:lang w:eastAsia="zh-CN"/>
        </w:rPr>
        <w:t>【</w:t>
      </w:r>
      <w:r>
        <w:rPr>
          <w:rFonts w:hint="eastAsia" w:ascii="Times New Roman" w:hAnsi="Times New Roman"/>
          <w:highlight w:val="none"/>
          <w:lang w:val="en-US" w:eastAsia="zh-CN"/>
        </w:rPr>
        <w:t>提供</w:t>
      </w:r>
      <w:r>
        <w:rPr>
          <w:rFonts w:hint="eastAsia"/>
          <w:b w:val="0"/>
          <w:highlight w:val="none"/>
        </w:rPr>
        <w:t>售后服务和培训方案</w:t>
      </w:r>
      <w:r>
        <w:rPr>
          <w:rFonts w:hint="eastAsia" w:ascii="Times New Roman" w:hAnsi="Times New Roman"/>
          <w:highlight w:val="none"/>
          <w:lang w:eastAsia="zh-CN"/>
        </w:rPr>
        <w:t>】</w:t>
      </w:r>
    </w:p>
    <w:p w14:paraId="3F5C0FC9">
      <w:pPr>
        <w:pStyle w:val="3"/>
        <w:numPr>
          <w:ilvl w:val="0"/>
          <w:numId w:val="0"/>
        </w:numPr>
        <w:ind w:left="360" w:leftChars="0" w:hanging="360" w:firstLineChars="0"/>
        <w:rPr>
          <w:rFonts w:ascii="Times New Roman" w:hAnsi="Times New Roman"/>
          <w:color w:val="FF0000"/>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10.</w:t>
      </w:r>
      <w:r>
        <w:rPr>
          <w:rFonts w:hint="eastAsia"/>
          <w:kern w:val="0"/>
          <w:highlight w:val="none"/>
        </w:rPr>
        <w:t>系统维保费用</w:t>
      </w:r>
    </w:p>
    <w:p w14:paraId="3E31C8C1">
      <w:pPr>
        <w:rPr>
          <w:rFonts w:ascii="Times New Roman" w:hAnsi="Times New Roman"/>
          <w:highlight w:val="none"/>
        </w:rPr>
      </w:pPr>
      <w:r>
        <w:rPr>
          <w:rFonts w:hint="eastAsia" w:ascii="Times New Roman" w:hAnsi="Times New Roman"/>
          <w:highlight w:val="none"/>
        </w:rPr>
        <w:t>维护期满后，</w:t>
      </w:r>
      <w:r>
        <w:rPr>
          <w:rFonts w:ascii="Times New Roman" w:hAnsi="Times New Roman"/>
          <w:highlight w:val="none"/>
        </w:rPr>
        <w:t>整个</w:t>
      </w:r>
      <w:r>
        <w:rPr>
          <w:rFonts w:hint="eastAsia" w:ascii="Times New Roman" w:hAnsi="Times New Roman"/>
          <w:highlight w:val="none"/>
        </w:rPr>
        <w:t>“</w:t>
      </w:r>
      <w:r>
        <w:rPr>
          <w:rFonts w:ascii="Times New Roman" w:hAnsi="Times New Roman"/>
          <w:highlight w:val="none"/>
        </w:rPr>
        <w:t>第二代支付系统</w:t>
      </w:r>
      <w:r>
        <w:rPr>
          <w:rFonts w:hint="eastAsia" w:ascii="Times New Roman" w:hAnsi="Times New Roman"/>
          <w:highlight w:val="none"/>
        </w:rPr>
        <w:t>”每年维护费用不高于</w:t>
      </w:r>
      <w:r>
        <w:rPr>
          <w:rFonts w:ascii="Times New Roman" w:hAnsi="Times New Roman"/>
          <w:highlight w:val="none"/>
        </w:rPr>
        <w:t>17.52万元</w:t>
      </w:r>
      <w:r>
        <w:rPr>
          <w:rFonts w:hint="eastAsia" w:ascii="Times New Roman" w:hAnsi="Times New Roman"/>
          <w:highlight w:val="none"/>
        </w:rPr>
        <w:t>，且每年系统升级改造工作量2个人月内不收费，具体维保费用以合同约定为准。</w:t>
      </w:r>
    </w:p>
    <w:p w14:paraId="28573AF3">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11.</w:t>
      </w:r>
      <w:r>
        <w:rPr>
          <w:rFonts w:hint="eastAsia" w:ascii="Times New Roman" w:hAnsi="Times New Roman"/>
          <w:highlight w:val="none"/>
        </w:rPr>
        <w:t>文档和培训</w:t>
      </w:r>
    </w:p>
    <w:p w14:paraId="0C67C0B2">
      <w:pPr>
        <w:pStyle w:val="4"/>
        <w:rPr>
          <w:rFonts w:ascii="Times New Roman" w:hAnsi="Times New Roman"/>
          <w:szCs w:val="20"/>
          <w:highlight w:val="none"/>
        </w:rPr>
      </w:pPr>
      <w:r>
        <w:rPr>
          <w:rFonts w:hint="eastAsia" w:ascii="Times New Roman" w:hAnsi="Times New Roman"/>
          <w:highlight w:val="none"/>
        </w:rPr>
        <w:t>1</w:t>
      </w:r>
      <w:r>
        <w:rPr>
          <w:rFonts w:ascii="Times New Roman" w:hAnsi="Times New Roman"/>
          <w:highlight w:val="none"/>
        </w:rPr>
        <w:t xml:space="preserve">1.1 </w:t>
      </w:r>
      <w:r>
        <w:rPr>
          <w:rFonts w:hint="eastAsia" w:ascii="Times New Roman" w:hAnsi="Times New Roman"/>
          <w:szCs w:val="20"/>
          <w:highlight w:val="none"/>
        </w:rPr>
        <w:t>文档</w:t>
      </w:r>
    </w:p>
    <w:p w14:paraId="5248E772">
      <w:pPr>
        <w:rPr>
          <w:rFonts w:ascii="Times New Roman" w:hAnsi="Times New Roman"/>
          <w:highlight w:val="none"/>
        </w:rPr>
      </w:pPr>
      <w:r>
        <w:rPr>
          <w:rFonts w:hint="eastAsia" w:ascii="Times New Roman" w:hAnsi="Times New Roman"/>
          <w:highlight w:val="none"/>
        </w:rPr>
        <w:t>1）文档范围</w:t>
      </w:r>
    </w:p>
    <w:p w14:paraId="5CAE0219">
      <w:pPr>
        <w:rPr>
          <w:rFonts w:ascii="Times New Roman" w:hAnsi="Times New Roman"/>
          <w:highlight w:val="none"/>
        </w:rPr>
      </w:pPr>
      <w:r>
        <w:rPr>
          <w:rFonts w:hint="eastAsia" w:ascii="Times New Roman" w:hAnsi="Times New Roman"/>
          <w:highlight w:val="none"/>
        </w:rPr>
        <w:t>包括中选人收集整理的系统建设中所形成的全部文字记载、录音和照片等，项目验收后由中选人向比选人提供。</w:t>
      </w:r>
    </w:p>
    <w:p w14:paraId="5511F5B3">
      <w:pPr>
        <w:rPr>
          <w:rFonts w:ascii="Times New Roman" w:hAnsi="Times New Roman"/>
          <w:highlight w:val="none"/>
        </w:rPr>
      </w:pPr>
      <w:r>
        <w:rPr>
          <w:rFonts w:hint="eastAsia" w:ascii="Times New Roman" w:hAnsi="Times New Roman"/>
          <w:highlight w:val="none"/>
        </w:rPr>
        <w:t>2）文档内容</w:t>
      </w:r>
    </w:p>
    <w:p w14:paraId="08BFD398">
      <w:pPr>
        <w:rPr>
          <w:rFonts w:ascii="Times New Roman" w:hAnsi="Times New Roman"/>
          <w:highlight w:val="none"/>
        </w:rPr>
      </w:pPr>
      <w:r>
        <w:rPr>
          <w:rFonts w:hint="eastAsia" w:ascii="Times New Roman" w:hAnsi="Times New Roman"/>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53B097C1">
      <w:pPr>
        <w:rPr>
          <w:rFonts w:ascii="Times New Roman" w:hAnsi="Times New Roman"/>
          <w:highlight w:val="none"/>
        </w:rPr>
      </w:pPr>
      <w:r>
        <w:rPr>
          <w:rFonts w:hint="eastAsia" w:ascii="Times New Roman" w:hAnsi="Times New Roman"/>
          <w:highlight w:val="none"/>
        </w:rPr>
        <w:t xml:space="preserve">3）要求 </w:t>
      </w:r>
    </w:p>
    <w:p w14:paraId="08C54C4E">
      <w:pPr>
        <w:rPr>
          <w:rFonts w:ascii="Times New Roman" w:hAnsi="Times New Roman"/>
          <w:highlight w:val="none"/>
        </w:rPr>
      </w:pPr>
      <w:r>
        <w:rPr>
          <w:rFonts w:hint="eastAsia" w:ascii="Times New Roman" w:hAnsi="Times New Roman"/>
          <w:highlight w:val="none"/>
        </w:rPr>
        <w:t>参选人提供的文档要保持完整性和准确性。所有文档都采用简体中文（第三方产品出厂文件除外）。</w:t>
      </w:r>
    </w:p>
    <w:p w14:paraId="67EBBECB">
      <w:pPr>
        <w:pStyle w:val="4"/>
        <w:rPr>
          <w:rFonts w:ascii="Times New Roman" w:hAnsi="Times New Roman"/>
          <w:szCs w:val="20"/>
          <w:highlight w:val="none"/>
        </w:rPr>
      </w:pPr>
      <w:r>
        <w:rPr>
          <w:rFonts w:hint="eastAsia" w:ascii="Times New Roman" w:hAnsi="Times New Roman"/>
          <w:szCs w:val="20"/>
          <w:highlight w:val="none"/>
        </w:rPr>
        <w:t>1</w:t>
      </w:r>
      <w:r>
        <w:rPr>
          <w:rFonts w:ascii="Times New Roman" w:hAnsi="Times New Roman"/>
          <w:szCs w:val="20"/>
          <w:highlight w:val="none"/>
        </w:rPr>
        <w:t xml:space="preserve">1.2 </w:t>
      </w:r>
      <w:r>
        <w:rPr>
          <w:rFonts w:hint="eastAsia" w:ascii="Times New Roman" w:hAnsi="Times New Roman"/>
          <w:szCs w:val="20"/>
          <w:highlight w:val="none"/>
        </w:rPr>
        <w:t>培训</w:t>
      </w:r>
    </w:p>
    <w:p w14:paraId="51A9F465">
      <w:pPr>
        <w:rPr>
          <w:rFonts w:ascii="Times New Roman" w:hAnsi="Times New Roman"/>
          <w:highlight w:val="none"/>
        </w:rPr>
      </w:pPr>
      <w:r>
        <w:rPr>
          <w:rFonts w:hint="eastAsia" w:ascii="Times New Roman" w:hAnsi="Times New Roman"/>
          <w:highlight w:val="none"/>
        </w:rPr>
        <w:t>1）培训人员</w:t>
      </w:r>
    </w:p>
    <w:p w14:paraId="004CFF66">
      <w:pPr>
        <w:rPr>
          <w:rFonts w:ascii="Times New Roman" w:hAnsi="Times New Roman"/>
          <w:highlight w:val="none"/>
        </w:rPr>
      </w:pPr>
      <w:r>
        <w:rPr>
          <w:rFonts w:hint="eastAsia" w:ascii="Times New Roman" w:hAnsi="Times New Roman"/>
          <w:highlight w:val="none"/>
        </w:rPr>
        <w:t>中选人应对下列人员进行相应的技术培训：</w:t>
      </w:r>
    </w:p>
    <w:p w14:paraId="051B61E3">
      <w:pPr>
        <w:rPr>
          <w:rFonts w:ascii="Times New Roman" w:hAnsi="Times New Roman"/>
          <w:highlight w:val="none"/>
        </w:rPr>
      </w:pPr>
      <w:r>
        <w:rPr>
          <w:rFonts w:hint="eastAsia" w:ascii="Times New Roman" w:hAnsi="Times New Roman"/>
          <w:highlight w:val="none"/>
        </w:rPr>
        <w:t>包括但不限于涉及本项目的相关开发人员、运维人员以及业务人员等。</w:t>
      </w:r>
    </w:p>
    <w:p w14:paraId="6E2FC326">
      <w:pPr>
        <w:rPr>
          <w:rFonts w:ascii="Times New Roman" w:hAnsi="Times New Roman"/>
          <w:highlight w:val="none"/>
        </w:rPr>
      </w:pPr>
      <w:r>
        <w:rPr>
          <w:rFonts w:hint="eastAsia" w:ascii="Times New Roman" w:hAnsi="Times New Roman"/>
          <w:highlight w:val="none"/>
        </w:rPr>
        <w:t>2）要求</w:t>
      </w:r>
    </w:p>
    <w:p w14:paraId="3C6A99B1">
      <w:pPr>
        <w:rPr>
          <w:rFonts w:ascii="Times New Roman" w:hAnsi="Times New Roman"/>
          <w:highlight w:val="none"/>
        </w:rPr>
      </w:pPr>
      <w:r>
        <w:rPr>
          <w:rFonts w:hint="eastAsia" w:ascii="Times New Roman" w:hAnsi="Times New Roman"/>
          <w:highlight w:val="none"/>
        </w:rPr>
        <w:t>对所有的培训，参选人除提供完备的书面教材外，还应提交培训方案和计划。</w:t>
      </w:r>
    </w:p>
    <w:p w14:paraId="1D4C27DF">
      <w:pPr>
        <w:rPr>
          <w:rFonts w:ascii="宋体" w:cs="宋体"/>
          <w:snapToGrid w:val="0"/>
          <w:kern w:val="0"/>
          <w:szCs w:val="24"/>
          <w:highlight w:val="none"/>
        </w:rPr>
      </w:pPr>
      <w:r>
        <w:rPr>
          <w:rFonts w:hint="eastAsia" w:ascii="Times New Roman" w:hAnsi="Times New Roman"/>
          <w:highlight w:val="none"/>
        </w:rPr>
        <w:t>比选人要求所有的培训在比选人指定地点进行。</w:t>
      </w:r>
    </w:p>
    <w:p w14:paraId="5A87932F">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12.</w:t>
      </w:r>
      <w:r>
        <w:rPr>
          <w:rFonts w:hint="eastAsia" w:ascii="Times New Roman" w:hAnsi="Times New Roman"/>
          <w:highlight w:val="none"/>
        </w:rPr>
        <w:t>服务连续性预案</w:t>
      </w:r>
    </w:p>
    <w:p w14:paraId="698A7CC2">
      <w:pPr>
        <w:rPr>
          <w:rFonts w:ascii="Times New Roman" w:hAnsi="Times New Roman"/>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在本次比选中，参选人应在参选文件中提供服务连续性预案供比选人查看，服务连续性预案应考虑供应链风险产生的影响。【提供服务连续性预案】</w:t>
      </w:r>
    </w:p>
    <w:p w14:paraId="642EEE60">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13.</w:t>
      </w:r>
      <w:r>
        <w:rPr>
          <w:rFonts w:hint="eastAsia" w:ascii="Times New Roman" w:hAnsi="Times New Roman"/>
          <w:highlight w:val="none"/>
        </w:rPr>
        <w:t>项目实施方案</w:t>
      </w:r>
    </w:p>
    <w:p w14:paraId="7099B3F3">
      <w:pPr>
        <w:rPr>
          <w:rFonts w:ascii="Times New Roman" w:hAnsi="Times New Roman"/>
          <w:highlight w:val="none"/>
        </w:rPr>
      </w:pPr>
      <w:r>
        <w:rPr>
          <w:rFonts w:hint="eastAsia" w:ascii="Times New Roman" w:hAnsi="Times New Roman"/>
          <w:highlight w:val="none"/>
        </w:rPr>
        <w:t>在本次比选中，参选人应在参选文件中提供项目实施方案供比选人查看，方案应包括实施方案、实施阶段、进度计划安排、实施范围内容、实施工期</w:t>
      </w:r>
      <w:r>
        <w:rPr>
          <w:rFonts w:hint="eastAsia" w:ascii="Times New Roman" w:hAnsi="Times New Roman"/>
          <w:highlight w:val="none"/>
          <w:lang w:eastAsia="zh-CN"/>
        </w:rPr>
        <w:t>、</w:t>
      </w:r>
      <w:r>
        <w:rPr>
          <w:rFonts w:hint="eastAsia" w:ascii="Times New Roman" w:hAnsi="Times New Roman"/>
          <w:highlight w:val="none"/>
        </w:rPr>
        <w:t>履行合同的时间计划、提交资料、人员安排等内容。【提供项目实施方案】</w:t>
      </w:r>
    </w:p>
    <w:p w14:paraId="539AF0AE">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14.</w:t>
      </w:r>
      <w:r>
        <w:rPr>
          <w:rFonts w:hint="eastAsia" w:ascii="Times New Roman" w:hAnsi="Times New Roman"/>
          <w:highlight w:val="none"/>
        </w:rPr>
        <w:t>付款方式</w:t>
      </w:r>
    </w:p>
    <w:p w14:paraId="46A5406A">
      <w:pPr>
        <w:rPr>
          <w:rFonts w:ascii="Times New Roman" w:hAnsi="Times New Roman"/>
          <w:highlight w:val="none"/>
        </w:rPr>
      </w:pPr>
      <w:r>
        <w:rPr>
          <w:rFonts w:hint="eastAsia" w:ascii="Times New Roman" w:hAnsi="Times New Roman"/>
          <w:highlight w:val="none"/>
        </w:rPr>
        <w:t>原则上不预付款项。具体付款方式可参考合同模板</w:t>
      </w:r>
      <w:r>
        <w:rPr>
          <w:rFonts w:ascii="Times New Roman" w:hAnsi="Times New Roman"/>
          <w:highlight w:val="none"/>
        </w:rPr>
        <w:t>，即：第一次付款即</w:t>
      </w:r>
      <w:r>
        <w:rPr>
          <w:rFonts w:hint="eastAsia" w:ascii="宋体"/>
          <w:highlight w:val="none"/>
        </w:rPr>
        <w:t>项目正式验收合格后甲方向乙方支付合同总价的</w:t>
      </w:r>
      <w:r>
        <w:rPr>
          <w:rFonts w:ascii="宋体"/>
          <w:highlight w:val="none"/>
        </w:rPr>
        <w:t>9</w:t>
      </w:r>
      <w:r>
        <w:rPr>
          <w:rFonts w:hint="eastAsia" w:ascii="宋体"/>
          <w:highlight w:val="none"/>
        </w:rPr>
        <w:t>0％</w:t>
      </w:r>
      <w:r>
        <w:rPr>
          <w:rFonts w:ascii="宋体"/>
          <w:highlight w:val="none"/>
        </w:rPr>
        <w:t>；第二次付款</w:t>
      </w:r>
      <w:r>
        <w:rPr>
          <w:rFonts w:hint="eastAsia" w:ascii="宋体"/>
          <w:highlight w:val="none"/>
        </w:rPr>
        <w:t>约定的维护到期后甲方向乙方支付合同总额的全部余款</w:t>
      </w:r>
      <w:r>
        <w:rPr>
          <w:rFonts w:ascii="宋体"/>
          <w:highlight w:val="none"/>
        </w:rPr>
        <w:t>。</w:t>
      </w:r>
    </w:p>
    <w:p w14:paraId="377BC5B5">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15.</w:t>
      </w:r>
      <w:r>
        <w:rPr>
          <w:rFonts w:hint="eastAsia" w:ascii="Times New Roman" w:hAnsi="Times New Roman"/>
          <w:highlight w:val="none"/>
        </w:rPr>
        <w:t>保密条款</w:t>
      </w:r>
    </w:p>
    <w:p w14:paraId="256B0B0E">
      <w:pPr>
        <w:pStyle w:val="4"/>
        <w:rPr>
          <w:rFonts w:ascii="Times New Roman" w:hAnsi="Times New Roman"/>
          <w:highlight w:val="none"/>
        </w:rPr>
      </w:pPr>
      <w:r>
        <w:rPr>
          <w:rFonts w:hint="eastAsia" w:ascii="Times New Roman" w:hAnsi="Times New Roman"/>
          <w:highlight w:val="none"/>
        </w:rPr>
        <w:t>1</w:t>
      </w:r>
      <w:r>
        <w:rPr>
          <w:rFonts w:ascii="Times New Roman" w:hAnsi="Times New Roman"/>
          <w:highlight w:val="none"/>
        </w:rPr>
        <w:t>5</w:t>
      </w:r>
      <w:r>
        <w:rPr>
          <w:rFonts w:hint="eastAsia" w:ascii="Times New Roman" w:hAnsi="Times New Roman"/>
          <w:highlight w:val="none"/>
        </w:rPr>
        <w:t>.1 保密范围</w:t>
      </w:r>
    </w:p>
    <w:p w14:paraId="20AB5BB0">
      <w:pPr>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649E15BF">
      <w:pPr>
        <w:pStyle w:val="4"/>
        <w:rPr>
          <w:rFonts w:ascii="Times New Roman" w:hAnsi="Times New Roman"/>
          <w:highlight w:val="none"/>
        </w:rPr>
      </w:pPr>
      <w:r>
        <w:rPr>
          <w:rFonts w:ascii="Times New Roman" w:hAnsi="Times New Roman"/>
          <w:highlight w:val="none"/>
        </w:rPr>
        <w:t>15</w:t>
      </w:r>
      <w:r>
        <w:rPr>
          <w:rFonts w:hint="eastAsia" w:ascii="Times New Roman" w:hAnsi="Times New Roman"/>
          <w:highlight w:val="none"/>
        </w:rPr>
        <w:t>.2 保密责任</w:t>
      </w:r>
    </w:p>
    <w:p w14:paraId="66ED2322">
      <w:pPr>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55E6F6BC">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16.</w:t>
      </w:r>
      <w:r>
        <w:rPr>
          <w:rFonts w:hint="eastAsia" w:ascii="Times New Roman" w:hAnsi="Times New Roman"/>
          <w:highlight w:val="none"/>
        </w:rPr>
        <w:t>报价要求</w:t>
      </w:r>
    </w:p>
    <w:p w14:paraId="7E326C2C">
      <w:pPr>
        <w:rPr>
          <w:rFonts w:ascii="Times New Roman" w:hAnsi="Times New Roman"/>
          <w:highlight w:val="none"/>
        </w:rPr>
      </w:pPr>
      <w:r>
        <w:rPr>
          <w:rFonts w:hint="eastAsia" w:ascii="Times New Roman" w:hAnsi="Times New Roman"/>
          <w:highlight w:val="none"/>
        </w:rPr>
        <w:t>参选人应严格按照《参选文件格式》的“</w:t>
      </w:r>
      <w:r>
        <w:rPr>
          <w:rFonts w:hint="eastAsia"/>
          <w:highlight w:val="none"/>
        </w:rPr>
        <w:t>报价一览表</w:t>
      </w:r>
      <w:r>
        <w:rPr>
          <w:rFonts w:hint="eastAsia" w:ascii="Times New Roman" w:hAnsi="Times New Roman"/>
          <w:highlight w:val="none"/>
        </w:rPr>
        <w:t>”的格式认真填写。</w:t>
      </w:r>
    </w:p>
    <w:p w14:paraId="3072481E">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17.</w:t>
      </w:r>
      <w:r>
        <w:rPr>
          <w:rFonts w:hint="eastAsia" w:ascii="Times New Roman" w:hAnsi="Times New Roman"/>
          <w:highlight w:val="none"/>
        </w:rPr>
        <w:t>知识产权</w:t>
      </w:r>
    </w:p>
    <w:p w14:paraId="44F1D8FE">
      <w:pPr>
        <w:rPr>
          <w:rFonts w:ascii="Times New Roman" w:hAnsi="Times New Roman"/>
          <w:highlight w:val="none"/>
        </w:rPr>
      </w:pPr>
      <w:r>
        <w:rPr>
          <w:rFonts w:hint="eastAsia" w:ascii="Times New Roman" w:hAnsi="Times New Roman"/>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5A6715C">
      <w:pPr>
        <w:rPr>
          <w:rFonts w:ascii="Times New Roman" w:hAnsi="Times New Roman"/>
          <w:highlight w:val="none"/>
        </w:rPr>
      </w:pPr>
      <w:r>
        <w:rPr>
          <w:rFonts w:hint="eastAsia" w:ascii="Times New Roman" w:hAnsi="Times New Roman"/>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3C93784">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18.</w:t>
      </w:r>
      <w:r>
        <w:rPr>
          <w:rFonts w:hint="eastAsia" w:ascii="Times New Roman" w:hAnsi="Times New Roman"/>
          <w:highlight w:val="none"/>
        </w:rPr>
        <w:t>其他</w:t>
      </w:r>
    </w:p>
    <w:p w14:paraId="5B2535A4">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.1 参选人必须在响应承诺函中对本章内容做出整体性响应和承诺，承诺内容必须达到本章及比选文件其他条款的要求。</w:t>
      </w:r>
    </w:p>
    <w:p w14:paraId="31794DA6">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175D5BFD">
      <w:pPr>
        <w:rPr>
          <w:rFonts w:ascii="Times New Roman" w:hAnsi="Times New Roman" w:cs="Times New Roman"/>
          <w:highlight w:val="none"/>
        </w:rPr>
      </w:pPr>
      <w:r>
        <w:rPr>
          <w:rFonts w:hint="eastAsia" w:ascii="Times New Roman" w:hAnsi="Times New Roman"/>
          <w:highlight w:val="none"/>
          <w:lang w:val="en-US" w:eastAsia="zh-CN"/>
        </w:rPr>
        <w:t xml:space="preserve">18.3 </w:t>
      </w:r>
      <w:r>
        <w:rPr>
          <w:rFonts w:hint="eastAsia" w:ascii="Times New Roman" w:hAnsi="Times New Roman"/>
          <w:highlight w:val="none"/>
        </w:rPr>
        <w:t>其他未尽事宜由供需双方在合同中详细约定。</w:t>
      </w:r>
    </w:p>
    <w:p w14:paraId="722BCC8A">
      <w:pPr>
        <w:snapToGrid w:val="0"/>
        <w:spacing w:line="360" w:lineRule="auto"/>
        <w:rPr>
          <w:rFonts w:ascii="Times New Roman" w:hAnsi="Times New Roman" w:cs="宋体"/>
          <w:snapToGrid w:val="0"/>
          <w:color w:val="FF0000"/>
          <w:kern w:val="0"/>
          <w:szCs w:val="24"/>
          <w:highlight w:val="none"/>
        </w:rPr>
      </w:pPr>
    </w:p>
    <w:p w14:paraId="4D163672">
      <w:pPr>
        <w:snapToGrid w:val="0"/>
        <w:spacing w:line="360" w:lineRule="auto"/>
        <w:rPr>
          <w:rFonts w:ascii="Times New Roman" w:hAnsi="Times New Roman" w:cs="宋体"/>
          <w:snapToGrid w:val="0"/>
          <w:color w:val="FF0000"/>
          <w:kern w:val="0"/>
          <w:szCs w:val="24"/>
          <w:highlight w:val="none"/>
        </w:rPr>
      </w:pPr>
      <w:r>
        <w:rPr>
          <w:rFonts w:ascii="Times New Roman" w:hAnsi="Times New Roman" w:cs="宋体"/>
          <w:snapToGrid w:val="0"/>
          <w:color w:val="FF0000"/>
          <w:kern w:val="0"/>
          <w:szCs w:val="24"/>
          <w:highlight w:val="none"/>
        </w:rPr>
        <w:br w:type="page"/>
      </w:r>
    </w:p>
    <w:p w14:paraId="7CE722BA">
      <w:pPr>
        <w:pStyle w:val="2"/>
        <w:rPr>
          <w:rFonts w:ascii="Times New Roman" w:hAnsi="Times New Roman"/>
          <w:highlight w:val="none"/>
        </w:rPr>
      </w:pPr>
      <w:bookmarkStart w:id="45" w:name="_Toc29189"/>
      <w:bookmarkStart w:id="46" w:name="_Toc10419"/>
      <w:r>
        <w:rPr>
          <w:rFonts w:hint="eastAsia" w:ascii="Times New Roman" w:hAnsi="Times New Roman"/>
          <w:highlight w:val="none"/>
        </w:rPr>
        <w:t>第四章 评审办法（综合评估法）</w:t>
      </w:r>
      <w:bookmarkEnd w:id="45"/>
      <w:bookmarkEnd w:id="46"/>
    </w:p>
    <w:p w14:paraId="146607DE">
      <w:pPr>
        <w:rPr>
          <w:rFonts w:ascii="Times New Roman" w:hAnsi="Times New Roman"/>
          <w:b/>
          <w:bCs/>
          <w:highlight w:val="none"/>
        </w:rPr>
      </w:pPr>
      <w:bookmarkStart w:id="47" w:name="_Toc27076"/>
      <w:bookmarkStart w:id="48" w:name="_Toc11471"/>
      <w:bookmarkStart w:id="49" w:name="_Toc14810"/>
      <w:bookmarkStart w:id="50" w:name="_Toc2028"/>
      <w:r>
        <w:rPr>
          <w:rFonts w:hint="eastAsia" w:ascii="Times New Roman" w:hAnsi="Times New Roman"/>
          <w:b/>
          <w:bCs/>
          <w:highlight w:val="none"/>
        </w:rPr>
        <w:t>评审办法前附表</w:t>
      </w:r>
      <w:bookmarkEnd w:id="47"/>
      <w:bookmarkEnd w:id="48"/>
      <w:bookmarkEnd w:id="49"/>
      <w:bookmarkEnd w:id="50"/>
    </w:p>
    <w:p w14:paraId="2F6D0175">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686"/>
        <w:gridCol w:w="5476"/>
      </w:tblGrid>
      <w:tr w14:paraId="3834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6787862">
            <w:pPr>
              <w:spacing w:line="360" w:lineRule="auto"/>
              <w:ind w:firstLine="0" w:firstLineChars="0"/>
              <w:jc w:val="center"/>
              <w:rPr>
                <w:rFonts w:ascii="Times New Roman" w:hAnsi="Times New Roman" w:cs="宋体"/>
                <w:b/>
                <w:kern w:val="0"/>
                <w:sz w:val="21"/>
                <w:szCs w:val="21"/>
                <w:highlight w:val="none"/>
              </w:rPr>
            </w:pPr>
            <w:bookmarkStart w:id="51" w:name="_Toc636"/>
            <w:bookmarkStart w:id="52" w:name="_Toc21111"/>
            <w:r>
              <w:rPr>
                <w:rFonts w:hint="eastAsia" w:ascii="Times New Roman" w:hAnsi="Times New Roman" w:cs="宋体"/>
                <w:b/>
                <w:kern w:val="0"/>
                <w:sz w:val="21"/>
                <w:szCs w:val="21"/>
                <w:highlight w:val="none"/>
              </w:rPr>
              <w:t>条款号</w:t>
            </w:r>
          </w:p>
        </w:tc>
        <w:tc>
          <w:tcPr>
            <w:tcW w:w="1482" w:type="dxa"/>
            <w:vAlign w:val="center"/>
          </w:tcPr>
          <w:p w14:paraId="54DED31D">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162" w:type="dxa"/>
            <w:gridSpan w:val="2"/>
            <w:vAlign w:val="center"/>
          </w:tcPr>
          <w:p w14:paraId="20A034A3">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1909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245ECD8">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482" w:type="dxa"/>
            <w:vAlign w:val="center"/>
          </w:tcPr>
          <w:p w14:paraId="56F7B195">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Times New Roman"/>
                <w:sz w:val="21"/>
                <w:szCs w:val="21"/>
                <w:highlight w:val="none"/>
              </w:rPr>
              <w:t>评审办法</w:t>
            </w:r>
          </w:p>
        </w:tc>
        <w:tc>
          <w:tcPr>
            <w:tcW w:w="7162" w:type="dxa"/>
            <w:gridSpan w:val="2"/>
            <w:vAlign w:val="center"/>
          </w:tcPr>
          <w:p w14:paraId="05252C95">
            <w:pPr>
              <w:spacing w:line="240" w:lineRule="auto"/>
              <w:ind w:firstLine="0" w:firstLineChars="0"/>
              <w:jc w:val="left"/>
              <w:rPr>
                <w:rFonts w:ascii="Times New Roman" w:hAnsi="Times New Roman" w:cs="宋体"/>
                <w:b/>
                <w:kern w:val="0"/>
                <w:sz w:val="21"/>
                <w:szCs w:val="21"/>
                <w:highlight w:val="none"/>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ascii="Times New Roman" w:hAnsi="Times New Roman" w:cs="Times New Roman"/>
                <w:color w:val="000000"/>
                <w:kern w:val="0"/>
                <w:sz w:val="21"/>
                <w:szCs w:val="24"/>
                <w:highlight w:val="none"/>
              </w:rPr>
              <w:t>由评审委员会按照</w:t>
            </w:r>
            <w:r>
              <w:rPr>
                <w:rFonts w:ascii="Times New Roman" w:hAnsi="Times New Roman" w:cs="Times New Roman"/>
                <w:color w:val="000000"/>
                <w:kern w:val="0"/>
                <w:sz w:val="21"/>
                <w:szCs w:val="24"/>
                <w:highlight w:val="none"/>
              </w:rPr>
              <w:t>实施案例总数多的</w:t>
            </w:r>
            <w:r>
              <w:rPr>
                <w:rFonts w:hint="eastAsia" w:ascii="Times New Roman" w:hAnsi="Times New Roman" w:cs="Times New Roman"/>
                <w:color w:val="000000"/>
                <w:kern w:val="0"/>
                <w:sz w:val="21"/>
                <w:szCs w:val="24"/>
                <w:highlight w:val="none"/>
              </w:rPr>
              <w:t>排序。</w:t>
            </w:r>
          </w:p>
        </w:tc>
      </w:tr>
      <w:tr w14:paraId="610D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55D0BDC">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kern w:val="0"/>
                <w:sz w:val="21"/>
                <w:szCs w:val="21"/>
                <w:highlight w:val="none"/>
              </w:rPr>
            </w:pPr>
            <w:r>
              <w:rPr>
                <w:rFonts w:hint="eastAsia" w:ascii="宋体" w:hAnsi="宋体" w:cs="宋体"/>
                <w:b w:val="0"/>
                <w:bCs/>
                <w:color w:val="auto"/>
                <w:kern w:val="0"/>
                <w:sz w:val="21"/>
                <w:szCs w:val="21"/>
                <w:highlight w:val="none"/>
                <w:lang w:val="en-US" w:eastAsia="zh-CN"/>
              </w:rPr>
              <w:t>2.1</w:t>
            </w:r>
          </w:p>
        </w:tc>
        <w:tc>
          <w:tcPr>
            <w:tcW w:w="1482" w:type="dxa"/>
            <w:vAlign w:val="center"/>
          </w:tcPr>
          <w:p w14:paraId="49C3EB07">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Times New Roman"/>
                <w:kern w:val="0"/>
                <w:sz w:val="21"/>
                <w:szCs w:val="24"/>
                <w:highlight w:val="none"/>
              </w:rPr>
            </w:pP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kern w:val="0"/>
                <w:sz w:val="21"/>
                <w:szCs w:val="24"/>
                <w:highlight w:val="none"/>
                <w:lang w:val="en-US" w:eastAsia="zh-CN" w:bidi="ar-SA"/>
              </w:rPr>
              <w:t>标准</w:t>
            </w:r>
          </w:p>
        </w:tc>
        <w:tc>
          <w:tcPr>
            <w:tcW w:w="7162" w:type="dxa"/>
            <w:gridSpan w:val="2"/>
            <w:vAlign w:val="center"/>
          </w:tcPr>
          <w:p w14:paraId="34ED4274">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Times New Roman" w:hAnsi="Times New Roman" w:cs="Times New Roman"/>
                <w:kern w:val="0"/>
                <w:sz w:val="21"/>
                <w:szCs w:val="24"/>
                <w:highlight w:val="none"/>
              </w:rPr>
            </w:pPr>
            <w:r>
              <w:rPr>
                <w:rFonts w:hint="eastAsia" w:ascii="宋体" w:hAnsi="宋体" w:cs="Times New Roman"/>
                <w:color w:val="auto"/>
                <w:kern w:val="0"/>
                <w:sz w:val="21"/>
                <w:szCs w:val="24"/>
                <w:highlight w:val="none"/>
                <w:lang w:val="en-US" w:eastAsia="zh-CN"/>
              </w:rPr>
              <w:t>所有参选单位</w:t>
            </w:r>
            <w:r>
              <w:rPr>
                <w:rFonts w:hint="eastAsia" w:ascii="宋体" w:hAnsi="宋体" w:cs="Times New Roman"/>
                <w:color w:val="auto"/>
                <w:spacing w:val="4"/>
                <w:kern w:val="0"/>
                <w:sz w:val="21"/>
                <w:szCs w:val="21"/>
                <w:highlight w:val="none"/>
              </w:rPr>
              <w:t>进行</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内容：资格评审、形式评审、响应性评审。</w:t>
            </w:r>
          </w:p>
        </w:tc>
      </w:tr>
      <w:tr w14:paraId="7F0C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65D8ADF">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kern w:val="0"/>
                <w:sz w:val="21"/>
                <w:szCs w:val="21"/>
                <w:highlight w:val="none"/>
              </w:rPr>
              <w:t>2.1.1</w:t>
            </w:r>
          </w:p>
        </w:tc>
        <w:tc>
          <w:tcPr>
            <w:tcW w:w="1482" w:type="dxa"/>
            <w:vAlign w:val="center"/>
          </w:tcPr>
          <w:p w14:paraId="13696EE8">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资格评审标准</w:t>
            </w:r>
          </w:p>
        </w:tc>
        <w:tc>
          <w:tcPr>
            <w:tcW w:w="1686" w:type="dxa"/>
            <w:vAlign w:val="center"/>
          </w:tcPr>
          <w:p w14:paraId="51C5F726">
            <w:pPr>
              <w:spacing w:line="24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资格条件要求</w:t>
            </w:r>
          </w:p>
        </w:tc>
        <w:tc>
          <w:tcPr>
            <w:tcW w:w="5476" w:type="dxa"/>
            <w:vAlign w:val="center"/>
          </w:tcPr>
          <w:p w14:paraId="4D17EE4E">
            <w:pPr>
              <w:spacing w:line="240" w:lineRule="auto"/>
              <w:ind w:firstLine="0" w:firstLineChars="0"/>
              <w:jc w:val="left"/>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符合第一章“2. 参选人资格要求”规定</w:t>
            </w:r>
          </w:p>
        </w:tc>
      </w:tr>
      <w:tr w14:paraId="6EC7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696C61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2.1.2</w:t>
            </w:r>
          </w:p>
        </w:tc>
        <w:tc>
          <w:tcPr>
            <w:tcW w:w="1482" w:type="dxa"/>
            <w:vMerge w:val="restart"/>
            <w:vAlign w:val="center"/>
          </w:tcPr>
          <w:p w14:paraId="27698410">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形式评审标准</w:t>
            </w:r>
          </w:p>
        </w:tc>
        <w:tc>
          <w:tcPr>
            <w:tcW w:w="1686" w:type="dxa"/>
            <w:vAlign w:val="center"/>
          </w:tcPr>
          <w:p w14:paraId="730D5C8F">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vAlign w:val="center"/>
          </w:tcPr>
          <w:p w14:paraId="6AF39659">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5F0B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C320D64">
            <w:pPr>
              <w:rPr>
                <w:highlight w:val="none"/>
              </w:rPr>
            </w:pPr>
          </w:p>
        </w:tc>
        <w:tc>
          <w:tcPr>
            <w:tcW w:w="1482" w:type="dxa"/>
            <w:vMerge w:val="continue"/>
            <w:textDirection w:val="tbRlV"/>
            <w:vAlign w:val="center"/>
          </w:tcPr>
          <w:p w14:paraId="550DBC45">
            <w:pPr>
              <w:rPr>
                <w:highlight w:val="none"/>
              </w:rPr>
            </w:pPr>
          </w:p>
        </w:tc>
        <w:tc>
          <w:tcPr>
            <w:tcW w:w="1686" w:type="dxa"/>
            <w:vAlign w:val="center"/>
          </w:tcPr>
          <w:p w14:paraId="7EAB5C94">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vAlign w:val="center"/>
          </w:tcPr>
          <w:p w14:paraId="2E28D1CF">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176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8FDA9BF">
            <w:pPr>
              <w:rPr>
                <w:highlight w:val="none"/>
              </w:rPr>
            </w:pPr>
          </w:p>
        </w:tc>
        <w:tc>
          <w:tcPr>
            <w:tcW w:w="1482" w:type="dxa"/>
            <w:vMerge w:val="continue"/>
            <w:textDirection w:val="tbRlV"/>
            <w:vAlign w:val="center"/>
          </w:tcPr>
          <w:p w14:paraId="50160538">
            <w:pPr>
              <w:rPr>
                <w:highlight w:val="none"/>
              </w:rPr>
            </w:pPr>
          </w:p>
        </w:tc>
        <w:tc>
          <w:tcPr>
            <w:tcW w:w="1686" w:type="dxa"/>
            <w:vAlign w:val="center"/>
          </w:tcPr>
          <w:p w14:paraId="208D4079">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vAlign w:val="center"/>
          </w:tcPr>
          <w:p w14:paraId="57208BEB">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2C27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3CBB9F2">
            <w:pPr>
              <w:rPr>
                <w:highlight w:val="none"/>
              </w:rPr>
            </w:pPr>
          </w:p>
        </w:tc>
        <w:tc>
          <w:tcPr>
            <w:tcW w:w="1482" w:type="dxa"/>
            <w:vMerge w:val="continue"/>
            <w:textDirection w:val="tbRlV"/>
            <w:vAlign w:val="center"/>
          </w:tcPr>
          <w:p w14:paraId="11E929D4">
            <w:pPr>
              <w:rPr>
                <w:highlight w:val="none"/>
              </w:rPr>
            </w:pPr>
          </w:p>
        </w:tc>
        <w:tc>
          <w:tcPr>
            <w:tcW w:w="1686" w:type="dxa"/>
            <w:vAlign w:val="center"/>
          </w:tcPr>
          <w:p w14:paraId="60538D0C">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vAlign w:val="center"/>
          </w:tcPr>
          <w:p w14:paraId="7D6F7C86">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5636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B1DAF4D">
            <w:pPr>
              <w:rPr>
                <w:highlight w:val="none"/>
              </w:rPr>
            </w:pPr>
          </w:p>
        </w:tc>
        <w:tc>
          <w:tcPr>
            <w:tcW w:w="1482" w:type="dxa"/>
            <w:vMerge w:val="continue"/>
            <w:textDirection w:val="tbRlV"/>
            <w:vAlign w:val="center"/>
          </w:tcPr>
          <w:p w14:paraId="1D5EE2BC">
            <w:pPr>
              <w:rPr>
                <w:highlight w:val="none"/>
              </w:rPr>
            </w:pPr>
          </w:p>
        </w:tc>
        <w:tc>
          <w:tcPr>
            <w:tcW w:w="1686" w:type="dxa"/>
            <w:vAlign w:val="center"/>
          </w:tcPr>
          <w:p w14:paraId="14A1CCAA">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vAlign w:val="center"/>
          </w:tcPr>
          <w:p w14:paraId="5BFE8B3A">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200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1FDC4A4">
            <w:pPr>
              <w:rPr>
                <w:highlight w:val="none"/>
              </w:rPr>
            </w:pPr>
          </w:p>
        </w:tc>
        <w:tc>
          <w:tcPr>
            <w:tcW w:w="1482" w:type="dxa"/>
            <w:vMerge w:val="continue"/>
            <w:textDirection w:val="tbRlV"/>
            <w:vAlign w:val="center"/>
          </w:tcPr>
          <w:p w14:paraId="15939326">
            <w:pPr>
              <w:rPr>
                <w:highlight w:val="none"/>
              </w:rPr>
            </w:pPr>
          </w:p>
        </w:tc>
        <w:tc>
          <w:tcPr>
            <w:tcW w:w="1686" w:type="dxa"/>
            <w:vAlign w:val="center"/>
          </w:tcPr>
          <w:p w14:paraId="62AC45B7">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vAlign w:val="center"/>
          </w:tcPr>
          <w:p w14:paraId="45841F95">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5EB0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DD549F3">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2.1.3</w:t>
            </w:r>
          </w:p>
        </w:tc>
        <w:tc>
          <w:tcPr>
            <w:tcW w:w="1482" w:type="dxa"/>
            <w:vMerge w:val="restart"/>
            <w:vAlign w:val="center"/>
          </w:tcPr>
          <w:p w14:paraId="0A7B7804">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686" w:type="dxa"/>
            <w:vAlign w:val="center"/>
          </w:tcPr>
          <w:p w14:paraId="016712DF">
            <w:pPr>
              <w:spacing w:line="240" w:lineRule="auto"/>
              <w:ind w:firstLine="0" w:firstLineChars="0"/>
              <w:jc w:val="center"/>
              <w:rPr>
                <w:rFonts w:ascii="Times New Roman" w:hAnsi="Times New Roman" w:cs="宋体"/>
                <w:color w:val="000000"/>
                <w:kern w:val="0"/>
                <w:sz w:val="21"/>
                <w:szCs w:val="21"/>
                <w:highlight w:val="none"/>
              </w:rPr>
            </w:pPr>
            <w:r>
              <w:rPr>
                <w:rFonts w:hint="eastAsia" w:ascii="Times New Roman" w:hAnsi="Times New Roman" w:cs="宋体"/>
                <w:color w:val="000000"/>
                <w:kern w:val="0"/>
                <w:sz w:val="21"/>
                <w:szCs w:val="21"/>
                <w:highlight w:val="none"/>
              </w:rPr>
              <w:t>参选内容</w:t>
            </w:r>
          </w:p>
        </w:tc>
        <w:tc>
          <w:tcPr>
            <w:tcW w:w="5476" w:type="dxa"/>
            <w:vAlign w:val="center"/>
          </w:tcPr>
          <w:p w14:paraId="38416441">
            <w:pPr>
              <w:spacing w:line="240" w:lineRule="auto"/>
              <w:ind w:firstLine="0" w:firstLineChars="0"/>
              <w:jc w:val="left"/>
              <w:rPr>
                <w:rFonts w:hint="default" w:ascii="Times New Roman" w:hAnsi="Times New Roman" w:eastAsia="宋体" w:cs="宋体"/>
                <w:color w:val="000000"/>
                <w:kern w:val="0"/>
                <w:sz w:val="21"/>
                <w:szCs w:val="21"/>
                <w:highlight w:val="none"/>
                <w:lang w:val="en-US" w:eastAsia="zh-CN"/>
              </w:rPr>
            </w:pPr>
            <w:r>
              <w:rPr>
                <w:rFonts w:hint="eastAsia" w:ascii="Times New Roman" w:hAnsi="Times New Roman" w:cs="宋体"/>
                <w:color w:val="000000"/>
                <w:kern w:val="0"/>
                <w:sz w:val="21"/>
                <w:szCs w:val="21"/>
                <w:highlight w:val="none"/>
              </w:rPr>
              <w:t>1. 在响应承诺函中对第三章“项目要求”内容做出整体承诺；</w:t>
            </w:r>
            <w:r>
              <w:rPr>
                <w:rFonts w:hint="eastAsia" w:ascii="Times New Roman" w:hAnsi="Times New Roman" w:cs="宋体"/>
                <w:color w:val="000000"/>
                <w:kern w:val="0"/>
                <w:sz w:val="21"/>
                <w:szCs w:val="21"/>
                <w:highlight w:val="none"/>
                <w:lang w:val="en-US" w:eastAsia="zh-CN"/>
              </w:rPr>
              <w:t>对第三章第4条对应内容做出单独承诺。</w:t>
            </w:r>
          </w:p>
          <w:p w14:paraId="0E9A7C77">
            <w:pPr>
              <w:spacing w:line="240" w:lineRule="auto"/>
              <w:ind w:firstLine="0" w:firstLineChars="0"/>
              <w:jc w:val="left"/>
              <w:rPr>
                <w:rFonts w:ascii="Times New Roman" w:hAnsi="Times New Roman" w:cs="宋体"/>
                <w:color w:val="000000"/>
                <w:kern w:val="0"/>
                <w:sz w:val="21"/>
                <w:szCs w:val="21"/>
                <w:highlight w:val="none"/>
              </w:rPr>
            </w:pPr>
            <w:r>
              <w:rPr>
                <w:rFonts w:hint="eastAsia" w:ascii="Times New Roman" w:hAnsi="Times New Roman" w:cs="宋体"/>
                <w:color w:val="000000"/>
                <w:kern w:val="0"/>
                <w:sz w:val="21"/>
                <w:szCs w:val="21"/>
                <w:highlight w:val="none"/>
              </w:rPr>
              <w:t xml:space="preserve">2. 根据第一章“2. </w:t>
            </w:r>
            <w:r>
              <w:rPr>
                <w:rFonts w:ascii="Times New Roman" w:hAnsi="Times New Roman" w:cs="宋体"/>
                <w:color w:val="000000"/>
                <w:kern w:val="0"/>
                <w:sz w:val="21"/>
                <w:szCs w:val="21"/>
                <w:highlight w:val="none"/>
              </w:rPr>
              <w:t>参选人资格要求”和第三章“项目要求”的要求规定，提供对应</w:t>
            </w:r>
            <w:r>
              <w:rPr>
                <w:rFonts w:hint="eastAsia" w:ascii="宋体" w:hAnsi="宋体" w:cs="宋体"/>
                <w:color w:val="auto"/>
                <w:kern w:val="0"/>
                <w:sz w:val="21"/>
                <w:szCs w:val="21"/>
                <w:highlight w:val="none"/>
                <w:lang w:val="en-US" w:eastAsia="zh-CN"/>
              </w:rPr>
              <w:t>材料</w:t>
            </w:r>
            <w:r>
              <w:rPr>
                <w:rFonts w:ascii="Times New Roman" w:hAnsi="Times New Roman" w:cs="宋体"/>
                <w:color w:val="000000"/>
                <w:kern w:val="0"/>
                <w:sz w:val="21"/>
                <w:szCs w:val="21"/>
                <w:highlight w:val="none"/>
              </w:rPr>
              <w:t>，内容齐全、无遗漏。</w:t>
            </w:r>
          </w:p>
        </w:tc>
      </w:tr>
      <w:tr w14:paraId="4A25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3008524">
            <w:pPr>
              <w:rPr>
                <w:highlight w:val="none"/>
              </w:rPr>
            </w:pPr>
          </w:p>
        </w:tc>
        <w:tc>
          <w:tcPr>
            <w:tcW w:w="1482" w:type="dxa"/>
            <w:vMerge w:val="continue"/>
          </w:tcPr>
          <w:p w14:paraId="1B001FB4">
            <w:pPr>
              <w:rPr>
                <w:highlight w:val="none"/>
              </w:rPr>
            </w:pPr>
          </w:p>
        </w:tc>
        <w:tc>
          <w:tcPr>
            <w:tcW w:w="1686" w:type="dxa"/>
            <w:vAlign w:val="center"/>
          </w:tcPr>
          <w:p w14:paraId="257F8255">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vAlign w:val="center"/>
          </w:tcPr>
          <w:p w14:paraId="308DB1B9">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8A0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E2FC2F">
            <w:pPr>
              <w:rPr>
                <w:highlight w:val="none"/>
              </w:rPr>
            </w:pPr>
          </w:p>
        </w:tc>
        <w:tc>
          <w:tcPr>
            <w:tcW w:w="1482" w:type="dxa"/>
            <w:vMerge w:val="continue"/>
          </w:tcPr>
          <w:p w14:paraId="3467D6D4">
            <w:pPr>
              <w:rPr>
                <w:highlight w:val="none"/>
              </w:rPr>
            </w:pPr>
          </w:p>
        </w:tc>
        <w:tc>
          <w:tcPr>
            <w:tcW w:w="1686" w:type="dxa"/>
            <w:vAlign w:val="center"/>
          </w:tcPr>
          <w:p w14:paraId="51CB1BF8">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vAlign w:val="center"/>
          </w:tcPr>
          <w:p w14:paraId="40C3319E">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7BEC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11D042">
            <w:pPr>
              <w:rPr>
                <w:highlight w:val="none"/>
              </w:rPr>
            </w:pPr>
          </w:p>
        </w:tc>
        <w:tc>
          <w:tcPr>
            <w:tcW w:w="1482" w:type="dxa"/>
            <w:vMerge w:val="continue"/>
          </w:tcPr>
          <w:p w14:paraId="11F2CF06">
            <w:pPr>
              <w:rPr>
                <w:highlight w:val="none"/>
              </w:rPr>
            </w:pPr>
          </w:p>
        </w:tc>
        <w:tc>
          <w:tcPr>
            <w:tcW w:w="1686" w:type="dxa"/>
            <w:vAlign w:val="center"/>
          </w:tcPr>
          <w:p w14:paraId="5DCCC80A">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vAlign w:val="center"/>
          </w:tcPr>
          <w:p w14:paraId="41278686">
            <w:pPr>
              <w:adjustRightInd w:val="0"/>
              <w:snapToGrid w:val="0"/>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1F27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43AC8ED">
            <w:pPr>
              <w:rPr>
                <w:highlight w:val="none"/>
              </w:rPr>
            </w:pPr>
          </w:p>
        </w:tc>
        <w:tc>
          <w:tcPr>
            <w:tcW w:w="1482" w:type="dxa"/>
            <w:vMerge w:val="continue"/>
          </w:tcPr>
          <w:p w14:paraId="4799FF81">
            <w:pPr>
              <w:rPr>
                <w:highlight w:val="none"/>
              </w:rPr>
            </w:pPr>
          </w:p>
        </w:tc>
        <w:tc>
          <w:tcPr>
            <w:tcW w:w="1686" w:type="dxa"/>
            <w:vAlign w:val="center"/>
          </w:tcPr>
          <w:p w14:paraId="1C31B629">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Pr>
          <w:p w14:paraId="3EEE8999">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77A6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5076B1">
            <w:pPr>
              <w:rPr>
                <w:highlight w:val="none"/>
              </w:rPr>
            </w:pPr>
          </w:p>
        </w:tc>
        <w:tc>
          <w:tcPr>
            <w:tcW w:w="1482" w:type="dxa"/>
            <w:vMerge w:val="continue"/>
          </w:tcPr>
          <w:p w14:paraId="1B15DAE6">
            <w:pPr>
              <w:rPr>
                <w:highlight w:val="none"/>
              </w:rPr>
            </w:pPr>
          </w:p>
        </w:tc>
        <w:tc>
          <w:tcPr>
            <w:tcW w:w="1686" w:type="dxa"/>
            <w:vAlign w:val="center"/>
          </w:tcPr>
          <w:p w14:paraId="52B4A47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Pr>
          <w:p w14:paraId="45CEB798">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3CE0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0" w:type="dxa"/>
            <w:vAlign w:val="center"/>
          </w:tcPr>
          <w:p w14:paraId="23A6EBA6">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w:t>
            </w:r>
          </w:p>
        </w:tc>
        <w:tc>
          <w:tcPr>
            <w:tcW w:w="1482" w:type="dxa"/>
            <w:vAlign w:val="center"/>
          </w:tcPr>
          <w:p w14:paraId="2947A644">
            <w:pPr>
              <w:spacing w:line="360" w:lineRule="auto"/>
              <w:ind w:firstLine="0" w:firstLineChars="0"/>
              <w:jc w:val="center"/>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详细评审</w:t>
            </w:r>
          </w:p>
        </w:tc>
        <w:tc>
          <w:tcPr>
            <w:tcW w:w="1686" w:type="dxa"/>
            <w:vAlign w:val="center"/>
          </w:tcPr>
          <w:p w14:paraId="16C59DFC">
            <w:pPr>
              <w:tabs>
                <w:tab w:val="left" w:pos="1875"/>
              </w:tabs>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分值构成与评分标准</w:t>
            </w:r>
          </w:p>
          <w:p w14:paraId="0E55670E">
            <w:pPr>
              <w:tabs>
                <w:tab w:val="left" w:pos="1875"/>
              </w:tabs>
              <w:spacing w:line="240" w:lineRule="auto"/>
              <w:ind w:firstLine="0" w:firstLineChars="0"/>
              <w:jc w:val="center"/>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(总分1OO分)</w:t>
            </w:r>
          </w:p>
        </w:tc>
        <w:tc>
          <w:tcPr>
            <w:tcW w:w="5476" w:type="dxa"/>
            <w:vAlign w:val="center"/>
          </w:tcPr>
          <w:p w14:paraId="001D3709">
            <w:pPr>
              <w:spacing w:line="240" w:lineRule="auto"/>
              <w:ind w:firstLine="0" w:firstLineChars="0"/>
              <w:jc w:val="left"/>
              <w:rPr>
                <w:rFonts w:ascii="Times New Roman" w:hAnsi="Times New Roman" w:cs="Times New Roman"/>
                <w:kern w:val="0"/>
                <w:sz w:val="21"/>
                <w:szCs w:val="21"/>
                <w:highlight w:val="none"/>
              </w:rPr>
            </w:pPr>
            <w:r>
              <w:rPr>
                <w:rFonts w:hint="eastAsia" w:ascii="Times New Roman" w:hAnsi="Times New Roman" w:cs="宋体"/>
                <w:kern w:val="0"/>
                <w:sz w:val="21"/>
                <w:szCs w:val="21"/>
                <w:highlight w:val="none"/>
                <w:lang w:val="en-US" w:eastAsia="zh-CN"/>
              </w:rPr>
              <w:t>详见《详细评审评分标准表》</w:t>
            </w:r>
          </w:p>
        </w:tc>
      </w:tr>
      <w:tr w14:paraId="726F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3E31F1E9">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482" w:type="dxa"/>
            <w:vAlign w:val="center"/>
          </w:tcPr>
          <w:p w14:paraId="639FF6C4">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162" w:type="dxa"/>
            <w:gridSpan w:val="2"/>
          </w:tcPr>
          <w:p w14:paraId="227D514C">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1.初步评审前，按本章第3.1.3项的规定对参选报价有算术性错误的进行算术性错误修正。</w:t>
            </w:r>
          </w:p>
          <w:p w14:paraId="28B49EB0">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2.初步评审合格的参选文件进行</w:t>
            </w:r>
            <w:r>
              <w:rPr>
                <w:rFonts w:hint="eastAsia" w:ascii="宋体" w:hAnsi="宋体" w:cs="宋体"/>
                <w:color w:val="auto"/>
                <w:sz w:val="21"/>
                <w:szCs w:val="21"/>
                <w:highlight w:val="none"/>
                <w:lang w:val="en-US" w:eastAsia="zh-CN"/>
              </w:rPr>
              <w:t>详细评审</w:t>
            </w:r>
            <w:r>
              <w:rPr>
                <w:rFonts w:hint="eastAsia" w:ascii="宋体" w:hAnsi="宋体" w:cs="宋体"/>
                <w:color w:val="auto"/>
                <w:sz w:val="21"/>
                <w:szCs w:val="21"/>
                <w:highlight w:val="none"/>
              </w:rPr>
              <w:t>。主观评审部分由各专家独立评审打分，最后取平均得分，保留2位小数。</w:t>
            </w:r>
          </w:p>
          <w:p w14:paraId="07D1314F">
            <w:pPr>
              <w:spacing w:line="24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3.根据综合得分由高至低进行排序，推荐1-3家合格的中选候选人。并依次为第一、二、三中选候选人。</w:t>
            </w:r>
          </w:p>
        </w:tc>
      </w:tr>
      <w:tr w14:paraId="3C81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20" w:type="dxa"/>
            <w:vAlign w:val="center"/>
          </w:tcPr>
          <w:p w14:paraId="19AA68FD">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3.2.3</w:t>
            </w:r>
          </w:p>
        </w:tc>
        <w:tc>
          <w:tcPr>
            <w:tcW w:w="1482" w:type="dxa"/>
            <w:tcBorders>
              <w:left w:val="single" w:color="auto" w:sz="4" w:space="0"/>
            </w:tcBorders>
            <w:vAlign w:val="center"/>
          </w:tcPr>
          <w:p w14:paraId="49CAD12E">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参选人得分</w:t>
            </w:r>
          </w:p>
        </w:tc>
        <w:tc>
          <w:tcPr>
            <w:tcW w:w="7162" w:type="dxa"/>
            <w:gridSpan w:val="2"/>
            <w:tcBorders>
              <w:left w:val="single" w:color="auto" w:sz="4" w:space="0"/>
            </w:tcBorders>
            <w:vAlign w:val="center"/>
          </w:tcPr>
          <w:p w14:paraId="35CF2C0A">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参选人得分=参选报价得分+商务部分得分</w:t>
            </w:r>
          </w:p>
        </w:tc>
      </w:tr>
    </w:tbl>
    <w:p w14:paraId="2CEDC713">
      <w:pPr>
        <w:ind w:firstLine="0" w:firstLineChars="0"/>
        <w:rPr>
          <w:rFonts w:hint="eastAsia"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r>
        <w:rPr>
          <w:rFonts w:hint="eastAsia"/>
          <w:highlight w:val="none"/>
        </w:rPr>
        <w:t>详细评审评分标准表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91"/>
        <w:gridCol w:w="6357"/>
      </w:tblGrid>
      <w:tr w14:paraId="5ABA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14:paraId="792A96F2">
            <w:pPr>
              <w:pStyle w:val="47"/>
              <w:bidi w:val="0"/>
              <w:rPr>
                <w:rFonts w:hint="eastAsia"/>
                <w:highlight w:val="none"/>
                <w:lang w:val="en-US" w:eastAsia="zh-CN"/>
              </w:rPr>
            </w:pPr>
            <w:r>
              <w:rPr>
                <w:rFonts w:hint="eastAsia"/>
                <w:highlight w:val="none"/>
                <w:lang w:val="en-US" w:eastAsia="zh-CN"/>
              </w:rPr>
              <w:t>参选报价</w:t>
            </w:r>
          </w:p>
          <w:p w14:paraId="3279D765">
            <w:pPr>
              <w:pStyle w:val="47"/>
              <w:bidi w:val="0"/>
              <w:rPr>
                <w:highlight w:val="none"/>
              </w:rPr>
            </w:pPr>
            <w:r>
              <w:rPr>
                <w:rFonts w:hint="eastAsia"/>
                <w:highlight w:val="none"/>
                <w:lang w:val="en-US" w:eastAsia="zh-CN"/>
              </w:rPr>
              <w:t>（</w:t>
            </w:r>
            <w:r>
              <w:rPr>
                <w:rFonts w:hint="eastAsia"/>
                <w:highlight w:val="none"/>
              </w:rPr>
              <w:t>60</w:t>
            </w:r>
            <w:r>
              <w:rPr>
                <w:rFonts w:hint="eastAsia"/>
                <w:highlight w:val="none"/>
                <w:lang w:val="en-US" w:eastAsia="zh-CN"/>
              </w:rPr>
              <w:t>分）</w:t>
            </w:r>
          </w:p>
        </w:tc>
        <w:tc>
          <w:tcPr>
            <w:tcW w:w="1091" w:type="dxa"/>
            <w:vAlign w:val="center"/>
          </w:tcPr>
          <w:p w14:paraId="3ADA3D26">
            <w:pPr>
              <w:pStyle w:val="47"/>
              <w:bidi w:val="0"/>
              <w:rPr>
                <w:rFonts w:hint="eastAsia"/>
                <w:highlight w:val="none"/>
              </w:rPr>
            </w:pPr>
            <w:r>
              <w:rPr>
                <w:rFonts w:hint="eastAsia"/>
                <w:highlight w:val="none"/>
              </w:rPr>
              <w:t>参选报价（不含税报价）评分规则（分值：60分）</w:t>
            </w:r>
          </w:p>
        </w:tc>
        <w:tc>
          <w:tcPr>
            <w:tcW w:w="6357" w:type="dxa"/>
          </w:tcPr>
          <w:p w14:paraId="63D5AA2A">
            <w:pPr>
              <w:spacing w:line="240" w:lineRule="auto"/>
              <w:ind w:firstLine="0" w:firstLineChars="0"/>
              <w:jc w:val="left"/>
              <w:rPr>
                <w:rFonts w:hint="eastAsia" w:ascii="Times New Roman" w:hAnsi="Times New Roman" w:cs="Times New Roman"/>
                <w:bCs/>
                <w:kern w:val="0"/>
                <w:sz w:val="21"/>
                <w:szCs w:val="21"/>
                <w:highlight w:val="none"/>
              </w:rPr>
            </w:pPr>
            <w:r>
              <w:rPr>
                <w:rFonts w:hint="eastAsia" w:ascii="Times New Roman" w:hAnsi="Times New Roman" w:cs="Times New Roman"/>
                <w:bCs/>
                <w:kern w:val="0"/>
                <w:sz w:val="21"/>
                <w:szCs w:val="21"/>
                <w:highlight w:val="none"/>
              </w:rPr>
              <w:t>1. 以各</w:t>
            </w:r>
            <w:r>
              <w:rPr>
                <w:rFonts w:hint="eastAsia" w:ascii="Times New Roman" w:hAnsi="Times New Roman" w:cs="Times New Roman"/>
                <w:bCs/>
                <w:kern w:val="0"/>
                <w:sz w:val="21"/>
                <w:szCs w:val="21"/>
                <w:highlight w:val="none"/>
                <w:lang w:val="en-US" w:eastAsia="zh-CN"/>
              </w:rPr>
              <w:t>参选人</w:t>
            </w:r>
            <w:r>
              <w:rPr>
                <w:rFonts w:hint="eastAsia" w:ascii="Times New Roman" w:hAnsi="Times New Roman" w:cs="Times New Roman"/>
                <w:bCs/>
                <w:kern w:val="0"/>
                <w:sz w:val="21"/>
                <w:szCs w:val="21"/>
                <w:highlight w:val="none"/>
              </w:rPr>
              <w:t>有效报价</w:t>
            </w:r>
            <w:r>
              <w:rPr>
                <w:rFonts w:hint="eastAsia" w:ascii="Times New Roman" w:hAnsi="Times New Roman" w:cs="Times New Roman"/>
                <w:b/>
                <w:bCs w:val="0"/>
                <w:kern w:val="0"/>
                <w:sz w:val="21"/>
                <w:szCs w:val="21"/>
                <w:highlight w:val="none"/>
              </w:rPr>
              <w:t>（不含税报价）</w:t>
            </w:r>
            <w:r>
              <w:rPr>
                <w:rFonts w:hint="eastAsia" w:ascii="Times New Roman" w:hAnsi="Times New Roman" w:cs="Times New Roman"/>
                <w:bCs/>
                <w:kern w:val="0"/>
                <w:sz w:val="21"/>
                <w:szCs w:val="21"/>
                <w:highlight w:val="none"/>
              </w:rPr>
              <w:t>之和的平均价格作为评标基准价，基准分为60分；</w:t>
            </w:r>
          </w:p>
          <w:p w14:paraId="63F2143C">
            <w:pPr>
              <w:spacing w:line="240" w:lineRule="auto"/>
              <w:ind w:firstLine="0" w:firstLineChars="0"/>
              <w:jc w:val="left"/>
              <w:rPr>
                <w:rFonts w:hint="eastAsia" w:ascii="Times New Roman" w:hAnsi="Times New Roman" w:cs="Times New Roman"/>
                <w:bCs/>
                <w:kern w:val="0"/>
                <w:sz w:val="21"/>
                <w:szCs w:val="21"/>
                <w:highlight w:val="none"/>
              </w:rPr>
            </w:pPr>
            <w:r>
              <w:rPr>
                <w:rFonts w:hint="eastAsia" w:ascii="Times New Roman" w:hAnsi="Times New Roman" w:cs="Times New Roman"/>
                <w:bCs/>
                <w:kern w:val="0"/>
                <w:sz w:val="21"/>
                <w:szCs w:val="21"/>
                <w:highlight w:val="none"/>
              </w:rPr>
              <w:t>2.计算各有效报价与评标基准价的偏离度。偏离度=（有效报价/评标基准价-1）*100%；</w:t>
            </w:r>
          </w:p>
          <w:p w14:paraId="2ECF8A83">
            <w:pPr>
              <w:spacing w:line="240" w:lineRule="auto"/>
              <w:ind w:firstLine="0" w:firstLineChars="0"/>
              <w:jc w:val="left"/>
              <w:rPr>
                <w:rFonts w:hint="eastAsia" w:ascii="Times New Roman" w:hAnsi="Times New Roman" w:cs="Times New Roman"/>
                <w:bCs/>
                <w:kern w:val="0"/>
                <w:sz w:val="21"/>
                <w:szCs w:val="21"/>
                <w:highlight w:val="none"/>
                <w:lang w:eastAsia="zh-CN"/>
              </w:rPr>
            </w:pPr>
            <w:r>
              <w:rPr>
                <w:rFonts w:hint="eastAsia" w:ascii="Times New Roman" w:hAnsi="Times New Roman" w:cs="Times New Roman"/>
                <w:bCs/>
                <w:kern w:val="0"/>
                <w:sz w:val="21"/>
                <w:szCs w:val="21"/>
                <w:highlight w:val="none"/>
              </w:rPr>
              <w:t>3. 报价向上每偏离基准价的1%扣1分；向下偏离基准价10%以内的，不扣分；向下偏离基准价超过10%的，在向下偏离基准价10%的基础上，向下偏离每多超过1%扣0.5分，扣完为止</w:t>
            </w:r>
            <w:r>
              <w:rPr>
                <w:rFonts w:hint="eastAsia" w:ascii="Times New Roman" w:hAnsi="Times New Roman" w:cs="Times New Roman"/>
                <w:bCs/>
                <w:kern w:val="0"/>
                <w:sz w:val="21"/>
                <w:szCs w:val="21"/>
                <w:highlight w:val="none"/>
                <w:lang w:eastAsia="zh-CN"/>
              </w:rPr>
              <w:t>。</w:t>
            </w:r>
          </w:p>
          <w:p w14:paraId="789E7E1F">
            <w:pPr>
              <w:pStyle w:val="47"/>
              <w:bidi w:val="0"/>
              <w:rPr>
                <w:highlight w:val="none"/>
              </w:rPr>
            </w:pPr>
            <w:r>
              <w:rPr>
                <w:rFonts w:hint="eastAsia" w:ascii="Times New Roman" w:hAnsi="Times New Roman" w:cs="Times New Roman"/>
                <w:bCs/>
                <w:kern w:val="0"/>
                <w:sz w:val="21"/>
                <w:szCs w:val="21"/>
                <w:highlight w:val="none"/>
              </w:rPr>
              <w:t>不足1%的不予扣减。</w:t>
            </w:r>
          </w:p>
        </w:tc>
      </w:tr>
      <w:tr w14:paraId="7C4B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restart"/>
            <w:vAlign w:val="center"/>
          </w:tcPr>
          <w:p w14:paraId="25FF17FB">
            <w:pPr>
              <w:pStyle w:val="47"/>
              <w:bidi w:val="0"/>
              <w:rPr>
                <w:rFonts w:hint="eastAsia"/>
                <w:highlight w:val="none"/>
                <w:lang w:eastAsia="zh-CN"/>
              </w:rPr>
            </w:pPr>
            <w:r>
              <w:rPr>
                <w:highlight w:val="none"/>
              </w:rPr>
              <w:t>商务</w:t>
            </w:r>
            <w:r>
              <w:rPr>
                <w:rFonts w:hint="eastAsia"/>
                <w:highlight w:val="none"/>
                <w:lang w:val="en-US" w:eastAsia="zh-CN"/>
              </w:rPr>
              <w:t>部分</w:t>
            </w:r>
          </w:p>
          <w:p w14:paraId="4E69267C">
            <w:pPr>
              <w:pStyle w:val="47"/>
              <w:bidi w:val="0"/>
              <w:rPr>
                <w:highlight w:val="none"/>
              </w:rPr>
            </w:pPr>
            <w:r>
              <w:rPr>
                <w:rFonts w:hint="eastAsia"/>
                <w:highlight w:val="none"/>
                <w:lang w:eastAsia="zh-CN"/>
              </w:rPr>
              <w:t>（</w:t>
            </w:r>
            <w:r>
              <w:rPr>
                <w:rFonts w:hint="eastAsia"/>
                <w:highlight w:val="none"/>
              </w:rPr>
              <w:t>4</w:t>
            </w:r>
            <w:r>
              <w:rPr>
                <w:highlight w:val="none"/>
              </w:rPr>
              <w:t>0分</w:t>
            </w:r>
            <w:r>
              <w:rPr>
                <w:rFonts w:hint="eastAsia"/>
                <w:highlight w:val="none"/>
                <w:lang w:eastAsia="zh-CN"/>
              </w:rPr>
              <w:t>）</w:t>
            </w:r>
          </w:p>
        </w:tc>
        <w:tc>
          <w:tcPr>
            <w:tcW w:w="1091" w:type="dxa"/>
            <w:vAlign w:val="center"/>
          </w:tcPr>
          <w:p w14:paraId="719169E5">
            <w:pPr>
              <w:pStyle w:val="47"/>
              <w:bidi w:val="0"/>
              <w:rPr>
                <w:rFonts w:hint="eastAsia"/>
                <w:highlight w:val="none"/>
                <w:lang w:val="en-US" w:eastAsia="zh-CN"/>
              </w:rPr>
            </w:pPr>
            <w:r>
              <w:rPr>
                <w:rFonts w:hint="eastAsia"/>
                <w:highlight w:val="none"/>
                <w:lang w:val="en-US" w:eastAsia="zh-CN"/>
              </w:rPr>
              <w:t>案例</w:t>
            </w:r>
          </w:p>
          <w:p w14:paraId="6817123B">
            <w:pPr>
              <w:pStyle w:val="47"/>
              <w:bidi w:val="0"/>
              <w:rPr>
                <w:rFonts w:hint="eastAsia"/>
                <w:highlight w:val="none"/>
                <w:lang w:eastAsia="zh-CN"/>
              </w:rPr>
            </w:pPr>
            <w:r>
              <w:rPr>
                <w:rFonts w:hint="eastAsia"/>
                <w:highlight w:val="none"/>
                <w:lang w:val="en-US" w:eastAsia="zh-CN"/>
              </w:rPr>
              <w:t>（25分）</w:t>
            </w:r>
          </w:p>
        </w:tc>
        <w:tc>
          <w:tcPr>
            <w:tcW w:w="6357" w:type="dxa"/>
          </w:tcPr>
          <w:p w14:paraId="63A50A2D">
            <w:pPr>
              <w:spacing w:line="240" w:lineRule="auto"/>
              <w:ind w:firstLine="0" w:firstLineChars="0"/>
              <w:jc w:val="left"/>
              <w:rPr>
                <w:rFonts w:hint="default"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要求：案例不包含用于满足资格审核的15个案例。案例须提供合同关键页、项目简介、合同对应的发票之一和网上税务系统查询（https://inv-veri.chinatax.gov.cn/）该发票的截图。合同关键页包含：甲乙双方名称、双方印章、项目名称、合同签订时间、服务范围。发票开具日期须晚于合同签订日期、发票购买方须与合同买方一致、发票销售方须与合同卖方（参选人）一致。如有合同尚未付款情况，需附说明材料，评判合理即认定为有效合同。</w:t>
            </w:r>
          </w:p>
          <w:p w14:paraId="65D9A5B0">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1.原系统升级改造实施案例（15分）</w:t>
            </w:r>
          </w:p>
          <w:p w14:paraId="766C139E">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参选人提供的国内同类型有效案例。</w:t>
            </w:r>
          </w:p>
          <w:p w14:paraId="675E0746">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案例中有基于与比选人相同的业务系统（赞同科技股份有限公司“金融业务处理平台AFA”和“金融渠道整合平台AFE”）完成升级改造的实施案例，5个（含）以上得15分，低于5个得0分。</w:t>
            </w:r>
          </w:p>
          <w:p w14:paraId="38215AC9">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2.同业同类型实施案例（10分，不包含“原系统升级改造实施案例”评分项中提</w:t>
            </w:r>
            <w:r>
              <w:rPr>
                <w:rFonts w:hint="eastAsia" w:cs="宋体"/>
                <w:kern w:val="0"/>
                <w:sz w:val="21"/>
                <w:szCs w:val="21"/>
                <w:highlight w:val="none"/>
                <w:lang w:val="en-US" w:eastAsia="zh-CN"/>
              </w:rPr>
              <w:t>2</w:t>
            </w:r>
            <w:r>
              <w:rPr>
                <w:rFonts w:hint="eastAsia" w:ascii="Times New Roman" w:hAnsi="Times New Roman" w:cs="宋体"/>
                <w:kern w:val="0"/>
                <w:sz w:val="21"/>
                <w:szCs w:val="21"/>
                <w:highlight w:val="none"/>
                <w:lang w:val="en-US" w:eastAsia="zh-CN"/>
              </w:rPr>
              <w:t>供的案例）</w:t>
            </w:r>
          </w:p>
          <w:p w14:paraId="18451F8A">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参选人提供2021年1月1日至2023年12月31日（以合同签订时间为准）的同业同类型实施案例。</w:t>
            </w:r>
          </w:p>
          <w:p w14:paraId="621AEABF">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（1）实施案例中有国内实施同业同类型项目的。每提供1个案例，得0.5分，满分3分。</w:t>
            </w:r>
          </w:p>
          <w:p w14:paraId="7DDEB679">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（2）实施案例中有国有大型商业银行及全国性股份制商业银行同类型项目的。每提供1个案例，得2分，满分4分。</w:t>
            </w:r>
          </w:p>
          <w:p w14:paraId="06B37DC8">
            <w:pPr>
              <w:bidi w:val="0"/>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（3）实施案例中有地方性商业银行（包含农商、农信）同类型项目的。每提供1个案例，得1.5分，满分3分。</w:t>
            </w:r>
          </w:p>
        </w:tc>
      </w:tr>
      <w:tr w14:paraId="2AEB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020E6966">
            <w:pPr>
              <w:pStyle w:val="47"/>
              <w:bidi w:val="0"/>
              <w:rPr>
                <w:highlight w:val="none"/>
              </w:rPr>
            </w:pPr>
          </w:p>
        </w:tc>
        <w:tc>
          <w:tcPr>
            <w:tcW w:w="1091" w:type="dxa"/>
            <w:vAlign w:val="center"/>
          </w:tcPr>
          <w:p w14:paraId="2733DE8C">
            <w:pPr>
              <w:pStyle w:val="47"/>
              <w:bidi w:val="0"/>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实施团队要求</w:t>
            </w:r>
          </w:p>
          <w:p w14:paraId="76019B25">
            <w:pPr>
              <w:pStyle w:val="47"/>
              <w:bidi w:val="0"/>
              <w:rPr>
                <w:highlight w:val="none"/>
              </w:rPr>
            </w:pPr>
            <w:r>
              <w:rPr>
                <w:rFonts w:hint="eastAsia" w:ascii="Times New Roman" w:hAnsi="Times New Roman" w:cs="Times New Roman"/>
                <w:kern w:val="0"/>
                <w:sz w:val="21"/>
                <w:szCs w:val="21"/>
                <w:highlight w:val="none"/>
              </w:rPr>
              <w:t>（10分）</w:t>
            </w:r>
          </w:p>
        </w:tc>
        <w:tc>
          <w:tcPr>
            <w:tcW w:w="6357" w:type="dxa"/>
          </w:tcPr>
          <w:p w14:paraId="553EF965">
            <w:pPr>
              <w:spacing w:line="240" w:lineRule="auto"/>
              <w:ind w:firstLine="0" w:firstLineChars="0"/>
              <w:jc w:val="left"/>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根据参选人提供的项目组成员简历信息</w:t>
            </w:r>
          </w:p>
          <w:p w14:paraId="74CC4FB9">
            <w:pPr>
              <w:tabs>
                <w:tab w:val="left" w:pos="-111"/>
              </w:tabs>
              <w:spacing w:line="240" w:lineRule="auto"/>
              <w:ind w:firstLine="0" w:firstLineChars="0"/>
              <w:rPr>
                <w:rFonts w:ascii="Times New Roman" w:hAnsi="Times New Roman" w:cs="宋体"/>
                <w:kern w:val="0"/>
                <w:sz w:val="21"/>
                <w:szCs w:val="21"/>
                <w:highlight w:val="none"/>
              </w:rPr>
            </w:pPr>
            <w:r>
              <w:rPr>
                <w:rFonts w:ascii="Times New Roman" w:hAnsi="Times New Roman" w:cs="宋体"/>
                <w:kern w:val="0"/>
                <w:sz w:val="21"/>
                <w:szCs w:val="21"/>
                <w:highlight w:val="none"/>
              </w:rPr>
              <w:t>（1）</w:t>
            </w:r>
            <w:r>
              <w:rPr>
                <w:rFonts w:hint="eastAsia" w:ascii="Times New Roman" w:hAnsi="Times New Roman" w:cs="宋体"/>
                <w:kern w:val="0"/>
                <w:sz w:val="21"/>
                <w:szCs w:val="21"/>
                <w:highlight w:val="none"/>
              </w:rPr>
              <w:t>项目经理具有7年（含）以上</w:t>
            </w:r>
            <w:r>
              <w:rPr>
                <w:rFonts w:hint="eastAsia" w:ascii="Times New Roman" w:hAnsi="Times New Roman" w:cs="宋体"/>
                <w:kern w:val="0"/>
                <w:sz w:val="21"/>
                <w:szCs w:val="21"/>
                <w:highlight w:val="none"/>
                <w:lang w:val="en-US" w:eastAsia="zh-CN"/>
              </w:rPr>
              <w:t>同业</w:t>
            </w:r>
            <w:r>
              <w:rPr>
                <w:rFonts w:hint="eastAsia" w:ascii="Times New Roman" w:hAnsi="Times New Roman" w:cs="宋体"/>
                <w:kern w:val="0"/>
                <w:sz w:val="21"/>
                <w:szCs w:val="21"/>
                <w:highlight w:val="none"/>
              </w:rPr>
              <w:t>同类项目从业经验，3个及以上商业银行支付系统相关项目实施经验，具</w:t>
            </w:r>
            <w:r>
              <w:rPr>
                <w:rFonts w:hint="eastAsia" w:ascii="Times New Roman" w:hAnsi="Times New Roman" w:cs="宋体"/>
                <w:kern w:val="0"/>
                <w:sz w:val="21"/>
                <w:szCs w:val="21"/>
                <w:highlight w:val="none"/>
                <w:lang w:val="en-US" w:eastAsia="zh-CN"/>
              </w:rPr>
              <w:t>有PMP或高项证书</w:t>
            </w:r>
            <w:r>
              <w:rPr>
                <w:rFonts w:hint="eastAsia" w:ascii="Times New Roman" w:hAnsi="Times New Roman" w:cs="宋体"/>
                <w:kern w:val="0"/>
                <w:sz w:val="21"/>
                <w:szCs w:val="21"/>
                <w:highlight w:val="none"/>
              </w:rPr>
              <w:t>及</w:t>
            </w:r>
            <w:r>
              <w:rPr>
                <w:rFonts w:hint="eastAsia" w:ascii="Times New Roman" w:hAnsi="Times New Roman" w:cs="宋体"/>
                <w:kern w:val="0"/>
                <w:sz w:val="21"/>
                <w:szCs w:val="21"/>
                <w:highlight w:val="none"/>
                <w:lang w:val="en-US" w:eastAsia="zh-CN"/>
              </w:rPr>
              <w:t>从事相关工作证明资料</w:t>
            </w:r>
            <w:r>
              <w:rPr>
                <w:rFonts w:ascii="Times New Roman" w:hAnsi="Times New Roman" w:cs="宋体"/>
                <w:kern w:val="0"/>
                <w:sz w:val="21"/>
                <w:szCs w:val="21"/>
                <w:highlight w:val="none"/>
              </w:rPr>
              <w:t>，得3分</w:t>
            </w:r>
            <w:r>
              <w:rPr>
                <w:rFonts w:ascii="Times New Roman" w:hAnsi="Times New Roman" w:cs="Times New Roman"/>
                <w:bCs/>
                <w:kern w:val="0"/>
                <w:sz w:val="21"/>
                <w:szCs w:val="21"/>
                <w:highlight w:val="none"/>
              </w:rPr>
              <w:t>，否则不得分</w:t>
            </w:r>
            <w:r>
              <w:rPr>
                <w:rFonts w:hint="eastAsia" w:ascii="Times New Roman" w:hAnsi="Times New Roman" w:cs="宋体"/>
                <w:kern w:val="0"/>
                <w:sz w:val="21"/>
                <w:szCs w:val="21"/>
                <w:highlight w:val="none"/>
              </w:rPr>
              <w:t>。</w:t>
            </w:r>
          </w:p>
          <w:p w14:paraId="0C447D09">
            <w:pPr>
              <w:tabs>
                <w:tab w:val="left" w:pos="-111"/>
              </w:tabs>
              <w:spacing w:line="240" w:lineRule="auto"/>
              <w:ind w:firstLine="0" w:firstLineChars="0"/>
              <w:rPr>
                <w:rFonts w:ascii="Times New Roman" w:hAnsi="Times New Roman" w:cs="宋体"/>
                <w:kern w:val="0"/>
                <w:sz w:val="21"/>
                <w:szCs w:val="21"/>
                <w:highlight w:val="none"/>
              </w:rPr>
            </w:pPr>
            <w:r>
              <w:rPr>
                <w:rFonts w:ascii="Times New Roman" w:hAnsi="Times New Roman" w:cs="宋体"/>
                <w:kern w:val="0"/>
                <w:sz w:val="21"/>
                <w:szCs w:val="21"/>
                <w:highlight w:val="none"/>
              </w:rPr>
              <w:t>（2）</w:t>
            </w:r>
            <w:r>
              <w:rPr>
                <w:rFonts w:hint="eastAsia" w:ascii="Times New Roman" w:hAnsi="Times New Roman" w:cs="宋体"/>
                <w:kern w:val="0"/>
                <w:sz w:val="21"/>
                <w:szCs w:val="21"/>
                <w:highlight w:val="none"/>
              </w:rPr>
              <w:t>需求分析师具有6年（含）以上金融行业相关经验，应具有5个及以上商业银行支付系统相关项目需求分析经验，</w:t>
            </w:r>
            <w:r>
              <w:rPr>
                <w:rFonts w:hint="eastAsia" w:ascii="Times New Roman" w:hAnsi="Times New Roman" w:cs="宋体"/>
                <w:kern w:val="0"/>
                <w:sz w:val="21"/>
                <w:szCs w:val="21"/>
                <w:highlight w:val="none"/>
                <w:lang w:val="en-US" w:eastAsia="zh-CN"/>
              </w:rPr>
              <w:t>具有从事相关工作证明资料</w:t>
            </w:r>
            <w:r>
              <w:rPr>
                <w:rFonts w:ascii="Times New Roman" w:hAnsi="Times New Roman" w:cs="宋体"/>
                <w:kern w:val="0"/>
                <w:sz w:val="21"/>
                <w:szCs w:val="21"/>
                <w:highlight w:val="none"/>
              </w:rPr>
              <w:t>，得2分</w:t>
            </w:r>
            <w:r>
              <w:rPr>
                <w:rFonts w:ascii="Times New Roman" w:hAnsi="Times New Roman" w:cs="Times New Roman"/>
                <w:bCs/>
                <w:kern w:val="0"/>
                <w:sz w:val="21"/>
                <w:szCs w:val="21"/>
                <w:highlight w:val="none"/>
              </w:rPr>
              <w:t>，否则不得分</w:t>
            </w:r>
            <w:r>
              <w:rPr>
                <w:rFonts w:hint="eastAsia" w:ascii="Times New Roman" w:hAnsi="Times New Roman" w:cs="宋体"/>
                <w:kern w:val="0"/>
                <w:sz w:val="21"/>
                <w:szCs w:val="21"/>
                <w:highlight w:val="none"/>
              </w:rPr>
              <w:t>。</w:t>
            </w:r>
          </w:p>
          <w:p w14:paraId="298B0D39">
            <w:pPr>
              <w:tabs>
                <w:tab w:val="left" w:pos="-111"/>
              </w:tabs>
              <w:spacing w:line="240" w:lineRule="auto"/>
              <w:ind w:firstLine="0" w:firstLineChars="0"/>
              <w:rPr>
                <w:rFonts w:ascii="Times New Roman" w:hAnsi="Times New Roman" w:cs="宋体"/>
                <w:kern w:val="0"/>
                <w:sz w:val="21"/>
                <w:szCs w:val="21"/>
                <w:highlight w:val="none"/>
              </w:rPr>
            </w:pPr>
            <w:r>
              <w:rPr>
                <w:rFonts w:ascii="Times New Roman" w:hAnsi="Times New Roman" w:cs="宋体"/>
                <w:kern w:val="0"/>
                <w:sz w:val="21"/>
                <w:szCs w:val="21"/>
                <w:highlight w:val="none"/>
              </w:rPr>
              <w:t>（3）</w:t>
            </w:r>
            <w:r>
              <w:rPr>
                <w:rFonts w:ascii="Times New Roman" w:hAnsi="Times New Roman" w:cs="Times New Roman"/>
                <w:kern w:val="0"/>
                <w:sz w:val="21"/>
                <w:szCs w:val="21"/>
                <w:highlight w:val="none"/>
              </w:rPr>
              <w:t>项目组成员曾在比选人现场实施过</w:t>
            </w:r>
            <w:r>
              <w:rPr>
                <w:rFonts w:hint="eastAsia" w:ascii="Times New Roman" w:hAnsi="Times New Roman" w:cs="Times New Roman"/>
                <w:kern w:val="0"/>
                <w:sz w:val="21"/>
                <w:szCs w:val="21"/>
                <w:highlight w:val="none"/>
                <w:lang w:val="en-US" w:eastAsia="zh-CN"/>
              </w:rPr>
              <w:t>同业</w:t>
            </w:r>
            <w:r>
              <w:rPr>
                <w:rFonts w:ascii="Times New Roman" w:hAnsi="Times New Roman" w:cs="Times New Roman"/>
                <w:kern w:val="0"/>
                <w:sz w:val="21"/>
                <w:szCs w:val="21"/>
                <w:highlight w:val="none"/>
              </w:rPr>
              <w:t>相同</w:t>
            </w:r>
            <w:r>
              <w:rPr>
                <w:rFonts w:hint="eastAsia" w:ascii="Times New Roman" w:hAnsi="Times New Roman" w:cs="Times New Roman"/>
                <w:kern w:val="0"/>
                <w:sz w:val="21"/>
                <w:szCs w:val="21"/>
                <w:highlight w:val="none"/>
              </w:rPr>
              <w:t>种类</w:t>
            </w:r>
            <w:r>
              <w:rPr>
                <w:rFonts w:ascii="Times New Roman" w:hAnsi="Times New Roman" w:cs="Times New Roman"/>
                <w:kern w:val="0"/>
                <w:sz w:val="21"/>
                <w:szCs w:val="21"/>
                <w:highlight w:val="none"/>
              </w:rPr>
              <w:t>项目</w:t>
            </w:r>
            <w:r>
              <w:rPr>
                <w:rFonts w:hint="eastAsia" w:ascii="Times New Roman" w:hAnsi="Times New Roman" w:cs="Times New Roman"/>
                <w:kern w:val="0"/>
                <w:sz w:val="21"/>
                <w:szCs w:val="21"/>
                <w:highlight w:val="none"/>
                <w:lang w:eastAsia="zh-CN"/>
              </w:rPr>
              <w:t>，</w:t>
            </w:r>
            <w:r>
              <w:rPr>
                <w:rFonts w:hint="eastAsia" w:ascii="Times New Roman" w:hAnsi="Times New Roman" w:cs="Times New Roman"/>
                <w:kern w:val="0"/>
                <w:sz w:val="21"/>
                <w:szCs w:val="21"/>
                <w:highlight w:val="none"/>
                <w:lang w:val="en-US" w:eastAsia="zh-CN"/>
              </w:rPr>
              <w:t>具有至少2年同业同类项目相关工作经验，或1个及以上同业重大项目实施经验（如：核心、信贷、柜面等新建或重构类项目）</w:t>
            </w:r>
            <w:r>
              <w:rPr>
                <w:rFonts w:hint="eastAsia" w:ascii="Times New Roman" w:hAnsi="Times New Roman" w:cs="Times New Roman"/>
                <w:kern w:val="0"/>
                <w:sz w:val="21"/>
                <w:szCs w:val="21"/>
                <w:highlight w:val="none"/>
                <w:lang w:eastAsia="zh-CN"/>
              </w:rPr>
              <w:t>，</w:t>
            </w:r>
            <w:r>
              <w:rPr>
                <w:rFonts w:hint="eastAsia" w:ascii="Times New Roman" w:hAnsi="Times New Roman" w:cs="宋体"/>
                <w:kern w:val="0"/>
                <w:sz w:val="21"/>
                <w:szCs w:val="21"/>
                <w:highlight w:val="none"/>
                <w:lang w:val="en-US" w:eastAsia="zh-CN"/>
              </w:rPr>
              <w:t>具有从事相关工作证明资料</w:t>
            </w:r>
            <w:r>
              <w:rPr>
                <w:rFonts w:ascii="Times New Roman" w:hAnsi="Times New Roman" w:cs="Times New Roman"/>
                <w:kern w:val="0"/>
                <w:sz w:val="21"/>
                <w:szCs w:val="21"/>
                <w:highlight w:val="none"/>
              </w:rPr>
              <w:t>，</w:t>
            </w:r>
            <w:r>
              <w:rPr>
                <w:rFonts w:hint="eastAsia" w:ascii="Times New Roman" w:hAnsi="Times New Roman" w:cs="Times New Roman"/>
                <w:kern w:val="0"/>
                <w:sz w:val="21"/>
                <w:szCs w:val="21"/>
                <w:highlight w:val="none"/>
              </w:rPr>
              <w:t>4</w:t>
            </w:r>
            <w:r>
              <w:rPr>
                <w:rFonts w:ascii="Times New Roman" w:hAnsi="Times New Roman" w:cs="Times New Roman"/>
                <w:kern w:val="0"/>
                <w:sz w:val="21"/>
                <w:szCs w:val="21"/>
                <w:highlight w:val="none"/>
              </w:rPr>
              <w:t>名（含）以上得</w:t>
            </w:r>
            <w:r>
              <w:rPr>
                <w:rFonts w:hint="eastAsia" w:ascii="Times New Roman" w:hAnsi="Times New Roman" w:cs="Times New Roman"/>
                <w:kern w:val="0"/>
                <w:sz w:val="21"/>
                <w:szCs w:val="21"/>
                <w:highlight w:val="none"/>
              </w:rPr>
              <w:t>5</w:t>
            </w:r>
            <w:r>
              <w:rPr>
                <w:rFonts w:ascii="Times New Roman" w:hAnsi="Times New Roman" w:cs="Times New Roman"/>
                <w:kern w:val="0"/>
                <w:sz w:val="21"/>
                <w:szCs w:val="21"/>
                <w:highlight w:val="none"/>
              </w:rPr>
              <w:t>分，</w:t>
            </w:r>
            <w:r>
              <w:rPr>
                <w:rFonts w:hint="eastAsia" w:ascii="Times New Roman" w:hAnsi="Times New Roman" w:cs="Times New Roman"/>
                <w:kern w:val="0"/>
                <w:sz w:val="21"/>
                <w:szCs w:val="21"/>
                <w:highlight w:val="none"/>
              </w:rPr>
              <w:t>3</w:t>
            </w:r>
            <w:r>
              <w:rPr>
                <w:rFonts w:ascii="Times New Roman" w:hAnsi="Times New Roman" w:cs="Times New Roman"/>
                <w:kern w:val="0"/>
                <w:sz w:val="21"/>
                <w:szCs w:val="21"/>
                <w:highlight w:val="none"/>
              </w:rPr>
              <w:t>名</w:t>
            </w:r>
            <w:r>
              <w:rPr>
                <w:rFonts w:hint="eastAsia" w:ascii="Times New Roman" w:hAnsi="Times New Roman" w:cs="Times New Roman"/>
                <w:kern w:val="0"/>
                <w:sz w:val="21"/>
                <w:szCs w:val="21"/>
                <w:highlight w:val="none"/>
              </w:rPr>
              <w:t>得2</w:t>
            </w:r>
            <w:r>
              <w:rPr>
                <w:rFonts w:ascii="Times New Roman" w:hAnsi="Times New Roman" w:cs="Times New Roman"/>
                <w:kern w:val="0"/>
                <w:sz w:val="21"/>
                <w:szCs w:val="21"/>
                <w:highlight w:val="none"/>
              </w:rPr>
              <w:t>分，低于</w:t>
            </w:r>
            <w:r>
              <w:rPr>
                <w:rFonts w:hint="eastAsia" w:ascii="Times New Roman" w:hAnsi="Times New Roman" w:cs="Times New Roman"/>
                <w:kern w:val="0"/>
                <w:sz w:val="21"/>
                <w:szCs w:val="21"/>
                <w:highlight w:val="none"/>
              </w:rPr>
              <w:t>3</w:t>
            </w:r>
            <w:r>
              <w:rPr>
                <w:rFonts w:ascii="Times New Roman" w:hAnsi="Times New Roman" w:cs="Times New Roman"/>
                <w:kern w:val="0"/>
                <w:sz w:val="21"/>
                <w:szCs w:val="21"/>
                <w:highlight w:val="none"/>
              </w:rPr>
              <w:t>名不得分。</w:t>
            </w:r>
          </w:p>
          <w:p w14:paraId="7403F3FE">
            <w:pPr>
              <w:spacing w:line="240" w:lineRule="auto"/>
              <w:ind w:firstLine="0" w:firstLineChars="0"/>
              <w:rPr>
                <w:highlight w:val="none"/>
              </w:rPr>
            </w:pPr>
            <w:r>
              <w:rPr>
                <w:rFonts w:ascii="Times New Roman" w:hAnsi="Times New Roman" w:cs="Times New Roman"/>
                <w:kern w:val="0"/>
                <w:sz w:val="21"/>
                <w:szCs w:val="21"/>
                <w:highlight w:val="none"/>
              </w:rPr>
              <w:t>注：参与本比选项目现场实施的项目组成员需要提供人员简历表，相关工作及项目经历需提供相应的证明材料，包括但不限于满足要求的案例合同中项目组成员名单。工作经验年限需提供个人社保缴费记录</w:t>
            </w:r>
            <w:r>
              <w:rPr>
                <w:rFonts w:hint="default" w:ascii="Times New Roman" w:hAnsi="Times New Roman" w:cs="Times New Roman"/>
                <w:kern w:val="0"/>
                <w:sz w:val="21"/>
                <w:szCs w:val="21"/>
                <w:highlight w:val="none"/>
                <w:lang w:eastAsia="zh-CN"/>
              </w:rPr>
              <w:t>（员工参保单位为参选人或委托第三方公司代缴，均认定有效；若员工社保委托第三方公司代缴，需提供代缴材料证明与第三方签订的合同或协议。）</w:t>
            </w:r>
            <w:r>
              <w:rPr>
                <w:rFonts w:ascii="Times New Roman" w:hAnsi="Times New Roman" w:cs="Times New Roman"/>
                <w:kern w:val="0"/>
                <w:sz w:val="21"/>
                <w:szCs w:val="21"/>
                <w:highlight w:val="none"/>
              </w:rPr>
              <w:t>。</w:t>
            </w:r>
          </w:p>
        </w:tc>
      </w:tr>
      <w:tr w14:paraId="081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6D3FAD54">
            <w:pPr>
              <w:pStyle w:val="47"/>
              <w:bidi w:val="0"/>
              <w:rPr>
                <w:highlight w:val="none"/>
              </w:rPr>
            </w:pPr>
          </w:p>
        </w:tc>
        <w:tc>
          <w:tcPr>
            <w:tcW w:w="1091" w:type="dxa"/>
            <w:vAlign w:val="center"/>
          </w:tcPr>
          <w:p w14:paraId="06A7079F">
            <w:pPr>
              <w:pStyle w:val="47"/>
              <w:bidi w:val="0"/>
              <w:rPr>
                <w:highlight w:val="none"/>
                <w:lang w:eastAsia="zh-CN"/>
              </w:rPr>
            </w:pPr>
            <w:r>
              <w:rPr>
                <w:rFonts w:hint="eastAsia" w:ascii="Times New Roman" w:hAnsi="Times New Roman" w:cs="Times New Roman"/>
                <w:kern w:val="0"/>
                <w:sz w:val="21"/>
                <w:szCs w:val="21"/>
                <w:highlight w:val="none"/>
              </w:rPr>
              <w:t>项目实施方案（5分）</w:t>
            </w:r>
          </w:p>
        </w:tc>
        <w:tc>
          <w:tcPr>
            <w:tcW w:w="6357" w:type="dxa"/>
          </w:tcPr>
          <w:p w14:paraId="7568276D">
            <w:pPr>
              <w:spacing w:line="240" w:lineRule="auto"/>
              <w:ind w:firstLine="0" w:firstLineChars="0"/>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根据参选人提供的项目实施方案，从方案是否完整、是否详细、实施步骤、计划是否明确，是否符合项目建设要求，由评审委员会横向比较，酌情给分。</w:t>
            </w:r>
          </w:p>
          <w:p w14:paraId="488BC6C3">
            <w:pPr>
              <w:spacing w:line="240" w:lineRule="auto"/>
              <w:ind w:firstLine="0" w:firstLineChars="0"/>
              <w:rPr>
                <w:rFonts w:hint="eastAsia" w:ascii="Times New Roman" w:hAnsi="Times New Roman" w:eastAsia="宋体" w:cs="Times New Roman"/>
                <w:kern w:val="0"/>
                <w:sz w:val="21"/>
                <w:szCs w:val="21"/>
                <w:highlight w:val="none"/>
                <w:lang w:eastAsia="zh-CN"/>
              </w:rPr>
            </w:pPr>
            <w:r>
              <w:rPr>
                <w:rFonts w:hint="eastAsia" w:ascii="Times New Roman" w:hAnsi="Times New Roman" w:cs="Times New Roman"/>
                <w:kern w:val="0"/>
                <w:sz w:val="21"/>
                <w:szCs w:val="21"/>
                <w:highlight w:val="none"/>
                <w:lang w:val="en-US" w:eastAsia="zh-CN"/>
              </w:rPr>
              <w:t>优秀，得</w:t>
            </w:r>
            <w:r>
              <w:rPr>
                <w:rFonts w:hint="eastAsia" w:ascii="Times New Roman" w:hAnsi="Times New Roman" w:cs="Times New Roman"/>
                <w:kern w:val="0"/>
                <w:sz w:val="21"/>
                <w:szCs w:val="21"/>
                <w:highlight w:val="none"/>
              </w:rPr>
              <w:t>4-5分</w:t>
            </w:r>
            <w:r>
              <w:rPr>
                <w:rFonts w:hint="eastAsia" w:ascii="Times New Roman" w:hAnsi="Times New Roman" w:cs="Times New Roman"/>
                <w:kern w:val="0"/>
                <w:sz w:val="21"/>
                <w:szCs w:val="21"/>
                <w:highlight w:val="none"/>
                <w:lang w:eastAsia="zh-CN"/>
              </w:rPr>
              <w:t>；</w:t>
            </w:r>
          </w:p>
          <w:p w14:paraId="39E8AAA8">
            <w:pPr>
              <w:spacing w:line="240" w:lineRule="auto"/>
              <w:ind w:firstLine="0" w:firstLineChars="0"/>
              <w:rPr>
                <w:rFonts w:hint="eastAsia" w:ascii="Times New Roman" w:hAnsi="Times New Roman" w:cs="Times New Roman"/>
                <w:kern w:val="0"/>
                <w:sz w:val="21"/>
                <w:szCs w:val="21"/>
                <w:highlight w:val="none"/>
                <w:lang w:eastAsia="zh-CN"/>
              </w:rPr>
            </w:pPr>
            <w:r>
              <w:rPr>
                <w:rFonts w:hint="eastAsia" w:ascii="Times New Roman" w:hAnsi="Times New Roman" w:cs="Times New Roman"/>
                <w:kern w:val="0"/>
                <w:sz w:val="21"/>
                <w:szCs w:val="21"/>
                <w:highlight w:val="none"/>
                <w:lang w:val="en-US" w:eastAsia="zh-CN"/>
              </w:rPr>
              <w:t>一般，得</w:t>
            </w:r>
            <w:r>
              <w:rPr>
                <w:rFonts w:hint="eastAsia" w:ascii="Times New Roman" w:hAnsi="Times New Roman" w:cs="Times New Roman"/>
                <w:kern w:val="0"/>
                <w:sz w:val="21"/>
                <w:szCs w:val="21"/>
                <w:highlight w:val="none"/>
              </w:rPr>
              <w:t>2-3分</w:t>
            </w:r>
            <w:r>
              <w:rPr>
                <w:rFonts w:hint="eastAsia" w:ascii="Times New Roman" w:hAnsi="Times New Roman" w:cs="Times New Roman"/>
                <w:kern w:val="0"/>
                <w:sz w:val="21"/>
                <w:szCs w:val="21"/>
                <w:highlight w:val="none"/>
                <w:lang w:eastAsia="zh-CN"/>
              </w:rPr>
              <w:t>；</w:t>
            </w:r>
          </w:p>
          <w:p w14:paraId="1E233B86">
            <w:pPr>
              <w:spacing w:line="240" w:lineRule="auto"/>
              <w:ind w:firstLine="0" w:firstLineChars="0"/>
              <w:rPr>
                <w:rFonts w:hint="eastAsia"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差，得</w:t>
            </w:r>
            <w:r>
              <w:rPr>
                <w:rFonts w:hint="eastAsia" w:ascii="Times New Roman" w:hAnsi="Times New Roman" w:cs="Times New Roman"/>
                <w:kern w:val="0"/>
                <w:sz w:val="21"/>
                <w:szCs w:val="21"/>
                <w:highlight w:val="none"/>
              </w:rPr>
              <w:t>0-1分</w:t>
            </w:r>
            <w:r>
              <w:rPr>
                <w:rFonts w:hint="eastAsia" w:ascii="Times New Roman" w:hAnsi="Times New Roman" w:cs="Times New Roman"/>
                <w:kern w:val="0"/>
                <w:sz w:val="21"/>
                <w:szCs w:val="21"/>
                <w:highlight w:val="none"/>
                <w:lang w:eastAsia="zh-CN"/>
              </w:rPr>
              <w:t>。</w:t>
            </w:r>
          </w:p>
          <w:p w14:paraId="358ABCC0">
            <w:pPr>
              <w:pStyle w:val="47"/>
              <w:bidi w:val="0"/>
              <w:rPr>
                <w:highlight w:val="none"/>
              </w:rPr>
            </w:pPr>
            <w:r>
              <w:rPr>
                <w:rFonts w:hint="eastAsia" w:ascii="Times New Roman" w:hAnsi="Times New Roman" w:cs="Times New Roman"/>
                <w:kern w:val="0"/>
                <w:sz w:val="21"/>
                <w:szCs w:val="21"/>
                <w:highlight w:val="none"/>
              </w:rPr>
              <w:t>注：</w:t>
            </w:r>
            <w:r>
              <w:rPr>
                <w:rFonts w:hint="eastAsia" w:ascii="Times New Roman" w:hAnsi="Times New Roman" w:cs="Times New Roman"/>
                <w:kern w:val="0"/>
                <w:sz w:val="21"/>
                <w:szCs w:val="21"/>
                <w:highlight w:val="none"/>
                <w:lang w:val="en-US" w:eastAsia="zh-CN"/>
              </w:rPr>
              <w:t>项目</w:t>
            </w:r>
            <w:r>
              <w:rPr>
                <w:rFonts w:hint="eastAsia" w:ascii="Times New Roman" w:hAnsi="Times New Roman" w:cs="Times New Roman"/>
                <w:kern w:val="0"/>
                <w:sz w:val="21"/>
                <w:szCs w:val="21"/>
                <w:highlight w:val="none"/>
              </w:rPr>
              <w:t>实施方案内容包含：实施方案、实施阶段、进度计划安排、实施范围内容、实施工期、履行合同的时间计划、提交资料、人员安排等内容。</w:t>
            </w:r>
          </w:p>
        </w:tc>
      </w:tr>
    </w:tbl>
    <w:p w14:paraId="3DA526E0">
      <w:pPr>
        <w:ind w:firstLine="0" w:firstLineChars="0"/>
        <w:rPr>
          <w:rFonts w:hint="eastAsia" w:ascii="Times New Roman" w:hAnsi="Times New Roman" w:cs="宋体"/>
          <w:snapToGrid w:val="0"/>
          <w:sz w:val="21"/>
          <w:szCs w:val="21"/>
          <w:highlight w:val="none"/>
        </w:rPr>
      </w:pPr>
    </w:p>
    <w:p w14:paraId="59C3ECA9">
      <w:pPr>
        <w:ind w:firstLine="0" w:firstLineChars="0"/>
        <w:rPr>
          <w:rFonts w:hint="eastAsia" w:ascii="Times New Roman" w:hAnsi="Times New Roman" w:cs="宋体"/>
          <w:snapToGrid w:val="0"/>
          <w:sz w:val="21"/>
          <w:szCs w:val="21"/>
          <w:highlight w:val="none"/>
        </w:rPr>
      </w:pPr>
    </w:p>
    <w:p w14:paraId="77A1F8FE">
      <w:pPr>
        <w:ind w:firstLine="0" w:firstLineChars="0"/>
        <w:rPr>
          <w:rFonts w:hint="eastAsia" w:ascii="Times New Roman" w:hAnsi="Times New Roman" w:cs="宋体"/>
          <w:snapToGrid w:val="0"/>
          <w:sz w:val="21"/>
          <w:szCs w:val="21"/>
          <w:highlight w:val="none"/>
        </w:rPr>
        <w:sectPr>
          <w:footerReference r:id="rId5" w:type="default"/>
          <w:pgSz w:w="11906" w:h="16838"/>
          <w:pgMar w:top="1440" w:right="1797" w:bottom="1440" w:left="1797" w:header="851" w:footer="992" w:gutter="0"/>
          <w:pgNumType w:fmt="decimal"/>
          <w:cols w:space="720" w:num="1"/>
          <w:docGrid w:type="lines" w:linePitch="326" w:charSpace="-4913"/>
        </w:sectPr>
      </w:pPr>
    </w:p>
    <w:bookmarkEnd w:id="51"/>
    <w:bookmarkEnd w:id="52"/>
    <w:p w14:paraId="02FB27CD">
      <w:pPr>
        <w:pStyle w:val="3"/>
        <w:bidi w:val="0"/>
        <w:rPr>
          <w:color w:val="auto"/>
          <w:highlight w:val="none"/>
          <w:lang w:val="en-US" w:eastAsia="zh-CN"/>
        </w:rPr>
      </w:pPr>
      <w:bookmarkStart w:id="53" w:name="_Toc27234"/>
      <w:bookmarkStart w:id="54" w:name="_Toc28684"/>
      <w:bookmarkStart w:id="55" w:name="_Toc18283"/>
      <w:bookmarkStart w:id="56" w:name="_Toc150953074"/>
      <w:bookmarkStart w:id="57" w:name="_Toc303066034"/>
      <w:bookmarkStart w:id="58" w:name="_Toc89675170"/>
      <w:r>
        <w:rPr>
          <w:rFonts w:hint="eastAsia"/>
          <w:color w:val="auto"/>
          <w:highlight w:val="none"/>
          <w:lang w:val="en-US" w:eastAsia="zh-CN"/>
        </w:rPr>
        <w:t>1. 评审方法</w:t>
      </w:r>
      <w:bookmarkEnd w:id="53"/>
      <w:bookmarkEnd w:id="54"/>
      <w:bookmarkEnd w:id="55"/>
    </w:p>
    <w:p w14:paraId="3942C35E">
      <w:pPr>
        <w:bidi w:val="0"/>
        <w:rPr>
          <w:color w:val="auto"/>
          <w:highlight w:val="none"/>
        </w:rPr>
      </w:pPr>
      <w:bookmarkStart w:id="59" w:name="_Toc287620752"/>
      <w:bookmarkStart w:id="60" w:name="_Toc377115419"/>
      <w:bookmarkStart w:id="61" w:name="_Toc440022827"/>
      <w:bookmarkStart w:id="62" w:name="_Toc277082619"/>
      <w:bookmarkStart w:id="63" w:name="_Toc287607813"/>
      <w:bookmarkStart w:id="64" w:name="_Toc376114120"/>
      <w:bookmarkStart w:id="65" w:name="_Toc200513199"/>
      <w:bookmarkStart w:id="66" w:name="_Toc330569206"/>
      <w:bookmarkStart w:id="67" w:name="_Toc224103385"/>
      <w:bookmarkStart w:id="68" w:name="_Toc377067339"/>
      <w:bookmarkStart w:id="69" w:name="_Toc407195379"/>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bookmarkStart w:id="70" w:name="_Toc23969"/>
      <w:bookmarkStart w:id="71" w:name="_Toc444155968"/>
      <w:bookmarkStart w:id="72" w:name="_Toc2274"/>
      <w:bookmarkStart w:id="73" w:name="_Toc27406"/>
      <w:bookmarkStart w:id="74" w:name="_Toc31615"/>
      <w:bookmarkStart w:id="75" w:name="_Toc5950"/>
      <w:bookmarkStart w:id="76" w:name="_Toc16716"/>
      <w:bookmarkStart w:id="77" w:name="_Toc765"/>
      <w:bookmarkStart w:id="78" w:name="_Toc27931"/>
      <w:r>
        <w:rPr>
          <w:rFonts w:hint="eastAsia"/>
          <w:color w:val="auto"/>
          <w:highlight w:val="none"/>
          <w:lang w:val="en-US" w:eastAsia="zh-CN"/>
        </w:rPr>
        <w:t>2. 评审标准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BA50A80">
      <w:pPr>
        <w:pStyle w:val="4"/>
        <w:bidi w:val="0"/>
        <w:rPr>
          <w:color w:val="auto"/>
          <w:highlight w:val="none"/>
          <w:lang w:val="en-US" w:eastAsia="zh-CN"/>
        </w:rPr>
      </w:pPr>
      <w:bookmarkStart w:id="79" w:name="_Toc7584"/>
      <w:bookmarkStart w:id="80" w:name="_Toc376114121"/>
      <w:bookmarkStart w:id="81" w:name="_Toc377067340"/>
      <w:bookmarkStart w:id="82" w:name="_Toc440022828"/>
      <w:bookmarkStart w:id="83" w:name="_Toc200513200"/>
      <w:bookmarkStart w:id="84" w:name="_Toc23425"/>
      <w:bookmarkStart w:id="85" w:name="_Toc377115420"/>
      <w:bookmarkStart w:id="86" w:name="_Toc407195380"/>
      <w:bookmarkStart w:id="87" w:name="_Toc21593"/>
      <w:bookmarkStart w:id="88" w:name="_Toc10533"/>
      <w:bookmarkStart w:id="89" w:name="_Toc277082620"/>
      <w:bookmarkStart w:id="90" w:name="_Toc224103386"/>
      <w:bookmarkStart w:id="91" w:name="_Toc287607814"/>
      <w:bookmarkStart w:id="92" w:name="_Toc16537"/>
      <w:bookmarkStart w:id="93" w:name="_Toc1358"/>
      <w:bookmarkStart w:id="94" w:name="_Toc11839"/>
      <w:bookmarkStart w:id="95" w:name="_Toc330569207"/>
      <w:bookmarkStart w:id="96" w:name="_Toc287620753"/>
      <w:bookmarkStart w:id="97" w:name="_Toc444155969"/>
      <w:r>
        <w:rPr>
          <w:rFonts w:hint="eastAsia"/>
          <w:color w:val="auto"/>
          <w:highlight w:val="none"/>
          <w:lang w:val="en-US" w:eastAsia="zh-CN"/>
        </w:rPr>
        <w:t>2.1 初步评审标准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bookmarkStart w:id="98" w:name="_Toc287607815"/>
      <w:bookmarkStart w:id="99" w:name="_Toc440022829"/>
      <w:bookmarkStart w:id="100" w:name="_Toc9090"/>
      <w:bookmarkStart w:id="101" w:name="_Toc200513201"/>
      <w:bookmarkStart w:id="102" w:name="_Toc277082621"/>
      <w:bookmarkStart w:id="103" w:name="_Toc25129"/>
      <w:bookmarkStart w:id="104" w:name="_Toc376114122"/>
      <w:bookmarkStart w:id="105" w:name="_Toc377115421"/>
      <w:bookmarkStart w:id="106" w:name="_Toc444155970"/>
      <w:bookmarkStart w:id="107" w:name="_Toc224103387"/>
      <w:bookmarkStart w:id="108" w:name="_Toc20840"/>
      <w:bookmarkStart w:id="109" w:name="_Toc2340"/>
      <w:bookmarkStart w:id="110" w:name="_Toc23296"/>
      <w:bookmarkStart w:id="111" w:name="_Toc287620754"/>
      <w:bookmarkStart w:id="112" w:name="_Toc6503"/>
      <w:bookmarkStart w:id="113" w:name="_Toc330569208"/>
      <w:bookmarkStart w:id="114" w:name="_Toc407195381"/>
      <w:bookmarkStart w:id="115" w:name="_Toc377067341"/>
      <w:bookmarkStart w:id="116" w:name="_Toc1387"/>
      <w:r>
        <w:rPr>
          <w:rFonts w:hint="eastAsia"/>
          <w:color w:val="auto"/>
          <w:highlight w:val="none"/>
          <w:lang w:val="en-US" w:eastAsia="zh-CN"/>
        </w:rPr>
        <w:t>2.2 分值构成与评分标准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bookmarkStart w:id="117" w:name="_Toc15132"/>
      <w:bookmarkStart w:id="118" w:name="_Toc377067342"/>
      <w:bookmarkStart w:id="119" w:name="_Toc376114123"/>
      <w:bookmarkStart w:id="120" w:name="_Toc200513202"/>
      <w:bookmarkStart w:id="121" w:name="_Toc444155971"/>
      <w:bookmarkStart w:id="122" w:name="_Toc5546"/>
      <w:bookmarkStart w:id="123" w:name="_Toc8004"/>
      <w:bookmarkStart w:id="124" w:name="_Toc407195382"/>
      <w:bookmarkStart w:id="125" w:name="_Toc330569209"/>
      <w:bookmarkStart w:id="126" w:name="_Toc14353"/>
      <w:bookmarkStart w:id="127" w:name="_Toc23633"/>
      <w:bookmarkStart w:id="128" w:name="_Toc12538"/>
      <w:bookmarkStart w:id="129" w:name="_Toc377115422"/>
      <w:bookmarkStart w:id="130" w:name="_Toc9488"/>
      <w:bookmarkStart w:id="131" w:name="_Toc2982"/>
      <w:bookmarkStart w:id="132" w:name="_Toc440022830"/>
      <w:bookmarkStart w:id="133" w:name="_Toc277082622"/>
      <w:bookmarkStart w:id="134" w:name="_Toc287620755"/>
      <w:bookmarkStart w:id="135" w:name="_Toc224103388"/>
      <w:bookmarkStart w:id="136" w:name="_Toc287607816"/>
      <w:r>
        <w:rPr>
          <w:rFonts w:hint="eastAsia"/>
          <w:color w:val="auto"/>
          <w:highlight w:val="none"/>
          <w:lang w:val="en-US" w:eastAsia="zh-CN"/>
        </w:rPr>
        <w:t>3. 评审程序</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FC19357">
      <w:pPr>
        <w:pStyle w:val="4"/>
        <w:bidi w:val="0"/>
        <w:rPr>
          <w:color w:val="auto"/>
          <w:highlight w:val="none"/>
          <w:lang w:val="en-US" w:eastAsia="zh-CN"/>
        </w:rPr>
      </w:pPr>
      <w:bookmarkStart w:id="137" w:name="_Toc19840"/>
      <w:bookmarkStart w:id="138" w:name="_Toc9683"/>
      <w:bookmarkStart w:id="139" w:name="_Toc13851"/>
      <w:bookmarkStart w:id="140" w:name="_Toc444155972"/>
      <w:bookmarkStart w:id="141" w:name="_Toc200513203"/>
      <w:bookmarkStart w:id="142" w:name="_Toc22279"/>
      <w:bookmarkStart w:id="143" w:name="_Toc330569210"/>
      <w:bookmarkStart w:id="144" w:name="_Toc377067343"/>
      <w:bookmarkStart w:id="145" w:name="_Toc440022831"/>
      <w:bookmarkStart w:id="146" w:name="_Toc6448"/>
      <w:bookmarkStart w:id="147" w:name="_Toc376114124"/>
      <w:bookmarkStart w:id="148" w:name="_Toc287620756"/>
      <w:bookmarkStart w:id="149" w:name="_Toc407195383"/>
      <w:bookmarkStart w:id="150" w:name="_Toc5462"/>
      <w:bookmarkStart w:id="151" w:name="_Toc277082623"/>
      <w:bookmarkStart w:id="152" w:name="_Toc32002"/>
      <w:bookmarkStart w:id="153" w:name="_Toc377115423"/>
      <w:bookmarkStart w:id="154" w:name="_Toc287607817"/>
      <w:bookmarkStart w:id="155" w:name="_Toc224103389"/>
      <w:r>
        <w:rPr>
          <w:rFonts w:hint="eastAsia"/>
          <w:color w:val="auto"/>
          <w:highlight w:val="none"/>
          <w:lang w:val="en-US" w:eastAsia="zh-CN"/>
        </w:rPr>
        <w:t>3.1 初步评审</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E803579">
      <w:pPr>
        <w:bidi w:val="0"/>
        <w:rPr>
          <w:color w:val="auto"/>
          <w:highlight w:val="none"/>
        </w:rPr>
      </w:pPr>
      <w:bookmarkStart w:id="156" w:name="_Toc377115424"/>
      <w:bookmarkStart w:id="157" w:name="_Toc356484119"/>
      <w:bookmarkStart w:id="158" w:name="_Toc377067344"/>
      <w:bookmarkStart w:id="159" w:name="_Toc332028970"/>
      <w:bookmarkStart w:id="160" w:name="_Toc331232467"/>
      <w:bookmarkStart w:id="161" w:name="_Toc354387014"/>
      <w:bookmarkStart w:id="162" w:name="_Toc332380970"/>
      <w:bookmarkStart w:id="163" w:name="_Toc444155973"/>
      <w:bookmarkStart w:id="164" w:name="_Toc373264792"/>
      <w:bookmarkStart w:id="165" w:name="_Toc331232649"/>
      <w:bookmarkStart w:id="166" w:name="_Toc332015984"/>
      <w:bookmarkStart w:id="167" w:name="_Toc407195384"/>
      <w:bookmarkStart w:id="168" w:name="_Toc330569211"/>
      <w:bookmarkStart w:id="169" w:name="_Toc376114125"/>
      <w:bookmarkStart w:id="170" w:name="_Toc334002333"/>
      <w:bookmarkStart w:id="171" w:name="_Toc27164"/>
      <w:bookmarkStart w:id="172" w:name="_Toc440022832"/>
      <w:bookmarkStart w:id="173" w:name="_Toc373172234"/>
      <w:bookmarkStart w:id="174" w:name="_Toc356243677"/>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bookmarkStart w:id="175" w:name="_Toc22848"/>
      <w:bookmarkStart w:id="176" w:name="_Toc7832"/>
      <w:bookmarkStart w:id="177" w:name="_Toc200513204"/>
      <w:bookmarkStart w:id="178" w:name="_Toc22246"/>
      <w:bookmarkStart w:id="179" w:name="_Toc19604"/>
      <w:bookmarkStart w:id="180" w:name="_Toc440022833"/>
      <w:bookmarkStart w:id="181" w:name="_Toc29925"/>
      <w:bookmarkStart w:id="182" w:name="_Toc376114126"/>
      <w:bookmarkStart w:id="183" w:name="_Toc224103390"/>
      <w:bookmarkStart w:id="184" w:name="_Toc377115425"/>
      <w:bookmarkStart w:id="185" w:name="_Toc287607818"/>
      <w:bookmarkStart w:id="186" w:name="_Toc287620757"/>
      <w:bookmarkStart w:id="187" w:name="_Toc407195385"/>
      <w:bookmarkStart w:id="188" w:name="_Toc11246"/>
      <w:bookmarkStart w:id="189" w:name="_Toc330569212"/>
      <w:bookmarkStart w:id="190" w:name="_Toc277082624"/>
      <w:bookmarkStart w:id="191" w:name="_Toc10847"/>
      <w:bookmarkStart w:id="192" w:name="_Toc444155974"/>
      <w:bookmarkStart w:id="193" w:name="_Toc377067345"/>
      <w:r>
        <w:rPr>
          <w:rFonts w:hint="eastAsia"/>
          <w:color w:val="auto"/>
          <w:highlight w:val="none"/>
          <w:lang w:val="en-US" w:eastAsia="zh-CN"/>
        </w:rPr>
        <w:t>3.2 详细评审</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bookmarkStart w:id="194" w:name="_Toc7176"/>
      <w:bookmarkStart w:id="195" w:name="_Toc1080"/>
      <w:bookmarkStart w:id="196" w:name="_Toc377067346"/>
      <w:bookmarkStart w:id="197" w:name="_Toc2542"/>
      <w:bookmarkStart w:id="198" w:name="_Toc330569213"/>
      <w:bookmarkStart w:id="199" w:name="_Toc376114127"/>
      <w:bookmarkStart w:id="200" w:name="_Toc377115426"/>
      <w:bookmarkStart w:id="201" w:name="_Toc287607819"/>
      <w:bookmarkStart w:id="202" w:name="_Toc277082625"/>
      <w:bookmarkStart w:id="203" w:name="_Toc18708"/>
      <w:bookmarkStart w:id="204" w:name="_Toc200513205"/>
      <w:bookmarkStart w:id="205" w:name="_Toc20948"/>
      <w:bookmarkStart w:id="206" w:name="_Toc32039"/>
      <w:bookmarkStart w:id="207" w:name="_Toc444155975"/>
      <w:bookmarkStart w:id="208" w:name="_Toc224103391"/>
      <w:bookmarkStart w:id="209" w:name="_Toc287620758"/>
      <w:bookmarkStart w:id="210" w:name="_Toc29261"/>
      <w:bookmarkStart w:id="211" w:name="_Toc440022834"/>
      <w:bookmarkStart w:id="212" w:name="_Toc407195386"/>
      <w:r>
        <w:rPr>
          <w:rFonts w:hint="eastAsia"/>
          <w:color w:val="auto"/>
          <w:highlight w:val="none"/>
          <w:lang w:val="en-US" w:eastAsia="zh-CN"/>
        </w:rPr>
        <w:t>3.3 参选文件的澄清和补正</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bookmarkStart w:id="213" w:name="_Toc407195387"/>
      <w:bookmarkStart w:id="214" w:name="_Toc4814"/>
      <w:bookmarkStart w:id="215" w:name="_Toc224103392"/>
      <w:bookmarkStart w:id="216" w:name="_Toc31270"/>
      <w:bookmarkStart w:id="217" w:name="_Toc287620759"/>
      <w:bookmarkStart w:id="218" w:name="_Toc377067347"/>
      <w:bookmarkStart w:id="219" w:name="_Toc287607820"/>
      <w:bookmarkStart w:id="220" w:name="_Toc30672"/>
      <w:bookmarkStart w:id="221" w:name="_Toc376114128"/>
      <w:bookmarkStart w:id="222" w:name="_Toc21450"/>
      <w:bookmarkStart w:id="223" w:name="_Toc444155976"/>
      <w:bookmarkStart w:id="224" w:name="_Toc200513206"/>
      <w:bookmarkStart w:id="225" w:name="_Toc14840"/>
      <w:bookmarkStart w:id="226" w:name="_Toc440022835"/>
      <w:bookmarkStart w:id="227" w:name="_Toc277082626"/>
      <w:bookmarkStart w:id="228" w:name="_Toc330569214"/>
      <w:bookmarkStart w:id="229" w:name="_Toc19054"/>
      <w:bookmarkStart w:id="230" w:name="_Toc377115427"/>
      <w:bookmarkStart w:id="231" w:name="_Toc6310"/>
      <w:r>
        <w:rPr>
          <w:rFonts w:hint="eastAsia"/>
          <w:color w:val="auto"/>
          <w:highlight w:val="none"/>
          <w:lang w:val="en-US" w:eastAsia="zh-CN"/>
        </w:rPr>
        <w:t>3.4 评审结果</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p w14:paraId="2447BD41">
      <w:pPr>
        <w:pStyle w:val="2"/>
        <w:rPr>
          <w:rFonts w:ascii="Times New Roman" w:hAnsi="Times New Roman"/>
          <w:highlight w:val="none"/>
        </w:rPr>
      </w:pPr>
      <w:r>
        <w:rPr>
          <w:rFonts w:hint="eastAsia"/>
          <w:color w:val="auto"/>
          <w:highlight w:val="none"/>
        </w:rPr>
        <w:br w:type="page"/>
      </w:r>
      <w:bookmarkStart w:id="232" w:name="_Toc22308"/>
      <w:r>
        <w:rPr>
          <w:rFonts w:hint="eastAsia" w:ascii="Times New Roman" w:hAnsi="Times New Roman"/>
          <w:highlight w:val="none"/>
        </w:rPr>
        <w:t>第五章 合同</w:t>
      </w:r>
      <w:r>
        <w:rPr>
          <w:rFonts w:ascii="Times New Roman" w:hAnsi="Times New Roman"/>
          <w:highlight w:val="none"/>
        </w:rPr>
        <w:t>模板</w:t>
      </w:r>
      <w:bookmarkEnd w:id="56"/>
      <w:bookmarkEnd w:id="232"/>
    </w:p>
    <w:p w14:paraId="2730F58E">
      <w:pPr>
        <w:ind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698E8C79">
      <w:pPr>
        <w:keepNext w:val="0"/>
        <w:keepLines w:val="0"/>
        <w:pageBreakBefore w:val="0"/>
        <w:kinsoku/>
        <w:overflowPunct/>
        <w:topLinePunct w:val="0"/>
        <w:autoSpaceDE w:val="0"/>
        <w:autoSpaceDN w:val="0"/>
        <w:bidi w:val="0"/>
        <w:outlineLvl w:val="9"/>
        <w:rPr>
          <w:rFonts w:ascii="Times New Roman" w:hAnsi="Times New Roman"/>
          <w:highlight w:val="none"/>
        </w:rPr>
      </w:pPr>
    </w:p>
    <w:p w14:paraId="1E7AF35F">
      <w:pPr>
        <w:keepNext w:val="0"/>
        <w:keepLines w:val="0"/>
        <w:pageBreakBefore w:val="0"/>
        <w:kinsoku/>
        <w:wordWrap w:val="0"/>
        <w:overflowPunct/>
        <w:topLinePunct w:val="0"/>
        <w:autoSpaceDE w:val="0"/>
        <w:autoSpaceDN w:val="0"/>
        <w:bidi w:val="0"/>
        <w:spacing w:line="360" w:lineRule="auto"/>
        <w:jc w:val="right"/>
        <w:outlineLvl w:val="9"/>
        <w:rPr>
          <w:rStyle w:val="25"/>
          <w:rFonts w:ascii="宋体"/>
          <w:b w:val="0"/>
          <w:sz w:val="28"/>
          <w:szCs w:val="28"/>
          <w:highlight w:val="none"/>
        </w:rPr>
      </w:pPr>
      <w:r>
        <w:rPr>
          <w:rStyle w:val="25"/>
          <w:rFonts w:hint="eastAsia" w:ascii="宋体"/>
          <w:b w:val="0"/>
          <w:sz w:val="28"/>
          <w:szCs w:val="28"/>
          <w:highlight w:val="none"/>
        </w:rPr>
        <w:t>编号：SXYH</w:t>
      </w:r>
      <w:r>
        <w:rPr>
          <w:rStyle w:val="25"/>
          <w:rFonts w:hint="eastAsia" w:ascii="宋体"/>
          <w:b w:val="0"/>
          <w:color w:val="000000"/>
          <w:sz w:val="28"/>
          <w:szCs w:val="28"/>
          <w:highlight w:val="none"/>
        </w:rPr>
        <w:t>202401</w:t>
      </w:r>
      <w:r>
        <w:rPr>
          <w:rStyle w:val="25"/>
          <w:rFonts w:hint="eastAsia" w:ascii="宋体"/>
          <w:b w:val="0"/>
          <w:sz w:val="28"/>
          <w:szCs w:val="28"/>
          <w:highlight w:val="none"/>
        </w:rPr>
        <w:t>010</w:t>
      </w:r>
      <w:r>
        <w:rPr>
          <w:rStyle w:val="25"/>
          <w:rFonts w:ascii="宋体"/>
          <w:b w:val="0"/>
          <w:sz w:val="28"/>
          <w:szCs w:val="28"/>
          <w:highlight w:val="none"/>
        </w:rPr>
        <w:t>18</w:t>
      </w:r>
      <w:r>
        <w:rPr>
          <w:rStyle w:val="25"/>
          <w:rFonts w:ascii="宋体"/>
          <w:b w:val="0"/>
          <w:sz w:val="28"/>
          <w:szCs w:val="28"/>
          <w:highlight w:val="none"/>
          <w:u w:val="single"/>
        </w:rPr>
        <w:t xml:space="preserve">   </w:t>
      </w:r>
    </w:p>
    <w:p w14:paraId="592C023A">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03FFE0BC">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7A484FF4">
      <w:pPr>
        <w:keepNext w:val="0"/>
        <w:keepLines w:val="0"/>
        <w:pageBreakBefore w:val="0"/>
        <w:kinsoku/>
        <w:overflowPunct/>
        <w:topLinePunct w:val="0"/>
        <w:autoSpaceDE w:val="0"/>
        <w:autoSpaceDN w:val="0"/>
        <w:bidi w:val="0"/>
        <w:spacing w:line="240" w:lineRule="auto"/>
        <w:ind w:firstLine="0" w:firstLineChars="0"/>
        <w:jc w:val="center"/>
        <w:outlineLvl w:val="9"/>
        <w:rPr>
          <w:rStyle w:val="25"/>
          <w:rFonts w:ascii="宋体"/>
          <w:sz w:val="52"/>
          <w:szCs w:val="52"/>
          <w:highlight w:val="none"/>
        </w:rPr>
      </w:pPr>
      <w:r>
        <w:rPr>
          <w:rStyle w:val="25"/>
          <w:rFonts w:hint="eastAsia" w:ascii="宋体"/>
          <w:sz w:val="52"/>
          <w:szCs w:val="52"/>
          <w:highlight w:val="none"/>
        </w:rPr>
        <w:t>重庆三峡银行</w:t>
      </w:r>
    </w:p>
    <w:p w14:paraId="3EF20B0B">
      <w:pPr>
        <w:keepNext w:val="0"/>
        <w:keepLines w:val="0"/>
        <w:pageBreakBefore w:val="0"/>
        <w:kinsoku/>
        <w:overflowPunct/>
        <w:topLinePunct w:val="0"/>
        <w:autoSpaceDE w:val="0"/>
        <w:autoSpaceDN w:val="0"/>
        <w:bidi w:val="0"/>
        <w:spacing w:line="240" w:lineRule="auto"/>
        <w:ind w:firstLine="0" w:firstLineChars="0"/>
        <w:jc w:val="center"/>
        <w:outlineLvl w:val="9"/>
        <w:rPr>
          <w:rStyle w:val="25"/>
          <w:sz w:val="36"/>
          <w:szCs w:val="21"/>
          <w:highlight w:val="none"/>
        </w:rPr>
      </w:pPr>
      <w:r>
        <w:rPr>
          <w:rStyle w:val="25"/>
          <w:rFonts w:hint="eastAsia" w:ascii="宋体"/>
          <w:sz w:val="52"/>
          <w:szCs w:val="52"/>
          <w:highlight w:val="none"/>
          <w:lang w:eastAsia="zh-CN"/>
        </w:rPr>
        <w:t>2024年度第二代支付系统持续优化项目</w:t>
      </w:r>
      <w:r>
        <w:rPr>
          <w:rStyle w:val="25"/>
          <w:rFonts w:hint="eastAsia" w:ascii="宋体"/>
          <w:sz w:val="52"/>
          <w:szCs w:val="52"/>
          <w:highlight w:val="none"/>
        </w:rPr>
        <w:t>外包开发合同</w:t>
      </w:r>
    </w:p>
    <w:p w14:paraId="53D849CB">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2FB4EBA5">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1CA5BB41">
      <w:pPr>
        <w:keepNext w:val="0"/>
        <w:keepLines w:val="0"/>
        <w:pageBreakBefore w:val="0"/>
        <w:kinsoku/>
        <w:overflowPunct/>
        <w:topLinePunct w:val="0"/>
        <w:autoSpaceDE w:val="0"/>
        <w:autoSpaceDN w:val="0"/>
        <w:bidi w:val="0"/>
        <w:spacing w:line="360" w:lineRule="auto"/>
        <w:outlineLvl w:val="9"/>
        <w:rPr>
          <w:b/>
          <w:bCs/>
          <w:highlight w:val="none"/>
        </w:rPr>
      </w:pPr>
    </w:p>
    <w:p w14:paraId="76F7B70D">
      <w:pPr>
        <w:keepNext w:val="0"/>
        <w:keepLines w:val="0"/>
        <w:pageBreakBefore w:val="0"/>
        <w:kinsoku/>
        <w:overflowPunct/>
        <w:topLinePunct w:val="0"/>
        <w:autoSpaceDE w:val="0"/>
        <w:autoSpaceDN w:val="0"/>
        <w:bidi w:val="0"/>
        <w:spacing w:line="360" w:lineRule="auto"/>
        <w:jc w:val="center"/>
        <w:outlineLvl w:val="9"/>
        <w:rPr>
          <w:b/>
          <w:bCs/>
          <w:highlight w:val="none"/>
        </w:rPr>
      </w:pPr>
    </w:p>
    <w:p w14:paraId="1A90F4EF">
      <w:pPr>
        <w:keepNext w:val="0"/>
        <w:keepLines w:val="0"/>
        <w:pageBreakBefore w:val="0"/>
        <w:kinsoku/>
        <w:overflowPunct/>
        <w:topLinePunct w:val="0"/>
        <w:autoSpaceDE w:val="0"/>
        <w:autoSpaceDN w:val="0"/>
        <w:bidi w:val="0"/>
        <w:spacing w:line="360" w:lineRule="auto"/>
        <w:jc w:val="center"/>
        <w:outlineLvl w:val="9"/>
        <w:rPr>
          <w:b/>
          <w:bCs/>
          <w:highlight w:val="none"/>
        </w:rPr>
      </w:pPr>
    </w:p>
    <w:p w14:paraId="437D70FC">
      <w:pPr>
        <w:keepNext w:val="0"/>
        <w:keepLines w:val="0"/>
        <w:pageBreakBefore w:val="0"/>
        <w:kinsoku/>
        <w:overflowPunct/>
        <w:topLinePunct w:val="0"/>
        <w:autoSpaceDE w:val="0"/>
        <w:autoSpaceDN w:val="0"/>
        <w:bidi w:val="0"/>
        <w:spacing w:line="360" w:lineRule="auto"/>
        <w:jc w:val="center"/>
        <w:outlineLvl w:val="9"/>
        <w:rPr>
          <w:b/>
          <w:bCs/>
          <w:highlight w:val="none"/>
        </w:rPr>
      </w:pPr>
    </w:p>
    <w:p w14:paraId="1223F2C5">
      <w:pPr>
        <w:keepNext w:val="0"/>
        <w:keepLines w:val="0"/>
        <w:pageBreakBefore w:val="0"/>
        <w:kinsoku/>
        <w:overflowPunct/>
        <w:topLinePunct w:val="0"/>
        <w:autoSpaceDE w:val="0"/>
        <w:autoSpaceDN w:val="0"/>
        <w:bidi w:val="0"/>
        <w:spacing w:line="360" w:lineRule="auto"/>
        <w:ind w:left="840"/>
        <w:outlineLvl w:val="9"/>
        <w:rPr>
          <w:rFonts w:ascii="宋体"/>
          <w:b/>
          <w:bCs/>
          <w:sz w:val="28"/>
          <w:highlight w:val="none"/>
        </w:rPr>
      </w:pPr>
      <w:r>
        <w:rPr>
          <w:rFonts w:hint="eastAsia" w:ascii="宋体"/>
          <w:b/>
          <w:bCs/>
          <w:sz w:val="28"/>
          <w:highlight w:val="none"/>
        </w:rPr>
        <w:t>委托方（甲方）：重庆三峡银行股份有限公司</w:t>
      </w:r>
    </w:p>
    <w:p w14:paraId="2A5D4CDE">
      <w:pPr>
        <w:keepNext w:val="0"/>
        <w:keepLines w:val="0"/>
        <w:pageBreakBefore w:val="0"/>
        <w:kinsoku/>
        <w:overflowPunct/>
        <w:topLinePunct w:val="0"/>
        <w:autoSpaceDE w:val="0"/>
        <w:autoSpaceDN w:val="0"/>
        <w:bidi w:val="0"/>
        <w:spacing w:line="360" w:lineRule="auto"/>
        <w:ind w:left="840"/>
        <w:outlineLvl w:val="9"/>
        <w:rPr>
          <w:rFonts w:ascii="宋体"/>
          <w:b/>
          <w:bCs/>
          <w:sz w:val="28"/>
          <w:highlight w:val="none"/>
        </w:rPr>
      </w:pPr>
      <w:r>
        <w:rPr>
          <w:rFonts w:hint="eastAsia" w:ascii="宋体"/>
          <w:b/>
          <w:bCs/>
          <w:sz w:val="28"/>
          <w:highlight w:val="none"/>
        </w:rPr>
        <w:t>受托方（乙方）：</w:t>
      </w:r>
    </w:p>
    <w:p w14:paraId="10E6ABC6">
      <w:pPr>
        <w:keepNext w:val="0"/>
        <w:keepLines w:val="0"/>
        <w:pageBreakBefore w:val="0"/>
        <w:kinsoku/>
        <w:overflowPunct/>
        <w:topLinePunct w:val="0"/>
        <w:autoSpaceDE w:val="0"/>
        <w:autoSpaceDN w:val="0"/>
        <w:bidi w:val="0"/>
        <w:spacing w:line="360" w:lineRule="auto"/>
        <w:ind w:left="840"/>
        <w:outlineLvl w:val="9"/>
        <w:rPr>
          <w:rFonts w:ascii="宋体"/>
          <w:b/>
          <w:highlight w:val="none"/>
        </w:rPr>
      </w:pPr>
      <w:r>
        <w:rPr>
          <w:rFonts w:hint="eastAsia" w:ascii="宋体"/>
          <w:b/>
          <w:bCs/>
          <w:sz w:val="28"/>
          <w:highlight w:val="none"/>
        </w:rPr>
        <w:t>签订地点</w:t>
      </w:r>
      <w:r>
        <w:rPr>
          <w:rFonts w:hint="eastAsia" w:ascii="宋体"/>
          <w:b/>
          <w:sz w:val="28"/>
          <w:highlight w:val="none"/>
        </w:rPr>
        <w:t>：重庆</w:t>
      </w:r>
    </w:p>
    <w:p w14:paraId="3A036B11">
      <w:pPr>
        <w:keepNext w:val="0"/>
        <w:keepLines w:val="0"/>
        <w:pageBreakBefore w:val="0"/>
        <w:kinsoku/>
        <w:overflowPunct/>
        <w:topLinePunct w:val="0"/>
        <w:autoSpaceDE w:val="0"/>
        <w:autoSpaceDN w:val="0"/>
        <w:bidi w:val="0"/>
        <w:spacing w:line="360" w:lineRule="auto"/>
        <w:jc w:val="center"/>
        <w:outlineLvl w:val="9"/>
        <w:rPr>
          <w:rFonts w:ascii="宋体"/>
          <w:b/>
          <w:sz w:val="32"/>
          <w:szCs w:val="32"/>
          <w:highlight w:val="none"/>
        </w:rPr>
      </w:pPr>
      <w:r>
        <w:rPr>
          <w:highlight w:val="none"/>
        </w:rPr>
        <w:br w:type="page"/>
      </w:r>
      <w:r>
        <w:rPr>
          <w:rFonts w:hint="eastAsia" w:ascii="宋体"/>
          <w:b/>
          <w:sz w:val="32"/>
          <w:szCs w:val="32"/>
          <w:highlight w:val="none"/>
        </w:rPr>
        <w:t>目    录</w:t>
      </w:r>
    </w:p>
    <w:p w14:paraId="2D6A53F4">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第一条  定义</w:t>
      </w:r>
    </w:p>
    <w:p w14:paraId="501DD39C">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第二条  外包开发内容</w:t>
      </w:r>
    </w:p>
    <w:p w14:paraId="5429457D">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第三条  项目履行的进度、期限、地点、地域、方式</w:t>
      </w:r>
    </w:p>
    <w:p w14:paraId="043B5B9D">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第四条  方案调整</w:t>
      </w:r>
    </w:p>
    <w:p w14:paraId="0F92F490">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第五条  项目验收</w:t>
      </w:r>
    </w:p>
    <w:p w14:paraId="6E698482">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第六条  交付使用后维护期、系统完善和保修维护服务</w:t>
      </w:r>
    </w:p>
    <w:p w14:paraId="6A14876C">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第七条  技术辅导与培训</w:t>
      </w:r>
    </w:p>
    <w:p w14:paraId="526412E1">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第八条  双方的权利、义务</w:t>
      </w:r>
    </w:p>
    <w:p w14:paraId="3E5305FA">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第九条  乙方的声明与保证</w:t>
      </w:r>
    </w:p>
    <w:p w14:paraId="4D9FAF98">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第十条  知识产权</w:t>
      </w:r>
    </w:p>
    <w:p w14:paraId="6D977B03">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第十一条  第三方索赔</w:t>
      </w:r>
    </w:p>
    <w:p w14:paraId="4FE96FEB">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第十二条  保密</w:t>
      </w:r>
    </w:p>
    <w:p w14:paraId="3F7C289C">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第十三条  价格与支付</w:t>
      </w:r>
    </w:p>
    <w:p w14:paraId="69A47BD0">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第十四条  风险责任的承担</w:t>
      </w:r>
    </w:p>
    <w:p w14:paraId="5A737A4F">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第十五条  违约与赔偿</w:t>
      </w:r>
    </w:p>
    <w:p w14:paraId="1F9E4677">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第十六条  合同的解除</w:t>
      </w:r>
    </w:p>
    <w:p w14:paraId="30551CCE">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第十七条  合同变更及转让</w:t>
      </w:r>
    </w:p>
    <w:p w14:paraId="15E58D92">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第十八条  争议解决</w:t>
      </w:r>
    </w:p>
    <w:p w14:paraId="5CA74BB4">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第十九条 通知与送达</w:t>
      </w:r>
    </w:p>
    <w:p w14:paraId="7B38989D">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第二十条  合同生效</w:t>
      </w:r>
    </w:p>
    <w:p w14:paraId="13393BF1">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第二十一条  不可抗力</w:t>
      </w:r>
    </w:p>
    <w:p w14:paraId="47236F43">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第二十二条  反商业贿赂</w:t>
      </w:r>
    </w:p>
    <w:p w14:paraId="2FD9624E">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第二十三条  附件</w:t>
      </w:r>
    </w:p>
    <w:p w14:paraId="4A8AD3E0">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第二十四条  其他</w:t>
      </w:r>
    </w:p>
    <w:p w14:paraId="0AF7D0D2">
      <w:pPr>
        <w:keepNext w:val="0"/>
        <w:keepLines w:val="0"/>
        <w:pageBreakBefore w:val="0"/>
        <w:kinsoku/>
        <w:overflowPunct/>
        <w:topLinePunct w:val="0"/>
        <w:autoSpaceDE w:val="0"/>
        <w:autoSpaceDN w:val="0"/>
        <w:bidi w:val="0"/>
        <w:spacing w:line="360" w:lineRule="auto"/>
        <w:outlineLvl w:val="9"/>
        <w:rPr>
          <w:rFonts w:hint="eastAsia" w:ascii="宋体"/>
          <w:highlight w:val="none"/>
        </w:rPr>
      </w:pPr>
    </w:p>
    <w:p w14:paraId="75C2ED5C">
      <w:pPr>
        <w:keepNext w:val="0"/>
        <w:keepLines w:val="0"/>
        <w:pageBreakBefore w:val="0"/>
        <w:kinsoku/>
        <w:overflowPunct/>
        <w:topLinePunct w:val="0"/>
        <w:autoSpaceDE w:val="0"/>
        <w:autoSpaceDN w:val="0"/>
        <w:bidi w:val="0"/>
        <w:spacing w:line="360" w:lineRule="auto"/>
        <w:outlineLvl w:val="9"/>
        <w:rPr>
          <w:rFonts w:ascii="宋体"/>
          <w:b/>
          <w:highlight w:val="none"/>
          <w:u w:val="single"/>
        </w:rPr>
      </w:pPr>
      <w:r>
        <w:rPr>
          <w:rFonts w:hint="eastAsia" w:ascii="宋体"/>
          <w:highlight w:val="none"/>
        </w:rPr>
        <w:br w:type="page"/>
      </w:r>
      <w:r>
        <w:rPr>
          <w:rFonts w:hint="eastAsia" w:ascii="宋体"/>
          <w:b/>
          <w:highlight w:val="none"/>
        </w:rPr>
        <w:t>委托方: 重庆三峡银行股份有限公司（以下简称“甲方”）</w:t>
      </w:r>
    </w:p>
    <w:p w14:paraId="7D5A975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法定代表人：刘江桥</w:t>
      </w:r>
    </w:p>
    <w:p w14:paraId="7AA63C7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地址：重庆市渝北区嘉州路88号中渝国际都会4号写字楼</w:t>
      </w:r>
    </w:p>
    <w:p w14:paraId="70CB507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邮政编码：404000</w:t>
      </w:r>
    </w:p>
    <w:p w14:paraId="7DAD4E8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联系人：</w:t>
      </w:r>
    </w:p>
    <w:p w14:paraId="5D0D0B3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电话：</w:t>
      </w:r>
    </w:p>
    <w:p w14:paraId="27ECC4A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电子邮箱：</w:t>
      </w:r>
    </w:p>
    <w:p w14:paraId="4ABE9A85">
      <w:pPr>
        <w:keepNext w:val="0"/>
        <w:keepLines w:val="0"/>
        <w:pageBreakBefore w:val="0"/>
        <w:kinsoku/>
        <w:overflowPunct/>
        <w:topLinePunct w:val="0"/>
        <w:autoSpaceDE w:val="0"/>
        <w:autoSpaceDN w:val="0"/>
        <w:bidi w:val="0"/>
        <w:spacing w:line="360" w:lineRule="auto"/>
        <w:outlineLvl w:val="9"/>
        <w:rPr>
          <w:rFonts w:ascii="宋体"/>
          <w:highlight w:val="none"/>
        </w:rPr>
      </w:pPr>
    </w:p>
    <w:p w14:paraId="2FAA3B4B">
      <w:pPr>
        <w:keepNext w:val="0"/>
        <w:keepLines w:val="0"/>
        <w:pageBreakBefore w:val="0"/>
        <w:kinsoku/>
        <w:overflowPunct/>
        <w:topLinePunct w:val="0"/>
        <w:autoSpaceDE w:val="0"/>
        <w:autoSpaceDN w:val="0"/>
        <w:bidi w:val="0"/>
        <w:spacing w:line="360" w:lineRule="auto"/>
        <w:outlineLvl w:val="9"/>
        <w:rPr>
          <w:rFonts w:ascii="宋体"/>
          <w:b/>
          <w:highlight w:val="none"/>
        </w:rPr>
      </w:pPr>
      <w:r>
        <w:rPr>
          <w:rFonts w:hint="eastAsia" w:ascii="宋体"/>
          <w:b/>
          <w:highlight w:val="none"/>
        </w:rPr>
        <w:t>受托方：</w:t>
      </w:r>
      <w:r>
        <w:rPr>
          <w:rFonts w:ascii="宋体"/>
          <w:b/>
          <w:highlight w:val="none"/>
        </w:rPr>
        <w:t>XXXXXXXXXXXXXXXXXXXXXXXXXXXXX</w:t>
      </w:r>
      <w:r>
        <w:rPr>
          <w:rFonts w:hint="eastAsia" w:ascii="宋体"/>
          <w:b/>
          <w:highlight w:val="none"/>
        </w:rPr>
        <w:t>（以下简称“乙方”）</w:t>
      </w:r>
    </w:p>
    <w:p w14:paraId="1CC1545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法定代表人：</w:t>
      </w:r>
    </w:p>
    <w:p w14:paraId="7E912CD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地址：</w:t>
      </w:r>
    </w:p>
    <w:p w14:paraId="6689D0D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邮政编码：</w:t>
      </w:r>
    </w:p>
    <w:p w14:paraId="58FCA3C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 xml:space="preserve">开户银行： </w:t>
      </w:r>
    </w:p>
    <w:p w14:paraId="4B19BC8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账号：</w:t>
      </w:r>
    </w:p>
    <w:p w14:paraId="274133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税号：</w:t>
      </w:r>
    </w:p>
    <w:p w14:paraId="35B0248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联系人：</w:t>
      </w:r>
    </w:p>
    <w:p w14:paraId="4A05519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电话：</w:t>
      </w:r>
    </w:p>
    <w:p w14:paraId="40D083C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电子邮箱：</w:t>
      </w:r>
    </w:p>
    <w:p w14:paraId="371D2D81">
      <w:pPr>
        <w:keepNext w:val="0"/>
        <w:keepLines w:val="0"/>
        <w:pageBreakBefore w:val="0"/>
        <w:kinsoku/>
        <w:overflowPunct/>
        <w:topLinePunct w:val="0"/>
        <w:autoSpaceDE w:val="0"/>
        <w:autoSpaceDN w:val="0"/>
        <w:bidi w:val="0"/>
        <w:spacing w:line="360" w:lineRule="auto"/>
        <w:outlineLvl w:val="9"/>
        <w:rPr>
          <w:rFonts w:ascii="宋体"/>
          <w:b/>
          <w:highlight w:val="none"/>
        </w:rPr>
      </w:pPr>
      <w:r>
        <w:rPr>
          <w:rFonts w:hint="eastAsia" w:ascii="宋体"/>
          <w:highlight w:val="none"/>
        </w:rPr>
        <w:br w:type="page"/>
      </w:r>
      <w:r>
        <w:rPr>
          <w:rFonts w:hint="eastAsia" w:ascii="宋体"/>
          <w:b/>
          <w:highlight w:val="none"/>
        </w:rPr>
        <w:t>鉴于：</w:t>
      </w:r>
    </w:p>
    <w:p w14:paraId="222E540C">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highlight w:val="none"/>
        </w:rPr>
        <w:t>以资信守：</w:t>
      </w:r>
    </w:p>
    <w:p w14:paraId="4F8262AD">
      <w:pPr>
        <w:keepNext w:val="0"/>
        <w:keepLines w:val="0"/>
        <w:pageBreakBefore w:val="0"/>
        <w:kinsoku/>
        <w:overflowPunct/>
        <w:topLinePunct w:val="0"/>
        <w:autoSpaceDE w:val="0"/>
        <w:autoSpaceDN w:val="0"/>
        <w:bidi w:val="0"/>
        <w:spacing w:line="360" w:lineRule="auto"/>
        <w:ind w:firstLine="428" w:firstLineChars="0"/>
        <w:outlineLvl w:val="9"/>
        <w:rPr>
          <w:rFonts w:ascii="宋体"/>
          <w:highlight w:val="none"/>
        </w:rPr>
      </w:pPr>
    </w:p>
    <w:p w14:paraId="6558DFC1">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33" w:name="_Toc63757457"/>
      <w:r>
        <w:rPr>
          <w:rFonts w:hint="eastAsia" w:ascii="宋体"/>
          <w:b/>
          <w:highlight w:val="none"/>
        </w:rPr>
        <w:t>第一条  定义</w:t>
      </w:r>
      <w:bookmarkEnd w:id="233"/>
    </w:p>
    <w:p w14:paraId="312BF0DA">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在本合同中，除非有相反的表述，下列术语具有如下含义：</w:t>
      </w:r>
    </w:p>
    <w:p w14:paraId="5F6015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1.1“项目”系指乙方受甲方委托，单独为本合同目的依据合同附件一《工作（需求）说明书》的产品实施与数据迁移服务。</w:t>
      </w:r>
    </w:p>
    <w:p w14:paraId="15B40A9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1.2“客户化工作”指项目交付乙方后乙方对甲方的需求进行开发实施。</w:t>
      </w:r>
    </w:p>
    <w:p w14:paraId="3B79C75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1.3“产品实施数据迁移”指乙方产品的安装配置和业务数据迁移服务。</w:t>
      </w:r>
    </w:p>
    <w:p w14:paraId="5811285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1.4“</w:t>
      </w:r>
      <w:r>
        <w:rPr>
          <w:rFonts w:ascii="宋体"/>
          <w:highlight w:val="none"/>
          <w:lang w:val="en-GB"/>
        </w:rPr>
        <w:t>第二代支付</w:t>
      </w:r>
      <w:r>
        <w:rPr>
          <w:rFonts w:hint="eastAsia" w:ascii="宋体"/>
          <w:highlight w:val="none"/>
          <w:lang w:val="en-GB"/>
        </w:rPr>
        <w:t>系统</w:t>
      </w:r>
      <w:r>
        <w:rPr>
          <w:rFonts w:hint="eastAsia" w:ascii="宋体"/>
          <w:highlight w:val="none"/>
        </w:rPr>
        <w:t>业务”指乙方提供给甲方的附件一中所涵盖的业务功能。</w:t>
      </w:r>
    </w:p>
    <w:p w14:paraId="6838F209">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1.5“缺陷逃逸率”：后一测试阶段测试期间发现的缺陷个数/（当前测试期间所发现的缺陷个数+后一测试期间发现的缺陷个数）。</w:t>
      </w:r>
    </w:p>
    <w:p w14:paraId="33CFCC68">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1.6“试运行”：项目上线后进入试运行阶段，项目试运行至少3个月。在试运行期间，甲方随时将发现的逃逸的缺陷通知乙方，乙方在最快的时间内予以响应。</w:t>
      </w:r>
    </w:p>
    <w:p w14:paraId="57D2F2DD">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1.7“响应时间”：指乙方就甲方提出的问题予以答复的时间。</w:t>
      </w:r>
    </w:p>
    <w:p w14:paraId="338F7F41">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1C6D85C7">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6D78EF2F">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70B7A2F0">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BF97B91">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4467FA02">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5D8B1AA5">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03364DEB">
      <w:pPr>
        <w:keepNext w:val="0"/>
        <w:keepLines w:val="0"/>
        <w:pageBreakBefore w:val="0"/>
        <w:kinsoku/>
        <w:overflowPunct/>
        <w:topLinePunct w:val="0"/>
        <w:autoSpaceDE w:val="0"/>
        <w:autoSpaceDN w:val="0"/>
        <w:bidi w:val="0"/>
        <w:spacing w:line="360" w:lineRule="auto"/>
        <w:ind w:left="-2" w:leftChars="-1"/>
        <w:outlineLvl w:val="9"/>
        <w:rPr>
          <w:rFonts w:ascii="宋体"/>
          <w:szCs w:val="24"/>
          <w:highlight w:val="none"/>
        </w:rPr>
      </w:pPr>
      <w:r>
        <w:rPr>
          <w:rFonts w:hint="eastAsia" w:ascii="宋体"/>
          <w:szCs w:val="24"/>
          <w:highlight w:val="none"/>
        </w:rPr>
        <w:t>1.15“重大缺陷”：指严重缺陷和致命缺陷。</w:t>
      </w:r>
    </w:p>
    <w:p w14:paraId="34484246">
      <w:pPr>
        <w:keepNext w:val="0"/>
        <w:keepLines w:val="0"/>
        <w:pageBreakBefore w:val="0"/>
        <w:kinsoku/>
        <w:overflowPunct/>
        <w:topLinePunct w:val="0"/>
        <w:autoSpaceDE w:val="0"/>
        <w:autoSpaceDN w:val="0"/>
        <w:bidi w:val="0"/>
        <w:spacing w:line="360" w:lineRule="auto"/>
        <w:ind w:left="560" w:hanging="560" w:firstLineChars="0"/>
        <w:outlineLvl w:val="9"/>
        <w:rPr>
          <w:rFonts w:ascii="宋体"/>
          <w:highlight w:val="none"/>
        </w:rPr>
      </w:pPr>
    </w:p>
    <w:p w14:paraId="7E01ABB0">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34" w:name="_Toc63757458"/>
      <w:r>
        <w:rPr>
          <w:rFonts w:hint="eastAsia" w:ascii="宋体"/>
          <w:b/>
          <w:highlight w:val="none"/>
        </w:rPr>
        <w:t xml:space="preserve">第二条  </w:t>
      </w:r>
      <w:bookmarkStart w:id="235" w:name="_Toc58337493"/>
      <w:r>
        <w:rPr>
          <w:rFonts w:hint="eastAsia" w:ascii="宋体"/>
          <w:b/>
          <w:highlight w:val="none"/>
        </w:rPr>
        <w:t>外包开发内容</w:t>
      </w:r>
      <w:bookmarkEnd w:id="234"/>
      <w:bookmarkEnd w:id="235"/>
    </w:p>
    <w:p w14:paraId="31A3A77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2.1本项目系由甲方委托乙方负责实施。</w:t>
      </w:r>
    </w:p>
    <w:p w14:paraId="2E45BB1A">
      <w:pPr>
        <w:keepNext w:val="0"/>
        <w:keepLines w:val="0"/>
        <w:pageBreakBefore w:val="0"/>
        <w:kinsoku/>
        <w:overflowPunct/>
        <w:topLinePunct w:val="0"/>
        <w:autoSpaceDE w:val="0"/>
        <w:autoSpaceDN w:val="0"/>
        <w:bidi w:val="0"/>
        <w:spacing w:line="360" w:lineRule="auto"/>
        <w:outlineLvl w:val="9"/>
        <w:rPr>
          <w:rFonts w:ascii="宋体"/>
          <w:highlight w:val="none"/>
        </w:rPr>
      </w:pPr>
      <w:bookmarkStart w:id="236" w:name="_Toc58337494"/>
      <w:r>
        <w:rPr>
          <w:rFonts w:hint="eastAsia" w:ascii="宋体"/>
          <w:highlight w:val="none"/>
        </w:rPr>
        <w:t>2.2开发内容</w:t>
      </w:r>
      <w:bookmarkEnd w:id="236"/>
    </w:p>
    <w:p w14:paraId="2A0C7F12">
      <w:pPr>
        <w:keepNext w:val="0"/>
        <w:keepLines w:val="0"/>
        <w:pageBreakBefore w:val="0"/>
        <w:kinsoku/>
        <w:overflowPunct/>
        <w:topLinePunct w:val="0"/>
        <w:autoSpaceDE w:val="0"/>
        <w:autoSpaceDN w:val="0"/>
        <w:bidi w:val="0"/>
        <w:spacing w:line="360" w:lineRule="auto"/>
        <w:outlineLvl w:val="9"/>
        <w:rPr>
          <w:rFonts w:ascii="宋体"/>
          <w:color w:val="FF0000"/>
          <w:highlight w:val="none"/>
        </w:rPr>
      </w:pPr>
      <w:r>
        <w:rPr>
          <w:rFonts w:hint="eastAsia" w:ascii="宋体" w:eastAsia="宋体"/>
          <w:spacing w:val="0"/>
          <w:highlight w:val="none"/>
        </w:rPr>
        <w:t>详细内容参考附件一《工作（需求）说明书》，最终以附件一中双方约定的内容为准。</w:t>
      </w:r>
    </w:p>
    <w:p w14:paraId="2AAA9E31">
      <w:pPr>
        <w:keepNext w:val="0"/>
        <w:keepLines w:val="0"/>
        <w:pageBreakBefore w:val="0"/>
        <w:kinsoku/>
        <w:overflowPunct/>
        <w:topLinePunct w:val="0"/>
        <w:autoSpaceDE w:val="0"/>
        <w:autoSpaceDN w:val="0"/>
        <w:bidi w:val="0"/>
        <w:spacing w:line="360" w:lineRule="auto"/>
        <w:outlineLvl w:val="9"/>
        <w:rPr>
          <w:rFonts w:ascii="宋体"/>
          <w:highlight w:val="none"/>
        </w:rPr>
      </w:pPr>
      <w:bookmarkStart w:id="237" w:name="_Toc58337495"/>
      <w:r>
        <w:rPr>
          <w:rFonts w:hint="eastAsia" w:ascii="宋体"/>
          <w:highlight w:val="none"/>
        </w:rPr>
        <w:t>2.3技术指标和质量要求</w:t>
      </w:r>
      <w:bookmarkEnd w:id="237"/>
      <w:r>
        <w:rPr>
          <w:rFonts w:hint="eastAsia" w:ascii="宋体"/>
          <w:highlight w:val="none"/>
        </w:rPr>
        <w:t>。</w:t>
      </w:r>
    </w:p>
    <w:p w14:paraId="1D672824">
      <w:pPr>
        <w:keepNext w:val="0"/>
        <w:keepLines w:val="0"/>
        <w:pageBreakBefore w:val="0"/>
        <w:kinsoku/>
        <w:overflowPunct/>
        <w:topLinePunct w:val="0"/>
        <w:autoSpaceDE w:val="0"/>
        <w:autoSpaceDN w:val="0"/>
        <w:bidi w:val="0"/>
        <w:snapToGrid w:val="0"/>
        <w:outlineLvl w:val="9"/>
        <w:rPr>
          <w:rFonts w:ascii="宋体"/>
          <w:highlight w:val="none"/>
        </w:rPr>
      </w:pPr>
      <w:r>
        <w:rPr>
          <w:rFonts w:hint="eastAsia" w:ascii="宋体"/>
          <w:highlight w:val="none"/>
        </w:rPr>
        <w:t>见附件一、附件四。</w:t>
      </w:r>
    </w:p>
    <w:p w14:paraId="55072306">
      <w:pPr>
        <w:keepNext w:val="0"/>
        <w:keepLines w:val="0"/>
        <w:pageBreakBefore w:val="0"/>
        <w:kinsoku/>
        <w:overflowPunct/>
        <w:topLinePunct w:val="0"/>
        <w:autoSpaceDE w:val="0"/>
        <w:autoSpaceDN w:val="0"/>
        <w:bidi w:val="0"/>
        <w:spacing w:line="360" w:lineRule="auto"/>
        <w:outlineLvl w:val="9"/>
        <w:rPr>
          <w:rFonts w:ascii="宋体"/>
          <w:highlight w:val="none"/>
        </w:rPr>
      </w:pPr>
      <w:bookmarkStart w:id="238" w:name="_Toc58337496"/>
      <w:r>
        <w:rPr>
          <w:rFonts w:hint="eastAsia" w:ascii="宋体"/>
          <w:highlight w:val="none"/>
        </w:rPr>
        <w:t>2.4应当遵循的标准和规范</w:t>
      </w:r>
      <w:bookmarkEnd w:id="238"/>
      <w:r>
        <w:rPr>
          <w:rFonts w:hint="eastAsia" w:ascii="宋体"/>
          <w:highlight w:val="none"/>
        </w:rPr>
        <w:t>。</w:t>
      </w:r>
    </w:p>
    <w:p w14:paraId="04787306">
      <w:pPr>
        <w:keepNext w:val="0"/>
        <w:keepLines w:val="0"/>
        <w:pageBreakBefore w:val="0"/>
        <w:kinsoku/>
        <w:overflowPunct/>
        <w:topLinePunct w:val="0"/>
        <w:autoSpaceDE w:val="0"/>
        <w:autoSpaceDN w:val="0"/>
        <w:bidi w:val="0"/>
        <w:spacing w:line="360" w:lineRule="auto"/>
        <w:ind w:firstLine="420" w:firstLineChars="0"/>
        <w:outlineLvl w:val="9"/>
        <w:rPr>
          <w:rFonts w:ascii="宋体"/>
          <w:highlight w:val="none"/>
        </w:rPr>
      </w:pPr>
      <w:r>
        <w:rPr>
          <w:rFonts w:hint="eastAsia" w:ascii="宋体"/>
          <w:highlight w:val="none"/>
        </w:rPr>
        <w:t>乙方交付的</w:t>
      </w:r>
      <w:r>
        <w:rPr>
          <w:rFonts w:ascii="宋体"/>
          <w:color w:val="FF0000"/>
          <w:highlight w:val="none"/>
        </w:rPr>
        <w:t>第二代支付</w:t>
      </w:r>
      <w:r>
        <w:rPr>
          <w:rFonts w:hint="eastAsia" w:ascii="宋体"/>
          <w:highlight w:val="none"/>
        </w:rPr>
        <w:t>系统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26B67588">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39" w:name="_Toc63757459"/>
      <w:r>
        <w:rPr>
          <w:rFonts w:hint="eastAsia" w:ascii="宋体"/>
          <w:b/>
          <w:highlight w:val="none"/>
        </w:rPr>
        <w:t>第三条  项目履行的进度、期限、地点、地域、方式</w:t>
      </w:r>
      <w:bookmarkEnd w:id="239"/>
    </w:p>
    <w:p w14:paraId="53AB60D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highlight w:val="none"/>
        </w:rPr>
        <w:t>替换人员技术水平或级别需不低于</w:t>
      </w:r>
      <w:r>
        <w:rPr>
          <w:rFonts w:hint="eastAsia" w:ascii="宋体"/>
          <w:highlight w:val="none"/>
        </w:rPr>
        <w:t>被替换的人员</w:t>
      </w:r>
      <w:r>
        <w:rPr>
          <w:rFonts w:hint="eastAsia" w:ascii="宋体"/>
          <w:kern w:val="0"/>
          <w:highlight w:val="none"/>
        </w:rPr>
        <w:t>水平或级别</w:t>
      </w:r>
      <w:r>
        <w:rPr>
          <w:rFonts w:hint="eastAsia" w:ascii="宋体"/>
          <w:highlight w:val="none"/>
        </w:rPr>
        <w:t>，并需通过甲方考察并取得甲方同意，否则甲方有权要求更换。</w:t>
      </w:r>
    </w:p>
    <w:p w14:paraId="74A3C0B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3.2进度：乙方应严格按照3.3所列示的期限完成项目实施任务。</w:t>
      </w:r>
    </w:p>
    <w:p w14:paraId="557670C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3.3期限：上线时间为    年    月     日前</w:t>
      </w:r>
    </w:p>
    <w:p w14:paraId="4E99B3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3.4地点：乙方完成项目实施工作的地点为：</w:t>
      </w:r>
      <w:r>
        <w:rPr>
          <w:rFonts w:hint="eastAsia" w:ascii="宋体"/>
          <w:highlight w:val="none"/>
          <w:u w:val="single"/>
        </w:rPr>
        <w:t>重庆</w:t>
      </w:r>
      <w:r>
        <w:rPr>
          <w:rFonts w:hint="eastAsia" w:ascii="宋体"/>
          <w:highlight w:val="none"/>
        </w:rPr>
        <w:t>；【驻场】实施。</w:t>
      </w:r>
    </w:p>
    <w:p w14:paraId="1F6F233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 xml:space="preserve">3.5地域：本项目适用机构所在地域包括： </w:t>
      </w:r>
      <w:r>
        <w:rPr>
          <w:rFonts w:hint="eastAsia" w:ascii="宋体"/>
          <w:highlight w:val="none"/>
          <w:u w:val="single"/>
        </w:rPr>
        <w:t xml:space="preserve">重庆三峡银行总行各部门及辖内各经营机构 </w:t>
      </w:r>
      <w:r>
        <w:rPr>
          <w:rFonts w:hint="eastAsia" w:ascii="宋体"/>
          <w:highlight w:val="none"/>
        </w:rPr>
        <w:t>。</w:t>
      </w:r>
    </w:p>
    <w:p w14:paraId="31116CF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3.6方式：</w:t>
      </w:r>
    </w:p>
    <w:p w14:paraId="7716521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AAE5F1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086A5713">
      <w:pPr>
        <w:keepNext w:val="0"/>
        <w:keepLines w:val="0"/>
        <w:pageBreakBefore w:val="0"/>
        <w:kinsoku/>
        <w:overflowPunct/>
        <w:topLinePunct w:val="0"/>
        <w:autoSpaceDE w:val="0"/>
        <w:autoSpaceDN w:val="0"/>
        <w:bidi w:val="0"/>
        <w:spacing w:line="360" w:lineRule="auto"/>
        <w:ind w:left="945" w:leftChars="200" w:hanging="525" w:hangingChars="250"/>
        <w:outlineLvl w:val="9"/>
        <w:rPr>
          <w:rFonts w:ascii="宋体"/>
          <w:highlight w:val="none"/>
        </w:rPr>
      </w:pPr>
    </w:p>
    <w:p w14:paraId="01B4B63C">
      <w:pPr>
        <w:keepNext w:val="0"/>
        <w:keepLines w:val="0"/>
        <w:pageBreakBefore w:val="0"/>
        <w:kinsoku/>
        <w:overflowPunct/>
        <w:topLinePunct w:val="0"/>
        <w:autoSpaceDE w:val="0"/>
        <w:autoSpaceDN w:val="0"/>
        <w:bidi w:val="0"/>
        <w:spacing w:line="360" w:lineRule="auto"/>
        <w:ind w:firstLine="413" w:firstLineChars="196"/>
        <w:outlineLvl w:val="9"/>
        <w:rPr>
          <w:highlight w:val="none"/>
        </w:rPr>
      </w:pPr>
      <w:bookmarkStart w:id="240" w:name="_Toc63757460"/>
      <w:r>
        <w:rPr>
          <w:rFonts w:hint="eastAsia" w:ascii="宋体"/>
          <w:b/>
          <w:highlight w:val="none"/>
        </w:rPr>
        <w:t>第四条  方案调整</w:t>
      </w:r>
      <w:bookmarkEnd w:id="240"/>
      <w:r>
        <w:rPr>
          <w:rFonts w:hint="eastAsia"/>
          <w:highlight w:val="none"/>
        </w:rPr>
        <w:t xml:space="preserve"> </w:t>
      </w:r>
    </w:p>
    <w:p w14:paraId="51CB065F">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4.1因甲方原因提出导致增加【</w:t>
      </w:r>
      <w:r>
        <w:rPr>
          <w:rStyle w:val="42"/>
          <w:rFonts w:ascii="宋体"/>
          <w:kern w:val="0"/>
          <w:highlight w:val="none"/>
        </w:rPr>
        <w:t>1</w:t>
      </w:r>
      <w:r>
        <w:rPr>
          <w:rStyle w:val="42"/>
          <w:rFonts w:hint="eastAsia" w:ascii="宋体"/>
          <w:kern w:val="0"/>
          <w:highlight w:val="none"/>
        </w:rPr>
        <w:t>】∕人∕月以上工作量的需求变更，</w:t>
      </w:r>
      <w:r>
        <w:rPr>
          <w:rFonts w:hint="eastAsia" w:ascii="宋体"/>
          <w:highlight w:val="none"/>
        </w:rPr>
        <w:t>须通知乙方并由乙方确认</w:t>
      </w:r>
      <w:r>
        <w:rPr>
          <w:rStyle w:val="42"/>
          <w:rFonts w:hint="eastAsia" w:ascii="宋体"/>
          <w:kern w:val="0"/>
          <w:highlight w:val="none"/>
        </w:rPr>
        <w:t>，对此</w:t>
      </w:r>
      <w:r>
        <w:rPr>
          <w:rFonts w:hint="eastAsia" w:ascii="宋体"/>
          <w:highlight w:val="none"/>
        </w:rPr>
        <w:t>变更给乙方带来的额外劳动部分甲乙双方协商解决，由此变更导致项目进度延期不构成违约。但4.2款确认的，由乙方原因引起的工作量，甲方无需承担任何费用。</w:t>
      </w:r>
    </w:p>
    <w:p w14:paraId="2E4888A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4.2 方案一经双方确认，任何一方有方案调整意见，均需与对方签字确认。</w:t>
      </w:r>
    </w:p>
    <w:p w14:paraId="7BE2D392">
      <w:pPr>
        <w:keepNext w:val="0"/>
        <w:keepLines w:val="0"/>
        <w:pageBreakBefore w:val="0"/>
        <w:kinsoku/>
        <w:overflowPunct/>
        <w:topLinePunct w:val="0"/>
        <w:autoSpaceDE w:val="0"/>
        <w:autoSpaceDN w:val="0"/>
        <w:bidi w:val="0"/>
        <w:spacing w:line="360" w:lineRule="auto"/>
        <w:ind w:left="420"/>
        <w:outlineLvl w:val="9"/>
        <w:rPr>
          <w:rFonts w:ascii="宋体"/>
          <w:highlight w:val="none"/>
        </w:rPr>
      </w:pPr>
    </w:p>
    <w:p w14:paraId="52DD4C28">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1" w:name="_Toc63757461"/>
      <w:r>
        <w:rPr>
          <w:rFonts w:hint="eastAsia" w:ascii="宋体"/>
          <w:b/>
          <w:highlight w:val="none"/>
        </w:rPr>
        <w:t>第五条  项目验收</w:t>
      </w:r>
      <w:bookmarkEnd w:id="241"/>
    </w:p>
    <w:p w14:paraId="2ED86134">
      <w:pPr>
        <w:pStyle w:val="12"/>
        <w:keepNext w:val="0"/>
        <w:keepLines w:val="0"/>
        <w:pageBreakBefore w:val="0"/>
        <w:kinsoku/>
        <w:overflowPunct/>
        <w:topLinePunct w:val="0"/>
        <w:autoSpaceDE w:val="0"/>
        <w:autoSpaceDN w:val="0"/>
        <w:bidi w:val="0"/>
        <w:spacing w:before="0" w:line="360" w:lineRule="auto"/>
        <w:ind w:left="0" w:leftChars="0"/>
        <w:outlineLvl w:val="9"/>
        <w:rPr>
          <w:rFonts w:ascii="宋体"/>
          <w:kern w:val="0"/>
          <w:highlight w:val="none"/>
        </w:rPr>
      </w:pPr>
      <w:r>
        <w:rPr>
          <w:rFonts w:hint="eastAsia" w:ascii="宋体"/>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bCs/>
          <w:kern w:val="0"/>
          <w:highlight w:val="none"/>
        </w:rPr>
        <w:t>本合同中的产品出现的任何问题，乙方应及时解决，保证试运行期间的稳定运行，试运行期间若出现</w:t>
      </w:r>
      <w:r>
        <w:rPr>
          <w:rFonts w:hint="eastAsia" w:ascii="宋体" w:cs="宋体"/>
          <w:bCs/>
          <w:kern w:val="0"/>
          <w:highlight w:val="none"/>
        </w:rPr>
        <w:t>较大运营中断事件（III级）及以上，乙方应予以立即解决，从出现中断事件至排除故障或解决问题期间的时间不计入试运行期，系统验收时间向后顺延。</w:t>
      </w:r>
      <w:r>
        <w:rPr>
          <w:rFonts w:hint="eastAsia" w:ascii="宋体"/>
          <w:kern w:val="0"/>
          <w:highlight w:val="none"/>
        </w:rPr>
        <w:t>在符合甲方项目预期目标且试运行满</w:t>
      </w:r>
      <w:r>
        <w:rPr>
          <w:rFonts w:hint="eastAsia" w:ascii="宋体"/>
          <w:kern w:val="0"/>
          <w:highlight w:val="none"/>
          <w:u w:val="single"/>
        </w:rPr>
        <w:t>三个月</w:t>
      </w:r>
      <w:r>
        <w:rPr>
          <w:rFonts w:hint="eastAsia" w:ascii="宋体"/>
          <w:kern w:val="0"/>
          <w:highlight w:val="none"/>
        </w:rPr>
        <w:t>后，由甲方按照合同约定进行正式验收，验收通过后签署验收表或验收报告。</w:t>
      </w:r>
    </w:p>
    <w:p w14:paraId="78FCD21C">
      <w:pPr>
        <w:pStyle w:val="12"/>
        <w:keepNext w:val="0"/>
        <w:keepLines w:val="0"/>
        <w:pageBreakBefore w:val="0"/>
        <w:kinsoku/>
        <w:overflowPunct/>
        <w:topLinePunct w:val="0"/>
        <w:autoSpaceDE w:val="0"/>
        <w:autoSpaceDN w:val="0"/>
        <w:bidi w:val="0"/>
        <w:spacing w:before="0" w:line="360" w:lineRule="auto"/>
        <w:ind w:left="0" w:leftChars="0"/>
        <w:outlineLvl w:val="9"/>
        <w:rPr>
          <w:rFonts w:ascii="宋体"/>
          <w:kern w:val="0"/>
          <w:highlight w:val="none"/>
        </w:rPr>
      </w:pPr>
      <w:r>
        <w:rPr>
          <w:rFonts w:hint="eastAsia" w:ascii="宋体"/>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3DACFC61">
      <w:pPr>
        <w:pStyle w:val="12"/>
        <w:keepNext w:val="0"/>
        <w:keepLines w:val="0"/>
        <w:pageBreakBefore w:val="0"/>
        <w:kinsoku/>
        <w:overflowPunct/>
        <w:topLinePunct w:val="0"/>
        <w:autoSpaceDE w:val="0"/>
        <w:autoSpaceDN w:val="0"/>
        <w:bidi w:val="0"/>
        <w:spacing w:before="0" w:line="360" w:lineRule="auto"/>
        <w:ind w:left="0" w:leftChars="0"/>
        <w:outlineLvl w:val="9"/>
        <w:rPr>
          <w:rStyle w:val="42"/>
          <w:rFonts w:ascii="宋体"/>
          <w:kern w:val="0"/>
          <w:highlight w:val="none"/>
        </w:rPr>
      </w:pPr>
    </w:p>
    <w:p w14:paraId="56B15467">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2" w:name="_Toc63757462"/>
      <w:r>
        <w:rPr>
          <w:rFonts w:hint="eastAsia" w:ascii="宋体"/>
          <w:b/>
          <w:highlight w:val="none"/>
        </w:rPr>
        <w:t>第六条  交付使用后维护期、系统完善和保修维护服务</w:t>
      </w:r>
      <w:bookmarkEnd w:id="242"/>
    </w:p>
    <w:p w14:paraId="4551F176">
      <w:pPr>
        <w:keepNext w:val="0"/>
        <w:keepLines w:val="0"/>
        <w:pageBreakBefore w:val="0"/>
        <w:tabs>
          <w:tab w:val="left" w:pos="851"/>
        </w:tabs>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6.1本合同金额包含【1】年维护，维护期为自本产品</w:t>
      </w:r>
      <w:r>
        <w:rPr>
          <w:rFonts w:hint="eastAsia" w:ascii="宋体"/>
          <w:kern w:val="0"/>
          <w:highlight w:val="none"/>
        </w:rPr>
        <w:t>正式</w:t>
      </w:r>
      <w:r>
        <w:rPr>
          <w:rFonts w:hint="eastAsia" w:ascii="宋体"/>
          <w:highlight w:val="none"/>
        </w:rPr>
        <w:t>验收合格后次日至次年并延期至6月30日或12月31日中较近日期（即维保延期最长不超过半年）。维保范围包括原系统（第二代支付系统）的原有部分和本项目新增部分的内容，即整个“第二代支付系统”所有内容。</w:t>
      </w:r>
    </w:p>
    <w:p w14:paraId="4F3CDA34">
      <w:pPr>
        <w:keepNext w:val="0"/>
        <w:keepLines w:val="0"/>
        <w:pageBreakBefore w:val="0"/>
        <w:tabs>
          <w:tab w:val="left" w:pos="851"/>
        </w:tabs>
        <w:kinsoku/>
        <w:overflowPunct/>
        <w:topLinePunct w:val="0"/>
        <w:autoSpaceDE w:val="0"/>
        <w:autoSpaceDN w:val="0"/>
        <w:bidi w:val="0"/>
        <w:spacing w:line="360" w:lineRule="auto"/>
        <w:outlineLvl w:val="9"/>
        <w:rPr>
          <w:rFonts w:ascii="宋体"/>
          <w:highlight w:val="none"/>
        </w:rPr>
      </w:pPr>
      <w:r>
        <w:rPr>
          <w:rFonts w:hint="eastAsia" w:ascii="宋体"/>
          <w:highlight w:val="none"/>
        </w:rPr>
        <w:t>6.2本合同产品的有偿技术服务期为本合同第6.1条约定的维护期到期之日起</w:t>
      </w:r>
      <w:r>
        <w:rPr>
          <w:rFonts w:hint="eastAsia" w:ascii="宋体"/>
          <w:highlight w:val="none"/>
          <w:u w:val="single"/>
        </w:rPr>
        <w:t>10</w:t>
      </w:r>
      <w:r>
        <w:rPr>
          <w:rFonts w:hint="eastAsia" w:ascii="宋体"/>
          <w:highlight w:val="none"/>
        </w:rPr>
        <w:t>年。本项目产品服务期内（包括本合同第6.1条约定的维护期与有偿技术服务期）如甲方对照附件一发现项目存在技术缺陷和隐蔽瑕疵，乙方应负责予以解决并应承担相应法律责任。</w:t>
      </w:r>
    </w:p>
    <w:p w14:paraId="46EFA52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685F182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6.4本合同第6.1条约定的维护期与有偿技术服务期内，服务内容和服务方式详见附件四《维护服务条款》。</w:t>
      </w:r>
    </w:p>
    <w:p w14:paraId="4700A3B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6.5上述服务，不包括由下列事件引起的故障：</w:t>
      </w:r>
    </w:p>
    <w:p w14:paraId="24C0351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6.5.1 未能为系统提供适当的外部环境-如必要的系统环境、必要的管理体系、未能按照乙方要求配备资源等。</w:t>
      </w:r>
    </w:p>
    <w:p w14:paraId="5B8A79F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6.5.2 使用并非由乙方提供的产品或服务。</w:t>
      </w:r>
    </w:p>
    <w:p w14:paraId="0875A1F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highlight w:val="none"/>
          <w:u w:val="single"/>
        </w:rPr>
        <w:t xml:space="preserve"> 3 </w:t>
      </w:r>
      <w:r>
        <w:rPr>
          <w:rFonts w:hint="eastAsia" w:ascii="宋体"/>
          <w:highlight w:val="none"/>
        </w:rPr>
        <w:t>日内不到甲方现场进行检修，或在收到甲方通知后</w:t>
      </w:r>
      <w:r>
        <w:rPr>
          <w:rFonts w:hint="eastAsia" w:ascii="宋体"/>
          <w:highlight w:val="none"/>
          <w:u w:val="single"/>
        </w:rPr>
        <w:t xml:space="preserve"> 10 </w:t>
      </w:r>
      <w:r>
        <w:rPr>
          <w:rFonts w:hint="eastAsia" w:ascii="宋体"/>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103A752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w:t>
      </w:r>
      <w:r>
        <w:rPr>
          <w:rStyle w:val="42"/>
          <w:rFonts w:hint="eastAsia" w:ascii="宋体"/>
          <w:kern w:val="0"/>
          <w:highlight w:val="none"/>
        </w:rPr>
        <w:t>.7</w:t>
      </w:r>
      <w:r>
        <w:rPr>
          <w:rFonts w:hint="eastAsia" w:ascii="宋体"/>
          <w:highlight w:val="none"/>
        </w:rPr>
        <w:t>维护期结束后的</w:t>
      </w:r>
      <w:r>
        <w:rPr>
          <w:rFonts w:hint="eastAsia" w:ascii="宋体"/>
          <w:highlight w:val="none"/>
          <w:u w:val="single"/>
        </w:rPr>
        <w:t>10年</w:t>
      </w:r>
      <w:r>
        <w:rPr>
          <w:rFonts w:hint="eastAsia" w:ascii="宋体"/>
          <w:highlight w:val="none"/>
        </w:rPr>
        <w:t>有偿技术服务期内，</w:t>
      </w:r>
      <w:r>
        <w:rPr>
          <w:rStyle w:val="42"/>
          <w:rFonts w:hint="eastAsia" w:ascii="宋体"/>
          <w:kern w:val="0"/>
          <w:highlight w:val="none"/>
        </w:rPr>
        <w:t>如</w:t>
      </w:r>
      <w:r>
        <w:rPr>
          <w:rFonts w:hint="eastAsia" w:ascii="宋体"/>
          <w:highlight w:val="none"/>
        </w:rPr>
        <w:t>甲方需要乙方提供维护服务,乙方应予提供。双方确认，甲方有权选择是否购买维护服务，乙方无权要求甲方对未使用维护服务的期间支付费用。</w:t>
      </w:r>
    </w:p>
    <w:p w14:paraId="4D6C7B9A">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6.8本合同并非维护期结束后的维护服务合同，有偿技术服务的合同由双方另行签订。</w:t>
      </w:r>
    </w:p>
    <w:p w14:paraId="06D826BF">
      <w:pPr>
        <w:keepNext w:val="0"/>
        <w:keepLines w:val="0"/>
        <w:pageBreakBefore w:val="0"/>
        <w:kinsoku/>
        <w:overflowPunct/>
        <w:topLinePunct w:val="0"/>
        <w:autoSpaceDE w:val="0"/>
        <w:autoSpaceDN w:val="0"/>
        <w:bidi w:val="0"/>
        <w:spacing w:line="360" w:lineRule="auto"/>
        <w:ind w:left="560" w:hanging="560" w:firstLineChars="0"/>
        <w:outlineLvl w:val="9"/>
        <w:rPr>
          <w:rFonts w:ascii="宋体"/>
          <w:highlight w:val="none"/>
        </w:rPr>
      </w:pPr>
    </w:p>
    <w:p w14:paraId="4D08A89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3" w:name="_Toc63757463"/>
      <w:r>
        <w:rPr>
          <w:rFonts w:hint="eastAsia" w:ascii="宋体"/>
          <w:b/>
          <w:highlight w:val="none"/>
        </w:rPr>
        <w:t>第七条  技术辅导与培训</w:t>
      </w:r>
      <w:bookmarkEnd w:id="243"/>
    </w:p>
    <w:p w14:paraId="27B78926">
      <w:pPr>
        <w:pStyle w:val="15"/>
        <w:keepNext w:val="0"/>
        <w:keepLines w:val="0"/>
        <w:pageBreakBefore w:val="0"/>
        <w:kinsoku/>
        <w:overflowPunct/>
        <w:topLinePunct w:val="0"/>
        <w:autoSpaceDE w:val="0"/>
        <w:autoSpaceDN w:val="0"/>
        <w:bidi w:val="0"/>
        <w:spacing w:before="0" w:line="360" w:lineRule="auto"/>
        <w:ind w:firstLine="560" w:firstLineChars="0"/>
        <w:outlineLvl w:val="9"/>
        <w:rPr>
          <w:rFonts w:ascii="宋体"/>
          <w:highlight w:val="none"/>
        </w:rPr>
      </w:pPr>
      <w:r>
        <w:rPr>
          <w:rFonts w:hint="eastAsia" w:ascii="宋体"/>
          <w:highlight w:val="none"/>
        </w:rPr>
        <w:t>乙方应负责向甲方提供技术辅导与培训，以使甲方人员熟练掌握该项目产品的应用和日常维护。培训内容包括：XXXXXXX</w:t>
      </w:r>
    </w:p>
    <w:p w14:paraId="54950BD9">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r>
        <w:rPr>
          <w:rFonts w:hint="eastAsia" w:ascii="宋体"/>
          <w:highlight w:val="none"/>
        </w:rPr>
        <w:t>具体培训内容由双方共同商定，并由甲方项目经理签字确认。</w:t>
      </w:r>
    </w:p>
    <w:p w14:paraId="03CD1DCC">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p>
    <w:p w14:paraId="2BEA45B3">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4" w:name="_Toc63757464"/>
      <w:r>
        <w:rPr>
          <w:rFonts w:hint="eastAsia" w:ascii="宋体"/>
          <w:b/>
          <w:highlight w:val="none"/>
        </w:rPr>
        <w:t>第八条  双方的权利、义务</w:t>
      </w:r>
      <w:bookmarkEnd w:id="244"/>
    </w:p>
    <w:p w14:paraId="2C45449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8.1除本合同其他条款外，甲方应承担如下义务：</w:t>
      </w:r>
    </w:p>
    <w:p w14:paraId="0113239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8.1.1 按照本合同第十三条的规定向乙方支付报酬。</w:t>
      </w:r>
    </w:p>
    <w:p w14:paraId="5E7DA96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8.1.2 向乙方提供本合同约定的业务协作：如参与各方的资源协调与进度管理、商务保障、项目环境保障等，确保参与各方按期、按质协同工作。</w:t>
      </w:r>
    </w:p>
    <w:p w14:paraId="41B129B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8.1.3 指派一名项目主要负责人参加甲、乙双方为本项目召开的会议并协调相关工作和签署有关文件。</w:t>
      </w:r>
    </w:p>
    <w:p w14:paraId="3F2A518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8.1.4 甲方为乙方解决现场人员正常开展工作的开发测试系统环境和场地。</w:t>
      </w:r>
    </w:p>
    <w:p w14:paraId="64012CC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8.2除本合同其他条款外，乙方应承担如下义务：</w:t>
      </w:r>
    </w:p>
    <w:p w14:paraId="01384EB8">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8.2.1 遵守法律法规及银行业金融机构内部管理制度及规定，贯彻执行相关监管政策。</w:t>
      </w:r>
    </w:p>
    <w:p w14:paraId="334EB8F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36617DE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8.2.3 负责在甲方的环境内安装并调试实施项目。</w:t>
      </w:r>
    </w:p>
    <w:p w14:paraId="2B02A81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8.2.4 指派一名项目主要负责人参加甲、乙双方为本项目召开的会议并协调相关工作和签署有关文件。</w:t>
      </w:r>
    </w:p>
    <w:p w14:paraId="6571845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8.2.5 指派独立于开发团队的测试人员负责项目系统测试，并承诺按照甲方质量管理要求完成项目系统测试、性能测试、安全测试等。</w:t>
      </w:r>
    </w:p>
    <w:p w14:paraId="0436374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8.2.6 按照本合同的约定向甲方提供相关技术资料并提供技术指导。</w:t>
      </w:r>
    </w:p>
    <w:p w14:paraId="1A89E47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8.2.7乙方需为甲方提供持续的项目风险识别和控制措施，并按甲方要求提供公司财务分析报告、项目进度报告以及重大事项报告等。</w:t>
      </w:r>
    </w:p>
    <w:p w14:paraId="07D9ED8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3ED63BC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8.2.9 乙方应针对服务内容为甲方制定业务连续性计划和应急计划并维护好相关资源，在服务质量不能满足合同要求时，甲方具有优先获取服务资源的权利。</w:t>
      </w:r>
    </w:p>
    <w:p w14:paraId="0AE3E1D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8.2.10 乙方应当自己完成本合同项下的开发、测试或维护等工作，而不得分包给任何第三方，也不得进行转包或变相转包。</w:t>
      </w:r>
    </w:p>
    <w:p w14:paraId="0AAFAD7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 xml:space="preserve">8.2.11 </w:t>
      </w:r>
      <w:r>
        <w:rPr>
          <w:rFonts w:hint="eastAsia" w:ascii="宋体"/>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0A79C64B">
      <w:pPr>
        <w:keepNext w:val="0"/>
        <w:keepLines w:val="0"/>
        <w:pageBreakBefore w:val="0"/>
        <w:kinsoku/>
        <w:overflowPunct/>
        <w:topLinePunct w:val="0"/>
        <w:autoSpaceDE w:val="0"/>
        <w:autoSpaceDN w:val="0"/>
        <w:bidi w:val="0"/>
        <w:spacing w:line="360" w:lineRule="auto"/>
        <w:outlineLvl w:val="9"/>
        <w:rPr>
          <w:rFonts w:ascii="宋体"/>
          <w:highlight w:val="none"/>
        </w:rPr>
      </w:pPr>
    </w:p>
    <w:p w14:paraId="1751DC15">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5" w:name="_Toc63757465"/>
      <w:r>
        <w:rPr>
          <w:rFonts w:hint="eastAsia" w:ascii="宋体"/>
          <w:b/>
          <w:highlight w:val="none"/>
        </w:rPr>
        <w:t>第九条  乙方的声明与保证</w:t>
      </w:r>
      <w:bookmarkEnd w:id="245"/>
    </w:p>
    <w:p w14:paraId="635CFBA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乙方向甲方做出如下声明与保证：</w:t>
      </w:r>
    </w:p>
    <w:p w14:paraId="3C62928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9.1乙方完全具有本合同项下项目实施的技术资质与实力，包括开发技术人员、硬件设施等。</w:t>
      </w:r>
    </w:p>
    <w:p w14:paraId="79DA799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9.2乙方已对照本合同附件一中甲方确认的需求，确认乙方的设计方案已经涵盖了设计需求的各方面，并且乙方实施的产品是先进的、适用的、兼容的，能够满足甲方核心业务扩展的需求。</w:t>
      </w:r>
    </w:p>
    <w:p w14:paraId="2589A160">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9.3乙方在本项目中【使用/未使用】第三方</w:t>
      </w:r>
      <w:r>
        <w:rPr>
          <w:rStyle w:val="42"/>
          <w:rFonts w:ascii="宋体"/>
          <w:kern w:val="0"/>
          <w:highlight w:val="none"/>
        </w:rPr>
        <w:t>产品</w:t>
      </w:r>
      <w:r>
        <w:rPr>
          <w:rStyle w:val="42"/>
          <w:rFonts w:hint="eastAsia" w:ascii="宋体"/>
          <w:kern w:val="0"/>
          <w:highlight w:val="none"/>
        </w:rPr>
        <w:t>，</w:t>
      </w:r>
      <w:r>
        <w:rPr>
          <w:rStyle w:val="42"/>
          <w:rFonts w:ascii="宋体"/>
          <w:kern w:val="0"/>
          <w:highlight w:val="none"/>
        </w:rPr>
        <w:t>包括第三方</w:t>
      </w:r>
      <w:r>
        <w:rPr>
          <w:rStyle w:val="42"/>
          <w:rFonts w:hint="eastAsia" w:ascii="宋体"/>
          <w:kern w:val="0"/>
          <w:highlight w:val="none"/>
        </w:rPr>
        <w:t>SDK、小程序、软件、开源组件等，（若选择【使用】请列举）例：第三方SDK：XXXX、XXX；第三方小程序：XXX等。</w:t>
      </w:r>
      <w:r>
        <w:rPr>
          <w:rFonts w:hint="eastAsia" w:ascii="宋体"/>
          <w:highlight w:val="none"/>
        </w:rPr>
        <w:t>若乙方在项目中使用了第三方产品，乙方须按如下要求执行：</w:t>
      </w:r>
    </w:p>
    <w:p w14:paraId="0CF7757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（1）针对第三方SDK：乙方应开展安全评估和个人信息保护评估，并提供无中高风险的评估报告；</w:t>
      </w:r>
    </w:p>
    <w:p w14:paraId="3DD0B91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（2）针对第三方小程序：乙方应开展安全评估，并提供无中高风险漏洞的安全评估报告。</w:t>
      </w:r>
    </w:p>
    <w:p w14:paraId="1A7367A9">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Fonts w:hint="eastAsia" w:ascii="宋体"/>
          <w:highlight w:val="none"/>
        </w:rPr>
        <w:t>（</w:t>
      </w:r>
      <w:r>
        <w:rPr>
          <w:rFonts w:ascii="宋体"/>
          <w:highlight w:val="none"/>
        </w:rPr>
        <w:t>3</w:t>
      </w:r>
      <w:r>
        <w:rPr>
          <w:rFonts w:hint="eastAsia" w:ascii="宋体"/>
          <w:highlight w:val="none"/>
        </w:rPr>
        <w:t>）若</w:t>
      </w:r>
      <w:r>
        <w:rPr>
          <w:rStyle w:val="42"/>
          <w:rFonts w:hint="eastAsia" w:ascii="宋体"/>
          <w:kern w:val="0"/>
          <w:highlight w:val="none"/>
        </w:rPr>
        <w:t>第三方产品出现安全漏洞</w:t>
      </w:r>
      <w:r>
        <w:rPr>
          <w:rFonts w:hint="eastAsia" w:ascii="宋体"/>
          <w:highlight w:val="none"/>
        </w:rPr>
        <w:t>或违反个人信息保护相关法规，</w:t>
      </w:r>
      <w:r>
        <w:rPr>
          <w:rStyle w:val="42"/>
          <w:rFonts w:hint="eastAsia" w:ascii="宋体"/>
          <w:kern w:val="0"/>
          <w:highlight w:val="none"/>
        </w:rPr>
        <w:t>甲方有权要求乙方进行修复，若因此给甲方造成损失的，甲方有权随时向乙方追偿。</w:t>
      </w:r>
    </w:p>
    <w:p w14:paraId="63894B55">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9</w:t>
      </w:r>
      <w:r>
        <w:rPr>
          <w:rStyle w:val="42"/>
          <w:rFonts w:ascii="宋体"/>
          <w:kern w:val="0"/>
          <w:highlight w:val="none"/>
        </w:rPr>
        <w:t>.4</w:t>
      </w:r>
      <w:r>
        <w:rPr>
          <w:rStyle w:val="42"/>
          <w:rFonts w:hint="eastAsia" w:ascii="宋体"/>
          <w:kern w:val="0"/>
          <w:highlight w:val="none"/>
        </w:rPr>
        <w:t>乙方保证向甲方提供的项目产品（含第三方产品）的安全性、合规性，保证无恶意脚本、后门及恶意漏洞，不携带任何病毒，不越权收集、处理客户信息。</w:t>
      </w:r>
    </w:p>
    <w:p w14:paraId="28994A6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9.5乙方向甲方提供的产品和服务不会有任何第三方主张权利，也不会侵害任何第三方的合法权益，包括知识产权。</w:t>
      </w:r>
    </w:p>
    <w:p w14:paraId="577E051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w:t>
      </w:r>
      <w:r>
        <w:rPr>
          <w:rFonts w:ascii="宋体"/>
          <w:highlight w:val="none"/>
        </w:rPr>
        <w:t>6</w:t>
      </w:r>
      <w:r>
        <w:rPr>
          <w:rFonts w:hint="eastAsia" w:ascii="宋体"/>
          <w:highlight w:val="none"/>
        </w:rPr>
        <w:t>乙方保证遵守甲方《重庆三峡银行员工回避管理办法》中招录回避、任职回避、公务回避的相关要求。若发现乙方人员与甲方内部人员存在亲属关系，乙方应主动报告，并采取相应回避措施。</w:t>
      </w:r>
    </w:p>
    <w:p w14:paraId="7237913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w:t>
      </w:r>
      <w:r>
        <w:rPr>
          <w:rFonts w:ascii="宋体"/>
          <w:highlight w:val="none"/>
        </w:rPr>
        <w:t>7</w:t>
      </w:r>
      <w:r>
        <w:rPr>
          <w:rFonts w:hint="eastAsia" w:ascii="宋体"/>
          <w:highlight w:val="none"/>
        </w:rPr>
        <w:t xml:space="preserve"> 乙方保证其人员无不良记录，服务商与其建立合法的雇佣关系，依法履行用工管理职责。</w:t>
      </w:r>
    </w:p>
    <w:p w14:paraId="494B611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w:t>
      </w:r>
      <w:r>
        <w:rPr>
          <w:rFonts w:ascii="宋体"/>
          <w:highlight w:val="none"/>
        </w:rPr>
        <w:t>8</w:t>
      </w:r>
      <w:r>
        <w:rPr>
          <w:rFonts w:hint="eastAsia" w:ascii="宋体"/>
          <w:highlight w:val="none"/>
        </w:rPr>
        <w:t xml:space="preserve"> 乙方定期通报外包事项，及时通报外包突发性事件及解决情况。</w:t>
      </w:r>
    </w:p>
    <w:p w14:paraId="5FEE4184">
      <w:pPr>
        <w:keepNext w:val="0"/>
        <w:keepLines w:val="0"/>
        <w:pageBreakBefore w:val="0"/>
        <w:kinsoku/>
        <w:overflowPunct/>
        <w:topLinePunct w:val="0"/>
        <w:autoSpaceDE w:val="0"/>
        <w:autoSpaceDN w:val="0"/>
        <w:bidi w:val="0"/>
        <w:spacing w:line="360" w:lineRule="auto"/>
        <w:ind w:left="560" w:hanging="560" w:firstLineChars="0"/>
        <w:outlineLvl w:val="9"/>
        <w:rPr>
          <w:rFonts w:ascii="宋体"/>
          <w:highlight w:val="none"/>
        </w:rPr>
      </w:pPr>
    </w:p>
    <w:p w14:paraId="6431AEB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6" w:name="_Toc63757466"/>
      <w:r>
        <w:rPr>
          <w:rFonts w:hint="eastAsia" w:ascii="宋体"/>
          <w:b/>
          <w:highlight w:val="none"/>
        </w:rPr>
        <w:t>第十条  知识产权</w:t>
      </w:r>
      <w:bookmarkEnd w:id="246"/>
    </w:p>
    <w:p w14:paraId="41747248">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465637F8">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Fonts w:ascii="宋体"/>
          <w:highlight w:val="none"/>
        </w:rPr>
        <w:t>10</w:t>
      </w:r>
      <w:r>
        <w:rPr>
          <w:rFonts w:hint="eastAsia" w:ascii="宋体"/>
          <w:highlight w:val="none"/>
        </w:rPr>
        <w:t>.</w:t>
      </w:r>
      <w:r>
        <w:rPr>
          <w:rFonts w:ascii="宋体"/>
          <w:highlight w:val="none"/>
        </w:rPr>
        <w:t xml:space="preserve">2 </w:t>
      </w:r>
      <w:r>
        <w:rPr>
          <w:rFonts w:hint="eastAsia" w:ascii="宋体"/>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ADFDFAD">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Fonts w:hint="eastAsia" w:ascii="宋体"/>
          <w:highlight w:val="none"/>
        </w:rPr>
        <w:t>10.</w:t>
      </w:r>
      <w:r>
        <w:rPr>
          <w:rFonts w:ascii="宋体"/>
          <w:highlight w:val="none"/>
        </w:rPr>
        <w:t>3</w:t>
      </w:r>
      <w:r>
        <w:rPr>
          <w:rFonts w:hint="eastAsia" w:ascii="宋体"/>
          <w:highlight w:val="none"/>
        </w:rPr>
        <w:t>乙方应将有关资料（数据库设计文件、技术文件和用户手册等全部资料）在甲方要求期限内，按国家有关项目开发标准以文字等载体的形式交给甲方，甲方拥有永久的使用权。</w:t>
      </w:r>
      <w:r>
        <w:rPr>
          <w:rStyle w:val="42"/>
          <w:rFonts w:hint="eastAsia" w:ascii="宋体"/>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19E0BE3B">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Style w:val="42"/>
          <w:rFonts w:hint="eastAsia" w:ascii="宋体"/>
          <w:highlight w:val="none"/>
        </w:rPr>
        <w:t>1</w:t>
      </w:r>
      <w:r>
        <w:rPr>
          <w:rStyle w:val="42"/>
          <w:rFonts w:ascii="宋体"/>
          <w:highlight w:val="none"/>
        </w:rPr>
        <w:t>0.4本项目</w:t>
      </w:r>
      <w:r>
        <w:rPr>
          <w:rStyle w:val="42"/>
          <w:rFonts w:hint="eastAsia" w:ascii="宋体"/>
          <w:highlight w:val="none"/>
        </w:rPr>
        <w:t>客户化源代码的知识产权归甲方单独所有，其余部分归双方共有。</w:t>
      </w:r>
    </w:p>
    <w:p w14:paraId="1470BEE5">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highlight w:val="none"/>
        </w:rPr>
        <w:t>1</w:t>
      </w:r>
      <w:r>
        <w:rPr>
          <w:rStyle w:val="42"/>
          <w:rFonts w:ascii="宋体"/>
          <w:highlight w:val="none"/>
        </w:rPr>
        <w:t>0.4.1</w:t>
      </w:r>
      <w:r>
        <w:rPr>
          <w:rStyle w:val="42"/>
          <w:rFonts w:hint="eastAsia" w:ascii="宋体"/>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0709658">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Style w:val="42"/>
          <w:rFonts w:ascii="宋体"/>
          <w:highlight w:val="none"/>
        </w:rPr>
        <w:t>10.4.2</w:t>
      </w:r>
      <w:r>
        <w:rPr>
          <w:rStyle w:val="42"/>
          <w:rFonts w:hint="eastAsia" w:ascii="宋体"/>
          <w:highlight w:val="none"/>
        </w:rPr>
        <w:t>针对共有部分，甲方拥有在甲方及其分支机构使用及后续开发的权利，</w:t>
      </w:r>
      <w:r>
        <w:rPr>
          <w:rFonts w:hint="eastAsia" w:ascii="宋体"/>
          <w:highlight w:val="none"/>
        </w:rPr>
        <w:t>甲方在乙方交付的系统版本上进行自主开发或交由第三方公司开发，开发成果的知识产权归甲方所有。</w:t>
      </w:r>
      <w:r>
        <w:rPr>
          <w:rStyle w:val="42"/>
          <w:rFonts w:hint="eastAsia" w:ascii="宋体"/>
          <w:highlight w:val="none"/>
        </w:rPr>
        <w:t>乙方拥有在其公司和其他组织范围内使用的权利，但乙方使用时不得侵犯甲方利益。</w:t>
      </w:r>
    </w:p>
    <w:p w14:paraId="1B9998CC">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Style w:val="42"/>
          <w:rFonts w:ascii="宋体"/>
          <w:highlight w:val="none"/>
        </w:rPr>
        <w:t>10.4.</w:t>
      </w:r>
      <w:r>
        <w:rPr>
          <w:rStyle w:val="42"/>
          <w:rFonts w:hint="eastAsia" w:ascii="宋体"/>
          <w:highlight w:val="none"/>
        </w:rPr>
        <w:t>3</w:t>
      </w:r>
      <w:r>
        <w:rPr>
          <w:rStyle w:val="42"/>
          <w:rFonts w:hint="eastAsia"/>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58EBAE68">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3D446648">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7" w:name="_Toc63757467"/>
      <w:r>
        <w:rPr>
          <w:rFonts w:hint="eastAsia" w:ascii="宋体"/>
          <w:b/>
          <w:highlight w:val="none"/>
        </w:rPr>
        <w:t>第十一条  第三方索赔</w:t>
      </w:r>
      <w:bookmarkEnd w:id="247"/>
    </w:p>
    <w:p w14:paraId="75CA249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1DA37C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11.2对于第11.1条涉及的侵权索赔，乙方将承担全部费用，包括</w:t>
      </w:r>
      <w:r>
        <w:rPr>
          <w:rStyle w:val="42"/>
          <w:rFonts w:hint="eastAsia" w:ascii="宋体"/>
          <w:kern w:val="0"/>
          <w:highlight w:val="none"/>
        </w:rPr>
        <w:t>诉讼费、仲裁费、甲方支付的律师费、差旅住宿费、公证费、鉴定费、调解费及仲裁裁决、法院判决或调解协议中由甲方承担的赔偿金。</w:t>
      </w:r>
    </w:p>
    <w:p w14:paraId="3B73F9E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2"/>
          <w:rFonts w:hint="eastAsia" w:ascii="宋体"/>
          <w:kern w:val="0"/>
          <w:highlight w:val="none"/>
        </w:rPr>
        <w:t>部损失</w:t>
      </w:r>
      <w:r>
        <w:rPr>
          <w:rFonts w:hint="eastAsia" w:ascii="宋体"/>
          <w:highlight w:val="none"/>
        </w:rPr>
        <w:t>。</w:t>
      </w:r>
    </w:p>
    <w:p w14:paraId="041D193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11.4乙方对由以下非乙方的过错引起的侵权索赔不承担责任：</w:t>
      </w:r>
    </w:p>
    <w:p w14:paraId="5A5C42AB">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11.4.1 甲方使用不当所造成的侵权。</w:t>
      </w:r>
    </w:p>
    <w:p w14:paraId="1B055AB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11.4.2 因甲方或第三方对开发软件或资料进行修改所直接造成的侵权。</w:t>
      </w:r>
    </w:p>
    <w:p w14:paraId="16251A49">
      <w:pPr>
        <w:keepNext w:val="0"/>
        <w:keepLines w:val="0"/>
        <w:pageBreakBefore w:val="0"/>
        <w:kinsoku/>
        <w:overflowPunct/>
        <w:topLinePunct w:val="0"/>
        <w:autoSpaceDE w:val="0"/>
        <w:autoSpaceDN w:val="0"/>
        <w:bidi w:val="0"/>
        <w:spacing w:line="360" w:lineRule="auto"/>
        <w:ind w:left="840" w:hanging="840" w:firstLineChars="0"/>
        <w:outlineLvl w:val="9"/>
        <w:rPr>
          <w:rFonts w:ascii="宋体"/>
          <w:highlight w:val="none"/>
        </w:rPr>
      </w:pPr>
    </w:p>
    <w:p w14:paraId="11F7CE83">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8" w:name="_Toc63757468"/>
      <w:r>
        <w:rPr>
          <w:rFonts w:hint="eastAsia" w:ascii="宋体"/>
          <w:b/>
          <w:highlight w:val="none"/>
        </w:rPr>
        <w:t>第十二条  保密</w:t>
      </w:r>
      <w:bookmarkEnd w:id="248"/>
    </w:p>
    <w:p w14:paraId="00A349F5">
      <w:pPr>
        <w:keepNext w:val="0"/>
        <w:keepLines w:val="0"/>
        <w:pageBreakBefore w:val="0"/>
        <w:kinsoku/>
        <w:overflowPunct/>
        <w:topLinePunct w:val="0"/>
        <w:autoSpaceDE w:val="0"/>
        <w:autoSpaceDN w:val="0"/>
        <w:bidi w:val="0"/>
        <w:spacing w:line="360" w:lineRule="auto"/>
        <w:outlineLvl w:val="9"/>
        <w:rPr>
          <w:rFonts w:ascii="宋体"/>
          <w:bCs/>
          <w:kern w:val="0"/>
          <w:highlight w:val="none"/>
        </w:rPr>
      </w:pPr>
      <w:r>
        <w:rPr>
          <w:rFonts w:hint="eastAsia" w:ascii="宋体"/>
          <w:bCs/>
          <w:kern w:val="0"/>
          <w:highlight w:val="none"/>
        </w:rPr>
        <w:t>12.1乙方须对本合同项下的所有条款保密。乙方人员入场前须与甲方签订相应诚信安全承诺书。</w:t>
      </w:r>
    </w:p>
    <w:p w14:paraId="66AC7F84">
      <w:pPr>
        <w:keepNext w:val="0"/>
        <w:keepLines w:val="0"/>
        <w:pageBreakBefore w:val="0"/>
        <w:tabs>
          <w:tab w:val="left" w:pos="1134"/>
        </w:tabs>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w:t>
      </w:r>
      <w:r>
        <w:rPr>
          <w:rFonts w:ascii="宋体"/>
          <w:kern w:val="0"/>
          <w:highlight w:val="none"/>
        </w:rPr>
        <w:t>2</w:t>
      </w:r>
      <w:r>
        <w:rPr>
          <w:rFonts w:hint="eastAsia" w:ascii="宋体"/>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77CCC529">
      <w:pPr>
        <w:keepNext w:val="0"/>
        <w:keepLines w:val="0"/>
        <w:pageBreakBefore w:val="0"/>
        <w:kinsoku/>
        <w:overflowPunct/>
        <w:topLinePunct w:val="0"/>
        <w:autoSpaceDE w:val="0"/>
        <w:autoSpaceDN w:val="0"/>
        <w:bidi w:val="0"/>
        <w:spacing w:line="360" w:lineRule="auto"/>
        <w:outlineLvl w:val="9"/>
        <w:rPr>
          <w:rFonts w:ascii="宋体"/>
          <w:bCs/>
          <w:kern w:val="0"/>
          <w:highlight w:val="none"/>
        </w:rPr>
      </w:pPr>
      <w:r>
        <w:rPr>
          <w:rFonts w:hint="eastAsia" w:ascii="宋体"/>
          <w:bCs/>
          <w:kern w:val="0"/>
          <w:highlight w:val="none"/>
        </w:rPr>
        <w:t>12.</w:t>
      </w:r>
      <w:r>
        <w:rPr>
          <w:rFonts w:ascii="宋体"/>
          <w:bCs/>
          <w:kern w:val="0"/>
          <w:highlight w:val="none"/>
        </w:rPr>
        <w:t>3</w:t>
      </w:r>
      <w:r>
        <w:rPr>
          <w:rFonts w:hint="eastAsia" w:ascii="宋体"/>
          <w:bCs/>
          <w:kern w:val="0"/>
          <w:highlight w:val="none"/>
        </w:rPr>
        <w:t xml:space="preserve"> 乙方不得以甲方名义开展活动，不得将甲方数据、信息以任何形式转移、挪用或谋取合同约定以外的利益。</w:t>
      </w:r>
    </w:p>
    <w:p w14:paraId="623EB456">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12.4乙方知道违反本条规定将给甲方客户权利以及甲方造成难以弥补的损失，为此同意承担由此产生的经济上和法律上的责任和损失。</w:t>
      </w:r>
    </w:p>
    <w:p w14:paraId="12D57097">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12.5乙方承认本合同中的技术资料和技术秘密为甲方所专有，将其对乙方进行披露并不意味着任何所有权、专利权的转让。</w:t>
      </w:r>
    </w:p>
    <w:p w14:paraId="6A558F70">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2A61169">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667C6E5">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12.8除非甲方特别声明，乙方对于保密信息的保密义务为无限期保密，直至甲方宣布解密或者保密信息实际上已经公开。</w:t>
      </w:r>
    </w:p>
    <w:p w14:paraId="62958CDA">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12.9 本合同项下乙方人员行为视为乙方行为，乙方应承担全部责任及损失。当客户信息不安全或客户权利受到重大不利影响时，甲方有权随时终止合同。</w:t>
      </w:r>
    </w:p>
    <w:p w14:paraId="40A8095B">
      <w:pPr>
        <w:keepNext w:val="0"/>
        <w:keepLines w:val="0"/>
        <w:pageBreakBefore w:val="0"/>
        <w:kinsoku/>
        <w:overflowPunct/>
        <w:topLinePunct w:val="0"/>
        <w:autoSpaceDE w:val="0"/>
        <w:autoSpaceDN w:val="0"/>
        <w:bidi w:val="0"/>
        <w:spacing w:line="360" w:lineRule="auto"/>
        <w:ind w:left="1260" w:leftChars="200" w:hanging="840" w:hangingChars="400"/>
        <w:outlineLvl w:val="9"/>
        <w:rPr>
          <w:rFonts w:ascii="宋体"/>
          <w:highlight w:val="none"/>
        </w:rPr>
      </w:pPr>
    </w:p>
    <w:p w14:paraId="252C818F">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9" w:name="_Toc63757469"/>
      <w:r>
        <w:rPr>
          <w:rFonts w:hint="eastAsia" w:ascii="宋体"/>
          <w:b/>
          <w:highlight w:val="none"/>
        </w:rPr>
        <w:t>第十三条  价格与支付</w:t>
      </w:r>
      <w:bookmarkEnd w:id="249"/>
    </w:p>
    <w:p w14:paraId="438B04AE">
      <w:pPr>
        <w:keepNext w:val="0"/>
        <w:keepLines w:val="0"/>
        <w:pageBreakBefore w:val="0"/>
        <w:kinsoku/>
        <w:overflowPunct/>
        <w:topLinePunct w:val="0"/>
        <w:autoSpaceDE w:val="0"/>
        <w:autoSpaceDN w:val="0"/>
        <w:bidi w:val="0"/>
        <w:spacing w:line="360" w:lineRule="auto"/>
        <w:jc w:val="left"/>
        <w:outlineLvl w:val="9"/>
        <w:rPr>
          <w:rStyle w:val="42"/>
          <w:rFonts w:ascii="宋体"/>
          <w:kern w:val="0"/>
          <w:highlight w:val="none"/>
        </w:rPr>
      </w:pPr>
      <w:r>
        <w:rPr>
          <w:rStyle w:val="42"/>
          <w:rFonts w:hint="eastAsia" w:ascii="宋体"/>
          <w:kern w:val="0"/>
          <w:highlight w:val="none"/>
        </w:rPr>
        <w:t>13.1本项目产品实施总金额（价税合计）为</w:t>
      </w:r>
      <w:r>
        <w:rPr>
          <w:rStyle w:val="42"/>
          <w:rFonts w:hint="eastAsia" w:ascii="宋体"/>
          <w:kern w:val="0"/>
          <w:highlight w:val="none"/>
          <w:u w:val="single"/>
        </w:rPr>
        <w:t xml:space="preserve">       </w:t>
      </w:r>
      <w:r>
        <w:rPr>
          <w:rStyle w:val="42"/>
          <w:rFonts w:hint="eastAsia" w:ascii="宋体"/>
          <w:szCs w:val="2"/>
          <w:highlight w:val="none"/>
          <w:u w:val="single"/>
        </w:rPr>
        <w:t>元</w:t>
      </w:r>
      <w:r>
        <w:rPr>
          <w:rStyle w:val="42"/>
          <w:rFonts w:hint="eastAsia" w:ascii="宋体"/>
          <w:kern w:val="0"/>
          <w:highlight w:val="none"/>
          <w:u w:val="single"/>
        </w:rPr>
        <w:t>（大写：         元整）</w:t>
      </w:r>
      <w:r>
        <w:rPr>
          <w:rStyle w:val="42"/>
          <w:rFonts w:hint="eastAsia" w:ascii="宋体"/>
          <w:kern w:val="0"/>
          <w:highlight w:val="none"/>
        </w:rPr>
        <w:t>。</w:t>
      </w:r>
      <w:r>
        <w:rPr>
          <w:rStyle w:val="42"/>
          <w:rFonts w:hint="eastAsia" w:ascii="宋体"/>
          <w:szCs w:val="2"/>
          <w:highlight w:val="none"/>
        </w:rPr>
        <w:t>不含税价为：</w:t>
      </w:r>
      <w:r>
        <w:rPr>
          <w:rStyle w:val="42"/>
          <w:rFonts w:hint="eastAsia" w:ascii="宋体"/>
          <w:szCs w:val="2"/>
          <w:highlight w:val="none"/>
          <w:u w:val="single"/>
        </w:rPr>
        <w:t xml:space="preserve">       元</w:t>
      </w:r>
      <w:r>
        <w:rPr>
          <w:rStyle w:val="42"/>
          <w:rFonts w:hint="eastAsia" w:ascii="宋体"/>
          <w:szCs w:val="2"/>
          <w:highlight w:val="none"/>
        </w:rPr>
        <w:t>（</w:t>
      </w:r>
      <w:r>
        <w:rPr>
          <w:rStyle w:val="42"/>
          <w:rFonts w:hint="eastAsia" w:ascii="宋体"/>
          <w:szCs w:val="2"/>
          <w:highlight w:val="none"/>
          <w:u w:val="single"/>
        </w:rPr>
        <w:t>大写：         整）</w:t>
      </w:r>
      <w:r>
        <w:rPr>
          <w:rStyle w:val="42"/>
          <w:rFonts w:hint="eastAsia" w:ascii="宋体"/>
          <w:szCs w:val="2"/>
          <w:highlight w:val="none"/>
        </w:rPr>
        <w:t>,税额为：</w:t>
      </w:r>
      <w:r>
        <w:rPr>
          <w:rStyle w:val="42"/>
          <w:rFonts w:hint="eastAsia" w:ascii="宋体"/>
          <w:szCs w:val="2"/>
          <w:highlight w:val="none"/>
          <w:u w:val="single"/>
        </w:rPr>
        <w:t xml:space="preserve">       元</w:t>
      </w:r>
      <w:r>
        <w:rPr>
          <w:rStyle w:val="42"/>
          <w:rFonts w:hint="eastAsia" w:ascii="宋体"/>
          <w:szCs w:val="2"/>
          <w:highlight w:val="none"/>
        </w:rPr>
        <w:t>（</w:t>
      </w:r>
      <w:r>
        <w:rPr>
          <w:rStyle w:val="42"/>
          <w:rFonts w:hint="eastAsia" w:ascii="宋体"/>
          <w:szCs w:val="2"/>
          <w:highlight w:val="none"/>
          <w:u w:val="single"/>
        </w:rPr>
        <w:t>大写：         整）</w:t>
      </w:r>
      <w:r>
        <w:rPr>
          <w:rStyle w:val="42"/>
          <w:rFonts w:hint="eastAsia" w:ascii="宋体"/>
          <w:szCs w:val="2"/>
          <w:highlight w:val="none"/>
        </w:rPr>
        <w:t>；不含税价格不因国家税率变化而变化，若在合同履行期间，如遇国家的税率调整，则价税合计应相应调整，以开具发票的时间为准。</w:t>
      </w:r>
      <w:r>
        <w:rPr>
          <w:rStyle w:val="42"/>
          <w:rFonts w:hint="eastAsia" w:ascii="宋体"/>
          <w:kern w:val="0"/>
          <w:highlight w:val="none"/>
        </w:rPr>
        <w:t>该金额为本合同约定项目的全部费用，除双方另有约定外，甲方无须向乙方支付其他任何费用。</w:t>
      </w:r>
    </w:p>
    <w:p w14:paraId="26E4B67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13.2支付方式：</w:t>
      </w:r>
    </w:p>
    <w:p w14:paraId="2CDDA10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本合同实施款项采用分期付款：</w:t>
      </w:r>
    </w:p>
    <w:p w14:paraId="7483FB8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13.2.1项目正式验收合格后30个工作日内, 甲方依据附件五《服务水平协议（SLA）》对乙方服务质量作出评价，评价合格后，乙方向甲方提供合法足额的增值税专用发票，甲方向乙方支付合同总价的</w:t>
      </w:r>
      <w:r>
        <w:rPr>
          <w:rFonts w:ascii="宋体"/>
          <w:highlight w:val="none"/>
        </w:rPr>
        <w:t>9</w:t>
      </w:r>
      <w:r>
        <w:rPr>
          <w:rFonts w:hint="eastAsia" w:ascii="宋体"/>
          <w:highlight w:val="none"/>
        </w:rPr>
        <w:t>0％</w:t>
      </w:r>
      <w:r>
        <w:rPr>
          <w:rFonts w:hint="eastAsia" w:ascii="宋体"/>
          <w:kern w:val="0"/>
          <w:highlight w:val="none"/>
        </w:rPr>
        <w:t>，</w:t>
      </w:r>
      <w:r>
        <w:rPr>
          <w:rFonts w:hint="eastAsia" w:ascii="宋体"/>
          <w:highlight w:val="none"/>
        </w:rPr>
        <w:t>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w:t>
      </w:r>
    </w:p>
    <w:p w14:paraId="403DF7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13.2.</w:t>
      </w:r>
      <w:r>
        <w:rPr>
          <w:rFonts w:ascii="宋体"/>
          <w:highlight w:val="none"/>
        </w:rPr>
        <w:t>2</w:t>
      </w:r>
      <w:r>
        <w:rPr>
          <w:rFonts w:hint="eastAsia" w:ascii="宋体"/>
          <w:highlight w:val="none"/>
        </w:rPr>
        <w:t>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），否则按《服务水平协议（SLA）》进行相应金额扣除（13.2.2中已扣除部分，本条不重复扣减）。</w:t>
      </w:r>
    </w:p>
    <w:p w14:paraId="0055BD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13.3发票要求：</w:t>
      </w:r>
    </w:p>
    <w:p w14:paraId="4BAE5C7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乙方须严格按照合同内容开具税率为</w:t>
      </w:r>
      <w:r>
        <w:rPr>
          <w:rFonts w:hint="eastAsia" w:ascii="宋体"/>
          <w:b/>
          <w:highlight w:val="none"/>
        </w:rPr>
        <w:t>6%</w:t>
      </w:r>
      <w:r>
        <w:rPr>
          <w:rFonts w:hint="eastAsia" w:ascii="宋体"/>
          <w:highlight w:val="none"/>
        </w:rPr>
        <w:t>的增值税专用发票（若遇国家税率调整另议），乙方在甲方每次付款前30个工作日需向甲方交付合法足额发票，否则甲方有权拒绝支付任何费用且不承担逾期付款违约责任。</w:t>
      </w:r>
    </w:p>
    <w:p w14:paraId="7C0D7306">
      <w:pPr>
        <w:keepNext w:val="0"/>
        <w:keepLines w:val="0"/>
        <w:pageBreakBefore w:val="0"/>
        <w:kinsoku/>
        <w:overflowPunct/>
        <w:topLinePunct w:val="0"/>
        <w:autoSpaceDE w:val="0"/>
        <w:autoSpaceDN w:val="0"/>
        <w:bidi w:val="0"/>
        <w:spacing w:line="360" w:lineRule="auto"/>
        <w:outlineLvl w:val="9"/>
        <w:rPr>
          <w:rFonts w:ascii="宋体"/>
          <w:highlight w:val="none"/>
        </w:rPr>
      </w:pPr>
    </w:p>
    <w:p w14:paraId="54F4E5D4">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0" w:name="_Toc63757470"/>
      <w:r>
        <w:rPr>
          <w:rFonts w:hint="eastAsia" w:ascii="宋体"/>
          <w:b/>
          <w:highlight w:val="none"/>
        </w:rPr>
        <w:t>第十四条  风险责任的承担</w:t>
      </w:r>
      <w:bookmarkEnd w:id="250"/>
    </w:p>
    <w:p w14:paraId="430B8AFF">
      <w:pPr>
        <w:keepNext w:val="0"/>
        <w:keepLines w:val="0"/>
        <w:pageBreakBefore w:val="0"/>
        <w:tabs>
          <w:tab w:val="left" w:pos="6020"/>
        </w:tabs>
        <w:kinsoku/>
        <w:overflowPunct/>
        <w:topLinePunct w:val="0"/>
        <w:autoSpaceDE w:val="0"/>
        <w:autoSpaceDN w:val="0"/>
        <w:bidi w:val="0"/>
        <w:spacing w:line="360" w:lineRule="auto"/>
        <w:outlineLvl w:val="9"/>
        <w:rPr>
          <w:rFonts w:ascii="宋体"/>
          <w:highlight w:val="none"/>
        </w:rPr>
      </w:pPr>
      <w:r>
        <w:rPr>
          <w:rFonts w:hint="eastAsia" w:ascii="宋体"/>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13AB1EEC">
      <w:pPr>
        <w:keepNext w:val="0"/>
        <w:keepLines w:val="0"/>
        <w:pageBreakBefore w:val="0"/>
        <w:tabs>
          <w:tab w:val="left" w:pos="6020"/>
        </w:tabs>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14.2乙方发现可能导致实施项目失败或者部分失败的情况时，应当及时通知甲方并采取适当措施减少损失；乙方没有及时通知甲方并采取适当措施致使措施扩大的，应当就扩大的损失承担责任。</w:t>
      </w:r>
    </w:p>
    <w:p w14:paraId="0F3D1887">
      <w:pPr>
        <w:keepNext w:val="0"/>
        <w:keepLines w:val="0"/>
        <w:pageBreakBefore w:val="0"/>
        <w:tabs>
          <w:tab w:val="left" w:pos="6020"/>
        </w:tabs>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D2D20F0">
      <w:pPr>
        <w:keepNext w:val="0"/>
        <w:keepLines w:val="0"/>
        <w:pageBreakBefore w:val="0"/>
        <w:tabs>
          <w:tab w:val="left" w:pos="6020"/>
        </w:tabs>
        <w:kinsoku/>
        <w:overflowPunct/>
        <w:topLinePunct w:val="0"/>
        <w:autoSpaceDE w:val="0"/>
        <w:autoSpaceDN w:val="0"/>
        <w:bidi w:val="0"/>
        <w:spacing w:line="360" w:lineRule="auto"/>
        <w:ind w:firstLine="560" w:firstLineChars="0"/>
        <w:outlineLvl w:val="9"/>
        <w:rPr>
          <w:rFonts w:ascii="宋体"/>
          <w:highlight w:val="none"/>
        </w:rPr>
      </w:pPr>
    </w:p>
    <w:p w14:paraId="6B19420B">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1" w:name="_Toc63757471"/>
      <w:r>
        <w:rPr>
          <w:rFonts w:hint="eastAsia" w:ascii="宋体"/>
          <w:b/>
          <w:highlight w:val="none"/>
        </w:rPr>
        <w:t xml:space="preserve">第十五条  </w:t>
      </w:r>
      <w:bookmarkStart w:id="252" w:name="_Toc58337511"/>
      <w:r>
        <w:rPr>
          <w:rFonts w:hint="eastAsia" w:ascii="宋体"/>
          <w:b/>
          <w:highlight w:val="none"/>
        </w:rPr>
        <w:t>违约与赔偿</w:t>
      </w:r>
      <w:bookmarkEnd w:id="251"/>
      <w:bookmarkEnd w:id="252"/>
    </w:p>
    <w:p w14:paraId="0D349A1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15.1因甲方原因未按本合同规定支付第一期研究开发报酬，且经乙方合理催告后，仍无正当理由并逾期支付达【30】个工作日以上的，乙方有权解除合同。</w:t>
      </w:r>
    </w:p>
    <w:p w14:paraId="64174E30">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15.2因甲方原因逾期支付第二期或第三期研究开发报酬的，自逾期一个月后的第二天起，每逾期一天支付应付逾期付款金额的万分之五的违约金，违约金总额不超过应付款额的5%。</w:t>
      </w:r>
    </w:p>
    <w:p w14:paraId="7C0290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773F588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15.4乙方应按本合同规定的研究开发进程完成开发项目。若因乙方自身原因未按时完成开发项目，则按照附件五《服务水平协议（SLA）》扣除延期违约金。</w:t>
      </w:r>
    </w:p>
    <w:p w14:paraId="262A172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15.5乙方未能完成甲方委托的开发项目或开发成果不符合本合同约定的要求，乙方承担本合同总额20%的违约金，并返还甲方已支付的研究开发费用。</w:t>
      </w:r>
    </w:p>
    <w:p w14:paraId="170DFC6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15.6乙方将甲方支付的研发经费用于履行合同以外的目的，甲方有权制止并要求其纠正。如因此造成本合同研究开发项目停滞、延误或失败的，乙方应当承担给甲方造成的损失赔偿责任。</w:t>
      </w:r>
    </w:p>
    <w:p w14:paraId="564CFC1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15.7除本条、附件五《服务水平协议（SLA）》及</w:t>
      </w:r>
      <w:r>
        <w:rPr>
          <w:rFonts w:ascii="宋体"/>
          <w:highlight w:val="none"/>
        </w:rPr>
        <w:t>其他条款</w:t>
      </w:r>
      <w:r>
        <w:rPr>
          <w:rFonts w:hint="eastAsia" w:ascii="宋体"/>
          <w:highlight w:val="none"/>
        </w:rPr>
        <w:t>另有约定外，乙方违反本合同任一条款的，应向甲方支付合同总额</w:t>
      </w:r>
      <w:r>
        <w:rPr>
          <w:rFonts w:ascii="宋体"/>
          <w:highlight w:val="none"/>
        </w:rPr>
        <w:t>5</w:t>
      </w:r>
      <w:r>
        <w:rPr>
          <w:rFonts w:hint="eastAsia" w:ascii="宋体"/>
          <w:highlight w:val="none"/>
        </w:rPr>
        <w:t>%的违约金并赔偿甲方产生的损失。</w:t>
      </w:r>
    </w:p>
    <w:p w14:paraId="010DE21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15.8本合同项下乙方应支付的违约金、赔偿金等，甲方均有权从应支付给乙方的款项中优先扣除，若有不足，乙方应另行筹措资金补足。</w:t>
      </w:r>
    </w:p>
    <w:p w14:paraId="340116ED">
      <w:pPr>
        <w:keepNext w:val="0"/>
        <w:keepLines w:val="0"/>
        <w:pageBreakBefore w:val="0"/>
        <w:kinsoku/>
        <w:overflowPunct/>
        <w:topLinePunct w:val="0"/>
        <w:autoSpaceDE w:val="0"/>
        <w:autoSpaceDN w:val="0"/>
        <w:bidi w:val="0"/>
        <w:spacing w:line="360" w:lineRule="auto"/>
        <w:ind w:left="1050" w:leftChars="200" w:hanging="630" w:hangingChars="300"/>
        <w:outlineLvl w:val="9"/>
        <w:rPr>
          <w:rFonts w:ascii="宋体"/>
          <w:highlight w:val="none"/>
        </w:rPr>
      </w:pPr>
    </w:p>
    <w:p w14:paraId="4DAEE10D">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3" w:name="_Toc63757472"/>
      <w:r>
        <w:rPr>
          <w:rFonts w:hint="eastAsia" w:ascii="宋体"/>
          <w:b/>
          <w:highlight w:val="none"/>
        </w:rPr>
        <w:t>第十六条  合同的解除</w:t>
      </w:r>
      <w:bookmarkEnd w:id="253"/>
      <w:r>
        <w:rPr>
          <w:rFonts w:hint="eastAsia" w:ascii="宋体"/>
          <w:b/>
          <w:highlight w:val="none"/>
        </w:rPr>
        <w:t>和终止</w:t>
      </w:r>
    </w:p>
    <w:p w14:paraId="21779A6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16.1如果满足以下条件，任一方在通知对方后，都可以解除本合同。</w:t>
      </w:r>
    </w:p>
    <w:p w14:paraId="079DD4B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98BAEA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（2）当一方按正常程序停止经营业务、破产、处于付款拖欠、延期偿付、公司重组或倒闭状况，或全部转让利润与债权人、书面承认无力偿还到期债务、委派清算人清算其业务或财产。</w:t>
      </w:r>
    </w:p>
    <w:p w14:paraId="26E73C1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16.2除本合同约定的情形外，甲方若认为乙方无法胜任本合同项下工作的，有权随时通知乙方后解除本合同。甲方除据实与乙方结算费用外，不承担其他违约责任。</w:t>
      </w:r>
    </w:p>
    <w:p w14:paraId="5E8DB3D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16.3当本合同以任何原因终止时，乙方应将本合同项下的过程文档、资料等全部交付给甲方，配合甲方完成知识转移，保证甲方能够继续开展工作；乙方应立即停止使用并删除</w:t>
      </w:r>
      <w:r>
        <w:rPr>
          <w:rFonts w:ascii="宋体"/>
          <w:highlight w:val="none"/>
        </w:rPr>
        <w:t>或</w:t>
      </w:r>
      <w:r>
        <w:rPr>
          <w:rFonts w:hint="eastAsia" w:ascii="宋体"/>
          <w:highlight w:val="none"/>
        </w:rPr>
        <w:t>销毁包含甲方机密信息的所有物件，并证明该销毁情况；或者将这些物件归还给甲方。</w:t>
      </w:r>
    </w:p>
    <w:p w14:paraId="6F425B44">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75B3AD86">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4" w:name="_Toc63757473"/>
      <w:r>
        <w:rPr>
          <w:rFonts w:hint="eastAsia" w:ascii="宋体"/>
          <w:b/>
          <w:highlight w:val="none"/>
        </w:rPr>
        <w:t>第十七条  合同变更及转让</w:t>
      </w:r>
      <w:bookmarkEnd w:id="254"/>
    </w:p>
    <w:p w14:paraId="3AAAA48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17.1对本合同及其附件的内容进行变更，必须经双方协商一致并签订补充协议，方能生效，本合同另有约定的除外。</w:t>
      </w:r>
    </w:p>
    <w:p w14:paraId="4656AC8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17.2本合同双方在未取得对方事先书面同意的前提下，均不得将各自本合同项下的任何权利或义务转让给第三方。</w:t>
      </w:r>
    </w:p>
    <w:p w14:paraId="261AF3DE">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29EBA01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5" w:name="_Toc63757474"/>
      <w:r>
        <w:rPr>
          <w:rFonts w:hint="eastAsia" w:ascii="宋体"/>
          <w:b/>
          <w:highlight w:val="none"/>
        </w:rPr>
        <w:t>第十八条  争议解决</w:t>
      </w:r>
      <w:bookmarkEnd w:id="255"/>
    </w:p>
    <w:p w14:paraId="3B5058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eastAsia="宋体"/>
          <w:spacing w:val="0"/>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eastAsia="宋体"/>
          <w:spacing w:val="0"/>
          <w:highlight w:val="none"/>
        </w:rPr>
        <w:t>委员会按照该会届时有效的仲裁规则</w:t>
      </w:r>
      <w:r>
        <w:rPr>
          <w:rFonts w:hint="eastAsia" w:ascii="宋体" w:eastAsia="宋体"/>
          <w:spacing w:val="0"/>
          <w:highlight w:val="none"/>
        </w:rPr>
        <w:t>申请</w:t>
      </w:r>
      <w:r>
        <w:rPr>
          <w:rFonts w:ascii="宋体" w:eastAsia="宋体"/>
          <w:spacing w:val="0"/>
          <w:highlight w:val="none"/>
        </w:rPr>
        <w:t>仲裁，仲裁裁决是终局性的，对双方均有约束力</w:t>
      </w:r>
      <w:r>
        <w:rPr>
          <w:rFonts w:hint="eastAsia" w:ascii="宋体" w:eastAsia="宋体"/>
          <w:spacing w:val="0"/>
          <w:highlight w:val="none"/>
        </w:rPr>
        <w:t>。</w:t>
      </w:r>
    </w:p>
    <w:p w14:paraId="57C7B2E7">
      <w:pPr>
        <w:keepNext w:val="0"/>
        <w:keepLines w:val="0"/>
        <w:pageBreakBefore w:val="0"/>
        <w:kinsoku/>
        <w:overflowPunct/>
        <w:topLinePunct w:val="0"/>
        <w:autoSpaceDE w:val="0"/>
        <w:autoSpaceDN w:val="0"/>
        <w:bidi w:val="0"/>
        <w:spacing w:line="360" w:lineRule="auto"/>
        <w:outlineLvl w:val="9"/>
        <w:rPr>
          <w:rFonts w:ascii="宋体"/>
          <w:highlight w:val="none"/>
        </w:rPr>
      </w:pPr>
    </w:p>
    <w:p w14:paraId="36B81463">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6" w:name="_Toc63757475"/>
      <w:r>
        <w:rPr>
          <w:rFonts w:hint="eastAsia" w:ascii="宋体"/>
          <w:b/>
          <w:highlight w:val="none"/>
        </w:rPr>
        <w:t>第十九条 通知与送达</w:t>
      </w:r>
      <w:bookmarkEnd w:id="256"/>
    </w:p>
    <w:p w14:paraId="6ECF79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20C855F1">
      <w:pPr>
        <w:keepNext w:val="0"/>
        <w:keepLines w:val="0"/>
        <w:pageBreakBefore w:val="0"/>
        <w:kinsoku/>
        <w:overflowPunct/>
        <w:topLinePunct w:val="0"/>
        <w:autoSpaceDE w:val="0"/>
        <w:autoSpaceDN w:val="0"/>
        <w:bidi w:val="0"/>
        <w:adjustRightInd w:val="0"/>
        <w:spacing w:line="336" w:lineRule="auto"/>
        <w:ind w:firstLine="470" w:firstLineChars="224"/>
        <w:jc w:val="left"/>
        <w:outlineLvl w:val="9"/>
        <w:rPr>
          <w:rFonts w:ascii="宋体"/>
          <w:highlight w:val="none"/>
        </w:rPr>
      </w:pPr>
      <w:r>
        <w:rPr>
          <w:rFonts w:hint="eastAsia" w:ascii="宋体"/>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A3318C3">
      <w:pPr>
        <w:keepNext w:val="0"/>
        <w:keepLines w:val="0"/>
        <w:pageBreakBefore w:val="0"/>
        <w:kinsoku/>
        <w:overflowPunct/>
        <w:topLinePunct w:val="0"/>
        <w:autoSpaceDE w:val="0"/>
        <w:autoSpaceDN w:val="0"/>
        <w:bidi w:val="0"/>
        <w:spacing w:line="360" w:lineRule="auto"/>
        <w:outlineLvl w:val="9"/>
        <w:rPr>
          <w:rFonts w:ascii="宋体"/>
          <w:highlight w:val="none"/>
        </w:rPr>
      </w:pPr>
    </w:p>
    <w:p w14:paraId="29AAB87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7" w:name="_Toc63757476"/>
      <w:r>
        <w:rPr>
          <w:rFonts w:hint="eastAsia" w:ascii="宋体"/>
          <w:b/>
          <w:highlight w:val="none"/>
        </w:rPr>
        <w:t>第二十条  合同生效</w:t>
      </w:r>
      <w:bookmarkEnd w:id="257"/>
    </w:p>
    <w:p w14:paraId="76A284E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本合同自下列条件全部满足之日起生效：</w:t>
      </w:r>
    </w:p>
    <w:p w14:paraId="46C5242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双方对本合同及其全部附件内容达成一致并加盖公章。</w:t>
      </w:r>
    </w:p>
    <w:p w14:paraId="1E6E1F3B">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5745C3D7">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8" w:name="_Toc63757477"/>
      <w:r>
        <w:rPr>
          <w:rFonts w:hint="eastAsia" w:ascii="宋体"/>
          <w:b/>
          <w:highlight w:val="none"/>
        </w:rPr>
        <w:t>第二十一条  不可抗力</w:t>
      </w:r>
      <w:bookmarkEnd w:id="258"/>
    </w:p>
    <w:p w14:paraId="7DA7A9A9">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6E1DD9CF">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21.2发生不可抗力的一方应立即通知对方，并在十五天内提供不可抗力的详情及将有关证明文件送交对方。</w:t>
      </w:r>
    </w:p>
    <w:p w14:paraId="077C13E3">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21.3发生不可抗力事件时，甲乙双方应协商以寻找一个合理的解决方法，并尽一切努力减轻不可抗力产生的后果。</w:t>
      </w:r>
    </w:p>
    <w:p w14:paraId="657A5568">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21.4如不可抗力事件持续三十天时，甲乙双方应友好协商解决本合同是否继续履行或终止的问题。</w:t>
      </w:r>
    </w:p>
    <w:p w14:paraId="4834B528">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44C39EB1">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9" w:name="_Toc63757478"/>
      <w:r>
        <w:rPr>
          <w:rFonts w:hint="eastAsia" w:ascii="宋体"/>
          <w:b/>
          <w:highlight w:val="none"/>
        </w:rPr>
        <w:t>第二十二条  反商业贿赂</w:t>
      </w:r>
      <w:bookmarkEnd w:id="259"/>
    </w:p>
    <w:p w14:paraId="2518BB8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F784CAA">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00AF2F6D">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60" w:name="_Toc63757479"/>
      <w:r>
        <w:rPr>
          <w:rFonts w:hint="eastAsia" w:ascii="宋体"/>
          <w:b/>
          <w:highlight w:val="none"/>
        </w:rPr>
        <w:t>第二十三条  附件</w:t>
      </w:r>
      <w:bookmarkEnd w:id="260"/>
    </w:p>
    <w:p w14:paraId="2B21D6FD">
      <w:pPr>
        <w:keepNext w:val="0"/>
        <w:keepLines w:val="0"/>
        <w:pageBreakBefore w:val="0"/>
        <w:kinsoku/>
        <w:overflowPunct/>
        <w:topLinePunct w:val="0"/>
        <w:autoSpaceDE w:val="0"/>
        <w:autoSpaceDN w:val="0"/>
        <w:bidi w:val="0"/>
        <w:spacing w:line="360" w:lineRule="auto"/>
        <w:ind w:firstLine="489" w:firstLineChars="233"/>
        <w:outlineLvl w:val="9"/>
        <w:rPr>
          <w:rFonts w:ascii="宋体"/>
          <w:highlight w:val="none"/>
        </w:rPr>
      </w:pPr>
      <w:r>
        <w:rPr>
          <w:rFonts w:hint="eastAsia" w:ascii="宋体"/>
          <w:highlight w:val="none"/>
        </w:rPr>
        <w:t>本合同的附件与合同正本具有同等法律效力，主合同与附件如有冲突，以主合同为准。本合同附件如下：</w:t>
      </w:r>
    </w:p>
    <w:p w14:paraId="56010277">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附件一：工作（需求）说明书</w:t>
      </w:r>
    </w:p>
    <w:p w14:paraId="2C30220D">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附件二：项目人员名单及人员应急退出机制</w:t>
      </w:r>
    </w:p>
    <w:p w14:paraId="063D408A">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附件三：验收标准及流程</w:t>
      </w:r>
    </w:p>
    <w:p w14:paraId="5D4097E2">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附件四：维护服务条款</w:t>
      </w:r>
    </w:p>
    <w:p w14:paraId="3383F9FC">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附件五：服务水平协议（SLA）</w:t>
      </w:r>
    </w:p>
    <w:p w14:paraId="53092521">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附件六：服务连续性预案</w:t>
      </w:r>
    </w:p>
    <w:p w14:paraId="63045E30">
      <w:pPr>
        <w:keepNext w:val="0"/>
        <w:keepLines w:val="0"/>
        <w:pageBreakBefore w:val="0"/>
        <w:kinsoku/>
        <w:overflowPunct/>
        <w:topLinePunct w:val="0"/>
        <w:autoSpaceDE w:val="0"/>
        <w:autoSpaceDN w:val="0"/>
        <w:bidi w:val="0"/>
        <w:spacing w:line="360" w:lineRule="auto"/>
        <w:ind w:left="560"/>
        <w:outlineLvl w:val="9"/>
        <w:rPr>
          <w:rFonts w:ascii="宋体"/>
          <w:highlight w:val="none"/>
        </w:rPr>
      </w:pPr>
    </w:p>
    <w:p w14:paraId="6AFFB31C">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61" w:name="_Toc63757480"/>
      <w:r>
        <w:rPr>
          <w:rFonts w:hint="eastAsia" w:ascii="宋体"/>
          <w:b/>
          <w:highlight w:val="none"/>
        </w:rPr>
        <w:t>第二十四条  其他</w:t>
      </w:r>
      <w:bookmarkEnd w:id="261"/>
    </w:p>
    <w:p w14:paraId="4ADBFC89">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r>
        <w:rPr>
          <w:rStyle w:val="42"/>
          <w:rFonts w:hint="eastAsia" w:ascii="宋体"/>
          <w:kern w:val="0"/>
          <w:highlight w:val="none"/>
        </w:rPr>
        <w:t>24.1除本</w:t>
      </w:r>
      <w:r>
        <w:rPr>
          <w:rFonts w:hint="eastAsia" w:ascii="宋体"/>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9CD5C56">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r>
        <w:rPr>
          <w:rFonts w:hint="eastAsia" w:ascii="宋体"/>
          <w:highlight w:val="none"/>
        </w:rPr>
        <w:t>24.</w:t>
      </w:r>
      <w:r>
        <w:rPr>
          <w:rStyle w:val="42"/>
          <w:rFonts w:hint="eastAsia" w:ascii="宋体"/>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highlight w:val="none"/>
        </w:rPr>
        <w:t>同其他条款或内容的合法性、有效性和可执行性不受影响。</w:t>
      </w:r>
    </w:p>
    <w:p w14:paraId="0F3EC6B9">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24.3本</w:t>
      </w:r>
      <w:r>
        <w:rPr>
          <w:rFonts w:hint="eastAsia" w:ascii="宋体"/>
          <w:highlight w:val="none"/>
        </w:rPr>
        <w:t>合同签订后，如需要就与合同执行有关的事项签订补充合同，应由双方加盖公章后，补充合同即生效。主合同与附件如有冲突，以主合同为准。</w:t>
      </w:r>
    </w:p>
    <w:p w14:paraId="55332068">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24.4本合同以中文版本为准，除非本合同明确规定或双方另有约定，为履行本合同的所有文件及信函均以中文书写。</w:t>
      </w:r>
    </w:p>
    <w:p w14:paraId="4A2D80CD">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24.5本合同一式肆份，甲方执贰份，乙方执贰份，每份具有同等法律</w:t>
      </w:r>
      <w:r>
        <w:rPr>
          <w:rFonts w:hint="eastAsia" w:ascii="宋体"/>
          <w:highlight w:val="none"/>
        </w:rPr>
        <w:t>效力。</w:t>
      </w:r>
    </w:p>
    <w:p w14:paraId="559A7845">
      <w:pPr>
        <w:keepNext w:val="0"/>
        <w:keepLines w:val="0"/>
        <w:pageBreakBefore w:val="0"/>
        <w:kinsoku/>
        <w:overflowPunct/>
        <w:topLinePunct w:val="0"/>
        <w:autoSpaceDE w:val="0"/>
        <w:autoSpaceDN w:val="0"/>
        <w:bidi w:val="0"/>
        <w:spacing w:line="360" w:lineRule="auto"/>
        <w:outlineLvl w:val="9"/>
        <w:rPr>
          <w:rFonts w:ascii="宋体"/>
          <w:b/>
          <w:iCs/>
          <w:highlight w:val="none"/>
        </w:rPr>
      </w:pPr>
      <w:r>
        <w:rPr>
          <w:rFonts w:hint="eastAsia" w:ascii="宋体"/>
          <w:b/>
          <w:iCs/>
          <w:highlight w:val="none"/>
        </w:rPr>
        <w:t>本合同由各方于本合同签署页所述日期正式签署，以昭信守。</w:t>
      </w:r>
    </w:p>
    <w:p w14:paraId="4F02AC5F">
      <w:pPr>
        <w:keepNext w:val="0"/>
        <w:keepLines w:val="0"/>
        <w:pageBreakBefore w:val="0"/>
        <w:kinsoku/>
        <w:overflowPunct/>
        <w:topLinePunct w:val="0"/>
        <w:autoSpaceDE w:val="0"/>
        <w:autoSpaceDN w:val="0"/>
        <w:bidi w:val="0"/>
        <w:spacing w:line="360" w:lineRule="auto"/>
        <w:outlineLvl w:val="9"/>
        <w:rPr>
          <w:rFonts w:ascii="宋体"/>
          <w:b/>
          <w:iCs/>
          <w:highlight w:val="none"/>
        </w:rPr>
      </w:pPr>
      <w:r>
        <w:rPr>
          <w:rFonts w:hint="eastAsia" w:ascii="宋体"/>
          <w:b/>
          <w:iCs/>
          <w:highlight w:val="none"/>
        </w:rPr>
        <w:t>（以下无正文）</w:t>
      </w:r>
    </w:p>
    <w:p w14:paraId="52EF6795">
      <w:pPr>
        <w:keepNext w:val="0"/>
        <w:keepLines w:val="0"/>
        <w:pageBreakBefore w:val="0"/>
        <w:kinsoku/>
        <w:overflowPunct/>
        <w:topLinePunct w:val="0"/>
        <w:autoSpaceDE w:val="0"/>
        <w:autoSpaceDN w:val="0"/>
        <w:bidi w:val="0"/>
        <w:spacing w:line="360" w:lineRule="auto"/>
        <w:outlineLvl w:val="9"/>
        <w:rPr>
          <w:rFonts w:ascii="宋体"/>
          <w:b/>
          <w:iCs/>
          <w:highlight w:val="none"/>
        </w:rPr>
      </w:pPr>
      <w:r>
        <w:rPr>
          <w:rFonts w:hint="eastAsia" w:ascii="宋体"/>
          <w:b/>
          <w:highlight w:val="none"/>
        </w:rPr>
        <w:br w:type="page"/>
      </w:r>
      <w:r>
        <w:rPr>
          <w:rFonts w:hint="eastAsia" w:ascii="宋体"/>
          <w:b/>
          <w:iCs/>
          <w:highlight w:val="none"/>
        </w:rPr>
        <w:t>（本页无正文，为编号XXXXXXXXX《XXX合同》的签署页）</w:t>
      </w:r>
    </w:p>
    <w:p w14:paraId="652C6F59">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5BEB2B1A">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37646DAB">
      <w:pPr>
        <w:keepNext w:val="0"/>
        <w:keepLines w:val="0"/>
        <w:pageBreakBefore w:val="0"/>
        <w:tabs>
          <w:tab w:val="left" w:pos="851"/>
        </w:tabs>
        <w:kinsoku/>
        <w:overflowPunct/>
        <w:topLinePunct w:val="0"/>
        <w:autoSpaceDE w:val="0"/>
        <w:autoSpaceDN w:val="0"/>
        <w:bidi w:val="0"/>
        <w:adjustRightInd w:val="0"/>
        <w:spacing w:line="360" w:lineRule="auto"/>
        <w:textAlignment w:val="baseline"/>
        <w:outlineLvl w:val="9"/>
        <w:rPr>
          <w:rFonts w:ascii="宋体"/>
          <w:kern w:val="0"/>
          <w:highlight w:val="none"/>
        </w:rPr>
      </w:pPr>
      <w:r>
        <w:rPr>
          <w:rFonts w:hint="eastAsia" w:ascii="宋体"/>
          <w:kern w:val="0"/>
          <w:highlight w:val="none"/>
        </w:rPr>
        <w:t>甲方：</w:t>
      </w:r>
      <w:r>
        <w:rPr>
          <w:rFonts w:hint="eastAsia" w:ascii="宋体"/>
          <w:b/>
          <w:highlight w:val="none"/>
        </w:rPr>
        <w:t>重庆三峡银行股份有限公司</w:t>
      </w:r>
      <w:r>
        <w:rPr>
          <w:rFonts w:hint="eastAsia" w:ascii="宋体"/>
          <w:kern w:val="0"/>
          <w:highlight w:val="none"/>
        </w:rPr>
        <w:t xml:space="preserve">     （公章）</w:t>
      </w:r>
    </w:p>
    <w:p w14:paraId="1A23890E">
      <w:pPr>
        <w:keepNext w:val="0"/>
        <w:keepLines w:val="0"/>
        <w:pageBreakBefore w:val="0"/>
        <w:kinsoku/>
        <w:overflowPunct/>
        <w:topLinePunct w:val="0"/>
        <w:autoSpaceDE w:val="0"/>
        <w:autoSpaceDN w:val="0"/>
        <w:bidi w:val="0"/>
        <w:spacing w:line="360" w:lineRule="auto"/>
        <w:outlineLvl w:val="9"/>
        <w:rPr>
          <w:rFonts w:ascii="宋体"/>
          <w:highlight w:val="none"/>
        </w:rPr>
      </w:pPr>
    </w:p>
    <w:p w14:paraId="04A547EF">
      <w:pPr>
        <w:keepNext w:val="0"/>
        <w:keepLines w:val="0"/>
        <w:pageBreakBefore w:val="0"/>
        <w:tabs>
          <w:tab w:val="left" w:pos="851"/>
        </w:tabs>
        <w:kinsoku/>
        <w:overflowPunct/>
        <w:topLinePunct w:val="0"/>
        <w:autoSpaceDE w:val="0"/>
        <w:autoSpaceDN w:val="0"/>
        <w:bidi w:val="0"/>
        <w:adjustRightInd w:val="0"/>
        <w:spacing w:line="360" w:lineRule="auto"/>
        <w:ind w:firstLine="630" w:firstLineChars="300"/>
        <w:textAlignment w:val="baseline"/>
        <w:outlineLvl w:val="9"/>
        <w:rPr>
          <w:rFonts w:ascii="宋体"/>
          <w:kern w:val="0"/>
          <w:highlight w:val="none"/>
        </w:rPr>
      </w:pPr>
      <w:r>
        <w:rPr>
          <w:rFonts w:hint="eastAsia" w:ascii="宋体"/>
          <w:kern w:val="0"/>
          <w:highlight w:val="none"/>
        </w:rPr>
        <w:t>经办人：</w:t>
      </w:r>
    </w:p>
    <w:p w14:paraId="2F926BDB">
      <w:pPr>
        <w:keepNext w:val="0"/>
        <w:keepLines w:val="0"/>
        <w:pageBreakBefore w:val="0"/>
        <w:tabs>
          <w:tab w:val="left" w:pos="851"/>
        </w:tabs>
        <w:kinsoku/>
        <w:overflowPunct/>
        <w:topLinePunct w:val="0"/>
        <w:autoSpaceDE w:val="0"/>
        <w:autoSpaceDN w:val="0"/>
        <w:bidi w:val="0"/>
        <w:adjustRightInd w:val="0"/>
        <w:spacing w:line="360" w:lineRule="auto"/>
        <w:ind w:firstLine="630" w:firstLineChars="300"/>
        <w:textAlignment w:val="baseline"/>
        <w:outlineLvl w:val="9"/>
        <w:rPr>
          <w:rFonts w:ascii="宋体"/>
          <w:kern w:val="0"/>
          <w:highlight w:val="none"/>
        </w:rPr>
      </w:pPr>
    </w:p>
    <w:p w14:paraId="44237F43">
      <w:pPr>
        <w:keepNext w:val="0"/>
        <w:keepLines w:val="0"/>
        <w:pageBreakBefore w:val="0"/>
        <w:kinsoku/>
        <w:overflowPunct/>
        <w:topLinePunct w:val="0"/>
        <w:autoSpaceDE w:val="0"/>
        <w:autoSpaceDN w:val="0"/>
        <w:bidi w:val="0"/>
        <w:spacing w:line="360" w:lineRule="auto"/>
        <w:outlineLvl w:val="9"/>
        <w:rPr>
          <w:rFonts w:ascii="宋体"/>
          <w:highlight w:val="none"/>
        </w:rPr>
      </w:pPr>
    </w:p>
    <w:p w14:paraId="61773590">
      <w:pPr>
        <w:keepNext w:val="0"/>
        <w:keepLines w:val="0"/>
        <w:pageBreakBefore w:val="0"/>
        <w:kinsoku/>
        <w:overflowPunct/>
        <w:topLinePunct w:val="0"/>
        <w:autoSpaceDE w:val="0"/>
        <w:autoSpaceDN w:val="0"/>
        <w:bidi w:val="0"/>
        <w:spacing w:line="360" w:lineRule="auto"/>
        <w:outlineLvl w:val="9"/>
        <w:rPr>
          <w:rFonts w:ascii="宋体"/>
          <w:highlight w:val="none"/>
        </w:rPr>
      </w:pPr>
    </w:p>
    <w:p w14:paraId="7B6BA172">
      <w:pPr>
        <w:keepNext w:val="0"/>
        <w:keepLines w:val="0"/>
        <w:pageBreakBefore w:val="0"/>
        <w:kinsoku/>
        <w:overflowPunct/>
        <w:topLinePunct w:val="0"/>
        <w:autoSpaceDE w:val="0"/>
        <w:autoSpaceDN w:val="0"/>
        <w:bidi w:val="0"/>
        <w:spacing w:line="360" w:lineRule="auto"/>
        <w:outlineLvl w:val="9"/>
        <w:rPr>
          <w:rFonts w:ascii="宋体"/>
          <w:highlight w:val="none"/>
        </w:rPr>
      </w:pPr>
    </w:p>
    <w:p w14:paraId="5F379B9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w:t>
      </w:r>
      <w:r>
        <w:rPr>
          <w:rFonts w:hint="eastAsia" w:ascii="宋体"/>
          <w:b/>
          <w:highlight w:val="none"/>
        </w:rPr>
        <w:t>XXXXXXXXXXXXXXXXXXXXXXX</w:t>
      </w:r>
      <w:r>
        <w:rPr>
          <w:rFonts w:hint="eastAsia" w:ascii="宋体"/>
          <w:highlight w:val="none"/>
        </w:rPr>
        <w:t>（公章）</w:t>
      </w:r>
    </w:p>
    <w:p w14:paraId="19E280E4">
      <w:pPr>
        <w:keepNext w:val="0"/>
        <w:keepLines w:val="0"/>
        <w:pageBreakBefore w:val="0"/>
        <w:kinsoku/>
        <w:overflowPunct/>
        <w:topLinePunct w:val="0"/>
        <w:autoSpaceDE w:val="0"/>
        <w:autoSpaceDN w:val="0"/>
        <w:bidi w:val="0"/>
        <w:spacing w:line="360" w:lineRule="auto"/>
        <w:outlineLvl w:val="9"/>
        <w:rPr>
          <w:rFonts w:ascii="宋体"/>
          <w:highlight w:val="none"/>
        </w:rPr>
      </w:pPr>
    </w:p>
    <w:p w14:paraId="7C1A6011">
      <w:pPr>
        <w:keepNext w:val="0"/>
        <w:keepLines w:val="0"/>
        <w:pageBreakBefore w:val="0"/>
        <w:kinsoku/>
        <w:overflowPunct/>
        <w:topLinePunct w:val="0"/>
        <w:autoSpaceDE w:val="0"/>
        <w:autoSpaceDN w:val="0"/>
        <w:bidi w:val="0"/>
        <w:spacing w:line="360" w:lineRule="auto"/>
        <w:ind w:firstLine="630" w:firstLineChars="300"/>
        <w:outlineLvl w:val="9"/>
        <w:rPr>
          <w:rFonts w:ascii="宋体"/>
          <w:highlight w:val="none"/>
        </w:rPr>
      </w:pPr>
      <w:r>
        <w:rPr>
          <w:rFonts w:hint="eastAsia" w:ascii="宋体"/>
          <w:highlight w:val="none"/>
        </w:rPr>
        <w:t>经办人：</w:t>
      </w:r>
    </w:p>
    <w:p w14:paraId="2B8B12EC">
      <w:pPr>
        <w:keepNext w:val="0"/>
        <w:keepLines w:val="0"/>
        <w:pageBreakBefore w:val="0"/>
        <w:kinsoku/>
        <w:overflowPunct/>
        <w:topLinePunct w:val="0"/>
        <w:autoSpaceDE w:val="0"/>
        <w:autoSpaceDN w:val="0"/>
        <w:bidi w:val="0"/>
        <w:spacing w:line="360" w:lineRule="auto"/>
        <w:outlineLvl w:val="9"/>
        <w:rPr>
          <w:rFonts w:ascii="宋体"/>
          <w:highlight w:val="none"/>
        </w:rPr>
      </w:pPr>
    </w:p>
    <w:p w14:paraId="60E4EDE9">
      <w:pPr>
        <w:keepNext w:val="0"/>
        <w:keepLines w:val="0"/>
        <w:pageBreakBefore w:val="0"/>
        <w:kinsoku/>
        <w:overflowPunct/>
        <w:topLinePunct w:val="0"/>
        <w:autoSpaceDE w:val="0"/>
        <w:autoSpaceDN w:val="0"/>
        <w:bidi w:val="0"/>
        <w:spacing w:line="360" w:lineRule="auto"/>
        <w:ind w:firstLine="4410" w:firstLineChars="2100"/>
        <w:outlineLvl w:val="9"/>
        <w:rPr>
          <w:rFonts w:ascii="宋体"/>
          <w:highlight w:val="none"/>
        </w:rPr>
      </w:pPr>
    </w:p>
    <w:p w14:paraId="6C4A699D">
      <w:pPr>
        <w:keepNext w:val="0"/>
        <w:keepLines w:val="0"/>
        <w:pageBreakBefore w:val="0"/>
        <w:kinsoku/>
        <w:overflowPunct/>
        <w:topLinePunct w:val="0"/>
        <w:autoSpaceDE w:val="0"/>
        <w:autoSpaceDN w:val="0"/>
        <w:bidi w:val="0"/>
        <w:spacing w:line="360" w:lineRule="auto"/>
        <w:ind w:firstLine="4410" w:firstLineChars="2100"/>
        <w:outlineLvl w:val="9"/>
        <w:rPr>
          <w:rFonts w:ascii="宋体"/>
          <w:highlight w:val="none"/>
        </w:rPr>
      </w:pPr>
    </w:p>
    <w:p w14:paraId="4AC73C9F">
      <w:pPr>
        <w:keepNext w:val="0"/>
        <w:keepLines w:val="0"/>
        <w:pageBreakBefore w:val="0"/>
        <w:kinsoku/>
        <w:overflowPunct/>
        <w:topLinePunct w:val="0"/>
        <w:autoSpaceDE w:val="0"/>
        <w:autoSpaceDN w:val="0"/>
        <w:bidi w:val="0"/>
        <w:spacing w:line="360" w:lineRule="auto"/>
        <w:ind w:firstLine="4410" w:firstLineChars="2100"/>
        <w:outlineLvl w:val="9"/>
        <w:rPr>
          <w:rFonts w:ascii="宋体"/>
          <w:highlight w:val="none"/>
        </w:rPr>
      </w:pPr>
      <w:r>
        <w:rPr>
          <w:rFonts w:hint="eastAsia" w:ascii="宋体"/>
          <w:highlight w:val="none"/>
        </w:rPr>
        <w:t>日期：    年    月    日</w:t>
      </w:r>
    </w:p>
    <w:p w14:paraId="4FA96FC5">
      <w:pPr>
        <w:keepNext w:val="0"/>
        <w:keepLines w:val="0"/>
        <w:pageBreakBefore w:val="0"/>
        <w:tabs>
          <w:tab w:val="left" w:pos="3360"/>
        </w:tabs>
        <w:kinsoku/>
        <w:overflowPunct/>
        <w:topLinePunct w:val="0"/>
        <w:autoSpaceDE w:val="0"/>
        <w:autoSpaceDN w:val="0"/>
        <w:bidi w:val="0"/>
        <w:outlineLvl w:val="9"/>
        <w:rPr>
          <w:rStyle w:val="42"/>
          <w:sz w:val="30"/>
          <w:highlight w:val="none"/>
        </w:rPr>
      </w:pPr>
      <w:r>
        <w:rPr>
          <w:highlight w:val="none"/>
        </w:rPr>
        <w:br w:type="page"/>
      </w:r>
      <w:bookmarkStart w:id="262" w:name="_Toc63757481"/>
      <w:r>
        <w:rPr>
          <w:rStyle w:val="42"/>
          <w:rFonts w:hint="eastAsia"/>
          <w:sz w:val="30"/>
          <w:highlight w:val="none"/>
        </w:rPr>
        <w:t>附件一：工作（需求）说明书</w:t>
      </w:r>
      <w:bookmarkEnd w:id="262"/>
    </w:p>
    <w:p w14:paraId="142B057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bookmarkStart w:id="263" w:name="_Toc63757482"/>
      <w:r>
        <w:rPr>
          <w:rFonts w:hint="eastAsia" w:ascii="Times New Roman" w:hAnsi="Times New Roman"/>
          <w:color w:val="000000"/>
          <w:highlight w:val="none"/>
        </w:rPr>
        <w:t>一、按照人行、反洗钱、反赌反诈等监管要求，对支付系统、城银支付系统、核心系统、网点服务平台的业务流程或功能进行优化。</w:t>
      </w:r>
    </w:p>
    <w:p w14:paraId="6A4C925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二、根据中国人民银行要求，开通超网贷记付款请求功能：</w:t>
      </w:r>
    </w:p>
    <w:p w14:paraId="6F1BC87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1.新增贷记付款请求来账的处理流程</w:t>
      </w:r>
      <w:r>
        <w:rPr>
          <w:rFonts w:ascii="Times New Roman" w:hAnsi="Times New Roman"/>
          <w:color w:val="000000"/>
          <w:highlight w:val="none"/>
        </w:rPr>
        <w:t>；</w:t>
      </w:r>
    </w:p>
    <w:p w14:paraId="02E8756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2.新增贷记付款请求结果通知报文来账处理流程</w:t>
      </w:r>
      <w:r>
        <w:rPr>
          <w:rFonts w:ascii="Times New Roman" w:hAnsi="Times New Roman"/>
          <w:color w:val="000000"/>
          <w:highlight w:val="none"/>
        </w:rPr>
        <w:t>；</w:t>
      </w:r>
    </w:p>
    <w:p w14:paraId="43EE048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3.新增贷记付款请求往账处理流程</w:t>
      </w:r>
      <w:r>
        <w:rPr>
          <w:rFonts w:ascii="Times New Roman" w:hAnsi="Times New Roman"/>
          <w:color w:val="000000"/>
          <w:highlight w:val="none"/>
        </w:rPr>
        <w:t>；</w:t>
      </w:r>
    </w:p>
    <w:p w14:paraId="26DE370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4.新增贷记付款请求查询交易处理流程</w:t>
      </w:r>
      <w:r>
        <w:rPr>
          <w:rFonts w:ascii="Times New Roman" w:hAnsi="Times New Roman"/>
          <w:color w:val="000000"/>
          <w:highlight w:val="none"/>
        </w:rPr>
        <w:t>；</w:t>
      </w:r>
    </w:p>
    <w:p w14:paraId="714A419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5.修改业务状态查询报文，支持发起贷记付款请求交易的业务状态查询</w:t>
      </w:r>
      <w:r>
        <w:rPr>
          <w:rFonts w:ascii="Times New Roman" w:hAnsi="Times New Roman"/>
          <w:color w:val="000000"/>
          <w:highlight w:val="none"/>
        </w:rPr>
        <w:t>；</w:t>
      </w:r>
    </w:p>
    <w:p w14:paraId="6323775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6.修改支持业务状态查询报文的应答交易，根据应答结果修改贷记付款请求交易的状态</w:t>
      </w:r>
      <w:r>
        <w:rPr>
          <w:rFonts w:ascii="Times New Roman" w:hAnsi="Times New Roman"/>
          <w:color w:val="000000"/>
          <w:highlight w:val="none"/>
        </w:rPr>
        <w:t>；</w:t>
      </w:r>
    </w:p>
    <w:p w14:paraId="6A41B762">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7.修改支持发起业务撤销申请报文支持撤销贷记付款请求报文</w:t>
      </w:r>
      <w:r>
        <w:rPr>
          <w:rFonts w:ascii="Times New Roman" w:hAnsi="Times New Roman"/>
          <w:color w:val="000000"/>
          <w:highlight w:val="none"/>
        </w:rPr>
        <w:t>；</w:t>
      </w:r>
    </w:p>
    <w:p w14:paraId="183E3E7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8.修改接受业务撤销申请交易，支持贷记付款请求交易状态的变化</w:t>
      </w:r>
      <w:r>
        <w:rPr>
          <w:rFonts w:ascii="Times New Roman" w:hAnsi="Times New Roman"/>
          <w:color w:val="000000"/>
          <w:highlight w:val="none"/>
        </w:rPr>
        <w:t>；</w:t>
      </w:r>
    </w:p>
    <w:p w14:paraId="7D80D5D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9.修改客户身份认证交易，支持贷记付款请求交易的认证</w:t>
      </w:r>
      <w:r>
        <w:rPr>
          <w:rFonts w:ascii="Times New Roman" w:hAnsi="Times New Roman"/>
          <w:color w:val="000000"/>
          <w:highlight w:val="none"/>
        </w:rPr>
        <w:t>；</w:t>
      </w:r>
    </w:p>
    <w:p w14:paraId="631CAD55">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10.修改参与机构业务管理通知报文，支持注册与撤销贷记付款请求交易</w:t>
      </w:r>
      <w:r>
        <w:rPr>
          <w:rFonts w:ascii="Times New Roman" w:hAnsi="Times New Roman"/>
          <w:color w:val="000000"/>
          <w:highlight w:val="none"/>
        </w:rPr>
        <w:t>；</w:t>
      </w:r>
    </w:p>
    <w:p w14:paraId="398493D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11.修改参与机构业务管理状态下载申请报文，支持下载已注册贷记付款请求交易的数据</w:t>
      </w:r>
      <w:r>
        <w:rPr>
          <w:rFonts w:ascii="Times New Roman" w:hAnsi="Times New Roman"/>
          <w:color w:val="000000"/>
          <w:highlight w:val="none"/>
        </w:rPr>
        <w:t>；</w:t>
      </w:r>
    </w:p>
    <w:p w14:paraId="0DEBD4B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12.修改参与机构业务管理状态下载应答报文，支持处理已注册贷记付款请求交易的数据</w:t>
      </w:r>
      <w:r>
        <w:rPr>
          <w:rFonts w:ascii="Times New Roman" w:hAnsi="Times New Roman"/>
          <w:color w:val="000000"/>
          <w:highlight w:val="none"/>
        </w:rPr>
        <w:t>；</w:t>
      </w:r>
    </w:p>
    <w:p w14:paraId="69C718A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13.支持发起业务类型为贷记付款请求的贷记往账交易</w:t>
      </w:r>
      <w:r>
        <w:rPr>
          <w:rFonts w:ascii="Times New Roman" w:hAnsi="Times New Roman"/>
          <w:color w:val="000000"/>
          <w:highlight w:val="none"/>
        </w:rPr>
        <w:t>；</w:t>
      </w:r>
    </w:p>
    <w:p w14:paraId="4E87340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14.支持处理来账业务类型为贷记付款请求的来账贷记交易</w:t>
      </w:r>
      <w:r>
        <w:rPr>
          <w:rFonts w:ascii="Times New Roman" w:hAnsi="Times New Roman"/>
          <w:color w:val="000000"/>
          <w:highlight w:val="none"/>
        </w:rPr>
        <w:t>；</w:t>
      </w:r>
    </w:p>
    <w:p w14:paraId="726C911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15.新增支持贷记付款差错的日间处理流程</w:t>
      </w:r>
      <w:r>
        <w:rPr>
          <w:rFonts w:ascii="Times New Roman" w:hAnsi="Times New Roman"/>
          <w:color w:val="000000"/>
          <w:highlight w:val="none"/>
        </w:rPr>
        <w:t>；</w:t>
      </w:r>
    </w:p>
    <w:p w14:paraId="0702032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16.新增支持在日终对账的时候对贷记付款请求交易的对账处理。</w:t>
      </w:r>
    </w:p>
    <w:p w14:paraId="420FEBA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三、配合集中作业优化普通借记支票截留业务</w:t>
      </w:r>
      <w:r>
        <w:rPr>
          <w:rFonts w:ascii="Times New Roman" w:hAnsi="Times New Roman"/>
          <w:color w:val="000000"/>
          <w:highlight w:val="none"/>
        </w:rPr>
        <w:t>：</w:t>
      </w:r>
    </w:p>
    <w:p w14:paraId="42A8C9E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1.配合集中作业对普通借记做适应性的改造，增加集中作业的权限配置</w:t>
      </w:r>
      <w:r>
        <w:rPr>
          <w:rFonts w:ascii="Times New Roman" w:hAnsi="Times New Roman"/>
          <w:color w:val="000000"/>
          <w:highlight w:val="none"/>
        </w:rPr>
        <w:t>；</w:t>
      </w:r>
    </w:p>
    <w:p w14:paraId="577FC585">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2.修改现有借记回执的接收交易，增加对集中作业发起的往账借记交易进行账务处理和异常登记</w:t>
      </w:r>
      <w:r>
        <w:rPr>
          <w:rFonts w:ascii="Times New Roman" w:hAnsi="Times New Roman"/>
          <w:color w:val="000000"/>
          <w:highlight w:val="none"/>
        </w:rPr>
        <w:t>；</w:t>
      </w:r>
    </w:p>
    <w:p w14:paraId="3735BEB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3.针对集中作业的往账普通借记入账异常后进行处理及异常的异常处理</w:t>
      </w:r>
      <w:r>
        <w:rPr>
          <w:rFonts w:ascii="Times New Roman" w:hAnsi="Times New Roman"/>
          <w:color w:val="000000"/>
          <w:highlight w:val="none"/>
        </w:rPr>
        <w:t>；</w:t>
      </w:r>
    </w:p>
    <w:p w14:paraId="6466D91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4.修改现有的影像上传失败后处理流程，配合集中作业做适应性改造</w:t>
      </w:r>
      <w:r>
        <w:rPr>
          <w:rFonts w:ascii="Times New Roman" w:hAnsi="Times New Roman"/>
          <w:color w:val="000000"/>
          <w:highlight w:val="none"/>
        </w:rPr>
        <w:t>；</w:t>
      </w:r>
    </w:p>
    <w:p w14:paraId="72A3426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5.支付系统中的支票影像本地数据信息根据影像平台的数据信息进行更新，供集中作业系统查询</w:t>
      </w:r>
      <w:r>
        <w:rPr>
          <w:rFonts w:ascii="Times New Roman" w:hAnsi="Times New Roman"/>
          <w:color w:val="000000"/>
          <w:highlight w:val="none"/>
        </w:rPr>
        <w:t>；</w:t>
      </w:r>
    </w:p>
    <w:p w14:paraId="40191A5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6.配合集中作业对普通借记支票截留业务手工扣款确认进行改造</w:t>
      </w:r>
      <w:r>
        <w:rPr>
          <w:rFonts w:ascii="Times New Roman" w:hAnsi="Times New Roman"/>
          <w:color w:val="000000"/>
          <w:highlight w:val="none"/>
        </w:rPr>
        <w:t>；</w:t>
      </w:r>
    </w:p>
    <w:p w14:paraId="02E4D5B9">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7.配合集中作业对手工扣款异常信息查询、处理流程进行改造。</w:t>
      </w:r>
    </w:p>
    <w:p w14:paraId="40DC8A9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四、按照人行要求优化小额定期借记签约，并按照业务要求进行相应的业务推广：</w:t>
      </w:r>
    </w:p>
    <w:p w14:paraId="22C0395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1.小额系统定期借记业务支持客户从收款行端发起授权支付协议签订</w:t>
      </w:r>
      <w:r>
        <w:rPr>
          <w:rFonts w:ascii="Times New Roman" w:hAnsi="Times New Roman"/>
          <w:color w:val="000000"/>
          <w:highlight w:val="none"/>
        </w:rPr>
        <w:t>；</w:t>
      </w:r>
    </w:p>
    <w:p w14:paraId="0443352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2.当客户通过收款行申请办理签约时，收款行通过客户支付协议管理报文（beps.351.001.01）发起签约申请，收款行应选择体外验证授权（AM02），即付款客户可通过付款行自助终端等渠道主动进行授权确认</w:t>
      </w:r>
      <w:r>
        <w:rPr>
          <w:rFonts w:ascii="Times New Roman" w:hAnsi="Times New Roman"/>
          <w:color w:val="000000"/>
          <w:highlight w:val="none"/>
        </w:rPr>
        <w:t>。</w:t>
      </w:r>
    </w:p>
    <w:p w14:paraId="0801AD8F">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付款行受理业务后，需及时通知客户办理授权，如通过则返回“已成功”回执，并完整记录授权要素；如不通过,则返回“已拒绝”回执，并如实填写拒绝码和描述信息。</w:t>
      </w:r>
    </w:p>
    <w:p w14:paraId="3877591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付款行应在收到签约申请起的5个工作日内返回授权确认回执，如收款行在期限内未收到回执，应发起解除授权。</w:t>
      </w:r>
    </w:p>
    <w:p w14:paraId="6F963470">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3.参与机构需支持客户从收款行或者付款行发起解除授权支付协议流程：</w:t>
      </w:r>
    </w:p>
    <w:p w14:paraId="678181E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当收款行发起时，收款行检查收款人信息以及要撤销的授权支付协议号后，通过“客户支付协议管理报文（beps.351.001.01）”发起撤销申请，按现有授权支付协议撤销业务流程 办理。</w:t>
      </w:r>
    </w:p>
    <w:p w14:paraId="5C3A1B6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当付款行发起时，付款行检查付款人信息以及要撤销的授权支付协议号后，通过“客户支付协议管理报文（beps.351.001.01）”发起撤销申请，通知收款行原协议已撤销 。</w:t>
      </w:r>
    </w:p>
    <w:p w14:paraId="0D6B81D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收、付款行撤销协议后，应及时将协议变动情况通知客户。</w:t>
      </w:r>
    </w:p>
    <w:p w14:paraId="601E95C2">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五、配合核心、柜面、分布式服务平台等系统信创建设的测试和部分交易优化</w:t>
      </w:r>
      <w:r>
        <w:rPr>
          <w:rFonts w:ascii="Times New Roman" w:hAnsi="Times New Roman"/>
          <w:color w:val="000000"/>
          <w:highlight w:val="none"/>
        </w:rPr>
        <w:t>：</w:t>
      </w:r>
    </w:p>
    <w:p w14:paraId="71FB790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w:t>
      </w:r>
      <w:r>
        <w:rPr>
          <w:rFonts w:ascii="Times New Roman" w:hAnsi="Times New Roman"/>
          <w:color w:val="000000"/>
          <w:highlight w:val="none"/>
        </w:rPr>
        <w:t>.</w:t>
      </w:r>
      <w:r>
        <w:rPr>
          <w:rFonts w:hint="eastAsia" w:ascii="Times New Roman" w:hAnsi="Times New Roman"/>
          <w:color w:val="000000"/>
          <w:highlight w:val="none"/>
        </w:rPr>
        <w:t>配合智能柜台测试：客户账户信息验证申请接口；客户账户信息下载申请接口；最优汇路查询；二代支付转账；客户账户信息变更申请接口；</w:t>
      </w:r>
    </w:p>
    <w:p w14:paraId="1EF2C27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w:t>
      </w:r>
      <w:r>
        <w:rPr>
          <w:rFonts w:hint="eastAsia"/>
          <w:color w:val="000000"/>
          <w:highlight w:val="none"/>
          <w:lang w:val="en-US" w:eastAsia="zh-CN"/>
        </w:rPr>
        <w:t>.</w:t>
      </w:r>
      <w:r>
        <w:rPr>
          <w:rFonts w:hint="eastAsia" w:ascii="Times New Roman" w:hAnsi="Times New Roman"/>
          <w:color w:val="000000"/>
          <w:highlight w:val="none"/>
        </w:rPr>
        <w:t>配合柜面进行测试：汇兑交易录入；交易信息复核；交易信息修改；往来账概要信息查询；往来账明细信息查询；待授权信息查询；授权处理；查询查复书查询；对账信息查询；待人工确认查询接口；手工确认操作接口等，配合查证问题及环境准备；客户账户信息注册申请接口，配合查证问题及环境准备</w:t>
      </w:r>
      <w:r>
        <w:rPr>
          <w:rFonts w:ascii="Times New Roman" w:hAnsi="Times New Roman"/>
          <w:color w:val="000000"/>
          <w:highlight w:val="none"/>
        </w:rPr>
        <w:t>；</w:t>
      </w:r>
    </w:p>
    <w:p w14:paraId="66F065B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w:t>
      </w:r>
      <w:r>
        <w:rPr>
          <w:rFonts w:hint="eastAsia"/>
          <w:color w:val="000000"/>
          <w:highlight w:val="none"/>
          <w:lang w:val="en-US" w:eastAsia="zh-CN"/>
        </w:rPr>
        <w:t>.</w:t>
      </w:r>
      <w:r>
        <w:rPr>
          <w:rFonts w:hint="eastAsia" w:ascii="Times New Roman" w:hAnsi="Times New Roman"/>
          <w:color w:val="000000"/>
          <w:highlight w:val="none"/>
        </w:rPr>
        <w:t>配合核心进行测试: ib1240记账接口；IB1243记账接口；ib1690客户信息查询接口；ib1691账户信息查询接口；ap0092对账文件查询接口；cm9997交易状态查证接口；cm9999冲账接口等，配合查证问题及环境准备</w:t>
      </w:r>
      <w:r>
        <w:rPr>
          <w:rFonts w:ascii="Times New Roman" w:hAnsi="Times New Roman"/>
          <w:color w:val="000000"/>
          <w:highlight w:val="none"/>
        </w:rPr>
        <w:t>。</w:t>
      </w:r>
    </w:p>
    <w:p w14:paraId="7D88099B">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六、针对小额节假日交易金额无上限，但工作日交易金额上限为100万的情况下，在节假日未发送的业务，在工作日处理时重新智能汇路支持重新发起：</w:t>
      </w:r>
    </w:p>
    <w:p w14:paraId="46AF804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1.针对次日到账交易遇第二日因节假日无法按照原汇路发往至对手行，需按照其他的汇路的校验规则对汇路进行重新选择</w:t>
      </w:r>
      <w:r>
        <w:rPr>
          <w:rFonts w:ascii="Times New Roman" w:hAnsi="Times New Roman"/>
          <w:color w:val="000000"/>
          <w:highlight w:val="none"/>
        </w:rPr>
        <w:t>；</w:t>
      </w:r>
    </w:p>
    <w:p w14:paraId="6B0F0FF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2.根据重新路由的汇路进行根据配置的账务分录进行账务处理，并发送至对手行，并针对该场景的异常进行特殊化登记处理</w:t>
      </w:r>
      <w:r>
        <w:rPr>
          <w:rFonts w:ascii="Times New Roman" w:hAnsi="Times New Roman"/>
          <w:color w:val="000000"/>
          <w:highlight w:val="none"/>
        </w:rPr>
        <w:t>；</w:t>
      </w:r>
    </w:p>
    <w:p w14:paraId="12ED18A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3.针对二次汇路的扣账失败、扣账超时的异常处理</w:t>
      </w:r>
      <w:r>
        <w:rPr>
          <w:rFonts w:ascii="Times New Roman" w:hAnsi="Times New Roman"/>
          <w:color w:val="000000"/>
          <w:highlight w:val="none"/>
        </w:rPr>
        <w:t>；</w:t>
      </w:r>
    </w:p>
    <w:p w14:paraId="6848F110">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4.针对二次汇路的发送失败、发送超时的异常处理</w:t>
      </w:r>
      <w:r>
        <w:rPr>
          <w:rFonts w:ascii="Times New Roman" w:hAnsi="Times New Roman"/>
          <w:color w:val="000000"/>
          <w:highlight w:val="none"/>
        </w:rPr>
        <w:t>；</w:t>
      </w:r>
    </w:p>
    <w:p w14:paraId="53568C6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5.针对二次汇路的需授权交易进行授权处理，对授权不通过的交易进行退账处理</w:t>
      </w:r>
      <w:r>
        <w:rPr>
          <w:rFonts w:ascii="Times New Roman" w:hAnsi="Times New Roman"/>
          <w:color w:val="000000"/>
          <w:highlight w:val="none"/>
        </w:rPr>
        <w:t>；</w:t>
      </w:r>
    </w:p>
    <w:p w14:paraId="13010A2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6.针对二次汇路授权不通过的交易进行退账处理</w:t>
      </w:r>
      <w:r>
        <w:rPr>
          <w:rFonts w:ascii="Times New Roman" w:hAnsi="Times New Roman"/>
          <w:color w:val="000000"/>
          <w:highlight w:val="none"/>
        </w:rPr>
        <w:t>；</w:t>
      </w:r>
    </w:p>
    <w:p w14:paraId="7F56A809">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7.结合二次汇路的发送交易，修改现有的待清的试算规则，以及清算汇总的查询</w:t>
      </w:r>
      <w:r>
        <w:rPr>
          <w:rFonts w:ascii="Times New Roman" w:hAnsi="Times New Roman"/>
          <w:color w:val="000000"/>
          <w:highlight w:val="none"/>
        </w:rPr>
        <w:t>；</w:t>
      </w:r>
    </w:p>
    <w:p w14:paraId="5414110B">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8.由于需对汇路进行重新调整，需要根据实际情况来查询该笔交易的交易状态</w:t>
      </w:r>
      <w:r>
        <w:rPr>
          <w:rFonts w:ascii="Times New Roman" w:hAnsi="Times New Roman"/>
          <w:color w:val="000000"/>
          <w:highlight w:val="none"/>
        </w:rPr>
        <w:t>；</w:t>
      </w:r>
    </w:p>
    <w:p w14:paraId="52469E6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9.针对二次汇路发送的交易，结合现有的对账流程，需修改核心的对账规则，以及完整性对账规则。</w:t>
      </w:r>
    </w:p>
    <w:p w14:paraId="77E8556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七、部分交易从对象存储迁移到文件传输平台：</w:t>
      </w:r>
    </w:p>
    <w:p w14:paraId="43B17CE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1.增量行名行号供数由以前的对象存储迁移到文件传输平台</w:t>
      </w:r>
      <w:r>
        <w:rPr>
          <w:rFonts w:ascii="Times New Roman" w:hAnsi="Times New Roman"/>
          <w:color w:val="000000"/>
          <w:highlight w:val="none"/>
        </w:rPr>
        <w:t>；</w:t>
      </w:r>
    </w:p>
    <w:p w14:paraId="11CA6AF0">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2.全量行名行号供数由以前的对象存储迁移到文件传输平台</w:t>
      </w:r>
      <w:r>
        <w:rPr>
          <w:rFonts w:ascii="Times New Roman" w:hAnsi="Times New Roman"/>
          <w:color w:val="000000"/>
          <w:highlight w:val="none"/>
        </w:rPr>
        <w:t>；</w:t>
      </w:r>
    </w:p>
    <w:p w14:paraId="5CF3BAD9">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3.通用非签名信息往账配合对象存储改造，修改相应的接口对应</w:t>
      </w:r>
      <w:r>
        <w:rPr>
          <w:rFonts w:ascii="Times New Roman" w:hAnsi="Times New Roman"/>
          <w:color w:val="000000"/>
          <w:highlight w:val="none"/>
        </w:rPr>
        <w:t>；</w:t>
      </w:r>
    </w:p>
    <w:p w14:paraId="184E9233">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4.通用非签名信息来账配合对象存储改造，修改相应的接口对应</w:t>
      </w:r>
      <w:r>
        <w:rPr>
          <w:rFonts w:ascii="Times New Roman" w:hAnsi="Times New Roman"/>
          <w:color w:val="000000"/>
          <w:highlight w:val="none"/>
        </w:rPr>
        <w:t>；</w:t>
      </w:r>
    </w:p>
    <w:p w14:paraId="5ECD88A3">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5.通用非签名信息来账应答配合对象存储改造，修改相应的接口对应</w:t>
      </w:r>
      <w:r>
        <w:rPr>
          <w:rFonts w:ascii="Times New Roman" w:hAnsi="Times New Roman"/>
          <w:color w:val="000000"/>
          <w:highlight w:val="none"/>
        </w:rPr>
        <w:t>；</w:t>
      </w:r>
    </w:p>
    <w:p w14:paraId="0716D71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6.城银对账文件由以前的对象存储迁移到文件传输平台</w:t>
      </w:r>
      <w:r>
        <w:rPr>
          <w:rFonts w:ascii="Times New Roman" w:hAnsi="Times New Roman"/>
          <w:color w:val="000000"/>
          <w:highlight w:val="none"/>
        </w:rPr>
        <w:t>；</w:t>
      </w:r>
    </w:p>
    <w:p w14:paraId="2C64073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7.三峡付对账文件由以前的对象存储迁移到文件传输平台</w:t>
      </w:r>
      <w:r>
        <w:rPr>
          <w:rFonts w:ascii="Times New Roman" w:hAnsi="Times New Roman"/>
          <w:color w:val="000000"/>
          <w:highlight w:val="none"/>
        </w:rPr>
        <w:t>；</w:t>
      </w:r>
    </w:p>
    <w:p w14:paraId="6530DD0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8.其他渠道对账文件（网银）由以前的对象存储迁移到文件传输平台</w:t>
      </w:r>
      <w:r>
        <w:rPr>
          <w:rFonts w:ascii="Times New Roman" w:hAnsi="Times New Roman"/>
          <w:color w:val="000000"/>
          <w:highlight w:val="none"/>
        </w:rPr>
        <w:t>；</w:t>
      </w:r>
    </w:p>
    <w:p w14:paraId="4AA5D942">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9.小额定期借记业务文件，配合对象存储改造，修改小额定期借记调用对象存储接口</w:t>
      </w:r>
      <w:r>
        <w:rPr>
          <w:rFonts w:ascii="Times New Roman" w:hAnsi="Times New Roman"/>
          <w:color w:val="000000"/>
          <w:highlight w:val="none"/>
        </w:rPr>
        <w:t>。</w:t>
      </w:r>
    </w:p>
    <w:p w14:paraId="5EB5511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八、批量代发授权规则优化：交易金额由单笔授权方式调整为累计授权：</w:t>
      </w:r>
    </w:p>
    <w:p w14:paraId="63FEFE4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1.法院案款授权由单笔授权修改为累计金额授权</w:t>
      </w:r>
      <w:r>
        <w:rPr>
          <w:rFonts w:ascii="Times New Roman" w:hAnsi="Times New Roman"/>
          <w:color w:val="000000"/>
          <w:highlight w:val="none"/>
        </w:rPr>
        <w:t>；</w:t>
      </w:r>
    </w:p>
    <w:p w14:paraId="6EDD8A2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2.批量转账授权由单笔授权修改为累计金额授权</w:t>
      </w:r>
      <w:r>
        <w:rPr>
          <w:rFonts w:ascii="Times New Roman" w:hAnsi="Times New Roman"/>
          <w:color w:val="000000"/>
          <w:highlight w:val="none"/>
        </w:rPr>
        <w:t>；</w:t>
      </w:r>
    </w:p>
    <w:p w14:paraId="0D6C0915">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3.批量代发授权由单笔授权修改累计金额授权</w:t>
      </w:r>
      <w:r>
        <w:rPr>
          <w:rFonts w:ascii="Times New Roman" w:hAnsi="Times New Roman"/>
          <w:color w:val="000000"/>
          <w:highlight w:val="none"/>
        </w:rPr>
        <w:t>；</w:t>
      </w:r>
    </w:p>
    <w:p w14:paraId="24F8E0F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4.多借多贷授权由单笔授权修改为累计金额授权</w:t>
      </w:r>
      <w:r>
        <w:rPr>
          <w:rFonts w:ascii="Times New Roman" w:hAnsi="Times New Roman"/>
          <w:color w:val="000000"/>
          <w:highlight w:val="none"/>
        </w:rPr>
        <w:t>；</w:t>
      </w:r>
    </w:p>
    <w:p w14:paraId="101A615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5.数字货币代发授权由单笔授权修改累计金额授权</w:t>
      </w:r>
      <w:r>
        <w:rPr>
          <w:rFonts w:ascii="Times New Roman" w:hAnsi="Times New Roman"/>
          <w:color w:val="000000"/>
          <w:highlight w:val="none"/>
        </w:rPr>
        <w:t>；</w:t>
      </w:r>
    </w:p>
    <w:p w14:paraId="722A442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6.管理端新增支持累计金额授权的配置技术要求。</w:t>
      </w:r>
    </w:p>
    <w:p w14:paraId="234A158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九、优化超网贷记来账同一客户同时存在多笔贷记来账时，系统入账校验规则，以解决现系统锁表导致超时的问题</w:t>
      </w:r>
      <w:r>
        <w:rPr>
          <w:rFonts w:ascii="Times New Roman" w:hAnsi="Times New Roman"/>
          <w:color w:val="000000"/>
          <w:highlight w:val="none"/>
        </w:rPr>
        <w:t>：</w:t>
      </w:r>
    </w:p>
    <w:p w14:paraId="19C471B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根据核心要求修改调用核心不通的账户校验规则</w:t>
      </w:r>
      <w:r>
        <w:rPr>
          <w:rFonts w:ascii="Times New Roman" w:hAnsi="Times New Roman"/>
          <w:color w:val="000000"/>
          <w:highlight w:val="none"/>
        </w:rPr>
        <w:t>；</w:t>
      </w:r>
    </w:p>
    <w:p w14:paraId="20F27A98">
      <w:pPr>
        <w:keepNext w:val="0"/>
        <w:keepLines w:val="0"/>
        <w:pageBreakBefore w:val="0"/>
        <w:kinsoku/>
        <w:overflowPunct/>
        <w:topLinePunct w:val="0"/>
        <w:autoSpaceDE w:val="0"/>
        <w:autoSpaceDN w:val="0"/>
        <w:bidi w:val="0"/>
        <w:spacing w:line="360" w:lineRule="auto"/>
        <w:ind w:left="0" w:firstLine="420" w:firstLineChars="200"/>
        <w:outlineLvl w:val="9"/>
        <w:rPr>
          <w:rStyle w:val="42"/>
          <w:rFonts w:ascii="宋体"/>
          <w:b/>
          <w:kern w:val="0"/>
          <w:sz w:val="30"/>
          <w:highlight w:val="none"/>
        </w:rPr>
      </w:pPr>
      <w:r>
        <w:rPr>
          <w:rFonts w:ascii="Times New Roman" w:hAnsi="Times New Roman"/>
          <w:color w:val="000000"/>
          <w:highlight w:val="none"/>
        </w:rPr>
        <w:t>2.</w:t>
      </w:r>
      <w:r>
        <w:rPr>
          <w:rFonts w:hint="eastAsia" w:ascii="Times New Roman" w:hAnsi="Times New Roman"/>
          <w:color w:val="000000"/>
          <w:highlight w:val="none"/>
        </w:rPr>
        <w:t>压测超网贷记来账交易，根据预估生产交易数量，压测超网贷记交易是否满足生产情况</w:t>
      </w:r>
      <w:r>
        <w:rPr>
          <w:rFonts w:ascii="Times New Roman" w:hAnsi="Times New Roman"/>
          <w:color w:val="000000"/>
          <w:highlight w:val="none"/>
        </w:rPr>
        <w:t>。</w:t>
      </w:r>
    </w:p>
    <w:p w14:paraId="04E9C8BF">
      <w:pPr>
        <w:keepNext w:val="0"/>
        <w:keepLines w:val="0"/>
        <w:pageBreakBefore w:val="0"/>
        <w:kinsoku/>
        <w:overflowPunct/>
        <w:topLinePunct w:val="0"/>
        <w:autoSpaceDE w:val="0"/>
        <w:autoSpaceDN w:val="0"/>
        <w:bidi w:val="0"/>
        <w:spacing w:line="360" w:lineRule="auto"/>
        <w:outlineLvl w:val="9"/>
        <w:rPr>
          <w:rStyle w:val="42"/>
          <w:rFonts w:ascii="宋体"/>
          <w:b/>
          <w:kern w:val="0"/>
          <w:sz w:val="30"/>
          <w:highlight w:val="none"/>
        </w:rPr>
      </w:pPr>
    </w:p>
    <w:p w14:paraId="2EE56DDF">
      <w:pPr>
        <w:keepNext w:val="0"/>
        <w:keepLines w:val="0"/>
        <w:pageBreakBefore w:val="0"/>
        <w:tabs>
          <w:tab w:val="left" w:pos="3360"/>
        </w:tabs>
        <w:kinsoku/>
        <w:overflowPunct/>
        <w:topLinePunct w:val="0"/>
        <w:autoSpaceDE w:val="0"/>
        <w:autoSpaceDN w:val="0"/>
        <w:bidi w:val="0"/>
        <w:outlineLvl w:val="9"/>
        <w:rPr>
          <w:rStyle w:val="42"/>
          <w:sz w:val="30"/>
          <w:highlight w:val="none"/>
        </w:rPr>
      </w:pPr>
      <w:r>
        <w:rPr>
          <w:rStyle w:val="42"/>
          <w:b w:val="0"/>
          <w:sz w:val="30"/>
          <w:highlight w:val="none"/>
        </w:rPr>
        <w:br w:type="page"/>
      </w:r>
      <w:r>
        <w:rPr>
          <w:rStyle w:val="42"/>
          <w:rFonts w:hint="eastAsia"/>
          <w:b w:val="0"/>
          <w:sz w:val="30"/>
          <w:highlight w:val="none"/>
        </w:rPr>
        <w:t>附件二：</w:t>
      </w:r>
      <w:r>
        <w:rPr>
          <w:rStyle w:val="42"/>
          <w:rFonts w:hint="eastAsia"/>
          <w:sz w:val="30"/>
          <w:highlight w:val="none"/>
        </w:rPr>
        <w:t>项目人员名单及人员应急退出机制</w:t>
      </w:r>
      <w:bookmarkEnd w:id="263"/>
    </w:p>
    <w:p w14:paraId="434C3030">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p>
    <w:p w14:paraId="696727B3">
      <w:pPr>
        <w:keepNext w:val="0"/>
        <w:keepLines w:val="0"/>
        <w:pageBreakBefore w:val="0"/>
        <w:kinsoku/>
        <w:overflowPunct/>
        <w:topLinePunct w:val="0"/>
        <w:autoSpaceDE w:val="0"/>
        <w:autoSpaceDN w:val="0"/>
        <w:bidi w:val="0"/>
        <w:spacing w:line="360" w:lineRule="auto"/>
        <w:outlineLvl w:val="9"/>
        <w:rPr>
          <w:rStyle w:val="42"/>
          <w:rFonts w:ascii="宋体"/>
          <w:b/>
          <w:kern w:val="0"/>
          <w:highlight w:val="none"/>
        </w:rPr>
      </w:pPr>
      <w:r>
        <w:rPr>
          <w:rStyle w:val="42"/>
          <w:rFonts w:hint="eastAsia" w:ascii="宋体"/>
          <w:b/>
          <w:kern w:val="0"/>
          <w:highlight w:val="none"/>
        </w:rPr>
        <w:t>一、项目人员名单</w:t>
      </w:r>
    </w:p>
    <w:p w14:paraId="68402C78">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 xml:space="preserve">项目经理： </w:t>
      </w:r>
    </w:p>
    <w:p w14:paraId="65CC18CB">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技术骨干：</w:t>
      </w:r>
    </w:p>
    <w:p w14:paraId="68550795">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 xml:space="preserve">项目组成员： </w:t>
      </w:r>
    </w:p>
    <w:p w14:paraId="3850EBD0">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p>
    <w:p w14:paraId="16101A79">
      <w:pPr>
        <w:keepNext w:val="0"/>
        <w:keepLines w:val="0"/>
        <w:pageBreakBefore w:val="0"/>
        <w:kinsoku/>
        <w:overflowPunct/>
        <w:topLinePunct w:val="0"/>
        <w:autoSpaceDE w:val="0"/>
        <w:autoSpaceDN w:val="0"/>
        <w:bidi w:val="0"/>
        <w:spacing w:line="360" w:lineRule="auto"/>
        <w:outlineLvl w:val="9"/>
        <w:rPr>
          <w:rStyle w:val="42"/>
          <w:rFonts w:ascii="宋体"/>
          <w:b/>
          <w:kern w:val="0"/>
          <w:highlight w:val="none"/>
        </w:rPr>
      </w:pPr>
      <w:r>
        <w:rPr>
          <w:rStyle w:val="42"/>
          <w:rFonts w:hint="eastAsia" w:ascii="宋体"/>
          <w:b/>
          <w:kern w:val="0"/>
          <w:highlight w:val="none"/>
        </w:rPr>
        <w:t>二、人员应急退出机制</w:t>
      </w:r>
    </w:p>
    <w:p w14:paraId="2829B1CE">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547FF23B">
      <w:pPr>
        <w:keepNext w:val="0"/>
        <w:keepLines w:val="0"/>
        <w:pageBreakBefore w:val="0"/>
        <w:kinsoku/>
        <w:overflowPunct/>
        <w:topLinePunct w:val="0"/>
        <w:autoSpaceDE w:val="0"/>
        <w:autoSpaceDN w:val="0"/>
        <w:bidi w:val="0"/>
        <w:spacing w:line="360" w:lineRule="auto"/>
        <w:ind w:firstLine="465" w:firstLineChars="0"/>
        <w:outlineLvl w:val="9"/>
        <w:rPr>
          <w:rStyle w:val="42"/>
          <w:rFonts w:ascii="宋体"/>
          <w:kern w:val="0"/>
          <w:highlight w:val="none"/>
        </w:rPr>
      </w:pPr>
      <w:r>
        <w:rPr>
          <w:rStyle w:val="42"/>
          <w:rFonts w:hint="eastAsia" w:ascii="宋体"/>
          <w:kern w:val="0"/>
          <w:highlight w:val="none"/>
        </w:rPr>
        <w:t>备用项目经理：</w:t>
      </w:r>
    </w:p>
    <w:p w14:paraId="7F0D6602">
      <w:pPr>
        <w:keepNext w:val="0"/>
        <w:keepLines w:val="0"/>
        <w:pageBreakBefore w:val="0"/>
        <w:kinsoku/>
        <w:overflowPunct/>
        <w:topLinePunct w:val="0"/>
        <w:autoSpaceDE w:val="0"/>
        <w:autoSpaceDN w:val="0"/>
        <w:bidi w:val="0"/>
        <w:spacing w:line="360" w:lineRule="auto"/>
        <w:ind w:firstLine="465" w:firstLineChars="0"/>
        <w:outlineLvl w:val="9"/>
        <w:rPr>
          <w:rStyle w:val="42"/>
          <w:rFonts w:ascii="宋体"/>
          <w:kern w:val="0"/>
          <w:highlight w:val="none"/>
        </w:rPr>
      </w:pPr>
      <w:r>
        <w:rPr>
          <w:rStyle w:val="42"/>
          <w:rFonts w:hint="eastAsia" w:ascii="宋体"/>
          <w:kern w:val="0"/>
          <w:highlight w:val="none"/>
        </w:rPr>
        <w:t>备用技术骨干：</w:t>
      </w:r>
    </w:p>
    <w:p w14:paraId="0044C02A">
      <w:pPr>
        <w:keepNext w:val="0"/>
        <w:keepLines w:val="0"/>
        <w:pageBreakBefore w:val="0"/>
        <w:tabs>
          <w:tab w:val="left" w:pos="3360"/>
        </w:tabs>
        <w:kinsoku/>
        <w:overflowPunct/>
        <w:topLinePunct w:val="0"/>
        <w:autoSpaceDE w:val="0"/>
        <w:autoSpaceDN w:val="0"/>
        <w:bidi w:val="0"/>
        <w:jc w:val="both"/>
        <w:outlineLvl w:val="9"/>
        <w:rPr>
          <w:rStyle w:val="42"/>
          <w:sz w:val="30"/>
          <w:highlight w:val="none"/>
        </w:rPr>
      </w:pPr>
      <w:r>
        <w:rPr>
          <w:rStyle w:val="42"/>
          <w:rFonts w:hint="eastAsia"/>
          <w:b w:val="0"/>
          <w:sz w:val="30"/>
          <w:highlight w:val="none"/>
        </w:rPr>
        <w:br w:type="page"/>
      </w:r>
      <w:bookmarkStart w:id="264" w:name="_Toc63757483"/>
      <w:r>
        <w:rPr>
          <w:rStyle w:val="42"/>
          <w:rFonts w:hint="eastAsia"/>
          <w:sz w:val="30"/>
          <w:highlight w:val="none"/>
        </w:rPr>
        <w:t>附件三：验收标准及流程</w:t>
      </w:r>
      <w:bookmarkEnd w:id="264"/>
    </w:p>
    <w:p w14:paraId="67B38B9E">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b/>
          <w:kern w:val="0"/>
          <w:highlight w:val="none"/>
        </w:rPr>
        <w:t>一、验收标准</w:t>
      </w:r>
    </w:p>
    <w:p w14:paraId="52333998">
      <w:pPr>
        <w:keepNext w:val="0"/>
        <w:keepLines w:val="0"/>
        <w:pageBreakBefore w:val="0"/>
        <w:numPr>
          <w:ilvl w:val="0"/>
          <w:numId w:val="1"/>
        </w:numPr>
        <w:kinsoku/>
        <w:overflowPunct/>
        <w:topLinePunct w:val="0"/>
        <w:autoSpaceDE w:val="0"/>
        <w:autoSpaceDN w:val="0"/>
        <w:bidi w:val="0"/>
        <w:spacing w:line="360" w:lineRule="auto"/>
        <w:ind w:firstLineChars="0"/>
        <w:outlineLvl w:val="9"/>
        <w:rPr>
          <w:rStyle w:val="42"/>
          <w:rFonts w:ascii="宋体"/>
          <w:kern w:val="0"/>
          <w:highlight w:val="none"/>
        </w:rPr>
      </w:pPr>
      <w:r>
        <w:rPr>
          <w:rStyle w:val="42"/>
          <w:rFonts w:hint="eastAsia" w:ascii="宋体"/>
          <w:kern w:val="0"/>
          <w:highlight w:val="none"/>
        </w:rPr>
        <w:t>验收系统须满足试运行期内项目产品运行稳定、无遗留问题。</w:t>
      </w:r>
    </w:p>
    <w:p w14:paraId="43AC9899">
      <w:pPr>
        <w:keepNext w:val="0"/>
        <w:keepLines w:val="0"/>
        <w:pageBreakBefore w:val="0"/>
        <w:numPr>
          <w:ilvl w:val="0"/>
          <w:numId w:val="1"/>
        </w:numPr>
        <w:kinsoku/>
        <w:overflowPunct/>
        <w:topLinePunct w:val="0"/>
        <w:autoSpaceDE w:val="0"/>
        <w:autoSpaceDN w:val="0"/>
        <w:bidi w:val="0"/>
        <w:spacing w:line="360" w:lineRule="auto"/>
        <w:ind w:firstLineChars="0"/>
        <w:outlineLvl w:val="9"/>
        <w:rPr>
          <w:rStyle w:val="42"/>
          <w:rFonts w:ascii="宋体"/>
          <w:kern w:val="0"/>
          <w:highlight w:val="none"/>
        </w:rPr>
      </w:pPr>
      <w:r>
        <w:rPr>
          <w:rStyle w:val="42"/>
          <w:rFonts w:hint="eastAsia" w:ascii="宋体"/>
          <w:kern w:val="0"/>
          <w:highlight w:val="none"/>
        </w:rPr>
        <w:t>项目知识及文档已全部完成转移。</w:t>
      </w:r>
    </w:p>
    <w:p w14:paraId="727DE0AD">
      <w:pPr>
        <w:keepNext w:val="0"/>
        <w:keepLines w:val="0"/>
        <w:pageBreakBefore w:val="0"/>
        <w:kinsoku/>
        <w:overflowPunct/>
        <w:topLinePunct w:val="0"/>
        <w:autoSpaceDE w:val="0"/>
        <w:autoSpaceDN w:val="0"/>
        <w:bidi w:val="0"/>
        <w:spacing w:line="360" w:lineRule="auto"/>
        <w:ind w:firstLine="315" w:firstLineChars="150"/>
        <w:outlineLvl w:val="9"/>
        <w:rPr>
          <w:rStyle w:val="42"/>
          <w:rFonts w:ascii="宋体"/>
          <w:kern w:val="0"/>
          <w:highlight w:val="none"/>
        </w:rPr>
      </w:pPr>
      <w:r>
        <w:rPr>
          <w:rStyle w:val="42"/>
          <w:rFonts w:hint="eastAsia" w:ascii="宋体"/>
          <w:kern w:val="0"/>
          <w:highlight w:val="none"/>
        </w:rPr>
        <w:t>3、 验收交付物包括：</w:t>
      </w:r>
    </w:p>
    <w:p w14:paraId="3B96EF4C">
      <w:pPr>
        <w:keepNext w:val="0"/>
        <w:keepLines w:val="0"/>
        <w:pageBreakBefore w:val="0"/>
        <w:kinsoku/>
        <w:overflowPunct/>
        <w:topLinePunct w:val="0"/>
        <w:autoSpaceDE w:val="0"/>
        <w:autoSpaceDN w:val="0"/>
        <w:bidi w:val="0"/>
        <w:spacing w:line="360" w:lineRule="auto"/>
        <w:outlineLvl w:val="9"/>
        <w:rPr>
          <w:rStyle w:val="42"/>
          <w:rFonts w:ascii="宋体"/>
          <w:color w:val="FF0000"/>
          <w:kern w:val="0"/>
          <w:highlight w:val="none"/>
        </w:rPr>
      </w:pPr>
      <w:r>
        <w:rPr>
          <w:rStyle w:val="42"/>
          <w:rFonts w:hint="eastAsia" w:ascii="宋体"/>
          <w:color w:val="FF0000"/>
          <w:kern w:val="0"/>
          <w:highlight w:val="none"/>
        </w:rPr>
        <w:t>《项目需求分析说明书》、《概要设计说明书》、《详细设计说明书》、《数据库设计说明书》、《系统安装部署手册》、《系统运行维护手册》、《用户操作手册》、《试运行报告》、《验收报告》</w:t>
      </w:r>
    </w:p>
    <w:p w14:paraId="21AD077B">
      <w:pPr>
        <w:keepNext w:val="0"/>
        <w:keepLines w:val="0"/>
        <w:pageBreakBefore w:val="0"/>
        <w:kinsoku/>
        <w:overflowPunct/>
        <w:topLinePunct w:val="0"/>
        <w:autoSpaceDE w:val="0"/>
        <w:autoSpaceDN w:val="0"/>
        <w:bidi w:val="0"/>
        <w:spacing w:line="360" w:lineRule="auto"/>
        <w:outlineLvl w:val="9"/>
        <w:rPr>
          <w:rStyle w:val="42"/>
          <w:rFonts w:ascii="宋体"/>
          <w:color w:val="FF0000"/>
          <w:kern w:val="0"/>
          <w:highlight w:val="none"/>
        </w:rPr>
      </w:pPr>
      <w:r>
        <w:rPr>
          <w:rStyle w:val="42"/>
          <w:rFonts w:hint="eastAsia" w:ascii="宋体"/>
          <w:color w:val="FF0000"/>
          <w:kern w:val="0"/>
          <w:highlight w:val="none"/>
        </w:rPr>
        <w:t>涉及数据迁移的，准备《数据迁移方案》；涉及兼容性方面的，准备《软件兼容性方案》；项目自负系统测试的，准备《系统测试计划》、《系统测试报告》、《性能测试报告》、《安全测试报告》；正文</w:t>
      </w:r>
      <w:r>
        <w:rPr>
          <w:rStyle w:val="42"/>
          <w:rFonts w:ascii="宋体"/>
          <w:color w:val="FF0000"/>
          <w:kern w:val="0"/>
          <w:highlight w:val="none"/>
        </w:rPr>
        <w:t>要求提供源代码</w:t>
      </w:r>
      <w:r>
        <w:rPr>
          <w:rStyle w:val="42"/>
          <w:rFonts w:hint="eastAsia" w:ascii="宋体"/>
          <w:color w:val="FF0000"/>
          <w:kern w:val="0"/>
          <w:highlight w:val="none"/>
        </w:rPr>
        <w:t>的</w:t>
      </w:r>
      <w:r>
        <w:rPr>
          <w:rStyle w:val="42"/>
          <w:rFonts w:ascii="宋体"/>
          <w:color w:val="FF0000"/>
          <w:kern w:val="0"/>
          <w:highlight w:val="none"/>
        </w:rPr>
        <w:t>，准备源代码</w:t>
      </w:r>
    </w:p>
    <w:p w14:paraId="1189C77F">
      <w:pPr>
        <w:keepNext w:val="0"/>
        <w:keepLines w:val="0"/>
        <w:pageBreakBefore w:val="0"/>
        <w:kinsoku/>
        <w:overflowPunct/>
        <w:topLinePunct w:val="0"/>
        <w:autoSpaceDE w:val="0"/>
        <w:autoSpaceDN w:val="0"/>
        <w:bidi w:val="0"/>
        <w:spacing w:line="360" w:lineRule="auto"/>
        <w:outlineLvl w:val="9"/>
        <w:rPr>
          <w:rStyle w:val="42"/>
          <w:rFonts w:ascii="宋体"/>
          <w:b/>
          <w:kern w:val="0"/>
          <w:highlight w:val="none"/>
        </w:rPr>
      </w:pPr>
      <w:r>
        <w:rPr>
          <w:rStyle w:val="42"/>
          <w:rFonts w:hint="eastAsia" w:ascii="宋体"/>
          <w:b/>
          <w:kern w:val="0"/>
          <w:highlight w:val="none"/>
        </w:rPr>
        <w:t>二、验收流程</w:t>
      </w:r>
    </w:p>
    <w:p w14:paraId="11285873">
      <w:pPr>
        <w:keepNext w:val="0"/>
        <w:keepLines w:val="0"/>
        <w:pageBreakBefore w:val="0"/>
        <w:kinsoku/>
        <w:overflowPunct/>
        <w:topLinePunct w:val="0"/>
        <w:autoSpaceDE w:val="0"/>
        <w:autoSpaceDN w:val="0"/>
        <w:bidi w:val="0"/>
        <w:spacing w:line="360" w:lineRule="auto"/>
        <w:ind w:left="2" w:leftChars="1" w:firstLine="315" w:firstLineChars="150"/>
        <w:outlineLvl w:val="9"/>
        <w:rPr>
          <w:rStyle w:val="42"/>
          <w:rFonts w:ascii="宋体"/>
          <w:kern w:val="0"/>
          <w:highlight w:val="none"/>
        </w:rPr>
      </w:pPr>
      <w:r>
        <w:rPr>
          <w:rStyle w:val="42"/>
          <w:rFonts w:hint="eastAsia" w:ascii="宋体"/>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5110C3B8">
      <w:pPr>
        <w:keepNext w:val="0"/>
        <w:keepLines w:val="0"/>
        <w:pageBreakBefore w:val="0"/>
        <w:kinsoku/>
        <w:overflowPunct/>
        <w:topLinePunct w:val="0"/>
        <w:autoSpaceDE w:val="0"/>
        <w:autoSpaceDN w:val="0"/>
        <w:bidi w:val="0"/>
        <w:spacing w:line="360" w:lineRule="auto"/>
        <w:ind w:left="-358"/>
        <w:outlineLvl w:val="9"/>
        <w:rPr>
          <w:rStyle w:val="42"/>
          <w:rFonts w:ascii="宋体"/>
          <w:kern w:val="0"/>
          <w:highlight w:val="none"/>
        </w:rPr>
      </w:pPr>
    </w:p>
    <w:p w14:paraId="75497FA0">
      <w:pPr>
        <w:keepNext w:val="0"/>
        <w:keepLines w:val="0"/>
        <w:pageBreakBefore w:val="0"/>
        <w:tabs>
          <w:tab w:val="left" w:pos="3360"/>
        </w:tabs>
        <w:kinsoku/>
        <w:overflowPunct/>
        <w:topLinePunct w:val="0"/>
        <w:autoSpaceDE w:val="0"/>
        <w:autoSpaceDN w:val="0"/>
        <w:bidi w:val="0"/>
        <w:jc w:val="both"/>
        <w:outlineLvl w:val="9"/>
        <w:rPr>
          <w:rStyle w:val="42"/>
          <w:sz w:val="30"/>
          <w:highlight w:val="none"/>
        </w:rPr>
      </w:pPr>
      <w:r>
        <w:rPr>
          <w:rStyle w:val="42"/>
          <w:rFonts w:hint="eastAsia"/>
          <w:b w:val="0"/>
          <w:sz w:val="30"/>
          <w:highlight w:val="none"/>
        </w:rPr>
        <w:br w:type="page"/>
      </w:r>
      <w:bookmarkStart w:id="265" w:name="_Toc63757484"/>
      <w:r>
        <w:rPr>
          <w:rStyle w:val="42"/>
          <w:rFonts w:hint="eastAsia"/>
          <w:sz w:val="30"/>
          <w:highlight w:val="none"/>
        </w:rPr>
        <w:t>附件四：维护服务条款</w:t>
      </w:r>
      <w:bookmarkEnd w:id="265"/>
    </w:p>
    <w:p w14:paraId="1B888366">
      <w:pPr>
        <w:keepNext w:val="0"/>
        <w:keepLines w:val="0"/>
        <w:pageBreakBefore w:val="0"/>
        <w:kinsoku/>
        <w:overflowPunct/>
        <w:topLinePunct w:val="0"/>
        <w:autoSpaceDE w:val="0"/>
        <w:autoSpaceDN w:val="0"/>
        <w:bidi w:val="0"/>
        <w:spacing w:line="360" w:lineRule="auto"/>
        <w:ind w:firstLine="480" w:firstLineChars="0"/>
        <w:outlineLvl w:val="9"/>
        <w:rPr>
          <w:rStyle w:val="42"/>
          <w:rFonts w:ascii="宋体"/>
          <w:kern w:val="0"/>
          <w:highlight w:val="none"/>
        </w:rPr>
      </w:pPr>
      <w:r>
        <w:rPr>
          <w:rStyle w:val="42"/>
          <w:rFonts w:hint="eastAsia" w:ascii="宋体"/>
          <w:kern w:val="0"/>
          <w:highlight w:val="none"/>
        </w:rPr>
        <w:t>乙方业务代表</w:t>
      </w:r>
      <w:r>
        <w:rPr>
          <w:rStyle w:val="42"/>
          <w:rFonts w:ascii="宋体" w:eastAsia="宋体"/>
          <w:spacing w:val="0"/>
          <w:kern w:val="0"/>
          <w:highlight w:val="none"/>
        </w:rPr>
        <w:t>（姓名：XXX，身份证号码：XXXXXXXXXXXX）</w:t>
      </w:r>
      <w:r>
        <w:rPr>
          <w:rStyle w:val="42"/>
          <w:rFonts w:hint="eastAsia" w:ascii="宋体"/>
          <w:kern w:val="0"/>
          <w:highlight w:val="none"/>
        </w:rPr>
        <w:t>作为技术服务的第一联系人，项目经理作为该项目的技术服务第二联系人，随时接受客户的电话服务支持，并申请调配相关资源为客户提供及时服务。</w:t>
      </w:r>
    </w:p>
    <w:p w14:paraId="1CF523B7">
      <w:pPr>
        <w:keepNext w:val="0"/>
        <w:keepLines w:val="0"/>
        <w:pageBreakBefore w:val="0"/>
        <w:numPr>
          <w:ilvl w:val="0"/>
          <w:numId w:val="2"/>
        </w:numPr>
        <w:kinsoku/>
        <w:overflowPunct/>
        <w:topLinePunct w:val="0"/>
        <w:autoSpaceDE w:val="0"/>
        <w:autoSpaceDN w:val="0"/>
        <w:bidi w:val="0"/>
        <w:spacing w:line="360" w:lineRule="auto"/>
        <w:ind w:firstLineChars="0"/>
        <w:outlineLvl w:val="9"/>
        <w:rPr>
          <w:rStyle w:val="42"/>
          <w:rFonts w:ascii="宋体"/>
          <w:highlight w:val="none"/>
        </w:rPr>
      </w:pPr>
      <w:r>
        <w:rPr>
          <w:rStyle w:val="42"/>
          <w:rFonts w:hint="eastAsia" w:ascii="宋体"/>
          <w:highlight w:val="none"/>
        </w:rPr>
        <w:t>系统正式验收通过，上线后提供三个月免费人员现场驻场维护，</w:t>
      </w:r>
      <w:r>
        <w:rPr>
          <w:rFonts w:hint="eastAsia" w:ascii="宋体"/>
          <w:kern w:val="0"/>
          <w:highlight w:val="none"/>
        </w:rPr>
        <w:t>正式</w:t>
      </w:r>
      <w:r>
        <w:rPr>
          <w:rFonts w:hint="eastAsia" w:ascii="宋体"/>
          <w:highlight w:val="none"/>
        </w:rPr>
        <w:t>验收合格次日</w:t>
      </w:r>
      <w:r>
        <w:rPr>
          <w:rStyle w:val="42"/>
          <w:rFonts w:hint="eastAsia" w:ascii="宋体"/>
          <w:highlight w:val="none"/>
        </w:rPr>
        <w:t>至次年</w:t>
      </w:r>
      <w:r>
        <w:rPr>
          <w:rFonts w:hint="eastAsia" w:ascii="宋体"/>
          <w:highlight w:val="none"/>
        </w:rPr>
        <w:t>并延期至6月30日或12月31日中较近日期（即维保延期最长不超过半年）</w:t>
      </w:r>
      <w:r>
        <w:rPr>
          <w:rStyle w:val="42"/>
          <w:rFonts w:hint="eastAsia" w:ascii="宋体"/>
          <w:highlight w:val="none"/>
        </w:rPr>
        <w:t>提供支持和服务。</w:t>
      </w:r>
    </w:p>
    <w:p w14:paraId="6EC81F04">
      <w:pPr>
        <w:keepNext w:val="0"/>
        <w:keepLines w:val="0"/>
        <w:pageBreakBefore w:val="0"/>
        <w:numPr>
          <w:ilvl w:val="0"/>
          <w:numId w:val="2"/>
        </w:numPr>
        <w:kinsoku/>
        <w:overflowPunct/>
        <w:topLinePunct w:val="0"/>
        <w:autoSpaceDE w:val="0"/>
        <w:autoSpaceDN w:val="0"/>
        <w:bidi w:val="0"/>
        <w:spacing w:line="360" w:lineRule="auto"/>
        <w:ind w:firstLineChars="0"/>
        <w:outlineLvl w:val="9"/>
        <w:rPr>
          <w:rStyle w:val="42"/>
          <w:rFonts w:ascii="宋体"/>
          <w:highlight w:val="none"/>
        </w:rPr>
      </w:pPr>
      <w:r>
        <w:rPr>
          <w:rStyle w:val="42"/>
          <w:rFonts w:hint="eastAsia" w:ascii="宋体"/>
          <w:highlight w:val="none"/>
        </w:rPr>
        <w:t>维护期内，提供平台升级及优化服务。</w:t>
      </w:r>
    </w:p>
    <w:p w14:paraId="12B8E0E4">
      <w:pPr>
        <w:keepNext w:val="0"/>
        <w:keepLines w:val="0"/>
        <w:pageBreakBefore w:val="0"/>
        <w:numPr>
          <w:ilvl w:val="0"/>
          <w:numId w:val="2"/>
        </w:numPr>
        <w:kinsoku/>
        <w:overflowPunct/>
        <w:topLinePunct w:val="0"/>
        <w:autoSpaceDE w:val="0"/>
        <w:autoSpaceDN w:val="0"/>
        <w:bidi w:val="0"/>
        <w:spacing w:line="360" w:lineRule="auto"/>
        <w:ind w:firstLineChars="0"/>
        <w:outlineLvl w:val="9"/>
        <w:rPr>
          <w:rStyle w:val="42"/>
          <w:rFonts w:ascii="宋体"/>
          <w:highlight w:val="none"/>
        </w:rPr>
      </w:pPr>
      <w:r>
        <w:rPr>
          <w:rStyle w:val="42"/>
          <w:rFonts w:hint="eastAsia" w:ascii="宋体"/>
          <w:highlight w:val="none"/>
        </w:rPr>
        <w:t>系统上线后，提供二次系统和产品的培训，时间为每次1天。在维护期内，也可以根据用户需求，随时到客户现场进行系统和产品的培训。</w:t>
      </w:r>
    </w:p>
    <w:p w14:paraId="3DF10794">
      <w:pPr>
        <w:keepNext w:val="0"/>
        <w:keepLines w:val="0"/>
        <w:pageBreakBefore w:val="0"/>
        <w:numPr>
          <w:ilvl w:val="0"/>
          <w:numId w:val="2"/>
        </w:numPr>
        <w:kinsoku/>
        <w:overflowPunct/>
        <w:topLinePunct w:val="0"/>
        <w:autoSpaceDE w:val="0"/>
        <w:autoSpaceDN w:val="0"/>
        <w:bidi w:val="0"/>
        <w:spacing w:line="360" w:lineRule="auto"/>
        <w:ind w:firstLineChars="0"/>
        <w:outlineLvl w:val="9"/>
        <w:rPr>
          <w:rFonts w:ascii="宋体"/>
          <w:highlight w:val="none"/>
        </w:rPr>
      </w:pPr>
      <w:r>
        <w:rPr>
          <w:rStyle w:val="42"/>
          <w:rFonts w:hint="eastAsia" w:ascii="宋体"/>
          <w:highlight w:val="none"/>
        </w:rPr>
        <w:t>维护期内，每季度派工程师现场巡检一次，并在巡检后提交巡检报告，针对巡检中发现的问题立即组织整改。</w:t>
      </w:r>
      <w:bookmarkStart w:id="266" w:name="_Toc131174383"/>
      <w:bookmarkStart w:id="267" w:name="_Toc87509290"/>
      <w:bookmarkStart w:id="268" w:name="_Toc85087070"/>
    </w:p>
    <w:p w14:paraId="1C2EC6A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支持方式和手段</w:t>
      </w:r>
      <w:bookmarkEnd w:id="266"/>
      <w:bookmarkEnd w:id="267"/>
      <w:bookmarkEnd w:id="268"/>
    </w:p>
    <w:p w14:paraId="4499CCBE">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热线电话</w:t>
      </w:r>
    </w:p>
    <w:p w14:paraId="6DF3A69F">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针对具体业务过程中产生的各种技术咨询，开设专线，提供7*24小时的技术服务支持。</w:t>
      </w:r>
    </w:p>
    <w:p w14:paraId="47765754">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E-mail</w:t>
      </w:r>
    </w:p>
    <w:p w14:paraId="42847121">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客户建议、意见及技术支持同样可以通过</w:t>
      </w:r>
      <w:r>
        <w:rPr>
          <w:rFonts w:hint="eastAsia" w:ascii="宋体"/>
          <w:highlight w:val="none"/>
          <w:u w:val="single"/>
        </w:rPr>
        <w:t xml:space="preserve">    XXXXX公司（乙方）  </w:t>
      </w:r>
      <w:r>
        <w:rPr>
          <w:rFonts w:hint="eastAsia" w:ascii="宋体"/>
          <w:highlight w:val="none"/>
        </w:rPr>
        <w:t>提供的服务支持电子信箱获得响应，我们将做出详细、全面的服务解答，在半天内给予E-mail回复。</w:t>
      </w:r>
    </w:p>
    <w:p w14:paraId="6A0696FC">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远程登录</w:t>
      </w:r>
    </w:p>
    <w:p w14:paraId="69C547A1">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对客户所遇到技术问题可以在客户条件许可的情况下进行远程访问排除故障，以方便客户能够及时解决疑难杂症。</w:t>
      </w:r>
    </w:p>
    <w:p w14:paraId="4AAA0CA4">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现场支持</w:t>
      </w:r>
    </w:p>
    <w:p w14:paraId="01F2D012">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633BE5D">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运行日志定期检查</w:t>
      </w:r>
    </w:p>
    <w:p w14:paraId="7C0D8A70">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最好的服务方式是提前发现问题，将问题解决于发生前，在</w:t>
      </w:r>
      <w:r>
        <w:rPr>
          <w:rStyle w:val="42"/>
          <w:rFonts w:hint="eastAsia" w:ascii="宋体"/>
          <w:kern w:val="0"/>
          <w:highlight w:val="none"/>
        </w:rPr>
        <w:t>乙方</w:t>
      </w:r>
      <w:r>
        <w:rPr>
          <w:rFonts w:hint="eastAsia" w:ascii="宋体"/>
          <w:highlight w:val="none"/>
        </w:rPr>
        <w:t>实施的系统中，提供了相关的运行日志，通过和客户的协商，通过客户定期提供的运行日志，可实现定期的日志检查，可以提前发现系统的运行问题，以起到防患于未然的效果。</w:t>
      </w:r>
    </w:p>
    <w:p w14:paraId="32ECFB9C">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故障处理流程</w:t>
      </w:r>
    </w:p>
    <w:p w14:paraId="58D870EF">
      <w:pPr>
        <w:keepNext w:val="0"/>
        <w:keepLines w:val="0"/>
        <w:pageBreakBefore w:val="0"/>
        <w:kinsoku/>
        <w:overflowPunct/>
        <w:topLinePunct w:val="0"/>
        <w:autoSpaceDE w:val="0"/>
        <w:autoSpaceDN w:val="0"/>
        <w:bidi w:val="0"/>
        <w:spacing w:line="360" w:lineRule="auto"/>
        <w:ind w:left="420"/>
        <w:outlineLvl w:val="9"/>
        <w:rPr>
          <w:rFonts w:ascii="宋体"/>
          <w:highlight w:val="none"/>
        </w:rPr>
        <w:sectPr>
          <w:pgSz w:w="11906" w:h="16838"/>
          <w:pgMar w:top="1440" w:right="1797" w:bottom="1440" w:left="1797" w:header="851" w:footer="992" w:gutter="0"/>
          <w:pgNumType w:fmt="decimal"/>
          <w:cols w:space="720" w:num="1"/>
          <w:docGrid w:type="lines" w:linePitch="326" w:charSpace="-4913"/>
        </w:sectPr>
      </w:pPr>
      <w:r>
        <w:rPr>
          <w:rFonts w:hint="eastAsia" w:ascii="宋体"/>
          <w:highlight w:val="none"/>
        </w:rPr>
        <w:t>通过现象定位错误原因，编写处理说明书（包含处理完成时间）。</w:t>
      </w:r>
    </w:p>
    <w:p w14:paraId="21B68CF2">
      <w:pPr>
        <w:keepNext w:val="0"/>
        <w:keepLines w:val="0"/>
        <w:pageBreakBefore w:val="0"/>
        <w:tabs>
          <w:tab w:val="left" w:pos="3360"/>
        </w:tabs>
        <w:kinsoku/>
        <w:overflowPunct/>
        <w:topLinePunct w:val="0"/>
        <w:autoSpaceDE w:val="0"/>
        <w:autoSpaceDN w:val="0"/>
        <w:bidi w:val="0"/>
        <w:jc w:val="left"/>
        <w:outlineLvl w:val="9"/>
        <w:rPr>
          <w:rStyle w:val="32"/>
          <w:rFonts w:ascii="宋体" w:cs="等线 Light"/>
          <w:kern w:val="0"/>
          <w:sz w:val="30"/>
          <w:highlight w:val="none"/>
        </w:rPr>
      </w:pPr>
      <w:bookmarkStart w:id="269" w:name="_Toc63757485"/>
      <w:r>
        <w:rPr>
          <w:rStyle w:val="32"/>
          <w:rFonts w:hint="eastAsia" w:ascii="宋体" w:cs="等线 Light"/>
          <w:kern w:val="0"/>
          <w:sz w:val="30"/>
          <w:highlight w:val="none"/>
        </w:rPr>
        <w:t>附件五：服务水平协议（SLA）</w:t>
      </w:r>
      <w:bookmarkEnd w:id="269"/>
    </w:p>
    <w:p w14:paraId="49BAD7A5">
      <w:pPr>
        <w:keepNext w:val="0"/>
        <w:keepLines w:val="0"/>
        <w:pageBreakBefore w:val="0"/>
        <w:kinsoku/>
        <w:overflowPunct/>
        <w:topLinePunct w:val="0"/>
        <w:autoSpaceDE w:val="0"/>
        <w:autoSpaceDN w:val="0"/>
        <w:bidi w:val="0"/>
        <w:ind w:left="0" w:firstLine="0" w:firstLineChars="0"/>
        <w:jc w:val="both"/>
        <w:outlineLvl w:val="9"/>
        <w:rPr>
          <w:highlight w:val="none"/>
        </w:rPr>
      </w:pPr>
    </w:p>
    <w:p w14:paraId="1962184F">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szCs w:val="24"/>
          <w:highlight w:val="none"/>
        </w:rPr>
      </w:pPr>
      <w:bookmarkStart w:id="270" w:name="_Toc254884639"/>
      <w:r>
        <w:rPr>
          <w:rFonts w:hint="eastAsia" w:ascii="宋体" w:eastAsia="宋体"/>
          <w:b/>
          <w:bCs/>
          <w:spacing w:val="0"/>
          <w:kern w:val="32"/>
          <w:szCs w:val="24"/>
          <w:highlight w:val="none"/>
        </w:rPr>
        <w:t>1. 目标</w:t>
      </w:r>
      <w:bookmarkEnd w:id="270"/>
    </w:p>
    <w:p w14:paraId="5776811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spacing w:val="0"/>
          <w:szCs w:val="24"/>
          <w:highlight w:val="none"/>
        </w:rPr>
        <w:t>本服务水平协议（SLA）的目标是为了清晰地定义由xxxxxx公司（乙方）在本项目中为重庆三峡银行（甲方）提供的服务水平，本SLA主要：</w:t>
      </w:r>
    </w:p>
    <w:p w14:paraId="2EDF2F4E">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明确甲方对外包乙方所提供服务水平的期望</w:t>
      </w:r>
    </w:p>
    <w:p w14:paraId="62B3650F">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规范和加强甲方对乙方所提供服务水平的控制</w:t>
      </w:r>
    </w:p>
    <w:p w14:paraId="35E46DB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spacing w:val="0"/>
          <w:szCs w:val="24"/>
          <w:highlight w:val="none"/>
        </w:rPr>
        <w:t>双方将针对本项目制定明确的职责分工表用来确定计划和管理服务水平协议的角色和职责。</w:t>
      </w:r>
    </w:p>
    <w:p w14:paraId="5E5515C8">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1" w:name="_Toc254884640"/>
      <w:r>
        <w:rPr>
          <w:rFonts w:hint="eastAsia" w:ascii="宋体" w:eastAsia="宋体"/>
          <w:b/>
          <w:bCs/>
          <w:spacing w:val="0"/>
          <w:kern w:val="32"/>
          <w:szCs w:val="24"/>
          <w:highlight w:val="none"/>
        </w:rPr>
        <w:t>2. 协议期限</w:t>
      </w:r>
      <w:bookmarkEnd w:id="271"/>
    </w:p>
    <w:p w14:paraId="2C77836E">
      <w:pPr>
        <w:keepNext w:val="0"/>
        <w:keepLines w:val="0"/>
        <w:pageBreakBefore w:val="0"/>
        <w:kinsoku/>
        <w:overflowPunct/>
        <w:topLinePunct w:val="0"/>
        <w:autoSpaceDE w:val="0"/>
        <w:autoSpaceDN w:val="0"/>
        <w:bidi w:val="0"/>
        <w:spacing w:line="360" w:lineRule="auto"/>
        <w:ind w:firstLine="371" w:firstLineChars="177"/>
        <w:outlineLvl w:val="9"/>
        <w:rPr>
          <w:rFonts w:ascii="宋体" w:eastAsia="宋体"/>
          <w:spacing w:val="0"/>
          <w:szCs w:val="24"/>
          <w:highlight w:val="none"/>
        </w:rPr>
      </w:pPr>
      <w:r>
        <w:rPr>
          <w:rFonts w:hint="eastAsia" w:ascii="宋体" w:eastAsia="宋体"/>
          <w:spacing w:val="0"/>
          <w:szCs w:val="24"/>
          <w:highlight w:val="none"/>
        </w:rPr>
        <w:t>根据双方达成的一致要求，本协议的有效期从本项目实施之日起到合同正文</w:t>
      </w:r>
      <w:r>
        <w:rPr>
          <w:rFonts w:hint="eastAsia" w:ascii="宋体" w:eastAsia="宋体"/>
          <w:spacing w:val="0"/>
          <w:highlight w:val="none"/>
        </w:rPr>
        <w:t>6.1承诺的</w:t>
      </w:r>
      <w:r>
        <w:rPr>
          <w:rFonts w:hint="eastAsia" w:ascii="宋体" w:eastAsia="宋体"/>
          <w:spacing w:val="0"/>
          <w:szCs w:val="24"/>
          <w:highlight w:val="none"/>
        </w:rPr>
        <w:t>维护期结束。</w:t>
      </w:r>
    </w:p>
    <w:p w14:paraId="7E600E34">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2" w:name="_Toc254884641"/>
      <w:r>
        <w:rPr>
          <w:rFonts w:hint="eastAsia" w:ascii="宋体" w:eastAsia="宋体"/>
          <w:b/>
          <w:bCs/>
          <w:spacing w:val="0"/>
          <w:kern w:val="32"/>
          <w:szCs w:val="24"/>
          <w:highlight w:val="none"/>
        </w:rPr>
        <w:t>3. 双方职责</w:t>
      </w:r>
      <w:bookmarkEnd w:id="272"/>
    </w:p>
    <w:p w14:paraId="14A50681">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3" w:name="_Toc254884642"/>
      <w:r>
        <w:rPr>
          <w:rFonts w:hint="eastAsia" w:ascii="宋体" w:eastAsia="宋体"/>
          <w:b/>
          <w:bCs/>
          <w:spacing w:val="0"/>
          <w:kern w:val="32"/>
          <w:szCs w:val="24"/>
          <w:highlight w:val="none"/>
        </w:rPr>
        <w:t>3.1乙方</w:t>
      </w:r>
      <w:bookmarkEnd w:id="273"/>
    </w:p>
    <w:p w14:paraId="6E08C315">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spacing w:val="0"/>
          <w:szCs w:val="24"/>
          <w:highlight w:val="none"/>
        </w:rPr>
        <w:t>除本协议第7条描述的服务水平衡量和目标外，乙方还应：</w:t>
      </w:r>
    </w:p>
    <w:p w14:paraId="25AC537F">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尽快向甲方管理层汇报发现的问题；</w:t>
      </w:r>
    </w:p>
    <w:p w14:paraId="4B06F172">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任何可能影响SLA中规定服务的服务能力的事件，乙方应尽早向甲方提供预警信息，以及可能的影响和处置措施。事件包括：</w:t>
      </w:r>
    </w:p>
    <w:p w14:paraId="7EA4C93F">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组织架构变更</w:t>
      </w:r>
    </w:p>
    <w:p w14:paraId="1A91A5BB">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技术变更</w:t>
      </w:r>
    </w:p>
    <w:p w14:paraId="22C0F84D">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职能变更</w:t>
      </w:r>
    </w:p>
    <w:p w14:paraId="41966FF0">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其他可能影响对甲方服务的突发事件</w:t>
      </w:r>
    </w:p>
    <w:p w14:paraId="24DDBE0A">
      <w:pPr>
        <w:keepNext w:val="0"/>
        <w:keepLines w:val="0"/>
        <w:pageBreakBefore w:val="0"/>
        <w:widowControl/>
        <w:numPr>
          <w:ilvl w:val="0"/>
          <w:numId w:val="4"/>
        </w:numPr>
        <w:kinsoku/>
        <w:overflowPunct/>
        <w:topLinePunct w:val="0"/>
        <w:autoSpaceDE w:val="0"/>
        <w:autoSpaceDN w:val="0"/>
        <w:bidi w:val="0"/>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 xml:space="preserve"> 协助甲方及时解决生产事件。当问题产生时，应尽快采取适当的措施识别并修复问题。</w:t>
      </w:r>
    </w:p>
    <w:p w14:paraId="174E0F3A">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r>
        <w:rPr>
          <w:rFonts w:hint="eastAsia" w:ascii="宋体" w:eastAsia="宋体"/>
          <w:b/>
          <w:bCs/>
          <w:spacing w:val="0"/>
          <w:kern w:val="32"/>
          <w:szCs w:val="24"/>
          <w:highlight w:val="none"/>
        </w:rPr>
        <w:t>3.2甲方</w:t>
      </w:r>
    </w:p>
    <w:p w14:paraId="45DC9B65">
      <w:pPr>
        <w:keepNext w:val="0"/>
        <w:keepLines w:val="0"/>
        <w:pageBreakBefore w:val="0"/>
        <w:widowControl/>
        <w:numPr>
          <w:ilvl w:val="0"/>
          <w:numId w:val="4"/>
        </w:numPr>
        <w:kinsoku/>
        <w:overflowPunct/>
        <w:topLinePunct w:val="0"/>
        <w:autoSpaceDE w:val="0"/>
        <w:autoSpaceDN w:val="0"/>
        <w:bidi w:val="0"/>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甲方将尽快将问题汇报给乙方管理层；</w:t>
      </w:r>
    </w:p>
    <w:p w14:paraId="18284906">
      <w:pPr>
        <w:keepNext w:val="0"/>
        <w:keepLines w:val="0"/>
        <w:pageBreakBefore w:val="0"/>
        <w:widowControl/>
        <w:numPr>
          <w:ilvl w:val="0"/>
          <w:numId w:val="4"/>
        </w:numPr>
        <w:kinsoku/>
        <w:overflowPunct/>
        <w:topLinePunct w:val="0"/>
        <w:autoSpaceDE w:val="0"/>
        <w:autoSpaceDN w:val="0"/>
        <w:bidi w:val="0"/>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提供任何可能影响乙方向甲方提供SLA中规定服务的服务能力的事件信息，包括：</w:t>
      </w:r>
    </w:p>
    <w:p w14:paraId="5484B2EE">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组织架构变更</w:t>
      </w:r>
    </w:p>
    <w:p w14:paraId="0EA0CBF7">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技术变更</w:t>
      </w:r>
    </w:p>
    <w:p w14:paraId="636079FA">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职能变更</w:t>
      </w:r>
    </w:p>
    <w:p w14:paraId="0FE36D13">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4" w:name="_Toc254884644"/>
      <w:r>
        <w:rPr>
          <w:rFonts w:hint="eastAsia" w:ascii="宋体" w:eastAsia="宋体"/>
          <w:b/>
          <w:bCs/>
          <w:spacing w:val="0"/>
          <w:kern w:val="32"/>
          <w:szCs w:val="24"/>
          <w:highlight w:val="none"/>
        </w:rPr>
        <w:t>4. 服务内容</w:t>
      </w:r>
      <w:bookmarkEnd w:id="274"/>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334F7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897" w:type="dxa"/>
            <w:gridSpan w:val="3"/>
            <w:vAlign w:val="center"/>
          </w:tcPr>
          <w:p w14:paraId="18D2BE8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4.1技术管理</w:t>
            </w:r>
          </w:p>
        </w:tc>
      </w:tr>
      <w:tr w14:paraId="1FDD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143D78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4.1.1</w:t>
            </w:r>
          </w:p>
        </w:tc>
        <w:tc>
          <w:tcPr>
            <w:tcW w:w="2022" w:type="dxa"/>
            <w:vAlign w:val="center"/>
          </w:tcPr>
          <w:p w14:paraId="79792B3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项目执行控制</w:t>
            </w:r>
          </w:p>
        </w:tc>
        <w:tc>
          <w:tcPr>
            <w:tcW w:w="6059" w:type="dxa"/>
            <w:vAlign w:val="center"/>
          </w:tcPr>
          <w:p w14:paraId="73BDCD4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管理目标、沟通和范围</w:t>
            </w:r>
          </w:p>
        </w:tc>
      </w:tr>
      <w:tr w14:paraId="5F88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5B7E816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4.1.2</w:t>
            </w:r>
          </w:p>
        </w:tc>
        <w:tc>
          <w:tcPr>
            <w:tcW w:w="2022" w:type="dxa"/>
            <w:vAlign w:val="center"/>
          </w:tcPr>
          <w:p w14:paraId="733BFB0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系统部署</w:t>
            </w:r>
          </w:p>
        </w:tc>
        <w:tc>
          <w:tcPr>
            <w:tcW w:w="6059" w:type="dxa"/>
            <w:vAlign w:val="center"/>
          </w:tcPr>
          <w:p w14:paraId="783C19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在甲方所提供的技术环境内配置和部署系统接入所需的资源</w:t>
            </w:r>
          </w:p>
        </w:tc>
      </w:tr>
      <w:tr w14:paraId="3D5A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03DD2D6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4.1.3</w:t>
            </w:r>
          </w:p>
        </w:tc>
        <w:tc>
          <w:tcPr>
            <w:tcW w:w="2022" w:type="dxa"/>
            <w:vAlign w:val="center"/>
          </w:tcPr>
          <w:p w14:paraId="6FDC9F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管理系统</w:t>
            </w:r>
          </w:p>
        </w:tc>
        <w:tc>
          <w:tcPr>
            <w:tcW w:w="6059" w:type="dxa"/>
            <w:vAlign w:val="center"/>
          </w:tcPr>
          <w:p w14:paraId="305A34C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管理运行过程中的各个环节和环境（如测试、培训、维护等）</w:t>
            </w:r>
          </w:p>
        </w:tc>
      </w:tr>
      <w:tr w14:paraId="43D71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vAlign w:val="center"/>
          </w:tcPr>
          <w:p w14:paraId="4ED0736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4.2系统处理</w:t>
            </w:r>
          </w:p>
        </w:tc>
      </w:tr>
      <w:tr w14:paraId="70CC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vAlign w:val="center"/>
          </w:tcPr>
          <w:p w14:paraId="693F790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4.2.1</w:t>
            </w:r>
          </w:p>
        </w:tc>
        <w:tc>
          <w:tcPr>
            <w:tcW w:w="2022" w:type="dxa"/>
            <w:vAlign w:val="center"/>
          </w:tcPr>
          <w:p w14:paraId="33289EA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备份</w:t>
            </w:r>
          </w:p>
        </w:tc>
        <w:tc>
          <w:tcPr>
            <w:tcW w:w="6059" w:type="dxa"/>
            <w:vAlign w:val="center"/>
          </w:tcPr>
          <w:p w14:paraId="00BE659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提供数据容量规划咨询，设计系统的备份策略，完成其有效性验证</w:t>
            </w:r>
          </w:p>
        </w:tc>
      </w:tr>
      <w:tr w14:paraId="42CB1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vAlign w:val="center"/>
          </w:tcPr>
          <w:p w14:paraId="0D66597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4.2.2</w:t>
            </w:r>
          </w:p>
        </w:tc>
        <w:tc>
          <w:tcPr>
            <w:tcW w:w="2022" w:type="dxa"/>
            <w:vAlign w:val="center"/>
          </w:tcPr>
          <w:p w14:paraId="73FA8E6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恢复</w:t>
            </w:r>
          </w:p>
        </w:tc>
        <w:tc>
          <w:tcPr>
            <w:tcW w:w="6059" w:type="dxa"/>
            <w:vAlign w:val="center"/>
          </w:tcPr>
          <w:p w14:paraId="57AA022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设计系统的恢复策略，完成其有效性验证</w:t>
            </w:r>
          </w:p>
        </w:tc>
      </w:tr>
      <w:tr w14:paraId="06A9D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vAlign w:val="center"/>
          </w:tcPr>
          <w:p w14:paraId="1772CEA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4.3软件开发及测试</w:t>
            </w:r>
          </w:p>
        </w:tc>
      </w:tr>
      <w:tr w14:paraId="2284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vAlign w:val="center"/>
          </w:tcPr>
          <w:p w14:paraId="70810AC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4.3.1</w:t>
            </w:r>
          </w:p>
        </w:tc>
        <w:tc>
          <w:tcPr>
            <w:tcW w:w="2022" w:type="dxa"/>
            <w:vAlign w:val="center"/>
          </w:tcPr>
          <w:p w14:paraId="4CA1236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软件管理</w:t>
            </w:r>
          </w:p>
        </w:tc>
        <w:tc>
          <w:tcPr>
            <w:tcW w:w="6059" w:type="dxa"/>
            <w:vAlign w:val="center"/>
          </w:tcPr>
          <w:p w14:paraId="1A2D482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负责管理和设计应用软件，配合进行软件过程开发管理</w:t>
            </w:r>
          </w:p>
        </w:tc>
      </w:tr>
      <w:tr w14:paraId="268EC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vAlign w:val="center"/>
          </w:tcPr>
          <w:p w14:paraId="63C50DB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4.3.2</w:t>
            </w:r>
          </w:p>
        </w:tc>
        <w:tc>
          <w:tcPr>
            <w:tcW w:w="2022" w:type="dxa"/>
            <w:vAlign w:val="center"/>
          </w:tcPr>
          <w:p w14:paraId="720FDFF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系统接口开发</w:t>
            </w:r>
          </w:p>
        </w:tc>
        <w:tc>
          <w:tcPr>
            <w:tcW w:w="6059" w:type="dxa"/>
            <w:vAlign w:val="center"/>
          </w:tcPr>
          <w:p w14:paraId="5F04E01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设计和开发系统内部各模块的接口以及与外部系统进行数据交互的接口</w:t>
            </w:r>
          </w:p>
        </w:tc>
      </w:tr>
      <w:tr w14:paraId="12CF3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vAlign w:val="center"/>
          </w:tcPr>
          <w:p w14:paraId="0080164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4.3.3</w:t>
            </w:r>
          </w:p>
        </w:tc>
        <w:tc>
          <w:tcPr>
            <w:tcW w:w="2022" w:type="dxa"/>
            <w:vAlign w:val="center"/>
          </w:tcPr>
          <w:p w14:paraId="5874497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代码开发和测试</w:t>
            </w:r>
          </w:p>
        </w:tc>
        <w:tc>
          <w:tcPr>
            <w:tcW w:w="6059" w:type="dxa"/>
            <w:vAlign w:val="center"/>
          </w:tcPr>
          <w:p w14:paraId="619BCC4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编写代码并且完成开发自测与系统测试</w:t>
            </w:r>
          </w:p>
        </w:tc>
      </w:tr>
      <w:tr w14:paraId="25A3F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vAlign w:val="center"/>
          </w:tcPr>
          <w:p w14:paraId="6D5F1E6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4.3.4</w:t>
            </w:r>
          </w:p>
        </w:tc>
        <w:tc>
          <w:tcPr>
            <w:tcW w:w="2022" w:type="dxa"/>
            <w:vAlign w:val="center"/>
          </w:tcPr>
          <w:p w14:paraId="56D70A2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知识转移</w:t>
            </w:r>
          </w:p>
        </w:tc>
        <w:tc>
          <w:tcPr>
            <w:tcW w:w="6059" w:type="dxa"/>
            <w:vAlign w:val="center"/>
          </w:tcPr>
          <w:p w14:paraId="61A8D94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负责现场培训</w:t>
            </w:r>
          </w:p>
        </w:tc>
      </w:tr>
      <w:tr w14:paraId="4A5BF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897" w:type="dxa"/>
            <w:gridSpan w:val="3"/>
            <w:vAlign w:val="center"/>
          </w:tcPr>
          <w:p w14:paraId="42956EE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4.4 支持和维护</w:t>
            </w:r>
          </w:p>
        </w:tc>
      </w:tr>
      <w:tr w14:paraId="5694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vAlign w:val="center"/>
          </w:tcPr>
          <w:p w14:paraId="4587B44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4.4.1</w:t>
            </w:r>
          </w:p>
        </w:tc>
        <w:tc>
          <w:tcPr>
            <w:tcW w:w="2022" w:type="dxa"/>
            <w:vAlign w:val="center"/>
          </w:tcPr>
          <w:p w14:paraId="25C4F8E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变更管理</w:t>
            </w:r>
          </w:p>
        </w:tc>
        <w:tc>
          <w:tcPr>
            <w:tcW w:w="6059" w:type="dxa"/>
            <w:vAlign w:val="center"/>
          </w:tcPr>
          <w:p w14:paraId="382858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根据变更需求在甲方的技术环境内设计并且执行所有平台和应用软件变更程序</w:t>
            </w:r>
          </w:p>
        </w:tc>
      </w:tr>
      <w:tr w14:paraId="22571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vAlign w:val="center"/>
          </w:tcPr>
          <w:p w14:paraId="6E720AB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4.4.2</w:t>
            </w:r>
          </w:p>
        </w:tc>
        <w:tc>
          <w:tcPr>
            <w:tcW w:w="2022" w:type="dxa"/>
            <w:vAlign w:val="center"/>
          </w:tcPr>
          <w:p w14:paraId="4EEA603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系统监控</w:t>
            </w:r>
          </w:p>
        </w:tc>
        <w:tc>
          <w:tcPr>
            <w:tcW w:w="6059" w:type="dxa"/>
            <w:vAlign w:val="center"/>
          </w:tcPr>
          <w:p w14:paraId="44FB663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提供对系统监控的支持，包括专有硬件设备（如有）、应用系统进程、日志、连接等</w:t>
            </w:r>
          </w:p>
        </w:tc>
      </w:tr>
      <w:tr w14:paraId="53BB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vAlign w:val="center"/>
          </w:tcPr>
          <w:p w14:paraId="10CA650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4.4.3</w:t>
            </w:r>
          </w:p>
        </w:tc>
        <w:tc>
          <w:tcPr>
            <w:tcW w:w="2022" w:type="dxa"/>
            <w:vAlign w:val="center"/>
          </w:tcPr>
          <w:p w14:paraId="2CEB8B6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发布管理</w:t>
            </w:r>
          </w:p>
        </w:tc>
        <w:tc>
          <w:tcPr>
            <w:tcW w:w="6059" w:type="dxa"/>
            <w:vAlign w:val="center"/>
          </w:tcPr>
          <w:p w14:paraId="23AD5F6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制定测试环境发布方案，协助将具体的目标系统从测试环境移植到生产的上线方案</w:t>
            </w:r>
          </w:p>
        </w:tc>
      </w:tr>
      <w:tr w14:paraId="62342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vAlign w:val="center"/>
          </w:tcPr>
          <w:p w14:paraId="1D8159D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4.4.4</w:t>
            </w:r>
          </w:p>
        </w:tc>
        <w:tc>
          <w:tcPr>
            <w:tcW w:w="2022" w:type="dxa"/>
            <w:vAlign w:val="center"/>
          </w:tcPr>
          <w:p w14:paraId="4A8146B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安全管理</w:t>
            </w:r>
          </w:p>
        </w:tc>
        <w:tc>
          <w:tcPr>
            <w:tcW w:w="6059" w:type="dxa"/>
            <w:vAlign w:val="center"/>
          </w:tcPr>
          <w:p w14:paraId="0D02566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配合甲方完成上线前的漏洞扫描、渗透测试等安全评估工作，根据甲方要求完成发现漏洞的整改工作</w:t>
            </w:r>
          </w:p>
        </w:tc>
      </w:tr>
      <w:tr w14:paraId="0731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897" w:type="dxa"/>
            <w:gridSpan w:val="3"/>
            <w:vAlign w:val="center"/>
          </w:tcPr>
          <w:p w14:paraId="4AE4ED2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4.5 后续支持</w:t>
            </w:r>
          </w:p>
        </w:tc>
      </w:tr>
      <w:tr w14:paraId="28FC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vAlign w:val="center"/>
          </w:tcPr>
          <w:p w14:paraId="1D4563A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4.5.1</w:t>
            </w:r>
          </w:p>
        </w:tc>
        <w:tc>
          <w:tcPr>
            <w:tcW w:w="2022" w:type="dxa"/>
            <w:vAlign w:val="center"/>
          </w:tcPr>
          <w:p w14:paraId="32E3C34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版本安装、更新和升级</w:t>
            </w:r>
          </w:p>
        </w:tc>
        <w:tc>
          <w:tcPr>
            <w:tcW w:w="6059" w:type="dxa"/>
            <w:vAlign w:val="center"/>
          </w:tcPr>
          <w:p w14:paraId="14A1130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提供系统版本安装和升级支持，包括响应甲方对生产、测试、开发、培训环境的安装和升级要求；提供硬件更换服务</w:t>
            </w:r>
          </w:p>
        </w:tc>
      </w:tr>
      <w:tr w14:paraId="5639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exact"/>
        </w:trPr>
        <w:tc>
          <w:tcPr>
            <w:tcW w:w="816" w:type="dxa"/>
            <w:vAlign w:val="center"/>
          </w:tcPr>
          <w:p w14:paraId="4B78F9F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4.5.2</w:t>
            </w:r>
          </w:p>
        </w:tc>
        <w:tc>
          <w:tcPr>
            <w:tcW w:w="2022" w:type="dxa"/>
            <w:vAlign w:val="center"/>
          </w:tcPr>
          <w:p w14:paraId="19C5D9E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安全漏洞整改</w:t>
            </w:r>
          </w:p>
        </w:tc>
        <w:tc>
          <w:tcPr>
            <w:tcW w:w="6059" w:type="dxa"/>
            <w:vAlign w:val="center"/>
          </w:tcPr>
          <w:p w14:paraId="2C6781A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针对系统运行过程中发现的安全漏洞，根据甲方要求完成整改工作</w:t>
            </w:r>
          </w:p>
        </w:tc>
      </w:tr>
      <w:tr w14:paraId="04ED9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vAlign w:val="center"/>
          </w:tcPr>
          <w:p w14:paraId="2C2C756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4.5.3</w:t>
            </w:r>
          </w:p>
        </w:tc>
        <w:tc>
          <w:tcPr>
            <w:tcW w:w="2022" w:type="dxa"/>
            <w:vAlign w:val="center"/>
          </w:tcPr>
          <w:p w14:paraId="7BD4054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服务台支持</w:t>
            </w:r>
          </w:p>
        </w:tc>
        <w:tc>
          <w:tcPr>
            <w:tcW w:w="6059" w:type="dxa"/>
            <w:vAlign w:val="center"/>
          </w:tcPr>
          <w:p w14:paraId="369AC4E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提供7×24小时的技术支持服务</w:t>
            </w:r>
          </w:p>
        </w:tc>
      </w:tr>
      <w:tr w14:paraId="34048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vAlign w:val="center"/>
          </w:tcPr>
          <w:p w14:paraId="4AE6F68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4.5.4</w:t>
            </w:r>
          </w:p>
        </w:tc>
        <w:tc>
          <w:tcPr>
            <w:tcW w:w="2022" w:type="dxa"/>
            <w:vAlign w:val="center"/>
          </w:tcPr>
          <w:p w14:paraId="35C07FA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巡检服务</w:t>
            </w:r>
          </w:p>
        </w:tc>
        <w:tc>
          <w:tcPr>
            <w:tcW w:w="6059" w:type="dxa"/>
            <w:vAlign w:val="center"/>
          </w:tcPr>
          <w:p w14:paraId="3B6CFAE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提供系统运行状况报告</w:t>
            </w:r>
          </w:p>
        </w:tc>
      </w:tr>
      <w:tr w14:paraId="78BC3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75B9632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4.5.5</w:t>
            </w:r>
          </w:p>
        </w:tc>
        <w:tc>
          <w:tcPr>
            <w:tcW w:w="2022" w:type="dxa"/>
            <w:vAlign w:val="center"/>
          </w:tcPr>
          <w:p w14:paraId="50432FD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现场问题解决</w:t>
            </w:r>
          </w:p>
        </w:tc>
        <w:tc>
          <w:tcPr>
            <w:tcW w:w="6059" w:type="dxa"/>
            <w:vAlign w:val="center"/>
          </w:tcPr>
          <w:p w14:paraId="57F90E2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提供重大问题现场解决，提供系统性能、容量、问题报告</w:t>
            </w:r>
          </w:p>
        </w:tc>
      </w:tr>
      <w:tr w14:paraId="1284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1" w:hRule="exact"/>
        </w:trPr>
        <w:tc>
          <w:tcPr>
            <w:tcW w:w="816" w:type="dxa"/>
            <w:vAlign w:val="center"/>
          </w:tcPr>
          <w:p w14:paraId="4E6C19A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4.5.6</w:t>
            </w:r>
          </w:p>
        </w:tc>
        <w:tc>
          <w:tcPr>
            <w:tcW w:w="2022" w:type="dxa"/>
            <w:vAlign w:val="center"/>
          </w:tcPr>
          <w:p w14:paraId="1644CD7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响应要求</w:t>
            </w:r>
          </w:p>
        </w:tc>
        <w:tc>
          <w:tcPr>
            <w:tcW w:w="6059" w:type="dxa"/>
            <w:vAlign w:val="center"/>
          </w:tcPr>
          <w:p w14:paraId="1F83BFB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要求按服务水平和指标及时响应：</w:t>
            </w:r>
          </w:p>
          <w:p w14:paraId="25856DB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一级响应：系统崩溃,不能使用或效能严重削弱, 系统的某个主要功能不能正常工作，对业务的正常运行造成重大影响。响应时间15分钟，</w:t>
            </w:r>
            <w:r>
              <w:rPr>
                <w:rFonts w:ascii="Times New Roman" w:hAnsi="Times New Roman" w:cs="Times New Roman"/>
                <w:kern w:val="0"/>
                <w:sz w:val="21"/>
                <w:szCs w:val="24"/>
                <w:highlight w:val="none"/>
              </w:rPr>
              <w:t>1</w:t>
            </w:r>
            <w:r>
              <w:rPr>
                <w:rFonts w:hint="eastAsia" w:ascii="Times New Roman" w:hAnsi="Times New Roman" w:cs="Times New Roman"/>
                <w:kern w:val="0"/>
                <w:sz w:val="21"/>
                <w:szCs w:val="24"/>
                <w:highlight w:val="none"/>
              </w:rPr>
              <w:t>小时到达现场，4小时内排除问题或给出备份解决方案，故障排除后三天内提交分析报告；</w:t>
            </w:r>
          </w:p>
          <w:p w14:paraId="5D55322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二级响应：系统的运行性能严重下降，或性能明显下降，对业务运作产生明显影响。响应时间1小时内，必要时4小时到达，8小时内排除问题；</w:t>
            </w:r>
          </w:p>
          <w:p w14:paraId="1ABD1F6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三级响应：系统的运作性能受损，但业务仍可正常运行，响应时间12小时内，必要时24小时到达，1周内排除问题；</w:t>
            </w:r>
          </w:p>
          <w:p w14:paraId="158F24A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四级响应：对系统安装或配置方面需要咨询或支援，很显然对业务运作几乎无影响，或根本没有影响。响应时间24小时内，必要时48小时到达，2周内排除问题。</w:t>
            </w:r>
          </w:p>
        </w:tc>
      </w:tr>
    </w:tbl>
    <w:p w14:paraId="26D4C6B0">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5" w:name="_Toc254884645"/>
      <w:r>
        <w:rPr>
          <w:rFonts w:hint="eastAsia" w:ascii="宋体" w:eastAsia="宋体"/>
          <w:b/>
          <w:bCs/>
          <w:spacing w:val="0"/>
          <w:kern w:val="32"/>
          <w:szCs w:val="24"/>
          <w:highlight w:val="none"/>
        </w:rPr>
        <w:t>5. 问题管理流程</w:t>
      </w:r>
      <w:bookmarkEnd w:id="275"/>
    </w:p>
    <w:p w14:paraId="40A345C6">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6" w:name="_Toc254884646"/>
      <w:r>
        <w:rPr>
          <w:rFonts w:hint="eastAsia" w:ascii="宋体" w:eastAsia="宋体"/>
          <w:b/>
          <w:bCs/>
          <w:spacing w:val="0"/>
          <w:kern w:val="32"/>
          <w:szCs w:val="24"/>
          <w:highlight w:val="none"/>
        </w:rPr>
        <w:t>5.1问题处理流程</w:t>
      </w:r>
      <w:bookmarkEnd w:id="276"/>
    </w:p>
    <w:p w14:paraId="476F2A7F">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甲方或乙方均可以首先提出对问题解决方案有不同意见的看法；</w:t>
      </w:r>
    </w:p>
    <w:p w14:paraId="2843BA7D">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甲方管理层和乙方管理层将决定问题是否需要提升到更高的管理层；</w:t>
      </w:r>
    </w:p>
    <w:p w14:paraId="10501B6A">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及时召开相关的会议讨论和解决问题，问题的相关文档应提前一天发送到与会者；</w:t>
      </w:r>
    </w:p>
    <w:p w14:paraId="797B2F88">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344C5992">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如果问题最终仍没解决，甲方和乙方双方可以申请仲裁来达成最终的一致方案。</w:t>
      </w:r>
    </w:p>
    <w:p w14:paraId="1033E092">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7" w:name="_Toc254884647"/>
      <w:r>
        <w:rPr>
          <w:rFonts w:hint="eastAsia" w:ascii="宋体" w:eastAsia="宋体"/>
          <w:b/>
          <w:bCs/>
          <w:spacing w:val="0"/>
          <w:kern w:val="32"/>
          <w:szCs w:val="24"/>
          <w:highlight w:val="none"/>
        </w:rPr>
        <w:t>5.2问题升级流程</w:t>
      </w:r>
      <w:bookmarkEnd w:id="277"/>
    </w:p>
    <w:p w14:paraId="316030A8">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甲方或者乙方都有可能首先提出该流程；</w:t>
      </w:r>
    </w:p>
    <w:p w14:paraId="4CCB05F4">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首先提出的一方应及时通知对方问题升级流程已经启动；</w:t>
      </w:r>
    </w:p>
    <w:p w14:paraId="7843FEAF">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问题升级到的管理层应当事先定义在联络人表中；</w:t>
      </w:r>
    </w:p>
    <w:p w14:paraId="5C3794B2">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问题升级的层次在甲方和乙方之间应当保持一致，直至解决该问题。</w:t>
      </w:r>
    </w:p>
    <w:p w14:paraId="756BC39F">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8" w:name="_Toc254884648"/>
      <w:r>
        <w:rPr>
          <w:rFonts w:hint="eastAsia" w:ascii="宋体" w:eastAsia="宋体"/>
          <w:b/>
          <w:bCs/>
          <w:spacing w:val="0"/>
          <w:kern w:val="32"/>
          <w:szCs w:val="24"/>
          <w:highlight w:val="none"/>
        </w:rPr>
        <w:t>5.3联络表</w:t>
      </w:r>
      <w:bookmarkEnd w:id="278"/>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4E5B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63E2FBB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b/>
                <w:spacing w:val="0"/>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tcPr>
          <w:p w14:paraId="065D0E45">
            <w:pPr>
              <w:keepNext w:val="0"/>
              <w:keepLines w:val="0"/>
              <w:pageBreakBefore w:val="0"/>
              <w:kinsoku/>
              <w:overflowPunct/>
              <w:topLinePunct w:val="0"/>
              <w:autoSpaceDE w:val="0"/>
              <w:autoSpaceDN w:val="0"/>
              <w:bidi w:val="0"/>
              <w:spacing w:line="360" w:lineRule="auto"/>
              <w:jc w:val="center"/>
              <w:outlineLvl w:val="9"/>
              <w:rPr>
                <w:rFonts w:ascii="宋体" w:eastAsia="宋体"/>
                <w:b/>
                <w:spacing w:val="0"/>
                <w:szCs w:val="24"/>
                <w:highlight w:val="none"/>
              </w:rPr>
            </w:pPr>
            <w:r>
              <w:rPr>
                <w:rFonts w:hint="eastAsia" w:ascii="宋体" w:eastAsia="宋体"/>
                <w:b/>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cBorders>
          </w:tcPr>
          <w:p w14:paraId="33289276">
            <w:pPr>
              <w:keepNext w:val="0"/>
              <w:keepLines w:val="0"/>
              <w:pageBreakBefore w:val="0"/>
              <w:kinsoku/>
              <w:overflowPunct/>
              <w:topLinePunct w:val="0"/>
              <w:autoSpaceDE w:val="0"/>
              <w:autoSpaceDN w:val="0"/>
              <w:bidi w:val="0"/>
              <w:spacing w:line="360" w:lineRule="auto"/>
              <w:jc w:val="center"/>
              <w:outlineLvl w:val="9"/>
              <w:rPr>
                <w:rFonts w:ascii="宋体" w:eastAsia="宋体"/>
                <w:b/>
                <w:spacing w:val="0"/>
                <w:szCs w:val="24"/>
                <w:highlight w:val="none"/>
              </w:rPr>
            </w:pPr>
            <w:r>
              <w:rPr>
                <w:rFonts w:hint="eastAsia" w:ascii="宋体" w:eastAsia="宋体"/>
                <w:b/>
                <w:spacing w:val="0"/>
                <w:szCs w:val="24"/>
                <w:highlight w:val="none"/>
              </w:rPr>
              <w:t>电话</w:t>
            </w:r>
          </w:p>
        </w:tc>
      </w:tr>
      <w:tr w14:paraId="4C70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0FC08FD2">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747CC17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cBorders>
          </w:tcPr>
          <w:p w14:paraId="661A107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r w14:paraId="221B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0B492495">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0D7C4EFF">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cBorders>
          </w:tcPr>
          <w:p w14:paraId="1B80A56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r w14:paraId="16C8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55BC4E0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17C7FC0A">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cBorders>
          </w:tcPr>
          <w:p w14:paraId="77EEAAFD">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r w14:paraId="3630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39086416">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51EFC5D4">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cBorders>
          </w:tcPr>
          <w:p w14:paraId="52794597">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bl>
    <w:p w14:paraId="3F71976E">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9" w:name="_Toc254884649"/>
      <w:r>
        <w:rPr>
          <w:rFonts w:hint="eastAsia" w:ascii="宋体" w:eastAsia="宋体"/>
          <w:b/>
          <w:bCs/>
          <w:spacing w:val="0"/>
          <w:kern w:val="32"/>
          <w:szCs w:val="24"/>
          <w:highlight w:val="none"/>
        </w:rPr>
        <w:t>6. 汇报内容及流程</w:t>
      </w:r>
      <w:bookmarkEnd w:id="279"/>
    </w:p>
    <w:p w14:paraId="531D23C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color w:val="000000"/>
          <w:spacing w:val="0"/>
          <w:szCs w:val="24"/>
          <w:highlight w:val="none"/>
        </w:rPr>
        <w:t>乙方应当在每星期五向甲方提交工作周报</w:t>
      </w:r>
      <w:r>
        <w:rPr>
          <w:rFonts w:hint="eastAsia" w:ascii="宋体" w:eastAsia="宋体"/>
          <w:spacing w:val="0"/>
          <w:szCs w:val="24"/>
          <w:highlight w:val="none"/>
        </w:rPr>
        <w:t>，包括项目情况跟踪及问题报告等，附带的性能报告（如有）也将递交给甲方项目经理。如发生突发事件，乙方也应第一时间向甲方项目经理报告。</w:t>
      </w:r>
    </w:p>
    <w:p w14:paraId="0650FF6A">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80" w:name="_Toc254884650"/>
      <w:r>
        <w:rPr>
          <w:rFonts w:hint="eastAsia" w:ascii="宋体" w:eastAsia="宋体"/>
          <w:b/>
          <w:bCs/>
          <w:spacing w:val="0"/>
          <w:kern w:val="32"/>
          <w:szCs w:val="24"/>
          <w:highlight w:val="none"/>
        </w:rPr>
        <w:t>7. 服务水平和指标</w:t>
      </w:r>
      <w:bookmarkEnd w:id="280"/>
    </w:p>
    <w:p w14:paraId="5CF2CEB5">
      <w:pPr>
        <w:keepNext w:val="0"/>
        <w:keepLines w:val="0"/>
        <w:pageBreakBefore w:val="0"/>
        <w:kinsoku/>
        <w:overflowPunct/>
        <w:topLinePunct w:val="0"/>
        <w:autoSpaceDE w:val="0"/>
        <w:autoSpaceDN w:val="0"/>
        <w:bidi w:val="0"/>
        <w:ind w:left="0" w:firstLine="0" w:firstLineChars="0"/>
        <w:jc w:val="both"/>
        <w:outlineLvl w:val="9"/>
        <w:rPr>
          <w:rFonts w:ascii="宋体" w:eastAsia="宋体"/>
          <w:spacing w:val="0"/>
          <w:szCs w:val="24"/>
          <w:highlight w:val="none"/>
        </w:rPr>
      </w:pPr>
      <w:r>
        <w:rPr>
          <w:rFonts w:hint="eastAsia" w:ascii="宋体" w:eastAsia="宋体"/>
          <w:color w:val="000000"/>
          <w:spacing w:val="0"/>
          <w:szCs w:val="24"/>
          <w:highlight w:val="none"/>
        </w:rPr>
        <w:t>甲方</w:t>
      </w:r>
      <w:r>
        <w:rPr>
          <w:rFonts w:hint="eastAsia" w:ascii="宋体" w:eastAsia="宋体"/>
          <w:spacing w:val="0"/>
          <w:szCs w:val="24"/>
          <w:highlight w:val="none"/>
        </w:rPr>
        <w:t>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tbl>
      <w:tblPr>
        <w:tblStyle w:val="22"/>
        <w:tblW w:w="10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20"/>
        <w:gridCol w:w="720"/>
        <w:gridCol w:w="1403"/>
        <w:gridCol w:w="3686"/>
        <w:gridCol w:w="1734"/>
        <w:gridCol w:w="1121"/>
        <w:gridCol w:w="700"/>
      </w:tblGrid>
      <w:tr w14:paraId="2987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2EE05A8">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序号</w:t>
            </w:r>
          </w:p>
        </w:tc>
        <w:tc>
          <w:tcPr>
            <w:tcW w:w="720" w:type="dxa"/>
            <w:vAlign w:val="center"/>
          </w:tcPr>
          <w:p w14:paraId="6AF4B37B">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评价维度</w:t>
            </w:r>
          </w:p>
        </w:tc>
        <w:tc>
          <w:tcPr>
            <w:tcW w:w="720" w:type="dxa"/>
            <w:vAlign w:val="center"/>
          </w:tcPr>
          <w:p w14:paraId="61725FAA">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评价指标</w:t>
            </w:r>
          </w:p>
        </w:tc>
        <w:tc>
          <w:tcPr>
            <w:tcW w:w="1403" w:type="dxa"/>
            <w:vAlign w:val="center"/>
          </w:tcPr>
          <w:p w14:paraId="196478D4">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指标定义</w:t>
            </w:r>
          </w:p>
        </w:tc>
        <w:tc>
          <w:tcPr>
            <w:tcW w:w="3686" w:type="dxa"/>
            <w:vAlign w:val="center"/>
          </w:tcPr>
          <w:p w14:paraId="242AA087">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评分/价标准</w:t>
            </w:r>
          </w:p>
        </w:tc>
        <w:tc>
          <w:tcPr>
            <w:tcW w:w="1734" w:type="dxa"/>
            <w:vAlign w:val="center"/>
          </w:tcPr>
          <w:p w14:paraId="70DF3CA3">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违约金标准</w:t>
            </w:r>
          </w:p>
        </w:tc>
        <w:tc>
          <w:tcPr>
            <w:tcW w:w="1121" w:type="dxa"/>
            <w:vAlign w:val="center"/>
          </w:tcPr>
          <w:p w14:paraId="056EAD16">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评价结果</w:t>
            </w:r>
          </w:p>
        </w:tc>
        <w:tc>
          <w:tcPr>
            <w:tcW w:w="700" w:type="dxa"/>
            <w:vAlign w:val="center"/>
          </w:tcPr>
          <w:p w14:paraId="32C5425C">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评价得分</w:t>
            </w:r>
          </w:p>
        </w:tc>
      </w:tr>
      <w:tr w14:paraId="7472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22236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w:t>
            </w:r>
          </w:p>
        </w:tc>
        <w:tc>
          <w:tcPr>
            <w:tcW w:w="720" w:type="dxa"/>
            <w:vMerge w:val="restart"/>
            <w:vAlign w:val="center"/>
          </w:tcPr>
          <w:p w14:paraId="0326EEF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服务质量</w:t>
            </w:r>
          </w:p>
        </w:tc>
        <w:tc>
          <w:tcPr>
            <w:tcW w:w="720" w:type="dxa"/>
            <w:vAlign w:val="center"/>
          </w:tcPr>
          <w:p w14:paraId="564149B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交付成果质量</w:t>
            </w:r>
          </w:p>
        </w:tc>
        <w:tc>
          <w:tcPr>
            <w:tcW w:w="1403" w:type="dxa"/>
            <w:vAlign w:val="center"/>
          </w:tcPr>
          <w:p w14:paraId="39532F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用于记录乙方所提交的项目交付成果与甲方要求的项目交付成果的契合度或交付成果质量与合同所约定要求的项目交付成果质量的满足程度</w:t>
            </w:r>
          </w:p>
        </w:tc>
        <w:tc>
          <w:tcPr>
            <w:tcW w:w="3686" w:type="dxa"/>
            <w:vAlign w:val="center"/>
          </w:tcPr>
          <w:p w14:paraId="79BB2F8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5分，指乙方能够主动快速与甲方进行有效的沟通，交付成果高度契合需求，完全满足并超出合同约定的预期目标，给甲方带来显著的附加价值；</w:t>
            </w:r>
          </w:p>
          <w:p w14:paraId="40074CD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4分，指乙方能够快速响应需求，交付成果达到合同约定的预期目标，基本契合需求，满足合同约定的预期目标；</w:t>
            </w:r>
          </w:p>
          <w:p w14:paraId="2A1F7D2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3分，指乙方能够按要求响应需求，交付成果基本满足需求，但是总体可满足合同约定的预期目标；</w:t>
            </w:r>
          </w:p>
          <w:p w14:paraId="49FD8ED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0分，指乙方未能够按要求响应需求，或交付成果与需求契合度差距较大，无法达到合同约定的预期目标。</w:t>
            </w:r>
          </w:p>
        </w:tc>
        <w:tc>
          <w:tcPr>
            <w:tcW w:w="1734" w:type="dxa"/>
            <w:vAlign w:val="center"/>
          </w:tcPr>
          <w:p w14:paraId="2EFFC77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交付成果每缺少一项扣除乙方金额人民币2000元；每有一项交付成果质量不合格扣除乙方金额人民币2000元。</w:t>
            </w:r>
          </w:p>
        </w:tc>
        <w:tc>
          <w:tcPr>
            <w:tcW w:w="1121" w:type="dxa"/>
            <w:vAlign w:val="center"/>
          </w:tcPr>
          <w:p w14:paraId="7AEDF661">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7D9C7B78">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E04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E439D6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w:t>
            </w:r>
          </w:p>
        </w:tc>
        <w:tc>
          <w:tcPr>
            <w:tcW w:w="1134" w:type="dxa"/>
            <w:vMerge w:val="continue"/>
          </w:tcPr>
          <w:p w14:paraId="2A95389F">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2ACBA5C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成果交付延期情况</w:t>
            </w:r>
          </w:p>
        </w:tc>
        <w:tc>
          <w:tcPr>
            <w:tcW w:w="1403" w:type="dxa"/>
            <w:vAlign w:val="center"/>
          </w:tcPr>
          <w:p w14:paraId="30D3EE6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用于记录因乙方原因导致项目交付成果时间与合同规定时间之间的差距</w:t>
            </w:r>
          </w:p>
        </w:tc>
        <w:tc>
          <w:tcPr>
            <w:tcW w:w="3686" w:type="dxa"/>
            <w:vAlign w:val="center"/>
          </w:tcPr>
          <w:p w14:paraId="3E4DDA5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实际交付成果日期与合同约定交付日期之差</w:t>
            </w:r>
            <w:r>
              <w:rPr>
                <w:rFonts w:hint="eastAsia" w:ascii="Times New Roman" w:hAnsi="Times New Roman" w:cs="Times New Roman"/>
                <w:b/>
                <w:bCs/>
                <w:kern w:val="0"/>
                <w:sz w:val="21"/>
                <w:szCs w:val="24"/>
                <w:highlight w:val="none"/>
              </w:rPr>
              <w:t>【得分上限5分】</w:t>
            </w:r>
          </w:p>
          <w:p w14:paraId="757975E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无延期</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指未出现延期，该项指标满分；</w:t>
            </w:r>
          </w:p>
          <w:p w14:paraId="2B8B4A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0＜延期≤3个月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扣2分，指出现延期3个月（含）以内；</w:t>
            </w:r>
          </w:p>
          <w:p w14:paraId="0256ABA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3＜延期≤6个月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扣3分，指出现延期大于3个月且小于等于6个月；</w:t>
            </w:r>
          </w:p>
          <w:p w14:paraId="35DC320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延期6个月以上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扣5分，指出现延期6个月以上。</w:t>
            </w:r>
          </w:p>
        </w:tc>
        <w:tc>
          <w:tcPr>
            <w:tcW w:w="1734" w:type="dxa"/>
            <w:vAlign w:val="center"/>
          </w:tcPr>
          <w:p w14:paraId="44A9F2D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Cs/>
                <w:kern w:val="0"/>
                <w:sz w:val="21"/>
                <w:szCs w:val="24"/>
                <w:highlight w:val="none"/>
              </w:rPr>
            </w:pPr>
            <w:r>
              <w:rPr>
                <w:rFonts w:hint="eastAsia" w:ascii="Times New Roman" w:hAnsi="Times New Roman" w:cs="Times New Roman"/>
                <w:kern w:val="0"/>
                <w:sz w:val="21"/>
                <w:szCs w:val="24"/>
                <w:highlight w:val="none"/>
              </w:rPr>
              <w:t>若延期超过1个月，每延期增加一天扣除合同总金额的0.1%（注：最多扣除不超过合同总金额的10%）</w:t>
            </w:r>
          </w:p>
        </w:tc>
        <w:tc>
          <w:tcPr>
            <w:tcW w:w="1121" w:type="dxa"/>
            <w:vAlign w:val="center"/>
          </w:tcPr>
          <w:p w14:paraId="0EFA8DD2">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26EEFC7D">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5A10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FC75B5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3</w:t>
            </w:r>
          </w:p>
        </w:tc>
        <w:tc>
          <w:tcPr>
            <w:tcW w:w="1134" w:type="dxa"/>
            <w:vMerge w:val="continue"/>
          </w:tcPr>
          <w:p w14:paraId="4C423007">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3F0D111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w:t>
            </w:r>
          </w:p>
        </w:tc>
        <w:tc>
          <w:tcPr>
            <w:tcW w:w="1403" w:type="dxa"/>
            <w:vAlign w:val="center"/>
          </w:tcPr>
          <w:p w14:paraId="612B35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用于记录统计周期内单位功能（案例）点发现的缺陷数量</w:t>
            </w:r>
          </w:p>
        </w:tc>
        <w:tc>
          <w:tcPr>
            <w:tcW w:w="3686" w:type="dxa"/>
            <w:vAlign w:val="center"/>
          </w:tcPr>
          <w:p w14:paraId="0372374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产品缺陷密度=统计周期内发现的该系统有效缺陷数/统计周期内该系统功能点总数（案例数）</w:t>
            </w:r>
          </w:p>
          <w:p w14:paraId="68A606C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10分【0-5%】</w:t>
            </w:r>
          </w:p>
          <w:p w14:paraId="0A34161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5分【5%-20%】</w:t>
            </w:r>
          </w:p>
          <w:p w14:paraId="23A4513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0分【超过20%】</w:t>
            </w:r>
          </w:p>
        </w:tc>
        <w:tc>
          <w:tcPr>
            <w:tcW w:w="1734" w:type="dxa"/>
            <w:vAlign w:val="center"/>
          </w:tcPr>
          <w:p w14:paraId="6CDE184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产品缺陷密度超过20%，缺陷密度每增加1%扣除合同总金额的0.1%。</w:t>
            </w:r>
          </w:p>
        </w:tc>
        <w:tc>
          <w:tcPr>
            <w:tcW w:w="1121" w:type="dxa"/>
            <w:vAlign w:val="center"/>
          </w:tcPr>
          <w:p w14:paraId="1554B088">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50EACA55">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1F2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D020B4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w:t>
            </w:r>
          </w:p>
        </w:tc>
        <w:tc>
          <w:tcPr>
            <w:tcW w:w="1134" w:type="dxa"/>
            <w:vMerge w:val="continue"/>
          </w:tcPr>
          <w:p w14:paraId="48F16AA9">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67F687F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w:t>
            </w:r>
          </w:p>
        </w:tc>
        <w:tc>
          <w:tcPr>
            <w:tcW w:w="1403" w:type="dxa"/>
            <w:vAlign w:val="center"/>
          </w:tcPr>
          <w:p w14:paraId="36393DA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用于记录统计周期内测试发现的缺陷中已解决缺陷的比例</w:t>
            </w:r>
          </w:p>
        </w:tc>
        <w:tc>
          <w:tcPr>
            <w:tcW w:w="3686" w:type="dxa"/>
            <w:vAlign w:val="center"/>
          </w:tcPr>
          <w:p w14:paraId="27E45B8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缺陷解决率=统计周期内测试发现的有效缺陷中已解决的数量/统计周期内测试发现的有效缺陷总数量</w:t>
            </w:r>
          </w:p>
          <w:p w14:paraId="505A7D0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10分【98%-100%】</w:t>
            </w:r>
          </w:p>
          <w:p w14:paraId="1CC5495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5分【95%-97%】</w:t>
            </w:r>
          </w:p>
          <w:p w14:paraId="10CE3A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39B54C6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若缺陷解决率</w:t>
            </w:r>
            <w:r>
              <w:rPr>
                <w:rFonts w:hint="eastAsia" w:ascii="Times New Roman" w:hAnsi="Times New Roman" w:cs="Times New Roman"/>
                <w:bCs/>
                <w:kern w:val="0"/>
                <w:sz w:val="21"/>
                <w:szCs w:val="24"/>
                <w:highlight w:val="none"/>
              </w:rPr>
              <w:t>低于95</w:t>
            </w:r>
            <w:r>
              <w:rPr>
                <w:rFonts w:hint="eastAsia" w:ascii="Times New Roman" w:hAnsi="Times New Roman" w:cs="Times New Roman"/>
                <w:kern w:val="0"/>
                <w:sz w:val="21"/>
                <w:szCs w:val="24"/>
                <w:highlight w:val="none"/>
              </w:rPr>
              <w:t>%，缺陷解决率每低1%扣除合同总金额的0.1%。</w:t>
            </w:r>
          </w:p>
        </w:tc>
        <w:tc>
          <w:tcPr>
            <w:tcW w:w="1121" w:type="dxa"/>
            <w:vAlign w:val="center"/>
          </w:tcPr>
          <w:p w14:paraId="16BDE6D3">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17D0FCC8">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0E47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07662F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5</w:t>
            </w:r>
          </w:p>
        </w:tc>
        <w:tc>
          <w:tcPr>
            <w:tcW w:w="720" w:type="dxa"/>
            <w:vMerge w:val="restart"/>
            <w:vAlign w:val="center"/>
          </w:tcPr>
          <w:p w14:paraId="365EFAC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协议履行</w:t>
            </w:r>
          </w:p>
        </w:tc>
        <w:tc>
          <w:tcPr>
            <w:tcW w:w="720" w:type="dxa"/>
            <w:vAlign w:val="center"/>
          </w:tcPr>
          <w:p w14:paraId="099501D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重大事项报告</w:t>
            </w:r>
          </w:p>
        </w:tc>
        <w:tc>
          <w:tcPr>
            <w:tcW w:w="1403" w:type="dxa"/>
            <w:vAlign w:val="center"/>
          </w:tcPr>
          <w:p w14:paraId="2E88E07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6568E57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5分，指无重大事项或当发生重大事项时，能够于24小时内告知甲方；</w:t>
            </w:r>
          </w:p>
          <w:p w14:paraId="73AABD3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4分，指当发生重大事项时，能够于一周内告知甲方；</w:t>
            </w:r>
          </w:p>
          <w:p w14:paraId="47155E0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3分，指当发生重大事项时，能够于一月内告知甲方；</w:t>
            </w:r>
          </w:p>
          <w:p w14:paraId="21D2E2D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kern w:val="0"/>
                <w:sz w:val="21"/>
                <w:szCs w:val="24"/>
                <w:highlight w:val="none"/>
              </w:rPr>
              <w:t>：0分，指当发生重大事项时，未告知甲方。</w:t>
            </w:r>
          </w:p>
        </w:tc>
        <w:tc>
          <w:tcPr>
            <w:tcW w:w="1734" w:type="dxa"/>
            <w:vAlign w:val="center"/>
          </w:tcPr>
          <w:p w14:paraId="4BC05BA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评价为较差/差时，甲方根据实际情况有权终止合同，并要求乙方赔偿实际损失。</w:t>
            </w:r>
          </w:p>
        </w:tc>
        <w:tc>
          <w:tcPr>
            <w:tcW w:w="1121" w:type="dxa"/>
            <w:vAlign w:val="center"/>
          </w:tcPr>
          <w:p w14:paraId="7D0372C3">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771D958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6651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06168A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6</w:t>
            </w:r>
          </w:p>
        </w:tc>
        <w:tc>
          <w:tcPr>
            <w:tcW w:w="1134" w:type="dxa"/>
            <w:vMerge w:val="continue"/>
          </w:tcPr>
          <w:p w14:paraId="5CE06E9B">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1078FFE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重大事件及质量缺陷</w:t>
            </w:r>
          </w:p>
        </w:tc>
        <w:tc>
          <w:tcPr>
            <w:tcW w:w="1403" w:type="dxa"/>
            <w:vAlign w:val="center"/>
          </w:tcPr>
          <w:p w14:paraId="2C4B87D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用于记录乙方在服务期内出现以下重大事件及质量缺陷次数：</w:t>
            </w:r>
          </w:p>
          <w:p w14:paraId="0DCE332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a.应用软件出现III级（含）以上的运营中断事件；</w:t>
            </w:r>
          </w:p>
          <w:p w14:paraId="01F61C0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b.因乙方原因（含乙方合作的第三方）导致甲方发生网络安全事件；</w:t>
            </w:r>
          </w:p>
          <w:p w14:paraId="08396EF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c.应用软件出现严重缺陷和致命缺陷。</w:t>
            </w:r>
          </w:p>
        </w:tc>
        <w:tc>
          <w:tcPr>
            <w:tcW w:w="3686" w:type="dxa"/>
            <w:vAlign w:val="center"/>
          </w:tcPr>
          <w:p w14:paraId="7CC3848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1C3E1D8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0次</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指未出现重大事件及质量缺陷，该项指标满分；</w:t>
            </w:r>
          </w:p>
          <w:p w14:paraId="03B0961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1次及以上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0分，指出现1次及以上任意一项重大事件或质量缺陷。</w:t>
            </w:r>
          </w:p>
        </w:tc>
        <w:tc>
          <w:tcPr>
            <w:tcW w:w="1734" w:type="dxa"/>
            <w:vAlign w:val="center"/>
          </w:tcPr>
          <w:p w14:paraId="3CF8AC8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每出现一次重大事件或质量缺陷，扣除乙方合同总金额不低于5%（不低于2万元），并要求乙方赔偿实际损失。</w:t>
            </w:r>
          </w:p>
        </w:tc>
        <w:tc>
          <w:tcPr>
            <w:tcW w:w="1121" w:type="dxa"/>
            <w:vAlign w:val="center"/>
          </w:tcPr>
          <w:p w14:paraId="2FA0C80A">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1551FAC9">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0186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16E070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7</w:t>
            </w:r>
          </w:p>
        </w:tc>
        <w:tc>
          <w:tcPr>
            <w:tcW w:w="1134" w:type="dxa"/>
            <w:vMerge w:val="continue"/>
          </w:tcPr>
          <w:p w14:paraId="714B254C">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2EBA931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信息安全管理</w:t>
            </w:r>
          </w:p>
        </w:tc>
        <w:tc>
          <w:tcPr>
            <w:tcW w:w="1403" w:type="dxa"/>
            <w:vAlign w:val="center"/>
          </w:tcPr>
          <w:p w14:paraId="5A53278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20E1C38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互联网或电子银行类系统：</w:t>
            </w:r>
          </w:p>
          <w:p w14:paraId="51B292D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1.安全漏洞及安全缺陷整改及时率=100%</w:t>
            </w:r>
          </w:p>
          <w:p w14:paraId="3F00B0F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2.安全漏洞及安全缺陷整改通过率=100%</w:t>
            </w:r>
          </w:p>
          <w:p w14:paraId="1BF2F28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非互联网或电子银行类系统：</w:t>
            </w:r>
          </w:p>
          <w:p w14:paraId="4C28917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1.中高危安全漏洞及安全缺陷整改及时率=100%</w:t>
            </w:r>
          </w:p>
          <w:p w14:paraId="2A90350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2.中高危安全漏洞及安全缺陷整改通过率=100%</w:t>
            </w:r>
          </w:p>
          <w:p w14:paraId="3A64946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5分，指未出现安全漏洞及安全缺陷，该项指标满分；</w:t>
            </w:r>
          </w:p>
          <w:p w14:paraId="78DA186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3分，指出现安全漏洞或安全缺陷，但整改及时率、通过率均为100%；</w:t>
            </w:r>
          </w:p>
          <w:p w14:paraId="780590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0分，指出现安全漏洞及安全缺陷，但整改及时率或通过率未达到100%。</w:t>
            </w:r>
          </w:p>
        </w:tc>
        <w:tc>
          <w:tcPr>
            <w:tcW w:w="1734" w:type="dxa"/>
            <w:vAlign w:val="center"/>
          </w:tcPr>
          <w:p w14:paraId="00B75EA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若出现的安全漏洞或安全缺陷被上级或监管单位通报的，扣除乙方金额人民币不低于2万元；</w:t>
            </w:r>
          </w:p>
          <w:p w14:paraId="1CB0303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若评价为较差/差时，扣除乙方金额人民币不低于2万元，并要求乙方赔偿实际损失。</w:t>
            </w:r>
          </w:p>
        </w:tc>
        <w:tc>
          <w:tcPr>
            <w:tcW w:w="1121" w:type="dxa"/>
            <w:vAlign w:val="center"/>
          </w:tcPr>
          <w:p w14:paraId="455201A6">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3470B9E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7783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25E6069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8</w:t>
            </w:r>
          </w:p>
        </w:tc>
        <w:tc>
          <w:tcPr>
            <w:tcW w:w="1134" w:type="dxa"/>
            <w:vMerge w:val="continue"/>
          </w:tcPr>
          <w:p w14:paraId="3CB77EB7">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10161E4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外包安全行为</w:t>
            </w:r>
          </w:p>
        </w:tc>
        <w:tc>
          <w:tcPr>
            <w:tcW w:w="1403" w:type="dxa"/>
            <w:vAlign w:val="center"/>
          </w:tcPr>
          <w:p w14:paraId="27C0918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vAlign w:val="center"/>
          </w:tcPr>
          <w:p w14:paraId="00E30B0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520995E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指乙方服务未出现外包安全行为风险，该项指标满分；</w:t>
            </w:r>
          </w:p>
          <w:p w14:paraId="5F9EA31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指乙方出现1次及以上外包安全行为风险（每次扣5分，最高扣除10分）。</w:t>
            </w:r>
          </w:p>
        </w:tc>
        <w:tc>
          <w:tcPr>
            <w:tcW w:w="1734" w:type="dxa"/>
            <w:vAlign w:val="center"/>
          </w:tcPr>
          <w:p w14:paraId="6475992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每发生一次外包安全行为风险，扣除乙方金额人民币不低于1000元，并要求乙方赔偿实际损失。</w:t>
            </w:r>
          </w:p>
        </w:tc>
        <w:tc>
          <w:tcPr>
            <w:tcW w:w="1121" w:type="dxa"/>
            <w:vAlign w:val="center"/>
          </w:tcPr>
          <w:p w14:paraId="383EDD01">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6CC5195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5D62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21CC38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9</w:t>
            </w:r>
          </w:p>
        </w:tc>
        <w:tc>
          <w:tcPr>
            <w:tcW w:w="1134" w:type="dxa"/>
            <w:vMerge w:val="continue"/>
          </w:tcPr>
          <w:p w14:paraId="1D492EDB">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7AA33C2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响应与解决及时性</w:t>
            </w:r>
          </w:p>
        </w:tc>
        <w:tc>
          <w:tcPr>
            <w:tcW w:w="1403" w:type="dxa"/>
            <w:vAlign w:val="center"/>
          </w:tcPr>
          <w:p w14:paraId="24434E4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用于记录乙方或服务项目对甲方的响应与解决的及时性</w:t>
            </w:r>
          </w:p>
        </w:tc>
        <w:tc>
          <w:tcPr>
            <w:tcW w:w="3686" w:type="dxa"/>
            <w:vAlign w:val="center"/>
          </w:tcPr>
          <w:p w14:paraId="390A274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5分，指乙方或服务项目能够迅速响应需求，主动快速与甲方进行有效的沟通，第一时间从专业角度给出解决方案并解决问题；</w:t>
            </w:r>
          </w:p>
          <w:p w14:paraId="3FED9F7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4分，指乙方或服务项目能够按要求响应需求，及时与甲方进行有效的沟通，快速给出处理方案并解决问题；</w:t>
            </w:r>
          </w:p>
          <w:p w14:paraId="66E0A07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3分，指乙方或服务项目能够基本按要求响应需求，保持与甲方的沟通，按时解决问题；</w:t>
            </w:r>
          </w:p>
          <w:p w14:paraId="09CAFD9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0分，指乙方或服务项目未及时响应需求，或响应需求后无法及时解决问题。</w:t>
            </w:r>
          </w:p>
        </w:tc>
        <w:tc>
          <w:tcPr>
            <w:tcW w:w="1734" w:type="dxa"/>
            <w:vAlign w:val="center"/>
          </w:tcPr>
          <w:p w14:paraId="5B9CBCC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评价为较差/差，即乙方或服务项目未及时响应需求，或响应需求后无法及时解决问题，扣除乙方金额人民币不低于1000元。</w:t>
            </w:r>
          </w:p>
        </w:tc>
        <w:tc>
          <w:tcPr>
            <w:tcW w:w="1121" w:type="dxa"/>
            <w:vAlign w:val="center"/>
          </w:tcPr>
          <w:p w14:paraId="11F6CAD6">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709F8FAD">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69F4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548CF8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10</w:t>
            </w:r>
          </w:p>
        </w:tc>
        <w:tc>
          <w:tcPr>
            <w:tcW w:w="1134" w:type="dxa"/>
            <w:vMerge w:val="continue"/>
          </w:tcPr>
          <w:p w14:paraId="0644331A">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52C43DD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w:t>
            </w:r>
          </w:p>
        </w:tc>
        <w:tc>
          <w:tcPr>
            <w:tcW w:w="1403" w:type="dxa"/>
            <w:vAlign w:val="center"/>
          </w:tcPr>
          <w:p w14:paraId="0BA5EDB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用于记录统计周期内对甲方需求进行投产计划安排的比例</w:t>
            </w:r>
          </w:p>
        </w:tc>
        <w:tc>
          <w:tcPr>
            <w:tcW w:w="3686" w:type="dxa"/>
            <w:vAlign w:val="center"/>
          </w:tcPr>
          <w:p w14:paraId="51FB84B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需求排期率=已排期需求数/总需求数</w:t>
            </w:r>
          </w:p>
          <w:p w14:paraId="4F5A007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注：已排期需求数指统计周期内已经纳入投产计划的需求个数。总需求数指统计周期内由甲方提出到达服务商项目组的需求数。</w:t>
            </w:r>
          </w:p>
          <w:p w14:paraId="793143B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02120C2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4E01537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5BCCD7E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p>
        </w:tc>
        <w:tc>
          <w:tcPr>
            <w:tcW w:w="1121" w:type="dxa"/>
            <w:vAlign w:val="center"/>
          </w:tcPr>
          <w:p w14:paraId="333A7F7D">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387F5ABD">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E60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BD9B19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11</w:t>
            </w:r>
          </w:p>
        </w:tc>
        <w:tc>
          <w:tcPr>
            <w:tcW w:w="1134" w:type="dxa"/>
            <w:vMerge w:val="continue"/>
          </w:tcPr>
          <w:p w14:paraId="6300818E">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724C954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w:t>
            </w:r>
          </w:p>
        </w:tc>
        <w:tc>
          <w:tcPr>
            <w:tcW w:w="1403" w:type="dxa"/>
            <w:vAlign w:val="center"/>
          </w:tcPr>
          <w:p w14:paraId="4E5FA44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用于记录统计周期内甲方需求完成投产的比例</w:t>
            </w:r>
          </w:p>
        </w:tc>
        <w:tc>
          <w:tcPr>
            <w:tcW w:w="3686" w:type="dxa"/>
            <w:vAlign w:val="center"/>
          </w:tcPr>
          <w:p w14:paraId="4D3E0F1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需求完成率=流程完结需求数/总需求数</w:t>
            </w:r>
          </w:p>
          <w:p w14:paraId="2167BA7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注：流程完结需求数指统计周期内已完成投产的需求个数；总需求数指统计周期内由甲方提出到达服务商项目组的需求个数。</w:t>
            </w:r>
          </w:p>
          <w:p w14:paraId="5DDC865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15A9893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695919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643493F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p>
        </w:tc>
        <w:tc>
          <w:tcPr>
            <w:tcW w:w="1121" w:type="dxa"/>
            <w:vAlign w:val="center"/>
          </w:tcPr>
          <w:p w14:paraId="318F5F1C">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039668E9">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2380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E0E11F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12</w:t>
            </w:r>
          </w:p>
        </w:tc>
        <w:tc>
          <w:tcPr>
            <w:tcW w:w="1134" w:type="dxa"/>
            <w:vMerge w:val="continue"/>
          </w:tcPr>
          <w:p w14:paraId="2138B5A9">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09B3EAB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人员行为规范性</w:t>
            </w:r>
          </w:p>
        </w:tc>
        <w:tc>
          <w:tcPr>
            <w:tcW w:w="1403" w:type="dxa"/>
            <w:vAlign w:val="center"/>
          </w:tcPr>
          <w:p w14:paraId="4F8389A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用于记录外包场地日常管理或检查过程中发现外包人员行为违规（包括但不限于办公纪律、造成办公环境物理安全隐患等）的次数</w:t>
            </w:r>
          </w:p>
        </w:tc>
        <w:tc>
          <w:tcPr>
            <w:tcW w:w="3686" w:type="dxa"/>
            <w:vAlign w:val="center"/>
          </w:tcPr>
          <w:p w14:paraId="5B6BDAB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047871A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指未出现外包人员行为违规，该项指标满分；</w:t>
            </w:r>
          </w:p>
          <w:p w14:paraId="727D5A3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指检查发现外包人员行为违规1次及以上（每人次扣5分，最高扣除10分）</w:t>
            </w:r>
          </w:p>
        </w:tc>
        <w:tc>
          <w:tcPr>
            <w:tcW w:w="1734" w:type="dxa"/>
            <w:vAlign w:val="center"/>
          </w:tcPr>
          <w:p w14:paraId="04F9438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每出现一次人员行为违规，扣除乙方金额人民币不低于500元。</w:t>
            </w:r>
          </w:p>
        </w:tc>
        <w:tc>
          <w:tcPr>
            <w:tcW w:w="1121" w:type="dxa"/>
            <w:vAlign w:val="center"/>
          </w:tcPr>
          <w:p w14:paraId="4EFABF51">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3073262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8B2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87C91A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13</w:t>
            </w:r>
          </w:p>
        </w:tc>
        <w:tc>
          <w:tcPr>
            <w:tcW w:w="1134" w:type="dxa"/>
            <w:vMerge w:val="continue"/>
          </w:tcPr>
          <w:p w14:paraId="31C4CB70">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07532F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w:t>
            </w:r>
          </w:p>
        </w:tc>
        <w:tc>
          <w:tcPr>
            <w:tcW w:w="1403" w:type="dxa"/>
            <w:vAlign w:val="center"/>
          </w:tcPr>
          <w:p w14:paraId="5A39452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用于记录统计周期内乙方未经甲方同意更换外包人员数量占乙方驻场外包人员总数量的比率</w:t>
            </w:r>
          </w:p>
        </w:tc>
        <w:tc>
          <w:tcPr>
            <w:tcW w:w="3686" w:type="dxa"/>
            <w:vAlign w:val="center"/>
          </w:tcPr>
          <w:p w14:paraId="0EAEEE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人员变动率=乙方未经甲方同意更换外包人员数量/乙方驻场外包人员总数量</w:t>
            </w:r>
          </w:p>
          <w:p w14:paraId="19765A0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10分【0-20%】</w:t>
            </w:r>
          </w:p>
          <w:p w14:paraId="6A18197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5分【20%-40%】</w:t>
            </w:r>
          </w:p>
          <w:p w14:paraId="33148A3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0分【超过40%】</w:t>
            </w:r>
          </w:p>
        </w:tc>
        <w:tc>
          <w:tcPr>
            <w:tcW w:w="1734" w:type="dxa"/>
            <w:vAlign w:val="center"/>
          </w:tcPr>
          <w:p w14:paraId="4FEFFD8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技术骨干或项目经理未经甲方同意变动，扣除乙方金额人民币不低于3万元；其余人员变动率超过40%，扣除不低于合同总金额的1%。</w:t>
            </w:r>
          </w:p>
        </w:tc>
        <w:tc>
          <w:tcPr>
            <w:tcW w:w="1121" w:type="dxa"/>
            <w:vAlign w:val="center"/>
          </w:tcPr>
          <w:p w14:paraId="257ED1CC">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22CCA8B6">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1C2A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512501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14</w:t>
            </w:r>
          </w:p>
        </w:tc>
        <w:tc>
          <w:tcPr>
            <w:tcW w:w="1134" w:type="dxa"/>
            <w:vMerge w:val="continue"/>
          </w:tcPr>
          <w:p w14:paraId="21B338E9">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20631B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人员满意度评价</w:t>
            </w:r>
          </w:p>
        </w:tc>
        <w:tc>
          <w:tcPr>
            <w:tcW w:w="1403" w:type="dxa"/>
            <w:vAlign w:val="center"/>
          </w:tcPr>
          <w:p w14:paraId="755763C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甲方对乙方外包人员表现的满意度评价</w:t>
            </w:r>
          </w:p>
        </w:tc>
        <w:tc>
          <w:tcPr>
            <w:tcW w:w="3686" w:type="dxa"/>
            <w:vAlign w:val="center"/>
          </w:tcPr>
          <w:p w14:paraId="76F8276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5分，指工作效率高，态度积极主动，保质保量完成工作任务，对团队有突出贡献，日常行为能起到模范带头作用的；</w:t>
            </w:r>
          </w:p>
          <w:p w14:paraId="636F2DD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4分，指工作效率较高，态度比较主动，较好完成工作任务，对团队有一定贡献，日常行为表现较好的；</w:t>
            </w:r>
          </w:p>
          <w:p w14:paraId="02DF15C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3分，指工作效率一般，态度合格，能够按时完成工作任务的；</w:t>
            </w:r>
          </w:p>
          <w:p w14:paraId="2BF542B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0分，指工作效率低下，态度懈怠散漫，不能按时完成工作任务的。</w:t>
            </w:r>
          </w:p>
        </w:tc>
        <w:tc>
          <w:tcPr>
            <w:tcW w:w="1734" w:type="dxa"/>
            <w:vAlign w:val="center"/>
          </w:tcPr>
          <w:p w14:paraId="6C9A3DB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评价为较差/差时，甲方有权要求乙方更换人员并赔偿实际损失。</w:t>
            </w:r>
          </w:p>
        </w:tc>
        <w:tc>
          <w:tcPr>
            <w:tcW w:w="1121" w:type="dxa"/>
            <w:vAlign w:val="center"/>
          </w:tcPr>
          <w:p w14:paraId="68B80FC6">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5D9800A4">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0985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4" w:type="dxa"/>
            <w:gridSpan w:val="7"/>
            <w:vAlign w:val="center"/>
          </w:tcPr>
          <w:p w14:paraId="19773BA4">
            <w:pPr>
              <w:keepNext w:val="0"/>
              <w:keepLines w:val="0"/>
              <w:pageBreakBefore w:val="0"/>
              <w:kinsoku/>
              <w:overflowPunct/>
              <w:topLinePunct w:val="0"/>
              <w:autoSpaceDE w:val="0"/>
              <w:autoSpaceDN w:val="0"/>
              <w:bidi w:val="0"/>
              <w:spacing w:line="240" w:lineRule="auto"/>
              <w:ind w:firstLine="8295" w:firstLineChars="3950"/>
              <w:jc w:val="left"/>
              <w:outlineLvl w:val="9"/>
              <w:rPr>
                <w:rFonts w:ascii="宋体" w:eastAsia="宋体"/>
                <w:color w:val="FF0000"/>
                <w:szCs w:val="24"/>
                <w:highlight w:val="none"/>
              </w:rPr>
            </w:pPr>
            <w:r>
              <w:rPr>
                <w:rFonts w:ascii="Times New Roman" w:hAnsi="Times New Roman" w:cs="Times New Roman"/>
                <w:kern w:val="0"/>
                <w:sz w:val="21"/>
                <w:szCs w:val="24"/>
                <w:highlight w:val="none"/>
              </w:rPr>
              <w:t xml:space="preserve">   </w:t>
            </w:r>
            <w:r>
              <w:rPr>
                <w:rFonts w:hint="eastAsia" w:ascii="Times New Roman" w:hAnsi="Times New Roman" w:cs="Times New Roman"/>
                <w:kern w:val="0"/>
                <w:sz w:val="21"/>
                <w:szCs w:val="24"/>
                <w:highlight w:val="none"/>
              </w:rPr>
              <w:t>综合得分：</w:t>
            </w:r>
          </w:p>
        </w:tc>
        <w:tc>
          <w:tcPr>
            <w:tcW w:w="700" w:type="dxa"/>
          </w:tcPr>
          <w:p w14:paraId="3960598C">
            <w:pPr>
              <w:keepNext w:val="0"/>
              <w:keepLines w:val="0"/>
              <w:pageBreakBefore w:val="0"/>
              <w:kinsoku/>
              <w:overflowPunct/>
              <w:topLinePunct w:val="0"/>
              <w:autoSpaceDE w:val="0"/>
              <w:autoSpaceDN w:val="0"/>
              <w:bidi w:val="0"/>
              <w:ind w:left="0" w:firstLine="0" w:firstLineChars="0"/>
              <w:jc w:val="left"/>
              <w:outlineLvl w:val="9"/>
              <w:rPr>
                <w:rFonts w:ascii="宋体" w:eastAsia="宋体"/>
                <w:color w:val="FF0000"/>
                <w:szCs w:val="24"/>
                <w:highlight w:val="none"/>
              </w:rPr>
            </w:pPr>
          </w:p>
        </w:tc>
      </w:tr>
      <w:tr w14:paraId="6EC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0694" w:type="dxa"/>
            <w:gridSpan w:val="8"/>
          </w:tcPr>
          <w:p w14:paraId="6CC6937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综合评价：</w:t>
            </w:r>
          </w:p>
          <w:p w14:paraId="7D62F98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color w:val="FF0000"/>
                <w:kern w:val="0"/>
                <w:sz w:val="21"/>
                <w:szCs w:val="24"/>
                <w:highlight w:val="none"/>
              </w:rPr>
            </w:pPr>
            <w:r>
              <w:rPr>
                <w:rFonts w:hint="eastAsia" w:ascii="Times New Roman" w:hAnsi="Times New Roman" w:cs="Times New Roman"/>
                <w:color w:val="FF0000"/>
                <w:kern w:val="0"/>
                <w:sz w:val="21"/>
                <w:szCs w:val="24"/>
                <w:highlight w:val="none"/>
              </w:rPr>
              <w:t>（注：请开展综合评价，不满足服务要求的，需详细阐述不满足的内容及扣除合同违约金，填写完成后删除此括号内容）</w:t>
            </w:r>
          </w:p>
          <w:p w14:paraId="3B892750">
            <w:pPr>
              <w:keepNext w:val="0"/>
              <w:keepLines w:val="0"/>
              <w:pageBreakBefore w:val="0"/>
              <w:kinsoku/>
              <w:overflowPunct/>
              <w:topLinePunct w:val="0"/>
              <w:autoSpaceDE w:val="0"/>
              <w:autoSpaceDN w:val="0"/>
              <w:bidi w:val="0"/>
              <w:jc w:val="left"/>
              <w:outlineLvl w:val="9"/>
              <w:rPr>
                <w:rFonts w:ascii="宋体" w:eastAsia="宋体"/>
                <w:szCs w:val="24"/>
                <w:highlight w:val="none"/>
              </w:rPr>
            </w:pPr>
          </w:p>
          <w:p w14:paraId="7E644542">
            <w:pPr>
              <w:keepNext w:val="0"/>
              <w:keepLines w:val="0"/>
              <w:pageBreakBefore w:val="0"/>
              <w:kinsoku/>
              <w:wordWrap w:val="0"/>
              <w:overflowPunct/>
              <w:topLinePunct w:val="0"/>
              <w:autoSpaceDE w:val="0"/>
              <w:autoSpaceDN w:val="0"/>
              <w:bidi w:val="0"/>
              <w:jc w:val="right"/>
              <w:outlineLvl w:val="9"/>
              <w:rPr>
                <w:rFonts w:ascii="宋体" w:eastAsia="宋体"/>
                <w:szCs w:val="24"/>
                <w:highlight w:val="none"/>
              </w:rPr>
            </w:pPr>
            <w:r>
              <w:rPr>
                <w:rFonts w:hint="eastAsia" w:ascii="宋体" w:eastAsia="宋体"/>
                <w:szCs w:val="24"/>
                <w:highlight w:val="none"/>
              </w:rPr>
              <w:t xml:space="preserve">评价人：                                 </w:t>
            </w:r>
          </w:p>
        </w:tc>
      </w:tr>
    </w:tbl>
    <w:p w14:paraId="488AF6E0">
      <w:pPr>
        <w:keepNext w:val="0"/>
        <w:keepLines w:val="0"/>
        <w:pageBreakBefore w:val="0"/>
        <w:kinsoku/>
        <w:overflowPunct/>
        <w:topLinePunct w:val="0"/>
        <w:autoSpaceDE w:val="0"/>
        <w:autoSpaceDN w:val="0"/>
        <w:bidi w:val="0"/>
        <w:spacing w:line="360" w:lineRule="auto"/>
        <w:ind w:left="0" w:firstLine="0" w:firstLineChars="0"/>
        <w:outlineLvl w:val="9"/>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05F7D7A5">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优秀：评价得分达90分以上；</w:t>
      </w:r>
    </w:p>
    <w:p w14:paraId="2469D94D">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良好：评价得分达75-90分；</w:t>
      </w:r>
    </w:p>
    <w:p w14:paraId="4E7FE853">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合格：评价得分达60-75分；</w:t>
      </w:r>
    </w:p>
    <w:p w14:paraId="4B20B19A">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差：评价得分在60分以下。</w:t>
      </w:r>
    </w:p>
    <w:p w14:paraId="66340E23">
      <w:pPr>
        <w:keepNext w:val="0"/>
        <w:keepLines w:val="0"/>
        <w:pageBreakBefore w:val="0"/>
        <w:kinsoku/>
        <w:overflowPunct/>
        <w:topLinePunct w:val="0"/>
        <w:autoSpaceDE w:val="0"/>
        <w:autoSpaceDN w:val="0"/>
        <w:bidi w:val="0"/>
        <w:ind w:left="0" w:firstLine="0" w:firstLineChars="0"/>
        <w:jc w:val="both"/>
        <w:outlineLvl w:val="9"/>
        <w:rPr>
          <w:highlight w:val="none"/>
        </w:rPr>
      </w:pPr>
    </w:p>
    <w:p w14:paraId="6880B728">
      <w:pPr>
        <w:keepNext w:val="0"/>
        <w:keepLines w:val="0"/>
        <w:pageBreakBefore w:val="0"/>
        <w:tabs>
          <w:tab w:val="left" w:pos="3360"/>
        </w:tabs>
        <w:kinsoku/>
        <w:overflowPunct/>
        <w:topLinePunct w:val="0"/>
        <w:autoSpaceDE w:val="0"/>
        <w:autoSpaceDN w:val="0"/>
        <w:bidi w:val="0"/>
        <w:spacing w:before="0" w:after="0"/>
        <w:jc w:val="both"/>
        <w:outlineLvl w:val="9"/>
        <w:rPr>
          <w:rStyle w:val="42"/>
          <w:rFonts w:ascii="宋体" w:eastAsia="宋体"/>
          <w:spacing w:val="0"/>
          <w:kern w:val="0"/>
          <w:sz w:val="30"/>
          <w:highlight w:val="none"/>
        </w:rPr>
      </w:pPr>
      <w:r>
        <w:rPr>
          <w:rStyle w:val="42"/>
          <w:rFonts w:ascii="宋体"/>
          <w:kern w:val="0"/>
          <w:highlight w:val="none"/>
        </w:rPr>
        <w:br w:type="page"/>
      </w:r>
      <w:r>
        <w:rPr>
          <w:rStyle w:val="42"/>
          <w:rFonts w:hint="eastAsia" w:ascii="宋体" w:eastAsia="宋体"/>
          <w:spacing w:val="0"/>
          <w:kern w:val="0"/>
          <w:sz w:val="30"/>
          <w:highlight w:val="none"/>
        </w:rPr>
        <w:t>附件六：服务连续性预案</w:t>
      </w:r>
    </w:p>
    <w:p w14:paraId="4F2D4830">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一、目的</w:t>
      </w:r>
    </w:p>
    <w:p w14:paraId="658CD066">
      <w:pPr>
        <w:keepNext w:val="0"/>
        <w:keepLines w:val="0"/>
        <w:pageBreakBefore w:val="0"/>
        <w:kinsoku/>
        <w:overflowPunct/>
        <w:topLinePunct w:val="0"/>
        <w:autoSpaceDE w:val="0"/>
        <w:autoSpaceDN w:val="0"/>
        <w:bidi w:val="0"/>
        <w:spacing w:line="360" w:lineRule="auto"/>
        <w:ind w:firstLine="489" w:firstLineChars="233"/>
        <w:outlineLvl w:val="9"/>
        <w:rPr>
          <w:rFonts w:eastAsia="宋体"/>
          <w:spacing w:val="0"/>
          <w:szCs w:val="24"/>
          <w:highlight w:val="none"/>
        </w:rPr>
      </w:pPr>
      <w:r>
        <w:rPr>
          <w:rFonts w:hint="eastAsia" w:ascii="宋体" w:eastAsia="宋体"/>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49227254">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二、应急组织架构及职责</w:t>
      </w:r>
    </w:p>
    <w:p w14:paraId="36A6C8AD">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DDC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DEF60C7">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6467A72F">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6B83228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13A77A53">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职责</w:t>
            </w:r>
          </w:p>
        </w:tc>
      </w:tr>
      <w:tr w14:paraId="6C8D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A590F0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087160A7">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5E8FC3F">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256C26E">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0B20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7B731631">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751CA0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DDB4E6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7ABCCEA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325D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88E1187">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D716E7C">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BBD541E">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96283F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bl>
    <w:p w14:paraId="08456D75">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4AF2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D91147D">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075CCC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086558B">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574DD9BC">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职责</w:t>
            </w:r>
          </w:p>
        </w:tc>
      </w:tr>
      <w:tr w14:paraId="3CEF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CE08B3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B31150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35AA013">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7FA6B04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5ABE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E37D73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ECA0B52">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52FC4E2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59C10AD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bl>
    <w:p w14:paraId="0B56187C">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400D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864BB18">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04E8542">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3A8D31D">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CFA6EB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职责</w:t>
            </w:r>
          </w:p>
        </w:tc>
      </w:tr>
      <w:tr w14:paraId="7EFB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B0DEFE4">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E34CAA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B03C8EE">
            <w:pPr>
              <w:keepNext w:val="0"/>
              <w:keepLines w:val="0"/>
              <w:pageBreakBefore w:val="0"/>
              <w:widowControl/>
              <w:kinsoku/>
              <w:overflowPunct/>
              <w:topLinePunct w:val="0"/>
              <w:autoSpaceDE w:val="0"/>
              <w:autoSpaceDN w:val="0"/>
              <w:bidi w:val="0"/>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AC6255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7B46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2234EDB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2F5BE4D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81EF5A3">
            <w:pPr>
              <w:keepNext w:val="0"/>
              <w:keepLines w:val="0"/>
              <w:pageBreakBefore w:val="0"/>
              <w:widowControl/>
              <w:kinsoku/>
              <w:overflowPunct/>
              <w:topLinePunct w:val="0"/>
              <w:autoSpaceDE w:val="0"/>
              <w:autoSpaceDN w:val="0"/>
              <w:bidi w:val="0"/>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53CBB0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bl>
    <w:p w14:paraId="051BDABB">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（四）应急领导小组职责</w:t>
      </w:r>
    </w:p>
    <w:p w14:paraId="4F31DD3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w:t>
      </w:r>
      <w:r>
        <w:rPr>
          <w:rFonts w:ascii="宋体" w:eastAsia="宋体"/>
          <w:spacing w:val="0"/>
          <w:szCs w:val="24"/>
          <w:highlight w:val="none"/>
        </w:rPr>
        <w:t>.</w:t>
      </w:r>
      <w:r>
        <w:rPr>
          <w:rFonts w:hint="eastAsia" w:ascii="宋体" w:eastAsia="宋体"/>
          <w:spacing w:val="0"/>
          <w:szCs w:val="24"/>
          <w:highlight w:val="none"/>
        </w:rPr>
        <w:t>启动应急预案</w:t>
      </w:r>
    </w:p>
    <w:p w14:paraId="40830709">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6A8CA4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w:t>
      </w:r>
      <w:r>
        <w:rPr>
          <w:rFonts w:ascii="宋体" w:eastAsia="宋体"/>
          <w:spacing w:val="0"/>
          <w:szCs w:val="24"/>
          <w:highlight w:val="none"/>
        </w:rPr>
        <w:t>.</w:t>
      </w:r>
      <w:r>
        <w:rPr>
          <w:rFonts w:hint="eastAsia" w:ascii="宋体" w:eastAsia="宋体"/>
          <w:spacing w:val="0"/>
          <w:szCs w:val="24"/>
          <w:highlight w:val="none"/>
        </w:rPr>
        <w:t>应急事件处理</w:t>
      </w:r>
    </w:p>
    <w:p w14:paraId="79800DC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ADF2308">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3</w:t>
      </w:r>
      <w:r>
        <w:rPr>
          <w:rFonts w:ascii="宋体" w:eastAsia="宋体"/>
          <w:spacing w:val="0"/>
          <w:szCs w:val="24"/>
          <w:highlight w:val="none"/>
        </w:rPr>
        <w:t>.</w:t>
      </w:r>
      <w:r>
        <w:rPr>
          <w:rFonts w:hint="eastAsia" w:ascii="宋体" w:eastAsia="宋体"/>
          <w:spacing w:val="0"/>
          <w:szCs w:val="24"/>
          <w:highlight w:val="none"/>
        </w:rPr>
        <w:t>业务持续性计划及应急预案优化</w:t>
      </w:r>
    </w:p>
    <w:p w14:paraId="62F7251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4114D320">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三、应急场景</w:t>
      </w:r>
    </w:p>
    <w:p w14:paraId="60C264F8">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（一）单个核心成员或某个角色无法提供正常服务</w:t>
      </w:r>
    </w:p>
    <w:p w14:paraId="3769D4F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1.影响程度：外包服务部分中断</w:t>
      </w:r>
    </w:p>
    <w:p w14:paraId="1D6A1DC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7C4068F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1</w:t>
      </w:r>
      <w:r>
        <w:rPr>
          <w:rFonts w:hint="eastAsia" w:ascii="宋体" w:eastAsia="宋体"/>
          <w:spacing w:val="0"/>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5CC6F5A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）乙方服务团队在合同有效期内，建立人才储备机制和培训机制，同时由A角和B角对项目进行支持工作。</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w:t>
      </w:r>
      <w:r>
        <w:rPr>
          <w:rFonts w:hint="eastAsia" w:ascii="宋体" w:eastAsia="宋体"/>
          <w:spacing w:val="0"/>
          <w:szCs w:val="24"/>
          <w:highlight w:val="none"/>
        </w:rPr>
        <w:t>按照SLA进行</w:t>
      </w:r>
      <w:r>
        <w:rPr>
          <w:rFonts w:ascii="宋体" w:eastAsia="宋体"/>
          <w:spacing w:val="0"/>
          <w:szCs w:val="24"/>
          <w:highlight w:val="none"/>
        </w:rPr>
        <w:t>赔偿。</w:t>
      </w:r>
    </w:p>
    <w:p w14:paraId="41071177">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（二）乙方服务团队无法提供正常服务，但乙方仍具备履约能力</w:t>
      </w:r>
    </w:p>
    <w:p w14:paraId="487D883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7955D1AD">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66DDB5A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1）乙方服务团队需按时按照甲方流程及制度规范提交项目各类文档；</w:t>
      </w:r>
    </w:p>
    <w:p w14:paraId="7536C43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2）乙方服务团队需制定合理的培训计划和培训内容，加强知识转移；</w:t>
      </w:r>
    </w:p>
    <w:p w14:paraId="44952D3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3）如遇类似事件乙方提前10个工作日书面通知甲方项目经理；</w:t>
      </w:r>
    </w:p>
    <w:p w14:paraId="6784E16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）乙方负责提前协调备用团队，并协调相应角色做好交接工作，协调方案经过甲方认可后，在10个工作日内将补充团队派驻入场，保障工作连续开展。</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3AC1E598">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（三）乙方服务团队无法提供正常服务且乙方不具备恢复服务能力或意愿</w:t>
      </w:r>
    </w:p>
    <w:p w14:paraId="2EE7470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5379ACD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2ACBF1F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1）如遇类似事件乙方提前15个工作日书面通知甲方项目经理；</w:t>
      </w:r>
    </w:p>
    <w:p w14:paraId="158B26E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）乙方保证提前沟通协调人力资源，于10个工作日内提交所有阶段性项目文档，并完成甲方认可的所有工作交接和知识转移，包括不限于对替代供应商进行培训；</w:t>
      </w:r>
    </w:p>
    <w:p w14:paraId="3ED31CB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063654BD">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（四）乙方因资质变更、被收购、兼并或破产等原因致使其无法继续提供服务</w:t>
      </w:r>
    </w:p>
    <w:p w14:paraId="216B43B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583C4F9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58BF0D7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1）如遇类似事件乙方提前20个工作日通知甲方项目经理；</w:t>
      </w:r>
    </w:p>
    <w:p w14:paraId="4B20FCB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）根据开发合同约定提前与甲方进行沟通协商，做好代码、文档、服务等交接工作，减少对甲方的影响；</w:t>
      </w:r>
    </w:p>
    <w:p w14:paraId="6B7F2AC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）乙方保证提前沟通协调人力资源，于15个工作日内提交所有阶段性项目文档，并完成甲方认可的所有工作交接和知识转移，包括不限于对替代供应商进行培训。</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128F352B">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）允许推荐项目成员到与甲方合作良好的其他供应商任职或由甲方直接聘用。</w:t>
      </w:r>
    </w:p>
    <w:p w14:paraId="307FD134">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（五）乙方因不可抗力导致其主动退出（国家相关法律法规调整、遭受大规模自然灾害等）</w:t>
      </w:r>
    </w:p>
    <w:p w14:paraId="30A836DB">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48402DD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7CC0850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1）如遇类似事件乙方应立即通知甲方项目经理。</w:t>
      </w:r>
    </w:p>
    <w:p w14:paraId="1D164DE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）乙方与甲方及时进行协商，得出一致性解决方案，于15个工作日内提交所有阶段性项目文档，并完成甲方认可的所有工作交接和知识转移，降低突发事件的影响；</w:t>
      </w:r>
    </w:p>
    <w:p w14:paraId="698B9E6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28EFA09B">
      <w:pPr>
        <w:keepNext w:val="0"/>
        <w:keepLines w:val="0"/>
        <w:pageBreakBefore w:val="0"/>
        <w:kinsoku/>
        <w:overflowPunct/>
        <w:topLinePunct w:val="0"/>
        <w:autoSpaceDE w:val="0"/>
        <w:autoSpaceDN w:val="0"/>
        <w:bidi w:val="0"/>
        <w:ind w:firstLine="422" w:firstLineChars="200"/>
        <w:outlineLvl w:val="9"/>
        <w:rPr>
          <w:rFonts w:ascii="宋体" w:eastAsia="宋体"/>
          <w:spacing w:val="0"/>
          <w:szCs w:val="24"/>
          <w:highlight w:val="none"/>
        </w:rPr>
      </w:pPr>
      <w:r>
        <w:rPr>
          <w:rFonts w:hint="eastAsia" w:ascii="宋体" w:eastAsia="宋体"/>
          <w:b/>
          <w:spacing w:val="0"/>
          <w:szCs w:val="24"/>
          <w:highlight w:val="none"/>
        </w:rPr>
        <w:t>四、应急处理阶段</w:t>
      </w:r>
    </w:p>
    <w:p w14:paraId="77243051">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（一）项目实施过程中应急服务</w:t>
      </w:r>
    </w:p>
    <w:p w14:paraId="07BD9797">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E23259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在应急事件处理完毕后，由乙方应急小组</w:t>
      </w:r>
      <w:r>
        <w:rPr>
          <w:rFonts w:ascii="宋体" w:eastAsia="宋体"/>
          <w:spacing w:val="0"/>
          <w:szCs w:val="24"/>
          <w:highlight w:val="none"/>
        </w:rPr>
        <w:t>对事件发生原因、性质、影响、后果、责任及应急处置能力、恢复重建等问题进行全面调查评估，总结经验教训，完善应急处理预案，整改</w:t>
      </w:r>
      <w:r>
        <w:rPr>
          <w:rFonts w:hint="eastAsia" w:ascii="宋体" w:eastAsia="宋体"/>
          <w:spacing w:val="0"/>
          <w:szCs w:val="24"/>
          <w:highlight w:val="none"/>
        </w:rPr>
        <w:t>项目服务过程中</w:t>
      </w:r>
      <w:r>
        <w:rPr>
          <w:rFonts w:ascii="宋体" w:eastAsia="宋体"/>
          <w:spacing w:val="0"/>
          <w:szCs w:val="24"/>
          <w:highlight w:val="none"/>
        </w:rPr>
        <w:t>存在的隐患</w:t>
      </w:r>
      <w:r>
        <w:rPr>
          <w:rFonts w:hint="eastAsia" w:ascii="宋体" w:eastAsia="宋体"/>
          <w:spacing w:val="0"/>
          <w:szCs w:val="24"/>
          <w:highlight w:val="none"/>
        </w:rPr>
        <w:t>问题</w:t>
      </w:r>
      <w:r>
        <w:rPr>
          <w:rFonts w:ascii="宋体" w:eastAsia="宋体"/>
          <w:spacing w:val="0"/>
          <w:szCs w:val="24"/>
          <w:highlight w:val="none"/>
        </w:rPr>
        <w:t>。</w:t>
      </w:r>
    </w:p>
    <w:p w14:paraId="61D5D28C">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（二）系统上线后应急服务</w:t>
      </w:r>
    </w:p>
    <w:p w14:paraId="685B7FC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3B8B796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姓名:        手机号码：        邮箱：</w:t>
      </w:r>
    </w:p>
    <w:p w14:paraId="57C6413B">
      <w:pPr>
        <w:keepNext w:val="0"/>
        <w:keepLines w:val="0"/>
        <w:pageBreakBefore w:val="0"/>
        <w:kinsoku/>
        <w:overflowPunct/>
        <w:topLinePunct w:val="0"/>
        <w:autoSpaceDE w:val="0"/>
        <w:autoSpaceDN w:val="0"/>
        <w:bidi w:val="0"/>
        <w:spacing w:line="360" w:lineRule="auto"/>
        <w:ind w:firstLine="489" w:firstLineChars="233"/>
        <w:outlineLvl w:val="9"/>
        <w:rPr>
          <w:rFonts w:ascii="宋体"/>
          <w:szCs w:val="24"/>
          <w:highlight w:val="none"/>
        </w:rPr>
      </w:pPr>
      <w:r>
        <w:rPr>
          <w:rFonts w:hint="eastAsia" w:ascii="宋体" w:eastAsia="宋体"/>
          <w:spacing w:val="0"/>
          <w:szCs w:val="24"/>
          <w:highlight w:val="none"/>
        </w:rPr>
        <w:t>姓名:        手机号码：        邮箱：</w:t>
      </w:r>
    </w:p>
    <w:p w14:paraId="19155EE9">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p>
    <w:p w14:paraId="66BD316A">
      <w:pPr>
        <w:keepNext w:val="0"/>
        <w:keepLines w:val="0"/>
        <w:pageBreakBefore w:val="0"/>
        <w:kinsoku/>
        <w:overflowPunct/>
        <w:topLinePunct w:val="0"/>
        <w:autoSpaceDE w:val="0"/>
        <w:autoSpaceDN w:val="0"/>
        <w:bidi w:val="0"/>
        <w:spacing w:line="360" w:lineRule="auto"/>
        <w:ind w:firstLine="489" w:firstLineChars="233"/>
        <w:outlineLvl w:val="9"/>
        <w:rPr>
          <w:rFonts w:ascii="宋体"/>
          <w:szCs w:val="24"/>
          <w:highlight w:val="none"/>
        </w:rPr>
      </w:pPr>
    </w:p>
    <w:p w14:paraId="59DDDC28">
      <w:pPr>
        <w:keepNext w:val="0"/>
        <w:keepLines w:val="0"/>
        <w:pageBreakBefore w:val="0"/>
        <w:kinsoku/>
        <w:overflowPunct/>
        <w:topLinePunct w:val="0"/>
        <w:autoSpaceDE w:val="0"/>
        <w:autoSpaceDN w:val="0"/>
        <w:bidi w:val="0"/>
        <w:spacing w:line="360" w:lineRule="auto"/>
        <w:ind w:firstLine="489" w:firstLineChars="233"/>
        <w:outlineLvl w:val="9"/>
        <w:rPr>
          <w:rStyle w:val="42"/>
          <w:rFonts w:ascii="宋体"/>
          <w:kern w:val="0"/>
          <w:highlight w:val="none"/>
        </w:rPr>
      </w:pPr>
    </w:p>
    <w:p w14:paraId="080799B5">
      <w:pPr>
        <w:keepNext w:val="0"/>
        <w:keepLines w:val="0"/>
        <w:pageBreakBefore w:val="0"/>
        <w:kinsoku/>
        <w:overflowPunct/>
        <w:topLinePunct w:val="0"/>
        <w:autoSpaceDE w:val="0"/>
        <w:autoSpaceDN w:val="0"/>
        <w:bidi w:val="0"/>
        <w:outlineLvl w:val="9"/>
        <w:rPr>
          <w:rFonts w:ascii="Times New Roman" w:hAnsi="Times New Roman"/>
          <w:highlight w:val="none"/>
        </w:rPr>
      </w:pPr>
      <w:r>
        <w:rPr>
          <w:rFonts w:hint="eastAsia" w:ascii="Times New Roman" w:hAnsi="Times New Roman"/>
          <w:highlight w:val="none"/>
        </w:rPr>
        <w:br w:type="page"/>
      </w:r>
    </w:p>
    <w:p w14:paraId="1910911E">
      <w:pPr>
        <w:rPr>
          <w:rFonts w:ascii="Times New Roman" w:hAnsi="Times New Roman"/>
          <w:highlight w:val="none"/>
        </w:rPr>
      </w:pPr>
    </w:p>
    <w:p w14:paraId="1EFA1D80">
      <w:pPr>
        <w:pStyle w:val="2"/>
        <w:rPr>
          <w:rFonts w:ascii="Times New Roman" w:hAnsi="Times New Roman"/>
          <w:highlight w:val="none"/>
        </w:rPr>
      </w:pPr>
      <w:bookmarkStart w:id="281" w:name="_Toc179"/>
      <w:r>
        <w:rPr>
          <w:rFonts w:hint="eastAsia" w:ascii="Times New Roman" w:hAnsi="Times New Roman"/>
          <w:highlight w:val="none"/>
        </w:rPr>
        <w:t>第六章 参选文件</w:t>
      </w:r>
      <w:bookmarkEnd w:id="57"/>
      <w:bookmarkEnd w:id="58"/>
      <w:bookmarkStart w:id="282" w:name="_Toc303066035"/>
      <w:r>
        <w:rPr>
          <w:rFonts w:hint="eastAsia" w:ascii="Times New Roman" w:hAnsi="Times New Roman"/>
          <w:highlight w:val="none"/>
        </w:rPr>
        <w:t>格式</w:t>
      </w:r>
      <w:bookmarkEnd w:id="281"/>
    </w:p>
    <w:bookmarkEnd w:id="282"/>
    <w:p w14:paraId="4D8626D0">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67387574">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14C3B16A">
      <w:pPr>
        <w:adjustRightInd/>
        <w:snapToGrid/>
        <w:spacing w:line="360" w:lineRule="auto"/>
        <w:ind w:firstLine="0" w:firstLineChars="0"/>
        <w:jc w:val="center"/>
        <w:rPr>
          <w:rFonts w:hint="eastAsia" w:ascii="Times New Roman" w:hAnsi="Times New Roman" w:eastAsia="宋体" w:cs="Times New Roman"/>
          <w:b/>
          <w:snapToGrid w:val="0"/>
          <w:kern w:val="0"/>
          <w:sz w:val="48"/>
          <w:szCs w:val="84"/>
          <w:highlight w:val="none"/>
          <w:u w:val="none"/>
          <w:lang w:eastAsia="zh-CN"/>
        </w:rPr>
      </w:pPr>
      <w:r>
        <w:rPr>
          <w:rFonts w:hint="eastAsia" w:cs="Times New Roman"/>
          <w:b/>
          <w:snapToGrid w:val="0"/>
          <w:kern w:val="0"/>
          <w:sz w:val="48"/>
          <w:szCs w:val="84"/>
          <w:highlight w:val="none"/>
          <w:u w:val="none"/>
          <w:lang w:eastAsia="zh-CN"/>
        </w:rPr>
        <w:t>2024年度第二代支付系统持续优化项目（第二次）</w:t>
      </w:r>
    </w:p>
    <w:p w14:paraId="1E7CE04B">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4DEAEE7E">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5F63572B">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4D3ABFFB">
      <w:pPr>
        <w:adjustRightInd w:val="0"/>
        <w:snapToGrid w:val="0"/>
        <w:spacing w:line="360" w:lineRule="auto"/>
        <w:ind w:firstLine="0" w:firstLineChars="0"/>
        <w:jc w:val="center"/>
        <w:rPr>
          <w:rFonts w:ascii="Times New Roman" w:hAnsi="Times New Roman"/>
          <w:kern w:val="0"/>
          <w:sz w:val="16"/>
          <w:highlight w:val="none"/>
        </w:rPr>
      </w:pPr>
    </w:p>
    <w:p w14:paraId="7731B7D0">
      <w:pPr>
        <w:adjustRightInd w:val="0"/>
        <w:snapToGrid w:val="0"/>
        <w:spacing w:line="360" w:lineRule="auto"/>
        <w:ind w:firstLine="0" w:firstLineChars="0"/>
        <w:jc w:val="center"/>
        <w:rPr>
          <w:rFonts w:ascii="Times New Roman" w:hAnsi="Times New Roman"/>
          <w:b/>
          <w:kern w:val="0"/>
          <w:sz w:val="20"/>
          <w:highlight w:val="none"/>
        </w:rPr>
      </w:pPr>
    </w:p>
    <w:p w14:paraId="2370AD31">
      <w:pPr>
        <w:adjustRightInd w:val="0"/>
        <w:snapToGrid w:val="0"/>
        <w:spacing w:line="360" w:lineRule="auto"/>
        <w:ind w:firstLine="0" w:firstLineChars="0"/>
        <w:jc w:val="center"/>
        <w:rPr>
          <w:rFonts w:ascii="Times New Roman" w:hAnsi="Times New Roman"/>
          <w:b/>
          <w:kern w:val="0"/>
          <w:sz w:val="20"/>
          <w:highlight w:val="none"/>
        </w:rPr>
      </w:pPr>
    </w:p>
    <w:p w14:paraId="1FC62662">
      <w:pPr>
        <w:adjustRightInd w:val="0"/>
        <w:snapToGrid w:val="0"/>
        <w:spacing w:line="360" w:lineRule="auto"/>
        <w:ind w:firstLine="0" w:firstLineChars="0"/>
        <w:jc w:val="center"/>
        <w:rPr>
          <w:rFonts w:ascii="Times New Roman" w:hAnsi="Times New Roman"/>
          <w:b/>
          <w:kern w:val="0"/>
          <w:sz w:val="20"/>
          <w:highlight w:val="none"/>
        </w:rPr>
      </w:pPr>
    </w:p>
    <w:p w14:paraId="0D863CFF">
      <w:pPr>
        <w:adjustRightInd w:val="0"/>
        <w:snapToGrid w:val="0"/>
        <w:spacing w:line="360" w:lineRule="auto"/>
        <w:ind w:firstLine="0" w:firstLineChars="0"/>
        <w:jc w:val="center"/>
        <w:rPr>
          <w:rFonts w:ascii="Times New Roman" w:hAnsi="Times New Roman"/>
          <w:b/>
          <w:kern w:val="0"/>
          <w:sz w:val="20"/>
          <w:highlight w:val="none"/>
        </w:rPr>
      </w:pPr>
    </w:p>
    <w:p w14:paraId="59595445">
      <w:pPr>
        <w:adjustRightInd w:val="0"/>
        <w:snapToGrid w:val="0"/>
        <w:spacing w:line="360" w:lineRule="auto"/>
        <w:ind w:firstLine="0" w:firstLineChars="0"/>
        <w:jc w:val="center"/>
        <w:rPr>
          <w:rFonts w:ascii="Times New Roman" w:hAnsi="Times New Roman"/>
          <w:b/>
          <w:kern w:val="0"/>
          <w:sz w:val="20"/>
          <w:highlight w:val="none"/>
        </w:rPr>
      </w:pPr>
    </w:p>
    <w:p w14:paraId="66A2614E">
      <w:pPr>
        <w:adjustRightInd w:val="0"/>
        <w:snapToGrid w:val="0"/>
        <w:spacing w:line="360" w:lineRule="auto"/>
        <w:ind w:firstLine="0" w:firstLineChars="0"/>
        <w:jc w:val="center"/>
        <w:rPr>
          <w:rFonts w:ascii="Times New Roman" w:hAnsi="Times New Roman"/>
          <w:b/>
          <w:kern w:val="0"/>
          <w:sz w:val="20"/>
          <w:highlight w:val="none"/>
        </w:rPr>
      </w:pPr>
    </w:p>
    <w:p w14:paraId="6F445569">
      <w:pPr>
        <w:adjustRightInd w:val="0"/>
        <w:snapToGrid w:val="0"/>
        <w:spacing w:line="360" w:lineRule="auto"/>
        <w:ind w:firstLine="0" w:firstLineChars="0"/>
        <w:jc w:val="center"/>
        <w:rPr>
          <w:rFonts w:ascii="Times New Roman" w:hAnsi="Times New Roman"/>
          <w:b/>
          <w:kern w:val="0"/>
          <w:sz w:val="20"/>
          <w:highlight w:val="none"/>
        </w:rPr>
      </w:pPr>
    </w:p>
    <w:p w14:paraId="5D4E38E6">
      <w:pPr>
        <w:adjustRightInd w:val="0"/>
        <w:snapToGrid w:val="0"/>
        <w:spacing w:line="360" w:lineRule="auto"/>
        <w:ind w:firstLine="0" w:firstLineChars="0"/>
        <w:jc w:val="center"/>
        <w:rPr>
          <w:rFonts w:ascii="Times New Roman" w:hAnsi="Times New Roman"/>
          <w:b/>
          <w:kern w:val="0"/>
          <w:sz w:val="20"/>
          <w:highlight w:val="none"/>
        </w:rPr>
      </w:pPr>
    </w:p>
    <w:p w14:paraId="27573FD6">
      <w:pPr>
        <w:adjustRightInd w:val="0"/>
        <w:snapToGrid w:val="0"/>
        <w:spacing w:line="360" w:lineRule="auto"/>
        <w:ind w:firstLine="0" w:firstLineChars="0"/>
        <w:jc w:val="center"/>
        <w:rPr>
          <w:rFonts w:ascii="Times New Roman" w:hAnsi="Times New Roman"/>
          <w:b/>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B3D3658">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highlight w:val="none"/>
        </w:rPr>
      </w:pPr>
    </w:p>
    <w:p w14:paraId="55772AAC">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4F42E6EE">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1FD22BBF">
      <w:pPr>
        <w:tabs>
          <w:tab w:val="left" w:pos="6300"/>
        </w:tabs>
        <w:snapToGrid w:val="0"/>
        <w:spacing w:line="360" w:lineRule="auto"/>
        <w:ind w:firstLine="0" w:firstLineChars="0"/>
        <w:jc w:val="center"/>
        <w:rPr>
          <w:rFonts w:ascii="Times New Roman" w:hAnsi="Times New Roman"/>
          <w:snapToGrid w:val="0"/>
          <w:kern w:val="0"/>
          <w:szCs w:val="28"/>
          <w:highlight w:val="none"/>
        </w:rPr>
        <w:sectPr>
          <w:headerReference r:id="rId7" w:type="first"/>
          <w:footerReference r:id="rId10" w:type="first"/>
          <w:headerReference r:id="rId6" w:type="default"/>
          <w:footerReference r:id="rId8" w:type="default"/>
          <w:footerReference r:id="rId9" w:type="even"/>
          <w:pgSz w:w="11906" w:h="16838"/>
          <w:pgMar w:top="1440" w:right="1800" w:bottom="1440" w:left="1800" w:header="851" w:footer="992" w:gutter="0"/>
          <w:pgNumType w:fmt="decimal"/>
          <w:cols w:space="720" w:num="1"/>
          <w:docGrid w:type="lines" w:linePitch="326" w:charSpace="0"/>
        </w:sectPr>
      </w:pPr>
    </w:p>
    <w:p w14:paraId="544E3D43">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34CF5A94">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rPr>
        <w:t>一、参选函</w:t>
      </w:r>
    </w:p>
    <w:p w14:paraId="14B371E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二、</w:t>
      </w:r>
      <w:r>
        <w:rPr>
          <w:rFonts w:hint="eastAsia"/>
          <w:sz w:val="22"/>
          <w:szCs w:val="18"/>
          <w:highlight w:val="none"/>
        </w:rPr>
        <w:t>报价一览表</w:t>
      </w:r>
    </w:p>
    <w:p w14:paraId="41E27109">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default"/>
          <w:sz w:val="22"/>
          <w:szCs w:val="18"/>
          <w:highlight w:val="none"/>
          <w:lang w:val="en-US"/>
        </w:rPr>
        <w:t>三</w:t>
      </w:r>
      <w:r>
        <w:rPr>
          <w:sz w:val="22"/>
          <w:szCs w:val="18"/>
          <w:highlight w:val="none"/>
        </w:rPr>
        <w:t>、资格性文件</w:t>
      </w:r>
    </w:p>
    <w:p w14:paraId="19A723EF">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（一）参选人基本情况介绍，资质证明等</w:t>
      </w:r>
    </w:p>
    <w:p w14:paraId="67E2168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eastAsia="zh-CN"/>
        </w:rPr>
      </w:pPr>
      <w:r>
        <w:rPr>
          <w:sz w:val="22"/>
          <w:szCs w:val="18"/>
          <w:highlight w:val="none"/>
        </w:rPr>
        <w:t>（二）法定代表人身份证明及授权委托书</w:t>
      </w:r>
    </w:p>
    <w:p w14:paraId="53A8922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rPr>
        <w:t>（三）书面声明</w:t>
      </w:r>
    </w:p>
    <w:p w14:paraId="1DFD18CD">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rPr>
        <w:t>四</w:t>
      </w:r>
      <w:r>
        <w:rPr>
          <w:sz w:val="22"/>
          <w:szCs w:val="18"/>
          <w:highlight w:val="none"/>
        </w:rPr>
        <w:t>）中国执行信息公开网截图</w:t>
      </w:r>
    </w:p>
    <w:p w14:paraId="77CAF58E">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zh-CN"/>
        </w:rPr>
        <w:t>（</w:t>
      </w:r>
      <w:r>
        <w:rPr>
          <w:rFonts w:hint="eastAsia"/>
          <w:sz w:val="22"/>
          <w:szCs w:val="18"/>
          <w:highlight w:val="none"/>
        </w:rPr>
        <w:t>五</w:t>
      </w:r>
      <w:r>
        <w:rPr>
          <w:rFonts w:hint="eastAsia"/>
          <w:sz w:val="22"/>
          <w:szCs w:val="18"/>
          <w:highlight w:val="none"/>
          <w:lang w:val="zh-CN"/>
        </w:rPr>
        <w:t>）项目案例</w:t>
      </w:r>
      <w:r>
        <w:rPr>
          <w:rFonts w:hint="eastAsia"/>
          <w:sz w:val="22"/>
          <w:szCs w:val="18"/>
          <w:highlight w:val="none"/>
        </w:rPr>
        <w:t>和业绩证明文件复印件</w:t>
      </w:r>
    </w:p>
    <w:p w14:paraId="07D83552">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（六）第三方软件产品的原厂商授权书或确认函</w:t>
      </w:r>
    </w:p>
    <w:p w14:paraId="232A5BCD">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lang w:val="zh-CN"/>
        </w:rPr>
      </w:pPr>
      <w:r>
        <w:rPr>
          <w:rFonts w:hint="eastAsia"/>
          <w:sz w:val="22"/>
          <w:szCs w:val="18"/>
          <w:highlight w:val="none"/>
          <w:lang w:val="zh-CN"/>
        </w:rPr>
        <w:t>（</w:t>
      </w:r>
      <w:r>
        <w:rPr>
          <w:sz w:val="22"/>
          <w:szCs w:val="18"/>
          <w:highlight w:val="none"/>
          <w:lang w:val="zh-CN"/>
        </w:rPr>
        <w:t>七</w:t>
      </w:r>
      <w:r>
        <w:rPr>
          <w:rFonts w:hint="eastAsia"/>
          <w:sz w:val="22"/>
          <w:szCs w:val="18"/>
          <w:highlight w:val="none"/>
          <w:lang w:val="zh-CN"/>
        </w:rPr>
        <w:t>）</w:t>
      </w:r>
      <w:r>
        <w:rPr>
          <w:rFonts w:hint="eastAsia"/>
          <w:sz w:val="22"/>
          <w:szCs w:val="18"/>
          <w:highlight w:val="none"/>
          <w:lang w:val="en-US" w:eastAsia="zh-CN"/>
        </w:rPr>
        <w:t>注册资金相关证明（如有）</w:t>
      </w:r>
    </w:p>
    <w:p w14:paraId="29A27BB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（八）CMMI3以上（含）资质</w:t>
      </w:r>
    </w:p>
    <w:p w14:paraId="6F0B5A28">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（九）ISO相关认证证书和国家高新技术企业认证的复印件并加盖公章</w:t>
      </w:r>
    </w:p>
    <w:p w14:paraId="0EF942B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lang w:val="en-US"/>
        </w:rPr>
        <w:t>十</w:t>
      </w:r>
      <w:r>
        <w:rPr>
          <w:sz w:val="22"/>
          <w:szCs w:val="18"/>
          <w:highlight w:val="none"/>
        </w:rPr>
        <w:t>）书面计划</w:t>
      </w:r>
    </w:p>
    <w:p w14:paraId="6351D008">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（十一）其他（如有）</w:t>
      </w:r>
    </w:p>
    <w:p w14:paraId="0251DC0F">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五、响应性文件</w:t>
      </w:r>
    </w:p>
    <w:p w14:paraId="3F0AFC4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rPr>
        <w:t>（一）响应承诺函</w:t>
      </w:r>
    </w:p>
    <w:p w14:paraId="75CD81B2">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（二）</w:t>
      </w:r>
      <w:r>
        <w:rPr>
          <w:rFonts w:hint="eastAsia"/>
          <w:sz w:val="22"/>
          <w:szCs w:val="18"/>
          <w:highlight w:val="none"/>
        </w:rPr>
        <w:t>参选保证金</w:t>
      </w:r>
    </w:p>
    <w:p w14:paraId="30AA633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val="en-US" w:eastAsia="zh-CN"/>
        </w:rPr>
      </w:pPr>
      <w:r>
        <w:rPr>
          <w:rFonts w:hint="eastAsia"/>
          <w:sz w:val="22"/>
          <w:szCs w:val="18"/>
          <w:highlight w:val="none"/>
          <w:lang w:val="zh-CN"/>
        </w:rPr>
        <w:t>（</w:t>
      </w:r>
      <w:r>
        <w:rPr>
          <w:rFonts w:hint="eastAsia"/>
          <w:sz w:val="22"/>
          <w:szCs w:val="18"/>
          <w:highlight w:val="none"/>
          <w:lang w:val="en-US" w:eastAsia="zh-CN"/>
        </w:rPr>
        <w:t>三</w:t>
      </w:r>
      <w:r>
        <w:rPr>
          <w:rFonts w:hint="eastAsia"/>
          <w:sz w:val="22"/>
          <w:szCs w:val="18"/>
          <w:highlight w:val="none"/>
          <w:lang w:val="zh-CN"/>
        </w:rPr>
        <w:t>）</w:t>
      </w:r>
      <w:r>
        <w:rPr>
          <w:rFonts w:hint="eastAsia"/>
          <w:sz w:val="22"/>
          <w:szCs w:val="18"/>
          <w:highlight w:val="none"/>
          <w:lang w:val="en-US" w:eastAsia="zh-CN"/>
        </w:rPr>
        <w:t>数据备份方案</w:t>
      </w:r>
    </w:p>
    <w:p w14:paraId="279DFA1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lang w:val="en-US" w:eastAsia="zh-CN"/>
        </w:rPr>
        <w:t>四</w:t>
      </w:r>
      <w:r>
        <w:rPr>
          <w:sz w:val="22"/>
          <w:szCs w:val="18"/>
          <w:highlight w:val="none"/>
        </w:rPr>
        <w:t>）近半年公司为项目组成员缴纳社保的证明材料</w:t>
      </w:r>
    </w:p>
    <w:p w14:paraId="4998709A">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lang w:val="en-US" w:eastAsia="zh-CN"/>
        </w:rPr>
        <w:t>五</w:t>
      </w:r>
      <w:r>
        <w:rPr>
          <w:sz w:val="22"/>
          <w:szCs w:val="18"/>
          <w:highlight w:val="none"/>
        </w:rPr>
        <w:t>）项目组成员简历信息</w:t>
      </w:r>
    </w:p>
    <w:p w14:paraId="1ADDE5B3">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rPr>
      </w:pPr>
      <w:r>
        <w:rPr>
          <w:rFonts w:hint="eastAsia"/>
          <w:sz w:val="22"/>
          <w:szCs w:val="18"/>
          <w:highlight w:val="none"/>
        </w:rPr>
        <w:t>（</w:t>
      </w:r>
      <w:r>
        <w:rPr>
          <w:rFonts w:hint="eastAsia"/>
          <w:sz w:val="22"/>
          <w:szCs w:val="18"/>
          <w:highlight w:val="none"/>
          <w:lang w:val="en-US" w:eastAsia="zh-CN"/>
        </w:rPr>
        <w:t>六</w:t>
      </w:r>
      <w:r>
        <w:rPr>
          <w:rFonts w:hint="eastAsia"/>
          <w:sz w:val="22"/>
          <w:szCs w:val="18"/>
          <w:highlight w:val="none"/>
        </w:rPr>
        <w:t>）售后服务和培训方案</w:t>
      </w:r>
    </w:p>
    <w:p w14:paraId="1CB1213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（七）</w:t>
      </w:r>
      <w:r>
        <w:rPr>
          <w:rFonts w:hint="eastAsia"/>
          <w:sz w:val="22"/>
          <w:szCs w:val="18"/>
          <w:highlight w:val="none"/>
        </w:rPr>
        <w:t>服务连续性预案</w:t>
      </w:r>
    </w:p>
    <w:p w14:paraId="51D30787">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（八）</w:t>
      </w:r>
      <w:r>
        <w:rPr>
          <w:rFonts w:hint="eastAsia"/>
          <w:sz w:val="22"/>
          <w:szCs w:val="18"/>
          <w:highlight w:val="none"/>
        </w:rPr>
        <w:t>项目实施方案</w:t>
      </w:r>
    </w:p>
    <w:p w14:paraId="4458343A">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val="zh-CN" w:eastAsia="zh-CN"/>
        </w:rPr>
      </w:pPr>
      <w:r>
        <w:rPr>
          <w:rFonts w:hint="eastAsia"/>
          <w:sz w:val="22"/>
          <w:szCs w:val="18"/>
          <w:highlight w:val="none"/>
          <w:lang w:val="zh-CN"/>
        </w:rPr>
        <w:t>（</w:t>
      </w:r>
      <w:r>
        <w:rPr>
          <w:rFonts w:hint="eastAsia"/>
          <w:sz w:val="22"/>
          <w:szCs w:val="18"/>
          <w:highlight w:val="none"/>
          <w:lang w:val="en-US" w:eastAsia="zh-CN"/>
        </w:rPr>
        <w:t>九</w:t>
      </w:r>
      <w:r>
        <w:rPr>
          <w:rFonts w:hint="eastAsia"/>
          <w:sz w:val="22"/>
          <w:szCs w:val="18"/>
          <w:highlight w:val="none"/>
          <w:lang w:val="zh-CN"/>
        </w:rPr>
        <w:t>）</w:t>
      </w:r>
      <w:r>
        <w:rPr>
          <w:sz w:val="22"/>
          <w:szCs w:val="18"/>
          <w:highlight w:val="none"/>
        </w:rPr>
        <w:t>服务水平协议（SLA）</w:t>
      </w:r>
    </w:p>
    <w:p w14:paraId="55986A0C">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val="zh-CN" w:eastAsia="zh-CN"/>
        </w:rPr>
      </w:pPr>
      <w:r>
        <w:rPr>
          <w:rFonts w:hint="eastAsia"/>
          <w:sz w:val="22"/>
          <w:szCs w:val="18"/>
          <w:highlight w:val="none"/>
          <w:lang w:val="zh-CN"/>
        </w:rPr>
        <w:t>（</w:t>
      </w:r>
      <w:r>
        <w:rPr>
          <w:rFonts w:hint="eastAsia"/>
          <w:sz w:val="22"/>
          <w:szCs w:val="18"/>
          <w:highlight w:val="none"/>
          <w:lang w:val="en-US" w:eastAsia="zh-CN"/>
        </w:rPr>
        <w:t>十</w:t>
      </w:r>
      <w:r>
        <w:rPr>
          <w:rFonts w:hint="eastAsia"/>
          <w:sz w:val="22"/>
          <w:szCs w:val="18"/>
          <w:highlight w:val="none"/>
          <w:lang w:val="zh-CN"/>
        </w:rPr>
        <w:t>）</w:t>
      </w:r>
      <w:r>
        <w:rPr>
          <w:rFonts w:hint="eastAsia"/>
          <w:sz w:val="22"/>
          <w:szCs w:val="18"/>
          <w:highlight w:val="none"/>
          <w:lang w:val="en-US" w:eastAsia="zh-CN"/>
        </w:rPr>
        <w:t>其他</w:t>
      </w:r>
      <w:r>
        <w:rPr>
          <w:rFonts w:hint="eastAsia"/>
          <w:sz w:val="22"/>
          <w:szCs w:val="18"/>
          <w:highlight w:val="none"/>
          <w:lang w:val="zh-CN"/>
        </w:rPr>
        <w:t>（</w:t>
      </w:r>
      <w:r>
        <w:rPr>
          <w:rFonts w:hint="eastAsia"/>
          <w:sz w:val="22"/>
          <w:szCs w:val="18"/>
          <w:highlight w:val="none"/>
          <w:lang w:val="en-US" w:eastAsia="zh-CN"/>
        </w:rPr>
        <w:t>如有</w:t>
      </w:r>
      <w:r>
        <w:rPr>
          <w:rFonts w:hint="eastAsia"/>
          <w:sz w:val="22"/>
          <w:szCs w:val="18"/>
          <w:highlight w:val="none"/>
          <w:lang w:val="zh-CN"/>
        </w:rPr>
        <w:t>）</w:t>
      </w:r>
    </w:p>
    <w:p w14:paraId="6FF03E64">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rPr>
      </w:pPr>
      <w:r>
        <w:rPr>
          <w:rFonts w:hint="eastAsia"/>
          <w:sz w:val="22"/>
          <w:szCs w:val="18"/>
          <w:highlight w:val="none"/>
          <w:lang w:val="en-US" w:eastAsia="zh-CN"/>
        </w:rPr>
        <w:t>六、商务技术文件</w:t>
      </w:r>
      <w:r>
        <w:rPr>
          <w:rFonts w:hint="eastAsia"/>
          <w:sz w:val="22"/>
          <w:szCs w:val="18"/>
          <w:highlight w:val="none"/>
          <w:lang w:eastAsia="zh-CN"/>
        </w:rPr>
        <w:t>（</w:t>
      </w:r>
      <w:r>
        <w:rPr>
          <w:rFonts w:hint="eastAsia"/>
          <w:sz w:val="22"/>
          <w:szCs w:val="18"/>
          <w:highlight w:val="none"/>
          <w:lang w:val="en-US" w:eastAsia="zh-CN"/>
        </w:rPr>
        <w:t>如有</w:t>
      </w:r>
      <w:r>
        <w:rPr>
          <w:rFonts w:hint="eastAsia"/>
          <w:sz w:val="22"/>
          <w:szCs w:val="18"/>
          <w:highlight w:val="none"/>
          <w:lang w:eastAsia="zh-CN"/>
        </w:rPr>
        <w:t>）</w:t>
      </w:r>
    </w:p>
    <w:p w14:paraId="0949F524">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eastAsia="zh-CN"/>
        </w:rPr>
      </w:pPr>
      <w:r>
        <w:rPr>
          <w:rFonts w:hint="eastAsia"/>
          <w:sz w:val="22"/>
          <w:szCs w:val="18"/>
          <w:highlight w:val="none"/>
          <w:lang w:val="en-US" w:eastAsia="zh-CN"/>
        </w:rPr>
        <w:t>七</w:t>
      </w:r>
      <w:r>
        <w:rPr>
          <w:sz w:val="22"/>
          <w:szCs w:val="18"/>
          <w:highlight w:val="none"/>
        </w:rPr>
        <w:t>、其他</w:t>
      </w:r>
      <w:r>
        <w:rPr>
          <w:rFonts w:hint="eastAsia"/>
          <w:sz w:val="22"/>
          <w:szCs w:val="18"/>
          <w:highlight w:val="none"/>
          <w:lang w:eastAsia="zh-CN"/>
        </w:rPr>
        <w:t>（</w:t>
      </w:r>
      <w:r>
        <w:rPr>
          <w:rFonts w:hint="eastAsia"/>
          <w:sz w:val="22"/>
          <w:szCs w:val="18"/>
          <w:highlight w:val="none"/>
          <w:lang w:val="en-US" w:eastAsia="zh-CN"/>
        </w:rPr>
        <w:t>如有</w:t>
      </w:r>
      <w:r>
        <w:rPr>
          <w:rFonts w:hint="eastAsia"/>
          <w:sz w:val="22"/>
          <w:szCs w:val="18"/>
          <w:highlight w:val="none"/>
          <w:lang w:eastAsia="zh-CN"/>
        </w:rPr>
        <w:t>）</w:t>
      </w:r>
    </w:p>
    <w:p w14:paraId="46A7EE0F">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eastAsia="zh-CN"/>
        </w:rPr>
      </w:pPr>
    </w:p>
    <w:p w14:paraId="4AF2B21E">
      <w:pPr>
        <w:keepNext w:val="0"/>
        <w:keepLines w:val="0"/>
        <w:pageBreakBefore w:val="0"/>
        <w:widowControl w:val="0"/>
        <w:kinsoku/>
        <w:wordWrap/>
        <w:overflowPunct/>
        <w:topLinePunct w:val="0"/>
        <w:autoSpaceDE w:val="0"/>
        <w:autoSpaceDN w:val="0"/>
        <w:bidi w:val="0"/>
        <w:adjustRightInd/>
        <w:snapToGrid/>
        <w:spacing w:line="240" w:lineRule="auto"/>
        <w:textAlignment w:val="auto"/>
        <w:rPr>
          <w:rStyle w:val="34"/>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98FCE1B">
      <w:pPr>
        <w:pStyle w:val="33"/>
        <w:bidi w:val="0"/>
        <w:rPr>
          <w:highlight w:val="none"/>
        </w:rPr>
      </w:pPr>
      <w:r>
        <w:rPr>
          <w:rFonts w:hint="eastAsia"/>
          <w:highlight w:val="none"/>
        </w:rPr>
        <w:t>一、参选函</w:t>
      </w:r>
    </w:p>
    <w:p w14:paraId="110D6971">
      <w:pPr>
        <w:tabs>
          <w:tab w:val="left" w:pos="6300"/>
        </w:tabs>
        <w:snapToGrid w:val="0"/>
        <w:spacing w:line="360" w:lineRule="auto"/>
        <w:ind w:right="-29" w:rightChars="-14"/>
        <w:rPr>
          <w:rFonts w:ascii="Times New Roman" w:hAnsi="Times New Roman"/>
          <w:snapToGrid w:val="0"/>
          <w:kern w:val="0"/>
          <w:szCs w:val="24"/>
          <w:highlight w:val="none"/>
          <w:u w:val="single"/>
        </w:rPr>
      </w:pPr>
    </w:p>
    <w:p w14:paraId="7EEC8BA4">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241B9A45">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07108728">
      <w:pPr>
        <w:tabs>
          <w:tab w:val="left" w:pos="6300"/>
        </w:tabs>
        <w:snapToGrid w:val="0"/>
        <w:spacing w:line="360" w:lineRule="auto"/>
        <w:ind w:right="-29"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w:t>
      </w:r>
      <w:r>
        <w:rPr>
          <w:rFonts w:hint="eastAsia" w:ascii="Times New Roman" w:hAnsi="Times New Roman" w:cs="Cambria"/>
          <w:snapToGrid w:val="0"/>
          <w:kern w:val="0"/>
          <w:szCs w:val="24"/>
          <w:highlight w:val="none"/>
          <w:shd w:val="clear" w:color="auto" w:fill="auto"/>
        </w:rPr>
        <w:t>选</w:t>
      </w:r>
      <w:r>
        <w:rPr>
          <w:rFonts w:hint="eastAsia" w:ascii="Times New Roman" w:hAnsi="Times New Roman"/>
          <w:snapToGrid w:val="0"/>
          <w:kern w:val="0"/>
          <w:szCs w:val="24"/>
          <w:highlight w:val="none"/>
          <w:shd w:val="clear" w:color="auto" w:fill="auto"/>
        </w:rPr>
        <w:t>总价</w:t>
      </w:r>
      <w:r>
        <w:rPr>
          <w:rFonts w:ascii="Times New Roman" w:hAnsi="Times New Roman"/>
          <w:snapToGrid w:val="0"/>
          <w:kern w:val="0"/>
          <w:szCs w:val="24"/>
          <w:highlight w:val="none"/>
          <w:shd w:val="clear" w:color="auto" w:fill="auto"/>
        </w:rPr>
        <w:t>（含税）</w:t>
      </w:r>
      <w:r>
        <w:rPr>
          <w:rFonts w:hint="eastAsia" w:ascii="Times New Roman" w:hAnsi="Times New Roman"/>
          <w:snapToGrid w:val="0"/>
          <w:kern w:val="0"/>
          <w:szCs w:val="24"/>
          <w:highlight w:val="none"/>
          <w:shd w:val="clear" w:color="auto" w:fill="auto"/>
        </w:rPr>
        <w:t>承担</w:t>
      </w:r>
      <w:r>
        <w:rPr>
          <w:rFonts w:hint="eastAsia" w:ascii="Times New Roman" w:hAnsi="Times New Roman"/>
          <w:snapToGrid w:val="0"/>
          <w:kern w:val="0"/>
          <w:szCs w:val="24"/>
          <w:highlight w:val="none"/>
        </w:rPr>
        <w:t>和完成本项目。免费维保期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rPr>
        <w:t>__</w:t>
      </w:r>
      <w:r>
        <w:rPr>
          <w:rFonts w:ascii="Times New Roman" w:hAnsi="Times New Roman"/>
          <w:snapToGrid w:val="0"/>
          <w:kern w:val="0"/>
          <w:szCs w:val="24"/>
          <w:highlight w:val="none"/>
        </w:rPr>
        <w:t xml:space="preserve">        </w:t>
      </w:r>
      <w:r>
        <w:rPr>
          <w:rFonts w:hint="eastAsia" w:ascii="Times New Roman" w:hAnsi="Times New Roman"/>
          <w:snapToGrid w:val="0"/>
          <w:kern w:val="0"/>
          <w:szCs w:val="24"/>
          <w:highlight w:val="none"/>
        </w:rPr>
        <w:t>___</w:t>
      </w:r>
      <w:r>
        <w:rPr>
          <w:rFonts w:ascii="Times New Roman" w:hAnsi="Times New Roman"/>
          <w:snapToGrid w:val="0"/>
          <w:kern w:val="0"/>
          <w:szCs w:val="24"/>
          <w:highlight w:val="none"/>
        </w:rPr>
        <w:t>。</w:t>
      </w:r>
    </w:p>
    <w:p w14:paraId="72B67279">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0424C197">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20A38596">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79BA6626">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575F93FE">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6084BFC3">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7、若我方中选，我方开具税率为______%的增值税专用发票。</w:t>
      </w:r>
    </w:p>
    <w:p w14:paraId="54C072A4">
      <w:pPr>
        <w:tabs>
          <w:tab w:val="left" w:pos="6300"/>
        </w:tabs>
        <w:snapToGrid w:val="0"/>
        <w:spacing w:line="360" w:lineRule="auto"/>
        <w:ind w:right="-29" w:rightChars="-14"/>
        <w:rPr>
          <w:rFonts w:ascii="Times New Roman" w:hAnsi="Times New Roman"/>
          <w:snapToGrid w:val="0"/>
          <w:kern w:val="0"/>
          <w:szCs w:val="24"/>
          <w:highlight w:val="none"/>
        </w:rPr>
      </w:pPr>
    </w:p>
    <w:p w14:paraId="36489FCC">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234D672A">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010931B9">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353F9348">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19C55E92">
      <w:pPr>
        <w:tabs>
          <w:tab w:val="left" w:pos="6300"/>
        </w:tabs>
        <w:snapToGrid w:val="0"/>
        <w:spacing w:line="360" w:lineRule="auto"/>
        <w:ind w:right="-29" w:rightChars="-14" w:firstLine="5722" w:firstLineChars="2725"/>
        <w:rPr>
          <w:rFonts w:ascii="Times New Roman" w:hAnsi="Times New Roman"/>
          <w:snapToGrid w:val="0"/>
          <w:kern w:val="0"/>
          <w:szCs w:val="24"/>
          <w:highlight w:val="none"/>
        </w:rPr>
      </w:pPr>
    </w:p>
    <w:p w14:paraId="08D6EDA9">
      <w:pPr>
        <w:tabs>
          <w:tab w:val="left" w:pos="6300"/>
        </w:tabs>
        <w:snapToGrid w:val="0"/>
        <w:spacing w:line="360" w:lineRule="auto"/>
        <w:ind w:right="-29" w:rightChars="-14" w:firstLine="4725"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1F18A9DB">
      <w:pPr>
        <w:widowControl/>
        <w:spacing w:line="360" w:lineRule="auto"/>
        <w:jc w:val="left"/>
        <w:rPr>
          <w:rFonts w:ascii="Times New Roman" w:hAnsi="Times New Roman"/>
          <w:snapToGrid w:val="0"/>
          <w:kern w:val="0"/>
          <w:szCs w:val="24"/>
          <w:highlight w:val="none"/>
        </w:rPr>
      </w:pPr>
    </w:p>
    <w:p w14:paraId="4778CBDF">
      <w:pPr>
        <w:tabs>
          <w:tab w:val="left" w:pos="6300"/>
        </w:tabs>
        <w:snapToGrid w:val="0"/>
        <w:spacing w:line="360" w:lineRule="auto"/>
        <w:rPr>
          <w:rFonts w:ascii="Times New Roman" w:hAnsi="Times New Roman"/>
          <w:snapToGrid w:val="0"/>
          <w:kern w:val="0"/>
          <w:szCs w:val="24"/>
          <w:highlight w:val="none"/>
        </w:rPr>
      </w:pPr>
    </w:p>
    <w:p w14:paraId="618B11E7">
      <w:pPr>
        <w:widowControl/>
        <w:spacing w:line="360" w:lineRule="auto"/>
        <w:jc w:val="left"/>
        <w:rPr>
          <w:rFonts w:ascii="Times New Roman" w:hAnsi="Times New Roman"/>
          <w:snapToGrid w:val="0"/>
          <w:kern w:val="0"/>
          <w:szCs w:val="24"/>
          <w:highlight w:val="none"/>
        </w:rPr>
      </w:pPr>
    </w:p>
    <w:p w14:paraId="4A679359">
      <w:pPr>
        <w:widowControl/>
        <w:spacing w:line="360" w:lineRule="auto"/>
        <w:jc w:val="left"/>
        <w:rPr>
          <w:rFonts w:ascii="Times New Roman" w:hAnsi="Times New Roman"/>
          <w:snapToGrid w:val="0"/>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4B3B46D">
      <w:pPr>
        <w:pStyle w:val="33"/>
        <w:bidi w:val="0"/>
        <w:rPr>
          <w:highlight w:val="none"/>
        </w:rPr>
      </w:pPr>
      <w:r>
        <w:rPr>
          <w:highlight w:val="none"/>
        </w:rPr>
        <w:t>二、</w:t>
      </w:r>
      <w:r>
        <w:rPr>
          <w:rFonts w:hint="eastAsia"/>
          <w:highlight w:val="none"/>
        </w:rPr>
        <w:t>报价一览表</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4009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8B455F5">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0F2A0F35">
            <w:pPr>
              <w:autoSpaceDE/>
              <w:autoSpaceDN/>
              <w:spacing w:line="360" w:lineRule="auto"/>
              <w:ind w:firstLine="0" w:firstLineChars="0"/>
              <w:jc w:val="center"/>
              <w:rPr>
                <w:rFonts w:ascii="宋体" w:hAnsi="宋体"/>
                <w:color w:val="auto"/>
                <w:szCs w:val="24"/>
                <w:highlight w:val="none"/>
              </w:rPr>
            </w:pPr>
          </w:p>
        </w:tc>
      </w:tr>
      <w:tr w14:paraId="576F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1DD20AE">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4E858B18">
            <w:pPr>
              <w:autoSpaceDE/>
              <w:autoSpaceDN/>
              <w:spacing w:line="360" w:lineRule="auto"/>
              <w:ind w:firstLine="0" w:firstLineChars="0"/>
              <w:jc w:val="center"/>
              <w:rPr>
                <w:rFonts w:ascii="宋体" w:hAnsi="宋体" w:cs="Cambria"/>
                <w:color w:val="auto"/>
                <w:sz w:val="21"/>
                <w:szCs w:val="21"/>
                <w:highlight w:val="none"/>
              </w:rPr>
            </w:pPr>
          </w:p>
        </w:tc>
      </w:tr>
      <w:tr w14:paraId="651B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40884A59">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5A0B1EAF">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29112386">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1EE1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4464FE06">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w:t>
            </w:r>
            <w:r>
              <w:rPr>
                <w:rFonts w:hint="eastAsia" w:ascii="宋体" w:hAnsi="宋体"/>
                <w:color w:val="auto"/>
                <w:szCs w:val="24"/>
                <w:highlight w:val="none"/>
                <w:lang w:val="en-US" w:eastAsia="zh-CN"/>
              </w:rPr>
              <w:t>不</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5F335766">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20A9E069">
            <w:pPr>
              <w:autoSpaceDE/>
              <w:autoSpaceDN/>
              <w:spacing w:line="360" w:lineRule="auto"/>
              <w:ind w:firstLine="420" w:firstLineChars="200"/>
              <w:rPr>
                <w:rFonts w:hint="eastAsia"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1C8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08488E6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E39AA29">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13</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414B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6A45EE1A">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5D87619">
      <w:pPr>
        <w:spacing w:line="360" w:lineRule="auto"/>
        <w:ind w:right="-29" w:rightChars="-14" w:firstLine="480"/>
        <w:rPr>
          <w:rFonts w:ascii="Times New Roman" w:hAnsi="Times New Roman"/>
          <w:color w:val="auto"/>
          <w:szCs w:val="28"/>
          <w:highlight w:val="none"/>
        </w:rPr>
      </w:pPr>
    </w:p>
    <w:p w14:paraId="0CD55F18">
      <w:pPr>
        <w:spacing w:line="360" w:lineRule="auto"/>
        <w:ind w:right="-29" w:rightChars="-14" w:firstLine="480"/>
        <w:rPr>
          <w:rFonts w:ascii="Times New Roman" w:hAnsi="Times New Roman"/>
          <w:color w:val="auto"/>
          <w:szCs w:val="28"/>
          <w:highlight w:val="none"/>
        </w:rPr>
      </w:pPr>
    </w:p>
    <w:p w14:paraId="31F273F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071639FA">
      <w:pPr>
        <w:spacing w:line="360" w:lineRule="auto"/>
        <w:ind w:right="-29" w:rightChars="-14" w:firstLine="480"/>
        <w:rPr>
          <w:rFonts w:ascii="Times New Roman" w:hAnsi="Times New Roman"/>
          <w:color w:val="auto"/>
          <w:szCs w:val="28"/>
          <w:highlight w:val="none"/>
        </w:rPr>
      </w:pPr>
    </w:p>
    <w:p w14:paraId="7594DB9C">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8409BB7">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4FD8AE02">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4C1C42B9">
      <w:pPr>
        <w:snapToGrid w:val="0"/>
        <w:spacing w:line="360" w:lineRule="auto"/>
        <w:ind w:firstLine="480"/>
        <w:rPr>
          <w:rFonts w:ascii="Times New Roman" w:hAnsi="Times New Roman"/>
          <w:snapToGrid w:val="0"/>
          <w:color w:val="auto"/>
          <w:kern w:val="0"/>
          <w:szCs w:val="24"/>
          <w:highlight w:val="none"/>
        </w:rPr>
      </w:pPr>
    </w:p>
    <w:p w14:paraId="2CB5060B">
      <w:pPr>
        <w:snapToGrid w:val="0"/>
        <w:spacing w:line="360" w:lineRule="auto"/>
        <w:ind w:firstLine="480"/>
        <w:rPr>
          <w:rFonts w:ascii="Times New Roman" w:hAnsi="Times New Roman"/>
          <w:snapToGrid w:val="0"/>
          <w:color w:val="auto"/>
          <w:kern w:val="0"/>
          <w:szCs w:val="24"/>
          <w:highlight w:val="none"/>
        </w:rPr>
      </w:pPr>
    </w:p>
    <w:p w14:paraId="17D75B64">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40F9D961">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0582741A">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25661DC6">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C11F219">
      <w:pPr>
        <w:pStyle w:val="33"/>
        <w:rPr>
          <w:rFonts w:ascii="Times New Roman" w:hAnsi="Times New Roman"/>
          <w:highlight w:val="none"/>
        </w:rPr>
      </w:pPr>
      <w:r>
        <w:rPr>
          <w:rFonts w:hint="default" w:ascii="Times New Roman" w:hAnsi="Times New Roman"/>
          <w:highlight w:val="none"/>
          <w:lang w:val="en-US"/>
        </w:rPr>
        <w:t>三</w:t>
      </w:r>
      <w:r>
        <w:rPr>
          <w:rFonts w:ascii="Times New Roman" w:hAnsi="Times New Roman"/>
          <w:highlight w:val="none"/>
        </w:rPr>
        <w:t>、资格性文件</w:t>
      </w:r>
    </w:p>
    <w:p w14:paraId="6D746EAE">
      <w:pPr>
        <w:pStyle w:val="35"/>
        <w:rPr>
          <w:rFonts w:ascii="Times New Roman" w:hAnsi="Times New Roman"/>
          <w:highlight w:val="none"/>
        </w:rPr>
      </w:pPr>
      <w:r>
        <w:rPr>
          <w:rFonts w:ascii="Times New Roman" w:hAnsi="Times New Roman"/>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08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523004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7D2E69FD">
            <w:pPr>
              <w:spacing w:line="360" w:lineRule="auto"/>
              <w:ind w:firstLine="0" w:firstLineChars="0"/>
              <w:jc w:val="center"/>
              <w:rPr>
                <w:rFonts w:ascii="Times New Roman" w:hAnsi="Times New Roman"/>
                <w:sz w:val="22"/>
                <w:szCs w:val="24"/>
                <w:highlight w:val="none"/>
              </w:rPr>
            </w:pPr>
          </w:p>
        </w:tc>
      </w:tr>
      <w:tr w14:paraId="05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1B28216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3B3FB5F6">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1C13BE5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6146221A">
            <w:pPr>
              <w:spacing w:line="360" w:lineRule="auto"/>
              <w:ind w:firstLine="0" w:firstLineChars="0"/>
              <w:jc w:val="center"/>
              <w:rPr>
                <w:rFonts w:ascii="Times New Roman" w:hAnsi="Times New Roman"/>
                <w:sz w:val="22"/>
                <w:szCs w:val="24"/>
                <w:highlight w:val="none"/>
              </w:rPr>
            </w:pPr>
          </w:p>
        </w:tc>
      </w:tr>
      <w:tr w14:paraId="3AD0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BF72A7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77A39D1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6C2F2525">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6E5082E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650EB755">
            <w:pPr>
              <w:spacing w:line="360" w:lineRule="auto"/>
              <w:ind w:firstLine="0" w:firstLineChars="0"/>
              <w:jc w:val="center"/>
              <w:rPr>
                <w:rFonts w:ascii="Times New Roman" w:hAnsi="Times New Roman"/>
                <w:sz w:val="22"/>
                <w:szCs w:val="24"/>
                <w:highlight w:val="none"/>
              </w:rPr>
            </w:pPr>
          </w:p>
        </w:tc>
      </w:tr>
      <w:tr w14:paraId="0034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2E58EBF">
            <w:pPr>
              <w:rPr>
                <w:highlight w:val="none"/>
              </w:rPr>
            </w:pPr>
          </w:p>
        </w:tc>
        <w:tc>
          <w:tcPr>
            <w:tcW w:w="1077" w:type="dxa"/>
            <w:tcBorders>
              <w:top w:val="single" w:color="auto" w:sz="4" w:space="0"/>
              <w:left w:val="single" w:color="auto" w:sz="4" w:space="0"/>
              <w:right w:val="single" w:color="auto" w:sz="4" w:space="0"/>
            </w:tcBorders>
            <w:vAlign w:val="center"/>
          </w:tcPr>
          <w:p w14:paraId="550D354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298F5CE8">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3DB9A50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197DF1B3">
            <w:pPr>
              <w:spacing w:line="360" w:lineRule="auto"/>
              <w:ind w:firstLine="0" w:firstLineChars="0"/>
              <w:jc w:val="center"/>
              <w:rPr>
                <w:rFonts w:ascii="Times New Roman" w:hAnsi="Times New Roman"/>
                <w:sz w:val="22"/>
                <w:szCs w:val="24"/>
                <w:highlight w:val="none"/>
              </w:rPr>
            </w:pPr>
          </w:p>
        </w:tc>
      </w:tr>
      <w:tr w14:paraId="06E7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7657CB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093C1789">
            <w:pPr>
              <w:spacing w:line="360" w:lineRule="auto"/>
              <w:ind w:firstLine="0" w:firstLineChars="0"/>
              <w:jc w:val="center"/>
              <w:rPr>
                <w:rFonts w:ascii="Times New Roman" w:hAnsi="Times New Roman"/>
                <w:sz w:val="22"/>
                <w:szCs w:val="24"/>
                <w:highlight w:val="none"/>
              </w:rPr>
            </w:pPr>
          </w:p>
        </w:tc>
      </w:tr>
      <w:tr w14:paraId="77E6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EE6840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25026C4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570B9FC7">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99D939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FB5A8F7">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D2F223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35CFC2B8">
            <w:pPr>
              <w:spacing w:line="360" w:lineRule="auto"/>
              <w:ind w:firstLine="0" w:firstLineChars="0"/>
              <w:jc w:val="center"/>
              <w:rPr>
                <w:rFonts w:ascii="Times New Roman" w:hAnsi="Times New Roman"/>
                <w:sz w:val="22"/>
                <w:szCs w:val="24"/>
                <w:highlight w:val="none"/>
              </w:rPr>
            </w:pPr>
          </w:p>
        </w:tc>
      </w:tr>
      <w:tr w14:paraId="6424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35C3D2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1EA09B3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2D978A64">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262015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C8ABD11">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3C46C95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3C40B885">
            <w:pPr>
              <w:spacing w:line="360" w:lineRule="auto"/>
              <w:ind w:firstLine="0" w:firstLineChars="0"/>
              <w:jc w:val="center"/>
              <w:rPr>
                <w:rFonts w:ascii="Times New Roman" w:hAnsi="Times New Roman"/>
                <w:sz w:val="22"/>
                <w:szCs w:val="24"/>
                <w:highlight w:val="none"/>
              </w:rPr>
            </w:pPr>
          </w:p>
        </w:tc>
      </w:tr>
      <w:tr w14:paraId="0DA9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59C2B8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606DF657">
            <w:pPr>
              <w:spacing w:line="360" w:lineRule="auto"/>
              <w:ind w:firstLine="0" w:firstLineChars="0"/>
              <w:jc w:val="center"/>
              <w:rPr>
                <w:rFonts w:ascii="Times New Roman" w:hAnsi="Times New Roman"/>
                <w:sz w:val="22"/>
                <w:szCs w:val="24"/>
                <w:highlight w:val="none"/>
              </w:rPr>
            </w:pPr>
          </w:p>
        </w:tc>
        <w:tc>
          <w:tcPr>
            <w:tcW w:w="4234" w:type="dxa"/>
            <w:gridSpan w:val="6"/>
          </w:tcPr>
          <w:p w14:paraId="64D8220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523B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07A207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10FDD08">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E4BC23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74C8BA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6DAD42DC">
            <w:pPr>
              <w:spacing w:line="360" w:lineRule="auto"/>
              <w:ind w:firstLine="0" w:firstLineChars="0"/>
              <w:jc w:val="center"/>
              <w:rPr>
                <w:rFonts w:ascii="Times New Roman" w:hAnsi="Times New Roman"/>
                <w:sz w:val="22"/>
                <w:szCs w:val="24"/>
                <w:highlight w:val="none"/>
              </w:rPr>
            </w:pPr>
          </w:p>
        </w:tc>
      </w:tr>
      <w:tr w14:paraId="07F6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C54E13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E92D00A">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090DA9F8">
            <w:pPr>
              <w:rPr>
                <w:highlight w:val="none"/>
              </w:rPr>
            </w:pPr>
          </w:p>
        </w:tc>
        <w:tc>
          <w:tcPr>
            <w:tcW w:w="2039" w:type="dxa"/>
            <w:gridSpan w:val="3"/>
            <w:tcBorders>
              <w:top w:val="single" w:color="auto" w:sz="4" w:space="0"/>
              <w:left w:val="single" w:color="auto" w:sz="4" w:space="0"/>
              <w:right w:val="single" w:color="auto" w:sz="4" w:space="0"/>
            </w:tcBorders>
            <w:vAlign w:val="center"/>
          </w:tcPr>
          <w:p w14:paraId="783919F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18E21CB5">
            <w:pPr>
              <w:spacing w:line="360" w:lineRule="auto"/>
              <w:ind w:firstLine="0" w:firstLineChars="0"/>
              <w:jc w:val="center"/>
              <w:rPr>
                <w:rFonts w:ascii="Times New Roman" w:hAnsi="Times New Roman"/>
                <w:sz w:val="22"/>
                <w:szCs w:val="24"/>
                <w:highlight w:val="none"/>
              </w:rPr>
            </w:pPr>
          </w:p>
        </w:tc>
      </w:tr>
      <w:tr w14:paraId="37A5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6F96C9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2ABDC58">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69A12689">
            <w:pPr>
              <w:rPr>
                <w:highlight w:val="none"/>
              </w:rPr>
            </w:pPr>
          </w:p>
        </w:tc>
        <w:tc>
          <w:tcPr>
            <w:tcW w:w="2039" w:type="dxa"/>
            <w:gridSpan w:val="3"/>
            <w:tcBorders>
              <w:top w:val="single" w:color="auto" w:sz="4" w:space="0"/>
              <w:left w:val="single" w:color="auto" w:sz="4" w:space="0"/>
              <w:right w:val="single" w:color="auto" w:sz="4" w:space="0"/>
            </w:tcBorders>
            <w:vAlign w:val="center"/>
          </w:tcPr>
          <w:p w14:paraId="66B1784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4A3EE88E">
            <w:pPr>
              <w:spacing w:line="360" w:lineRule="auto"/>
              <w:ind w:firstLine="0" w:firstLineChars="0"/>
              <w:jc w:val="center"/>
              <w:rPr>
                <w:rFonts w:ascii="Times New Roman" w:hAnsi="Times New Roman"/>
                <w:sz w:val="22"/>
                <w:szCs w:val="24"/>
                <w:highlight w:val="none"/>
              </w:rPr>
            </w:pPr>
          </w:p>
        </w:tc>
      </w:tr>
      <w:tr w14:paraId="293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1BE0E8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36A3D0EF">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24DCF1D">
            <w:pPr>
              <w:rPr>
                <w:highlight w:val="none"/>
              </w:rPr>
            </w:pPr>
          </w:p>
        </w:tc>
        <w:tc>
          <w:tcPr>
            <w:tcW w:w="2039" w:type="dxa"/>
            <w:gridSpan w:val="3"/>
            <w:tcBorders>
              <w:top w:val="single" w:color="auto" w:sz="4" w:space="0"/>
              <w:left w:val="single" w:color="auto" w:sz="4" w:space="0"/>
              <w:right w:val="single" w:color="auto" w:sz="4" w:space="0"/>
            </w:tcBorders>
            <w:vAlign w:val="center"/>
          </w:tcPr>
          <w:p w14:paraId="0394F8A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41288AD9">
            <w:pPr>
              <w:spacing w:line="360" w:lineRule="auto"/>
              <w:ind w:firstLine="0" w:firstLineChars="0"/>
              <w:jc w:val="center"/>
              <w:rPr>
                <w:rFonts w:ascii="Times New Roman" w:hAnsi="Times New Roman"/>
                <w:sz w:val="22"/>
                <w:szCs w:val="24"/>
                <w:highlight w:val="none"/>
              </w:rPr>
            </w:pPr>
          </w:p>
        </w:tc>
      </w:tr>
      <w:tr w14:paraId="1B2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F7703E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66B0A502">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48E37F7E">
            <w:pPr>
              <w:rPr>
                <w:highlight w:val="none"/>
              </w:rPr>
            </w:pPr>
          </w:p>
        </w:tc>
        <w:tc>
          <w:tcPr>
            <w:tcW w:w="2039" w:type="dxa"/>
            <w:gridSpan w:val="3"/>
            <w:tcBorders>
              <w:top w:val="single" w:color="auto" w:sz="4" w:space="0"/>
              <w:left w:val="single" w:color="auto" w:sz="4" w:space="0"/>
              <w:right w:val="single" w:color="auto" w:sz="4" w:space="0"/>
            </w:tcBorders>
            <w:vAlign w:val="center"/>
          </w:tcPr>
          <w:p w14:paraId="03C51DA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26514D1B">
            <w:pPr>
              <w:spacing w:line="360" w:lineRule="auto"/>
              <w:ind w:firstLine="0" w:firstLineChars="0"/>
              <w:jc w:val="center"/>
              <w:rPr>
                <w:rFonts w:ascii="Times New Roman" w:hAnsi="Times New Roman"/>
                <w:sz w:val="22"/>
                <w:szCs w:val="24"/>
                <w:highlight w:val="none"/>
              </w:rPr>
            </w:pPr>
          </w:p>
        </w:tc>
      </w:tr>
      <w:tr w14:paraId="0785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70AA01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7B91B5AC">
            <w:pPr>
              <w:spacing w:line="360" w:lineRule="auto"/>
              <w:ind w:firstLine="0" w:firstLineChars="0"/>
              <w:jc w:val="center"/>
              <w:rPr>
                <w:rFonts w:ascii="Times New Roman" w:hAnsi="Times New Roman"/>
                <w:sz w:val="22"/>
                <w:szCs w:val="24"/>
                <w:highlight w:val="none"/>
              </w:rPr>
            </w:pPr>
          </w:p>
        </w:tc>
      </w:tr>
      <w:tr w14:paraId="063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6E3AFF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4B73E1E5">
            <w:pPr>
              <w:spacing w:line="360" w:lineRule="auto"/>
              <w:ind w:firstLine="0" w:firstLineChars="0"/>
              <w:jc w:val="center"/>
              <w:rPr>
                <w:rFonts w:ascii="Times New Roman" w:hAnsi="Times New Roman"/>
                <w:sz w:val="22"/>
                <w:szCs w:val="24"/>
                <w:highlight w:val="none"/>
              </w:rPr>
            </w:pPr>
          </w:p>
        </w:tc>
      </w:tr>
    </w:tbl>
    <w:p w14:paraId="72396947">
      <w:pPr>
        <w:widowControl/>
        <w:spacing w:line="360" w:lineRule="auto"/>
        <w:jc w:val="left"/>
        <w:rPr>
          <w:rFonts w:ascii="Times New Roman" w:hAnsi="Times New Roman"/>
          <w:sz w:val="20"/>
          <w:szCs w:val="21"/>
          <w:highlight w:val="none"/>
        </w:rPr>
        <w:sectPr>
          <w:footerReference r:id="rId11" w:type="default"/>
          <w:pgSz w:w="11906" w:h="16838"/>
          <w:pgMar w:top="1440" w:right="1800" w:bottom="1440" w:left="1800" w:header="851" w:footer="992" w:gutter="0"/>
          <w:pgNumType w:fmt="decimal"/>
          <w:cols w:space="720" w:num="1"/>
          <w:docGrid w:type="lines" w:linePitch="326" w:charSpace="0"/>
        </w:sectPr>
      </w:pPr>
      <w:r>
        <w:rPr>
          <w:rFonts w:hint="eastAsia" w:ascii="Times New Roman" w:hAnsi="Times New Roman"/>
          <w:sz w:val="20"/>
          <w:szCs w:val="21"/>
          <w:highlight w:val="none"/>
        </w:rPr>
        <w:t>注：附营业执照（副本）、资质证明复印件等。</w:t>
      </w:r>
    </w:p>
    <w:p w14:paraId="233E5E4B">
      <w:pPr>
        <w:pStyle w:val="35"/>
        <w:rPr>
          <w:rFonts w:hint="eastAsia" w:ascii="Times New Roman" w:hAnsi="Times New Roman" w:eastAsia="宋体"/>
          <w:color w:val="auto"/>
          <w:highlight w:val="none"/>
          <w:lang w:eastAsia="zh-CN"/>
        </w:rPr>
      </w:pPr>
      <w:bookmarkStart w:id="283" w:name="_Toc14270"/>
      <w:bookmarkStart w:id="284" w:name="_Toc8213"/>
      <w:bookmarkStart w:id="285" w:name="_Toc478054435"/>
      <w:bookmarkStart w:id="286" w:name="_Toc378234584"/>
      <w:bookmarkStart w:id="287" w:name="_Toc472780356"/>
      <w:bookmarkStart w:id="288" w:name="_Toc478053903"/>
      <w:bookmarkStart w:id="289" w:name="_Toc378234770"/>
      <w:r>
        <w:rPr>
          <w:rFonts w:ascii="Times New Roman" w:hAnsi="Times New Roman"/>
          <w:color w:val="auto"/>
          <w:highlight w:val="none"/>
        </w:rPr>
        <w:t>（二）法定代表人身份证明及授权委托书</w:t>
      </w:r>
      <w:bookmarkEnd w:id="283"/>
      <w:bookmarkEnd w:id="284"/>
    </w:p>
    <w:p w14:paraId="36DBD46A">
      <w:pPr>
        <w:pStyle w:val="36"/>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37"/>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7"/>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08A00C36">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285"/>
    <w:bookmarkEnd w:id="286"/>
    <w:bookmarkEnd w:id="287"/>
    <w:bookmarkEnd w:id="288"/>
    <w:bookmarkEnd w:id="289"/>
    <w:p w14:paraId="56623B61">
      <w:pPr>
        <w:pStyle w:val="35"/>
        <w:rPr>
          <w:rFonts w:ascii="Times New Roman" w:hAnsi="Times New Roman"/>
          <w:highlight w:val="none"/>
        </w:rPr>
      </w:pPr>
      <w:r>
        <w:rPr>
          <w:rFonts w:hint="eastAsia" w:ascii="Times New Roman" w:hAnsi="Times New Roman"/>
          <w:highlight w:val="none"/>
        </w:rPr>
        <w:t>（三）书面声明</w:t>
      </w:r>
    </w:p>
    <w:p w14:paraId="257F77B0">
      <w:pPr>
        <w:tabs>
          <w:tab w:val="left" w:pos="6300"/>
        </w:tabs>
        <w:snapToGrid w:val="0"/>
        <w:spacing w:line="360" w:lineRule="auto"/>
        <w:rPr>
          <w:rFonts w:ascii="Times New Roman" w:hAnsi="Times New Roman"/>
          <w:highlight w:val="none"/>
        </w:rPr>
      </w:pPr>
    </w:p>
    <w:p w14:paraId="247A3D13">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54341897">
      <w:pPr>
        <w:tabs>
          <w:tab w:val="left" w:pos="6300"/>
        </w:tabs>
        <w:snapToGrid w:val="0"/>
        <w:spacing w:line="360" w:lineRule="auto"/>
        <w:rPr>
          <w:rFonts w:ascii="Times New Roman" w:hAnsi="Times New Roman"/>
          <w:highlight w:val="none"/>
        </w:rPr>
      </w:pPr>
    </w:p>
    <w:p w14:paraId="3C1B4885">
      <w:pPr>
        <w:tabs>
          <w:tab w:val="left" w:pos="6300"/>
        </w:tabs>
        <w:snapToGrid w:val="0"/>
        <w:spacing w:line="360" w:lineRule="auto"/>
        <w:rPr>
          <w:rFonts w:ascii="Times New Roman" w:hAnsi="Times New Roman"/>
          <w:color w:val="auto"/>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w:t>
      </w:r>
      <w:r>
        <w:rPr>
          <w:rFonts w:hint="eastAsia" w:ascii="Times New Roman" w:hAnsi="Times New Roman"/>
          <w:snapToGrid w:val="0"/>
          <w:color w:val="auto"/>
          <w:kern w:val="0"/>
          <w:highlight w:val="none"/>
          <w:u w:val="single"/>
        </w:rPr>
        <w:t>限公司</w:t>
      </w:r>
      <w:r>
        <w:rPr>
          <w:rFonts w:hint="eastAsia" w:ascii="Times New Roman" w:hAnsi="Times New Roman"/>
          <w:color w:val="auto"/>
          <w:highlight w:val="none"/>
        </w:rPr>
        <w:t>：</w:t>
      </w:r>
    </w:p>
    <w:p w14:paraId="095BA620">
      <w:pPr>
        <w:tabs>
          <w:tab w:val="left" w:pos="6300"/>
        </w:tabs>
        <w:snapToGrid w:val="0"/>
        <w:spacing w:line="360" w:lineRule="auto"/>
        <w:rPr>
          <w:rFonts w:ascii="Times New Roman" w:hAnsi="Times New Roman"/>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w:t>
      </w:r>
      <w:r>
        <w:rPr>
          <w:rFonts w:ascii="Times New Roman" w:hAnsi="Times New Roman" w:cs="Times New Roman"/>
          <w:color w:val="auto"/>
          <w:highlight w:val="none"/>
        </w:rPr>
        <w:t>近3年财务状况稳定</w:t>
      </w:r>
      <w:r>
        <w:rPr>
          <w:rFonts w:hint="eastAsia" w:ascii="Times New Roman" w:hAnsi="Times New Roman" w:cs="Times New Roman"/>
          <w:color w:val="auto"/>
          <w:highlight w:val="none"/>
          <w:lang w:eastAsia="zh-CN"/>
        </w:rPr>
        <w:t>，</w:t>
      </w:r>
      <w:r>
        <w:rPr>
          <w:rFonts w:hint="eastAsia" w:ascii="Times New Roman" w:hAnsi="Times New Roman"/>
          <w:color w:val="auto"/>
          <w:highlight w:val="none"/>
        </w:rPr>
        <w:t>具有良好的商业信誉和健全的财务会计制度，具有履行合同所必需的设备和专业技术能力，</w:t>
      </w:r>
      <w:r>
        <w:rPr>
          <w:rFonts w:hint="eastAsia" w:ascii="Times New Roman" w:hAnsi="Times New Roman"/>
          <w:color w:val="auto"/>
          <w:highlight w:val="none"/>
          <w:lang w:val="en-US" w:eastAsia="zh-CN"/>
        </w:rPr>
        <w:t>具</w:t>
      </w:r>
      <w:r>
        <w:rPr>
          <w:rFonts w:hint="eastAsia" w:ascii="Times New Roman" w:hAnsi="Times New Roman"/>
          <w:color w:val="auto"/>
          <w:highlight w:val="none"/>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w:t>
      </w:r>
      <w:r>
        <w:rPr>
          <w:rFonts w:hint="eastAsia" w:ascii="Times New Roman" w:hAnsi="Times New Roman" w:cs="Cambria"/>
          <w:szCs w:val="24"/>
          <w:highlight w:val="none"/>
        </w:rPr>
        <w:t>会对项目进行转包</w:t>
      </w:r>
      <w:r>
        <w:rPr>
          <w:rFonts w:hint="eastAsia" w:ascii="Times New Roman" w:hAnsi="Times New Roman"/>
          <w:highlight w:val="none"/>
        </w:rPr>
        <w:t>。我方对以上声明负全部法律责任。</w:t>
      </w:r>
    </w:p>
    <w:p w14:paraId="0AC483A7">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731E5496">
      <w:pPr>
        <w:tabs>
          <w:tab w:val="left" w:pos="6300"/>
        </w:tabs>
        <w:snapToGrid w:val="0"/>
        <w:spacing w:line="360" w:lineRule="auto"/>
        <w:rPr>
          <w:rFonts w:ascii="Times New Roman" w:hAnsi="Times New Roman"/>
          <w:highlight w:val="none"/>
        </w:rPr>
      </w:pPr>
    </w:p>
    <w:p w14:paraId="511A816B">
      <w:pPr>
        <w:tabs>
          <w:tab w:val="left" w:pos="6300"/>
        </w:tabs>
        <w:snapToGrid w:val="0"/>
        <w:spacing w:line="360" w:lineRule="auto"/>
        <w:rPr>
          <w:rFonts w:ascii="Times New Roman" w:hAnsi="Times New Roman"/>
          <w:highlight w:val="none"/>
        </w:rPr>
      </w:pPr>
    </w:p>
    <w:p w14:paraId="49B2B7D6">
      <w:pPr>
        <w:tabs>
          <w:tab w:val="left" w:pos="6300"/>
        </w:tabs>
        <w:snapToGrid w:val="0"/>
        <w:spacing w:line="360" w:lineRule="auto"/>
        <w:rPr>
          <w:rFonts w:ascii="Times New Roman" w:hAnsi="Times New Roman"/>
          <w:highlight w:val="none"/>
        </w:rPr>
      </w:pPr>
    </w:p>
    <w:p w14:paraId="05F0A95B">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276ECE66">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13E23DD2">
      <w:pPr>
        <w:spacing w:line="360" w:lineRule="auto"/>
        <w:jc w:val="left"/>
        <w:rPr>
          <w:rFonts w:ascii="Times New Roman" w:hAnsi="Times New Roman" w:cs="等线 Light"/>
          <w:snapToGrid w:val="0"/>
          <w:kern w:val="0"/>
          <w:szCs w:val="24"/>
          <w:highlight w:val="none"/>
        </w:rPr>
      </w:pPr>
    </w:p>
    <w:p w14:paraId="618D56CD">
      <w:pPr>
        <w:spacing w:line="360" w:lineRule="auto"/>
        <w:jc w:val="left"/>
        <w:rPr>
          <w:rFonts w:ascii="Times New Roman" w:hAnsi="Times New Roman" w:cs="等线 Light"/>
          <w:snapToGrid w:val="0"/>
          <w:kern w:val="0"/>
          <w:szCs w:val="24"/>
          <w:highlight w:val="none"/>
        </w:rPr>
      </w:pPr>
    </w:p>
    <w:p w14:paraId="2C8E8780">
      <w:pPr>
        <w:spacing w:line="360" w:lineRule="auto"/>
        <w:jc w:val="left"/>
        <w:rPr>
          <w:rFonts w:ascii="Times New Roman" w:hAnsi="Times New Roman" w:cs="等线 Light"/>
          <w:snapToGrid w:val="0"/>
          <w:kern w:val="0"/>
          <w:szCs w:val="24"/>
          <w:highlight w:val="none"/>
        </w:rPr>
      </w:pPr>
    </w:p>
    <w:p w14:paraId="7DD10073">
      <w:pPr>
        <w:spacing w:line="360" w:lineRule="auto"/>
        <w:jc w:val="left"/>
        <w:rPr>
          <w:rFonts w:ascii="Times New Roman" w:hAnsi="Times New Roman" w:cs="等线 Light"/>
          <w:snapToGrid w:val="0"/>
          <w:kern w:val="0"/>
          <w:szCs w:val="24"/>
          <w:highlight w:val="none"/>
        </w:rPr>
      </w:pPr>
    </w:p>
    <w:p w14:paraId="656830AD">
      <w:pPr>
        <w:spacing w:line="360" w:lineRule="auto"/>
        <w:jc w:val="left"/>
        <w:rPr>
          <w:rFonts w:ascii="Times New Roman" w:hAnsi="Times New Roman" w:cs="等线 Light"/>
          <w:snapToGrid w:val="0"/>
          <w:kern w:val="0"/>
          <w:szCs w:val="24"/>
          <w:highlight w:val="none"/>
        </w:rPr>
      </w:pPr>
    </w:p>
    <w:p w14:paraId="2EB6CC13">
      <w:pPr>
        <w:spacing w:line="360" w:lineRule="auto"/>
        <w:jc w:val="left"/>
        <w:rPr>
          <w:rFonts w:ascii="Times New Roman" w:hAnsi="Times New Roman" w:cs="等线 Light"/>
          <w:snapToGrid w:val="0"/>
          <w:kern w:val="0"/>
          <w:szCs w:val="24"/>
          <w:highlight w:val="none"/>
        </w:rPr>
      </w:pPr>
    </w:p>
    <w:p w14:paraId="03597636">
      <w:pPr>
        <w:spacing w:line="360" w:lineRule="auto"/>
        <w:jc w:val="left"/>
        <w:rPr>
          <w:rFonts w:ascii="Times New Roman" w:hAnsi="Times New Roman" w:cs="等线 Light"/>
          <w:snapToGrid w:val="0"/>
          <w:kern w:val="0"/>
          <w:szCs w:val="24"/>
          <w:highlight w:val="none"/>
        </w:rPr>
      </w:pPr>
    </w:p>
    <w:p w14:paraId="5BE3895E">
      <w:pPr>
        <w:rPr>
          <w:rFonts w:ascii="Times New Roman" w:hAnsi="Times New Roman"/>
          <w:b/>
          <w:bCs/>
          <w:highlight w:val="none"/>
        </w:rPr>
      </w:pPr>
      <w:r>
        <w:rPr>
          <w:rFonts w:hint="eastAsia" w:ascii="Times New Roman" w:hAnsi="Times New Roman"/>
          <w:kern w:val="0"/>
          <w:highlight w:val="none"/>
        </w:rPr>
        <w:br w:type="page"/>
      </w:r>
    </w:p>
    <w:p w14:paraId="4970F10F">
      <w:pPr>
        <w:pStyle w:val="35"/>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268486C1">
      <w:pPr>
        <w:ind w:firstLine="480"/>
        <w:rPr>
          <w:rFonts w:ascii="Times New Roman" w:hAnsi="Times New Roman"/>
          <w:highlight w:val="none"/>
        </w:rPr>
      </w:pPr>
      <w:r>
        <w:rPr>
          <w:rFonts w:hint="eastAsia" w:ascii="Times New Roman" w:hAnsi="Times New Roman"/>
          <w:highlight w:val="none"/>
          <w:lang w:val="en-US" w:eastAsia="zh-CN"/>
        </w:rPr>
        <w:t>1.法人</w:t>
      </w:r>
      <w:r>
        <w:rPr>
          <w:rFonts w:ascii="Times New Roman" w:hAnsi="Times New Roman"/>
          <w:highlight w:val="none"/>
        </w:rPr>
        <w:t>中国执行信息公开网截图</w:t>
      </w:r>
    </w:p>
    <w:p w14:paraId="332425F9">
      <w:pPr>
        <w:ind w:firstLine="480"/>
        <w:rPr>
          <w:rFonts w:hint="default" w:ascii="Times New Roman" w:hAnsi="Times New Roman" w:eastAsia="宋体"/>
          <w:highlight w:val="none"/>
          <w:lang w:val="en-US" w:eastAsia="zh-CN"/>
        </w:rPr>
      </w:pPr>
      <w:r>
        <w:rPr>
          <w:rFonts w:hint="eastAsia" w:ascii="Times New Roman" w:hAnsi="Times New Roman"/>
          <w:highlight w:val="none"/>
          <w:lang w:val="en-US" w:eastAsia="zh-CN"/>
        </w:rPr>
        <w:t>2.法定代表人</w:t>
      </w:r>
      <w:r>
        <w:rPr>
          <w:rFonts w:ascii="Times New Roman" w:hAnsi="Times New Roman"/>
          <w:highlight w:val="none"/>
        </w:rPr>
        <w:t>中国执行信息公开网截图</w:t>
      </w:r>
    </w:p>
    <w:p w14:paraId="4B4C3D67">
      <w:pPr>
        <w:rPr>
          <w:rFonts w:ascii="Times New Roman" w:hAnsi="Times New Roman"/>
          <w:highlight w:val="none"/>
        </w:rPr>
      </w:pPr>
    </w:p>
    <w:p w14:paraId="086E9517">
      <w:pPr>
        <w:rPr>
          <w:rFonts w:ascii="Times New Roman" w:hAnsi="Times New Roman"/>
          <w:highlight w:val="none"/>
        </w:rPr>
      </w:pPr>
    </w:p>
    <w:p w14:paraId="67D300F0">
      <w:pPr>
        <w:rPr>
          <w:rFonts w:ascii="Times New Roman" w:hAnsi="Times New Roman"/>
          <w:highlight w:val="none"/>
        </w:rPr>
      </w:pPr>
      <w:r>
        <w:rPr>
          <w:rFonts w:hint="eastAsia" w:ascii="Times New Roman" w:hAnsi="Times New Roman"/>
          <w:highlight w:val="none"/>
        </w:rPr>
        <w:br w:type="page"/>
      </w:r>
    </w:p>
    <w:p w14:paraId="33C8B1CA">
      <w:pPr>
        <w:pStyle w:val="35"/>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）项目案例</w:t>
      </w:r>
      <w:r>
        <w:rPr>
          <w:rFonts w:hint="eastAsia" w:ascii="Times New Roman" w:hAnsi="Times New Roman"/>
          <w:highlight w:val="none"/>
        </w:rPr>
        <w:t>和业绩证明文件复印件</w:t>
      </w:r>
    </w:p>
    <w:p w14:paraId="4F3975C9">
      <w:pPr>
        <w:jc w:val="center"/>
        <w:rPr>
          <w:highlight w:val="none"/>
        </w:rPr>
      </w:pPr>
      <w:r>
        <w:rPr>
          <w:rFonts w:hint="eastAsia"/>
          <w:highlight w:val="none"/>
        </w:rPr>
        <w:t>（</w:t>
      </w:r>
      <w:r>
        <w:rPr>
          <w:rFonts w:hint="eastAsia"/>
          <w:highlight w:val="none"/>
          <w:lang w:val="en-US" w:eastAsia="zh-CN"/>
        </w:rPr>
        <w:t>提供资格业绩。</w:t>
      </w:r>
      <w:r>
        <w:rPr>
          <w:rFonts w:ascii="Times New Roman" w:hAnsi="Times New Roman" w:cs="Times New Roman"/>
          <w:highlight w:val="none"/>
        </w:rPr>
        <w:t>此处为第一章第2条参选人资格条件所用案例及资质文件</w:t>
      </w:r>
      <w:r>
        <w:rPr>
          <w:rFonts w:hint="eastAsia" w:ascii="Times New Roman" w:hAnsi="Times New Roman" w:cs="Times New Roman"/>
          <w:highlight w:val="none"/>
          <w:lang w:eastAsia="zh-CN"/>
        </w:rPr>
        <w:t>，</w:t>
      </w:r>
      <w:r>
        <w:rPr>
          <w:rFonts w:hint="eastAsia"/>
          <w:highlight w:val="none"/>
        </w:rPr>
        <w:t>每份案例应</w:t>
      </w:r>
      <w:r>
        <w:rPr>
          <w:highlight w:val="none"/>
        </w:rPr>
        <w:t>提供</w:t>
      </w:r>
      <w:r>
        <w:rPr>
          <w:rFonts w:hint="eastAsia" w:ascii="Times New Roman" w:hAnsi="Times New Roman"/>
          <w:highlight w:val="none"/>
        </w:rPr>
        <w:t>项目简介</w:t>
      </w:r>
      <w:r>
        <w:rPr>
          <w:highlight w:val="none"/>
        </w:rPr>
        <w:t>）</w:t>
      </w:r>
    </w:p>
    <w:p w14:paraId="0968AD4D">
      <w:pPr>
        <w:ind w:firstLine="0" w:firstLineChars="0"/>
        <w:jc w:val="center"/>
        <w:outlineLvl w:val="2"/>
        <w:rPr>
          <w:rFonts w:ascii="Times New Roman" w:hAnsi="Times New Roman" w:cs="Times New Roman"/>
          <w:highlight w:val="none"/>
        </w:rPr>
      </w:pPr>
      <w:r>
        <w:rPr>
          <w:rFonts w:ascii="Times New Roman" w:hAnsi="Times New Roman"/>
          <w:highlight w:val="none"/>
        </w:rPr>
        <w:br w:type="page"/>
      </w:r>
      <w:bookmarkStart w:id="290" w:name="_Toc7410"/>
      <w:bookmarkStart w:id="291" w:name="_Toc13224"/>
      <w:r>
        <w:rPr>
          <w:rFonts w:ascii="Times New Roman" w:hAnsi="Times New Roman" w:cs="Times New Roman"/>
          <w:highlight w:val="none"/>
        </w:rPr>
        <w:t>（六）第三方软件产品的原厂商授权书或确认函</w:t>
      </w:r>
      <w:bookmarkEnd w:id="290"/>
      <w:bookmarkEnd w:id="291"/>
    </w:p>
    <w:p w14:paraId="664284B2">
      <w:pPr>
        <w:ind w:firstLine="0" w:firstLineChars="0"/>
        <w:jc w:val="center"/>
        <w:outlineLvl w:val="9"/>
        <w:rPr>
          <w:rFonts w:ascii="Times New Roman" w:hAnsi="Times New Roman" w:cs="Times New Roman"/>
          <w:highlight w:val="none"/>
        </w:rPr>
      </w:pPr>
      <w:r>
        <w:rPr>
          <w:rFonts w:ascii="Times New Roman" w:hAnsi="Times New Roman" w:cs="Times New Roman"/>
          <w:color w:val="FF0000"/>
          <w:highlight w:val="none"/>
        </w:rPr>
        <w:t>（</w:t>
      </w:r>
      <w:r>
        <w:rPr>
          <w:rFonts w:hint="eastAsia"/>
          <w:color w:val="auto"/>
          <w:highlight w:val="none"/>
        </w:rPr>
        <w:t>如不涉及第三方软件，则提供未使用第三方软件产品确认函</w:t>
      </w:r>
      <w:r>
        <w:rPr>
          <w:rFonts w:ascii="Times New Roman" w:hAnsi="Times New Roman" w:cs="Times New Roman"/>
          <w:color w:val="FF0000"/>
          <w:highlight w:val="none"/>
        </w:rPr>
        <w:t>）</w:t>
      </w:r>
    </w:p>
    <w:p w14:paraId="376CACEF">
      <w:pPr>
        <w:ind w:firstLine="0" w:firstLineChars="0"/>
        <w:jc w:val="center"/>
        <w:outlineLvl w:val="9"/>
        <w:rPr>
          <w:rFonts w:ascii="Times New Roman" w:hAnsi="Times New Roman" w:cs="Times New Roman"/>
          <w:highlight w:val="none"/>
        </w:rPr>
      </w:pPr>
    </w:p>
    <w:p w14:paraId="04CEF1B4">
      <w:pPr>
        <w:ind w:firstLine="0" w:firstLineChars="0"/>
        <w:jc w:val="center"/>
        <w:outlineLvl w:val="2"/>
        <w:rPr>
          <w:rFonts w:ascii="Times New Roman" w:hAnsi="Times New Roman" w:cs="Times New Roman"/>
          <w:highlight w:val="none"/>
        </w:rPr>
        <w:sectPr>
          <w:headerReference r:id="rId12" w:type="default"/>
          <w:footerReference r:id="rId13" w:type="default"/>
          <w:pgSz w:w="11906" w:h="16838"/>
          <w:pgMar w:top="1440" w:right="1800" w:bottom="1440" w:left="1800" w:header="851" w:footer="992" w:gutter="0"/>
          <w:pgNumType w:fmt="decimal"/>
          <w:cols w:space="720" w:num="1"/>
          <w:docGrid w:type="lines" w:linePitch="326" w:charSpace="0"/>
        </w:sectPr>
      </w:pPr>
    </w:p>
    <w:p w14:paraId="665744DC">
      <w:pPr>
        <w:pStyle w:val="35"/>
        <w:rPr>
          <w:rFonts w:hint="eastAsia" w:ascii="Times New Roman" w:hAnsi="Times New Roman" w:cs="Times New Roman"/>
          <w:color w:val="auto"/>
          <w:highlight w:val="none"/>
          <w:lang w:val="en-US" w:eastAsia="zh-CN"/>
        </w:rPr>
      </w:pPr>
      <w:r>
        <w:rPr>
          <w:rFonts w:hint="eastAsia" w:ascii="Times New Roman" w:hAnsi="Times New Roman"/>
          <w:highlight w:val="none"/>
          <w:lang w:val="zh-CN"/>
        </w:rPr>
        <w:t>（</w:t>
      </w:r>
      <w:r>
        <w:rPr>
          <w:rFonts w:ascii="Times New Roman" w:hAnsi="Times New Roman"/>
          <w:highlight w:val="none"/>
          <w:lang w:val="zh-CN"/>
        </w:rPr>
        <w:t>七</w:t>
      </w:r>
      <w:r>
        <w:rPr>
          <w:rFonts w:hint="eastAsia" w:ascii="Times New Roman" w:hAnsi="Times New Roman"/>
          <w:highlight w:val="none"/>
          <w:lang w:val="zh-CN"/>
        </w:rPr>
        <w:t>）</w:t>
      </w:r>
      <w:r>
        <w:rPr>
          <w:rFonts w:hint="eastAsia" w:ascii="Times New Roman" w:hAnsi="Times New Roman" w:cs="Times New Roman"/>
          <w:color w:val="auto"/>
          <w:highlight w:val="none"/>
          <w:lang w:val="en-US" w:eastAsia="zh-CN"/>
        </w:rPr>
        <w:t>注册资金相关证明（如有）</w:t>
      </w:r>
    </w:p>
    <w:p w14:paraId="19631089">
      <w:pPr>
        <w:ind w:left="0" w:leftChars="0" w:right="0" w:rightChars="0" w:firstLine="0" w:firstLineChars="0"/>
        <w:jc w:val="center"/>
        <w:rPr>
          <w:highlight w:val="none"/>
          <w:lang w:val="zh-CN"/>
        </w:rPr>
      </w:pPr>
      <w:r>
        <w:rPr>
          <w:rFonts w:hint="eastAsia"/>
          <w:highlight w:val="none"/>
          <w:lang w:val="en-US" w:eastAsia="zh-CN"/>
        </w:rPr>
        <w:t>（如有，如营业执照含有注册资金，则无需提供）</w:t>
      </w:r>
    </w:p>
    <w:p w14:paraId="09B13B4F">
      <w:pPr>
        <w:bidi w:val="0"/>
        <w:rPr>
          <w:highlight w:val="none"/>
          <w:lang w:val="zh-CN"/>
        </w:rPr>
      </w:pPr>
    </w:p>
    <w:p w14:paraId="55CA28D7">
      <w:pPr>
        <w:bidi w:val="0"/>
        <w:rPr>
          <w:highlight w:val="none"/>
          <w:lang w:val="zh-CN"/>
        </w:rPr>
        <w:sectPr>
          <w:pgSz w:w="11906" w:h="16838"/>
          <w:pgMar w:top="1440" w:right="1800" w:bottom="1440" w:left="1800" w:header="851" w:footer="992" w:gutter="0"/>
          <w:pgNumType w:fmt="decimal"/>
          <w:cols w:space="720" w:num="1"/>
          <w:docGrid w:type="lines" w:linePitch="326" w:charSpace="0"/>
        </w:sectPr>
      </w:pPr>
    </w:p>
    <w:p w14:paraId="727B858D">
      <w:pPr>
        <w:pStyle w:val="35"/>
        <w:bidi w:val="0"/>
        <w:rPr>
          <w:rFonts w:hint="default" w:eastAsia="宋体"/>
          <w:highlight w:val="none"/>
          <w:lang w:val="en-US" w:eastAsia="zh-CN"/>
        </w:rPr>
      </w:pPr>
      <w:r>
        <w:rPr>
          <w:highlight w:val="none"/>
        </w:rPr>
        <w:t>（八）CMMI3以上（含）资质</w:t>
      </w:r>
      <w:r>
        <w:rPr>
          <w:rFonts w:hint="eastAsia"/>
          <w:highlight w:val="none"/>
          <w:lang w:val="en-US" w:eastAsia="zh-CN"/>
        </w:rPr>
        <w:t>证明材料</w:t>
      </w:r>
    </w:p>
    <w:p w14:paraId="5A6D997D">
      <w:pPr>
        <w:jc w:val="center"/>
        <w:outlineLvl w:val="2"/>
        <w:rPr>
          <w:rStyle w:val="46"/>
          <w:highlight w:val="none"/>
        </w:rPr>
      </w:pPr>
      <w:r>
        <w:rPr>
          <w:rFonts w:ascii="Times New Roman" w:hAnsi="Times New Roman"/>
          <w:highlight w:val="none"/>
          <w:lang w:val="zh-CN"/>
        </w:rPr>
        <w:br w:type="page"/>
      </w:r>
      <w:r>
        <w:rPr>
          <w:rStyle w:val="46"/>
          <w:highlight w:val="none"/>
        </w:rPr>
        <w:t>（九）ISO相关认证证书和国家高新技术企业认证的复印件并加盖公章</w:t>
      </w:r>
    </w:p>
    <w:p w14:paraId="690E7EB3">
      <w:pPr>
        <w:outlineLvl w:val="9"/>
        <w:rPr>
          <w:rStyle w:val="37"/>
          <w:highlight w:val="none"/>
        </w:rPr>
      </w:pPr>
    </w:p>
    <w:p w14:paraId="16A7B73E">
      <w:pPr>
        <w:ind w:firstLine="0" w:firstLineChars="0"/>
        <w:jc w:val="center"/>
        <w:outlineLvl w:val="2"/>
        <w:rPr>
          <w:rStyle w:val="46"/>
          <w:rFonts w:ascii="Times New Roman" w:hAnsi="Times New Roman"/>
          <w:color w:val="auto"/>
          <w:highlight w:val="none"/>
          <w:shd w:val="clear" w:color="auto" w:fill="auto"/>
        </w:rPr>
      </w:pPr>
      <w:r>
        <w:rPr>
          <w:rStyle w:val="37"/>
          <w:highlight w:val="none"/>
        </w:rPr>
        <w:br w:type="page"/>
      </w:r>
      <w:r>
        <w:rPr>
          <w:rStyle w:val="46"/>
          <w:highlight w:val="none"/>
        </w:rPr>
        <w:t>（</w:t>
      </w:r>
      <w:r>
        <w:rPr>
          <w:rStyle w:val="46"/>
          <w:rFonts w:hint="eastAsia"/>
          <w:highlight w:val="none"/>
          <w:lang w:val="en-US"/>
        </w:rPr>
        <w:t>十</w:t>
      </w:r>
      <w:r>
        <w:rPr>
          <w:rStyle w:val="46"/>
          <w:highlight w:val="none"/>
        </w:rPr>
        <w:t>）书面计划</w:t>
      </w:r>
    </w:p>
    <w:p w14:paraId="71FA498C">
      <w:pPr>
        <w:rPr>
          <w:rFonts w:ascii="Times New Roman" w:hAnsi="Times New Roman"/>
          <w:color w:val="auto"/>
          <w:highlight w:val="none"/>
          <w:shd w:val="clear" w:color="auto" w:fill="auto"/>
        </w:rPr>
      </w:pPr>
    </w:p>
    <w:p w14:paraId="475E6AB5">
      <w:pPr>
        <w:jc w:val="center"/>
        <w:outlineLvl w:val="2"/>
        <w:rPr>
          <w:rStyle w:val="46"/>
          <w:highlight w:val="none"/>
        </w:rPr>
      </w:pPr>
      <w:r>
        <w:rPr>
          <w:rFonts w:ascii="Times New Roman" w:hAnsi="Times New Roman"/>
          <w:highlight w:val="none"/>
          <w:lang w:val="zh-CN"/>
        </w:rPr>
        <w:br w:type="page"/>
      </w:r>
      <w:r>
        <w:rPr>
          <w:rStyle w:val="46"/>
          <w:highlight w:val="none"/>
        </w:rPr>
        <w:t>（十一）其他（如有）</w:t>
      </w:r>
    </w:p>
    <w:p w14:paraId="0A69E03F">
      <w:pPr>
        <w:rPr>
          <w:highlight w:val="none"/>
        </w:rPr>
      </w:pPr>
      <w:r>
        <w:rPr>
          <w:rFonts w:hint="eastAsia"/>
          <w:highlight w:val="none"/>
          <w:lang w:eastAsia="zh-CN"/>
        </w:rPr>
        <w:t>（</w:t>
      </w:r>
      <w:r>
        <w:rPr>
          <w:rFonts w:hint="eastAsia"/>
          <w:highlight w:val="none"/>
        </w:rPr>
        <w:t>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参选人</w:t>
      </w:r>
      <w:r>
        <w:rPr>
          <w:rFonts w:hint="eastAsia"/>
          <w:highlight w:val="none"/>
          <w:lang w:val="en-US" w:eastAsia="zh-CN"/>
        </w:rPr>
        <w:t>资格要求</w:t>
      </w:r>
      <w:r>
        <w:rPr>
          <w:rFonts w:hint="eastAsia"/>
          <w:highlight w:val="none"/>
        </w:rPr>
        <w:t>”</w:t>
      </w:r>
      <w:r>
        <w:rPr>
          <w:rFonts w:hint="eastAsia"/>
          <w:highlight w:val="none"/>
          <w:lang w:val="en-US" w:eastAsia="zh-CN"/>
        </w:rPr>
        <w:t>中存在模板中未提供的其他资格性内容，则在此增加</w:t>
      </w:r>
      <w:r>
        <w:rPr>
          <w:rFonts w:hint="eastAsia"/>
          <w:highlight w:val="none"/>
          <w:lang w:eastAsia="zh-CN"/>
        </w:rPr>
        <w:t>）</w:t>
      </w:r>
    </w:p>
    <w:p w14:paraId="338242AC">
      <w:pPr>
        <w:rPr>
          <w:highlight w:val="none"/>
          <w:lang w:val="zh-CN"/>
        </w:rPr>
      </w:pPr>
    </w:p>
    <w:p w14:paraId="5933DFEE">
      <w:pPr>
        <w:rPr>
          <w:highlight w:val="none"/>
          <w:lang w:val="zh-CN"/>
        </w:rPr>
        <w:sectPr>
          <w:pgSz w:w="11906" w:h="16838"/>
          <w:pgMar w:top="1440" w:right="1800" w:bottom="1440" w:left="1800" w:header="851" w:footer="992" w:gutter="0"/>
          <w:pgNumType w:fmt="decimal"/>
          <w:cols w:space="720" w:num="1"/>
          <w:docGrid w:type="lines" w:linePitch="326" w:charSpace="0"/>
        </w:sectPr>
      </w:pPr>
    </w:p>
    <w:p w14:paraId="0645CF4F">
      <w:pPr>
        <w:pStyle w:val="33"/>
        <w:bidi w:val="0"/>
        <w:rPr>
          <w:highlight w:val="none"/>
        </w:rPr>
      </w:pPr>
      <w:r>
        <w:rPr>
          <w:rFonts w:hint="eastAsia"/>
          <w:highlight w:val="none"/>
          <w:lang w:val="en-US" w:eastAsia="zh-CN"/>
        </w:rPr>
        <w:t>五、响应性文件</w:t>
      </w:r>
    </w:p>
    <w:p w14:paraId="34CC7E01">
      <w:pPr>
        <w:pStyle w:val="35"/>
        <w:rPr>
          <w:rFonts w:ascii="Times New Roman" w:hAnsi="Times New Roman"/>
          <w:highlight w:val="none"/>
        </w:rPr>
      </w:pPr>
      <w:r>
        <w:rPr>
          <w:rFonts w:hint="eastAsia" w:ascii="Times New Roman" w:hAnsi="Times New Roman"/>
          <w:highlight w:val="none"/>
        </w:rPr>
        <w:t>（一）响应承诺函</w:t>
      </w:r>
    </w:p>
    <w:p w14:paraId="0E0B9AA5">
      <w:pPr>
        <w:rPr>
          <w:rFonts w:hint="eastAsia" w:ascii="Times New Roman" w:hAnsi="Times New Roman"/>
          <w:highlight w:val="none"/>
        </w:rPr>
      </w:pPr>
      <w:r>
        <w:rPr>
          <w:rFonts w:hint="eastAsia" w:ascii="Times New Roman" w:hAnsi="Times New Roman"/>
          <w:highlight w:val="none"/>
        </w:rPr>
        <w:t>根据第三章“项目要求”内容，做出整体承诺，格式自理。</w:t>
      </w:r>
    </w:p>
    <w:p w14:paraId="5E1ED5E6">
      <w:pPr>
        <w:rPr>
          <w:rFonts w:hint="eastAsia" w:ascii="Times New Roman" w:hAnsi="Times New Roman" w:eastAsia="宋体"/>
          <w:highlight w:val="none"/>
          <w:lang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应对第三章第4条对应内容做出单独承诺</w:t>
      </w:r>
      <w:r>
        <w:rPr>
          <w:rFonts w:hint="eastAsia" w:ascii="Times New Roman" w:hAnsi="Times New Roman"/>
          <w:highlight w:val="none"/>
          <w:lang w:eastAsia="zh-CN"/>
        </w:rPr>
        <w:t>）</w:t>
      </w:r>
    </w:p>
    <w:p w14:paraId="363E686F">
      <w:pPr>
        <w:tabs>
          <w:tab w:val="left" w:pos="6300"/>
        </w:tabs>
        <w:snapToGrid w:val="0"/>
        <w:spacing w:line="480" w:lineRule="exact"/>
        <w:ind w:right="480"/>
        <w:jc w:val="right"/>
        <w:rPr>
          <w:rFonts w:ascii="宋体"/>
          <w:color w:val="000000"/>
          <w:highlight w:val="none"/>
        </w:rPr>
        <w:sectPr>
          <w:pgSz w:w="11906" w:h="16838"/>
          <w:pgMar w:top="1440" w:right="1800" w:bottom="1440" w:left="1800" w:header="851" w:footer="992" w:gutter="0"/>
          <w:pgNumType w:fmt="decimal"/>
          <w:cols w:space="720" w:num="1"/>
          <w:docGrid w:type="lines" w:linePitch="326" w:charSpace="0"/>
        </w:sectPr>
      </w:pPr>
      <w:r>
        <w:rPr>
          <w:rFonts w:hint="eastAsia" w:ascii="宋体"/>
          <w:color w:val="000000"/>
          <w:highlight w:val="none"/>
        </w:rPr>
        <w:t xml:space="preserve"> </w:t>
      </w:r>
    </w:p>
    <w:p w14:paraId="2CCBC189">
      <w:pPr>
        <w:pStyle w:val="35"/>
        <w:bidi w:val="0"/>
        <w:rPr>
          <w:highlight w:val="none"/>
        </w:rPr>
      </w:pPr>
      <w:r>
        <w:rPr>
          <w:rFonts w:hint="eastAsia"/>
          <w:highlight w:val="none"/>
          <w:lang w:val="en-US" w:eastAsia="zh-CN"/>
        </w:rPr>
        <w:t>（二）</w:t>
      </w:r>
      <w:r>
        <w:rPr>
          <w:rFonts w:hint="eastAsia"/>
          <w:highlight w:val="none"/>
        </w:rPr>
        <w:t>参选保证金</w:t>
      </w:r>
    </w:p>
    <w:p w14:paraId="6D37319B">
      <w:pPr>
        <w:spacing w:line="360" w:lineRule="auto"/>
        <w:rPr>
          <w:rFonts w:ascii="宋体" w:cs="等线 Light"/>
          <w:color w:val="auto"/>
          <w:highlight w:val="none"/>
        </w:rPr>
      </w:pPr>
    </w:p>
    <w:p w14:paraId="45BD88E5">
      <w:pPr>
        <w:spacing w:line="360" w:lineRule="auto"/>
        <w:rPr>
          <w:rFonts w:ascii="宋体" w:cs="等线 Light"/>
          <w:color w:val="auto"/>
          <w:highlight w:val="none"/>
        </w:rPr>
      </w:pPr>
    </w:p>
    <w:p w14:paraId="3C283042">
      <w:pPr>
        <w:spacing w:line="360" w:lineRule="auto"/>
        <w:rPr>
          <w:rFonts w:ascii="宋体" w:cs="等线 Light"/>
          <w:color w:val="auto"/>
          <w:highlight w:val="none"/>
        </w:rPr>
      </w:pPr>
    </w:p>
    <w:p w14:paraId="23979D23">
      <w:pPr>
        <w:spacing w:line="360" w:lineRule="auto"/>
        <w:rPr>
          <w:rFonts w:ascii="宋体" w:cs="等线 Light"/>
          <w:color w:val="auto"/>
          <w:highlight w:val="none"/>
        </w:rPr>
      </w:pPr>
    </w:p>
    <w:p w14:paraId="6232007E">
      <w:pPr>
        <w:spacing w:line="360" w:lineRule="auto"/>
        <w:rPr>
          <w:rFonts w:ascii="宋体" w:cs="等线 Light"/>
          <w:color w:val="auto"/>
          <w:highlight w:val="none"/>
        </w:rPr>
      </w:pPr>
    </w:p>
    <w:p w14:paraId="1B99201F">
      <w:pPr>
        <w:spacing w:line="360" w:lineRule="auto"/>
        <w:rPr>
          <w:rFonts w:ascii="宋体" w:cs="等线 Light"/>
          <w:color w:val="auto"/>
          <w:highlight w:val="none"/>
        </w:rPr>
      </w:pPr>
    </w:p>
    <w:p w14:paraId="251B06AB">
      <w:pPr>
        <w:spacing w:line="360" w:lineRule="auto"/>
        <w:rPr>
          <w:rFonts w:ascii="宋体" w:cs="等线 Light"/>
          <w:color w:val="auto"/>
          <w:highlight w:val="none"/>
        </w:rPr>
      </w:pPr>
    </w:p>
    <w:p w14:paraId="5761A918">
      <w:pPr>
        <w:spacing w:line="360" w:lineRule="auto"/>
        <w:rPr>
          <w:rFonts w:ascii="宋体" w:cs="等线 Light"/>
          <w:color w:val="auto"/>
          <w:highlight w:val="none"/>
        </w:rPr>
      </w:pPr>
    </w:p>
    <w:p w14:paraId="0AB5D22B">
      <w:pPr>
        <w:spacing w:line="360" w:lineRule="auto"/>
        <w:rPr>
          <w:rFonts w:ascii="宋体" w:cs="等线 Light"/>
          <w:color w:val="auto"/>
          <w:highlight w:val="none"/>
        </w:rPr>
      </w:pPr>
    </w:p>
    <w:p w14:paraId="0A0CB651">
      <w:pPr>
        <w:spacing w:line="360" w:lineRule="auto"/>
        <w:rPr>
          <w:rFonts w:ascii="宋体" w:cs="等线 Light"/>
          <w:color w:val="auto"/>
          <w:highlight w:val="none"/>
        </w:rPr>
      </w:pPr>
    </w:p>
    <w:p w14:paraId="16B469A2">
      <w:pPr>
        <w:spacing w:line="360" w:lineRule="auto"/>
        <w:rPr>
          <w:rFonts w:ascii="宋体" w:cs="等线 Light"/>
          <w:color w:val="auto"/>
          <w:highlight w:val="none"/>
        </w:rPr>
      </w:pPr>
    </w:p>
    <w:p w14:paraId="142A9100">
      <w:pPr>
        <w:spacing w:line="360" w:lineRule="auto"/>
        <w:rPr>
          <w:rFonts w:ascii="宋体" w:cs="等线 Light"/>
          <w:color w:val="auto"/>
          <w:highlight w:val="none"/>
        </w:rPr>
      </w:pPr>
    </w:p>
    <w:p w14:paraId="0529AAC4">
      <w:pPr>
        <w:spacing w:line="360" w:lineRule="auto"/>
        <w:rPr>
          <w:rFonts w:ascii="宋体" w:cs="等线 Light"/>
          <w:color w:val="auto"/>
          <w:highlight w:val="none"/>
        </w:rPr>
      </w:pPr>
    </w:p>
    <w:p w14:paraId="3F238C45">
      <w:pPr>
        <w:spacing w:line="360" w:lineRule="auto"/>
        <w:rPr>
          <w:rFonts w:ascii="宋体" w:cs="等线 Light"/>
          <w:color w:val="auto"/>
          <w:highlight w:val="none"/>
        </w:rPr>
      </w:pPr>
    </w:p>
    <w:p w14:paraId="45148A51">
      <w:pPr>
        <w:spacing w:line="360" w:lineRule="auto"/>
        <w:rPr>
          <w:rFonts w:ascii="宋体" w:cs="等线 Light"/>
          <w:color w:val="auto"/>
          <w:highlight w:val="none"/>
        </w:rPr>
      </w:pPr>
    </w:p>
    <w:p w14:paraId="50BD6ED2">
      <w:pPr>
        <w:spacing w:line="360" w:lineRule="auto"/>
        <w:rPr>
          <w:rFonts w:ascii="宋体" w:cs="等线 Light"/>
          <w:color w:val="auto"/>
          <w:highlight w:val="none"/>
        </w:rPr>
      </w:pPr>
    </w:p>
    <w:p w14:paraId="09DD5FD3">
      <w:pPr>
        <w:spacing w:line="360" w:lineRule="auto"/>
        <w:rPr>
          <w:rFonts w:ascii="宋体" w:cs="等线 Light"/>
          <w:color w:val="auto"/>
          <w:highlight w:val="none"/>
        </w:rPr>
      </w:pPr>
    </w:p>
    <w:p w14:paraId="2C3AB51C">
      <w:pPr>
        <w:spacing w:line="360" w:lineRule="auto"/>
        <w:rPr>
          <w:rFonts w:ascii="宋体" w:cs="等线 Light"/>
          <w:color w:val="auto"/>
          <w:highlight w:val="none"/>
        </w:rPr>
      </w:pPr>
    </w:p>
    <w:p w14:paraId="11C9C14D">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2336"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2336;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14:paraId="3BE873EF">
      <w:pPr>
        <w:tabs>
          <w:tab w:val="left" w:pos="6300"/>
        </w:tabs>
        <w:snapToGrid w:val="0"/>
        <w:spacing w:line="360" w:lineRule="auto"/>
        <w:ind w:firstLine="570"/>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75340A94">
      <w:pPr>
        <w:spacing w:line="360" w:lineRule="auto"/>
        <w:rPr>
          <w:rFonts w:ascii="宋体" w:cs="等线 Light"/>
          <w:color w:val="auto"/>
          <w:sz w:val="21"/>
          <w:szCs w:val="21"/>
          <w:highlight w:val="none"/>
        </w:rPr>
      </w:pPr>
    </w:p>
    <w:p w14:paraId="143E6DB4">
      <w:pPr>
        <w:spacing w:line="360" w:lineRule="auto"/>
        <w:ind w:firstLine="2400"/>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1C6256D">
      <w:pPr>
        <w:bidi w:val="0"/>
        <w:jc w:val="center"/>
        <w:outlineLvl w:val="2"/>
        <w:rPr>
          <w:rFonts w:hint="eastAsia"/>
          <w:color w:val="auto"/>
          <w:highlight w:val="none"/>
          <w:lang w:val="en-US" w:eastAsia="zh-CN"/>
        </w:rPr>
      </w:pPr>
      <w:bookmarkStart w:id="292" w:name="_Toc7810"/>
      <w:bookmarkStart w:id="293" w:name="_Toc24165"/>
      <w:r>
        <w:rPr>
          <w:rFonts w:hint="eastAsia"/>
          <w:color w:val="auto"/>
          <w:highlight w:val="none"/>
          <w:lang w:val="zh-CN"/>
        </w:rPr>
        <w:t>（</w:t>
      </w:r>
      <w:r>
        <w:rPr>
          <w:rFonts w:hint="eastAsia"/>
          <w:color w:val="auto"/>
          <w:highlight w:val="none"/>
          <w:lang w:val="en-US" w:eastAsia="zh-CN"/>
        </w:rPr>
        <w:t>三</w:t>
      </w:r>
      <w:r>
        <w:rPr>
          <w:rFonts w:hint="eastAsia"/>
          <w:color w:val="auto"/>
          <w:highlight w:val="none"/>
          <w:lang w:val="zh-CN"/>
        </w:rPr>
        <w:t>）</w:t>
      </w:r>
      <w:r>
        <w:rPr>
          <w:rFonts w:hint="eastAsia"/>
          <w:color w:val="auto"/>
          <w:highlight w:val="none"/>
          <w:lang w:val="en-US" w:eastAsia="zh-CN"/>
        </w:rPr>
        <w:t>数据备份方案</w:t>
      </w:r>
    </w:p>
    <w:p w14:paraId="04C1814E">
      <w:pPr>
        <w:bidi w:val="0"/>
        <w:jc w:val="left"/>
        <w:outlineLvl w:val="9"/>
        <w:rPr>
          <w:rFonts w:hint="eastAsia"/>
          <w:highlight w:val="none"/>
          <w:lang w:val="en-US" w:eastAsia="zh-CN"/>
        </w:rPr>
      </w:pPr>
    </w:p>
    <w:p w14:paraId="44430A2A">
      <w:pPr>
        <w:bidi w:val="0"/>
        <w:jc w:val="left"/>
        <w:outlineLvl w:val="9"/>
        <w:rPr>
          <w:rFonts w:hint="eastAsia"/>
          <w:highlight w:val="none"/>
          <w:lang w:val="zh-CN" w:eastAsia="zh-CN"/>
        </w:rPr>
      </w:pPr>
    </w:p>
    <w:p w14:paraId="26CEA306">
      <w:pPr>
        <w:bidi w:val="0"/>
        <w:ind w:firstLine="0" w:firstLineChars="0"/>
        <w:jc w:val="left"/>
        <w:outlineLvl w:val="9"/>
        <w:rPr>
          <w:rFonts w:hint="eastAsia"/>
          <w:highlight w:val="none"/>
          <w:lang w:val="zh-CN"/>
        </w:rPr>
        <w:sectPr>
          <w:pgSz w:w="11906" w:h="16838"/>
          <w:pgMar w:top="1440" w:right="1800" w:bottom="1440" w:left="1800" w:header="851" w:footer="992" w:gutter="0"/>
          <w:pgNumType w:fmt="decimal"/>
          <w:cols w:space="720" w:num="1"/>
          <w:docGrid w:type="lines" w:linePitch="326" w:charSpace="0"/>
        </w:sectPr>
      </w:pPr>
    </w:p>
    <w:p w14:paraId="5E31AD48">
      <w:pPr>
        <w:autoSpaceDE/>
        <w:autoSpaceDN/>
        <w:ind w:firstLine="0" w:firstLineChars="0"/>
        <w:jc w:val="center"/>
        <w:outlineLvl w:val="2"/>
        <w:rPr>
          <w:rFonts w:ascii="Times New Roman" w:hAnsi="Times New Roman" w:cs="Times New Roman"/>
          <w:snapToGrid w:val="0"/>
          <w:kern w:val="0"/>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四</w:t>
      </w:r>
      <w:r>
        <w:rPr>
          <w:rFonts w:ascii="Times New Roman" w:hAnsi="Times New Roman" w:cs="Times New Roman"/>
          <w:highlight w:val="none"/>
        </w:rPr>
        <w:t>）近半年公司为项目组成员缴纳社保的证明材料</w:t>
      </w:r>
    </w:p>
    <w:p w14:paraId="0BCD85BA">
      <w:pPr>
        <w:ind w:firstLine="0" w:firstLineChars="0"/>
        <w:rPr>
          <w:rFonts w:hint="eastAsia" w:ascii="Times New Roman" w:hAnsi="Times New Roman" w:eastAsia="宋体" w:cs="Times New Roman"/>
          <w:highlight w:val="none"/>
          <w:lang w:eastAsia="zh-CN"/>
        </w:rPr>
      </w:pPr>
      <w:r>
        <w:rPr>
          <w:rFonts w:hint="eastAsia" w:ascii="Times New Roman" w:hAnsi="Times New Roman" w:cs="Times New Roman"/>
          <w:highlight w:val="none"/>
          <w:lang w:eastAsia="zh-CN"/>
        </w:rPr>
        <w:t>（</w:t>
      </w:r>
      <w:r>
        <w:rPr>
          <w:rFonts w:ascii="Times New Roman" w:hAnsi="Times New Roman"/>
          <w:snapToGrid w:val="0"/>
          <w:kern w:val="0"/>
          <w:szCs w:val="28"/>
          <w:highlight w:val="none"/>
        </w:rPr>
        <w:t>若员工社保委托第三方公司代缴，需提供代缴材料证明与第三方签订的合同或协议。</w:t>
      </w:r>
      <w:r>
        <w:rPr>
          <w:rFonts w:hint="eastAsia" w:ascii="Times New Roman" w:hAnsi="Times New Roman" w:cs="Times New Roman"/>
          <w:highlight w:val="none"/>
          <w:lang w:eastAsia="zh-CN"/>
        </w:rPr>
        <w:t>）</w:t>
      </w:r>
    </w:p>
    <w:p w14:paraId="171731A1">
      <w:pPr>
        <w:autoSpaceDE/>
        <w:autoSpaceDN/>
        <w:ind w:firstLine="0" w:firstLineChars="0"/>
        <w:jc w:val="center"/>
        <w:outlineLvl w:val="2"/>
        <w:rPr>
          <w:rFonts w:ascii="Times New Roman" w:hAnsi="Times New Roman" w:cs="Times New Roman"/>
          <w:highlight w:val="none"/>
        </w:rPr>
      </w:pPr>
      <w:r>
        <w:rPr>
          <w:rFonts w:ascii="Times New Roman" w:hAnsi="Times New Roman" w:cs="Times New Roman"/>
          <w:snapToGrid w:val="0"/>
          <w:kern w:val="0"/>
          <w:highlight w:val="none"/>
        </w:rPr>
        <w:br w:type="page"/>
      </w:r>
      <w:r>
        <w:rPr>
          <w:rFonts w:ascii="Times New Roman" w:hAnsi="Times New Roman" w:cs="Times New Roman"/>
          <w:highlight w:val="none"/>
        </w:rPr>
        <w:t>（</w:t>
      </w:r>
      <w:r>
        <w:rPr>
          <w:rFonts w:hint="eastAsia" w:ascii="Times New Roman" w:hAnsi="Times New Roman" w:cs="Times New Roman"/>
          <w:highlight w:val="none"/>
          <w:lang w:val="en-US" w:eastAsia="zh-CN"/>
        </w:rPr>
        <w:t>五</w:t>
      </w:r>
      <w:r>
        <w:rPr>
          <w:rFonts w:ascii="Times New Roman" w:hAnsi="Times New Roman" w:cs="Times New Roman"/>
          <w:highlight w:val="none"/>
        </w:rPr>
        <w:t>）</w:t>
      </w:r>
      <w:r>
        <w:rPr>
          <w:rFonts w:ascii="Times New Roman" w:hAnsi="Times New Roman" w:cs="Times New Roman"/>
          <w:snapToGrid w:val="0"/>
          <w:kern w:val="0"/>
          <w:highlight w:val="none"/>
        </w:rPr>
        <w:t>项目组成员简历信息</w:t>
      </w:r>
    </w:p>
    <w:p w14:paraId="57BDA951">
      <w:pPr>
        <w:ind w:firstLine="0" w:firstLineChars="0"/>
        <w:jc w:val="center"/>
        <w:rPr>
          <w:rFonts w:ascii="Times New Roman" w:hAnsi="Times New Roman" w:cs="Times New Roman"/>
          <w:b/>
          <w:sz w:val="32"/>
          <w:szCs w:val="32"/>
          <w:highlight w:val="none"/>
        </w:rPr>
      </w:pPr>
      <w:r>
        <w:rPr>
          <w:rFonts w:ascii="Times New Roman" w:hAnsi="Times New Roman" w:cs="Times New Roman"/>
          <w:b/>
          <w:sz w:val="32"/>
          <w:szCs w:val="32"/>
          <w:highlight w:val="none"/>
        </w:rPr>
        <w:t>参选人项目组成员简历表（模板）</w:t>
      </w:r>
    </w:p>
    <w:p w14:paraId="049E7506">
      <w:pPr>
        <w:ind w:firstLine="0" w:firstLineChars="0"/>
        <w:rPr>
          <w:rFonts w:ascii="Times New Roman" w:hAnsi="Times New Roman" w:cs="Times New Roman"/>
          <w:b/>
          <w:highlight w:val="none"/>
        </w:rPr>
      </w:pPr>
      <w:r>
        <w:rPr>
          <w:rFonts w:ascii="Times New Roman" w:hAnsi="Times New Roman" w:cs="Times New Roman"/>
          <w:b/>
          <w:highlight w:val="none"/>
        </w:rPr>
        <w:t>单位名称（盖章）：                                填表日期：年 月 日</w:t>
      </w:r>
    </w:p>
    <w:tbl>
      <w:tblPr>
        <w:tblStyle w:val="2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5706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754454B6">
            <w:pPr>
              <w:spacing w:line="300" w:lineRule="auto"/>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基本信息</w:t>
            </w:r>
          </w:p>
        </w:tc>
      </w:tr>
      <w:tr w14:paraId="33F3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D05201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6E8B143F">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5A1BD5">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0D632A">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D5A6DE6">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65B93B">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9BFE800">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贴</w:t>
            </w:r>
          </w:p>
          <w:p w14:paraId="577CDAC4">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照</w:t>
            </w:r>
          </w:p>
          <w:p w14:paraId="08A206D9">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片</w:t>
            </w:r>
          </w:p>
          <w:p w14:paraId="4DFA2B91">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处</w:t>
            </w:r>
          </w:p>
          <w:p w14:paraId="521F3697">
            <w:pPr>
              <w:adjustRightInd w:val="0"/>
              <w:snapToGrid w:val="0"/>
              <w:spacing w:line="400" w:lineRule="exact"/>
              <w:ind w:firstLine="0" w:firstLineChars="0"/>
              <w:rPr>
                <w:rFonts w:ascii="Times New Roman" w:hAnsi="Times New Roman" w:eastAsia="仿宋_GB2312" w:cs="Times New Roman"/>
                <w:color w:val="000000"/>
                <w:highlight w:val="none"/>
              </w:rPr>
            </w:pPr>
          </w:p>
        </w:tc>
      </w:tr>
      <w:tr w14:paraId="0A92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E239B2">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6BECEAFE">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199D2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0CE959">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553744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2FDC9E">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36058760">
            <w:pPr>
              <w:rPr>
                <w:highlight w:val="none"/>
              </w:rPr>
            </w:pPr>
          </w:p>
        </w:tc>
      </w:tr>
      <w:tr w14:paraId="35E2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B6872F3">
            <w:pPr>
              <w:adjustRightInd w:val="0"/>
              <w:snapToGrid w:val="0"/>
              <w:spacing w:line="280" w:lineRule="exact"/>
              <w:ind w:right="-107" w:rightChars="-51" w:firstLine="0" w:firstLineChars="0"/>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AC464C2">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CEAEB68">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同类项目</w:t>
            </w:r>
          </w:p>
          <w:p w14:paraId="5461237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C924F76">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2D87572">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拟任本</w:t>
            </w:r>
          </w:p>
          <w:p w14:paraId="7D5D1F41">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8660433">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34534AE">
            <w:pPr>
              <w:rPr>
                <w:highlight w:val="none"/>
              </w:rPr>
            </w:pPr>
          </w:p>
        </w:tc>
      </w:tr>
      <w:tr w14:paraId="4882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3203D44">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学历</w:t>
            </w:r>
          </w:p>
          <w:p w14:paraId="27E73B15">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34CDA764">
            <w:pPr>
              <w:adjustRightInd w:val="0"/>
              <w:snapToGrid w:val="0"/>
              <w:spacing w:line="280" w:lineRule="exact"/>
              <w:ind w:right="-107" w:rightChars="-51" w:firstLine="0" w:firstLineChars="0"/>
              <w:rPr>
                <w:rFonts w:ascii="Times New Roman" w:hAnsi="Times New Roman" w:eastAsia="仿宋_GB2312" w:cs="Times New Roman"/>
                <w:b/>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53DAD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毕业院校</w:t>
            </w:r>
          </w:p>
          <w:p w14:paraId="0BD58C74">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27A3252A">
            <w:pPr>
              <w:adjustRightInd w:val="0"/>
              <w:snapToGrid w:val="0"/>
              <w:spacing w:line="280" w:lineRule="exact"/>
              <w:ind w:right="-107" w:rightChars="-51" w:firstLine="0" w:firstLineChars="0"/>
              <w:rPr>
                <w:rFonts w:ascii="Times New Roman" w:hAnsi="Times New Roman" w:eastAsia="仿宋_GB2312" w:cs="Times New Roman"/>
                <w:color w:val="000000"/>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3E26D24">
            <w:pPr>
              <w:rPr>
                <w:highlight w:val="none"/>
              </w:rPr>
            </w:pPr>
          </w:p>
        </w:tc>
      </w:tr>
      <w:tr w14:paraId="7BD9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34900A9">
            <w:pPr>
              <w:adjustRightInd w:val="0"/>
              <w:snapToGrid w:val="0"/>
              <w:spacing w:line="280" w:lineRule="exact"/>
              <w:ind w:firstLine="0" w:firstLineChars="0"/>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DE8A474">
            <w:pPr>
              <w:adjustRightInd w:val="0"/>
              <w:snapToGrid w:val="0"/>
              <w:spacing w:line="280" w:lineRule="exact"/>
              <w:ind w:firstLine="0" w:firstLineChars="0"/>
              <w:rPr>
                <w:rFonts w:ascii="Times New Roman" w:hAnsi="Times New Roman" w:eastAsia="仿宋_GB2312" w:cs="Times New Roman"/>
                <w:b/>
                <w:color w:val="000000"/>
                <w:highlight w:val="none"/>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3F907AE">
            <w:pPr>
              <w:adjustRightInd w:val="0"/>
              <w:snapToGrid w:val="0"/>
              <w:spacing w:line="280" w:lineRule="exact"/>
              <w:ind w:firstLine="0" w:firstLineChars="0"/>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776764A2">
            <w:pPr>
              <w:adjustRightInd w:val="0"/>
              <w:snapToGrid w:val="0"/>
              <w:spacing w:line="280" w:lineRule="exact"/>
              <w:jc w:val="center"/>
              <w:rPr>
                <w:rFonts w:ascii="Times New Roman" w:hAnsi="Times New Roman" w:eastAsia="仿宋_GB2312" w:cs="Times New Roman"/>
                <w:b/>
                <w:color w:val="000000"/>
                <w:highlight w:val="none"/>
              </w:rPr>
            </w:pPr>
          </w:p>
        </w:tc>
      </w:tr>
      <w:tr w14:paraId="11B4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F85EBB5">
            <w:pPr>
              <w:adjustRightInd w:val="0"/>
              <w:snapToGrid w:val="0"/>
              <w:spacing w:line="280" w:lineRule="exact"/>
              <w:ind w:firstLine="0" w:firstLineChars="0"/>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AE8B5A8">
            <w:pPr>
              <w:adjustRightInd w:val="0"/>
              <w:snapToGrid w:val="0"/>
              <w:spacing w:line="280" w:lineRule="exact"/>
              <w:ind w:firstLine="0" w:firstLineChars="0"/>
              <w:rPr>
                <w:rFonts w:ascii="Times New Roman" w:hAnsi="Times New Roman" w:eastAsia="仿宋_GB2312" w:cs="Times New Roman"/>
                <w:b/>
                <w:color w:val="000000"/>
                <w:highlight w:val="none"/>
              </w:rPr>
            </w:pPr>
          </w:p>
        </w:tc>
      </w:tr>
      <w:tr w14:paraId="0608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4809EEAC">
            <w:pPr>
              <w:spacing w:line="300" w:lineRule="auto"/>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工作及项目经历信息</w:t>
            </w:r>
          </w:p>
        </w:tc>
      </w:tr>
      <w:tr w14:paraId="711B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181B80D">
            <w:pPr>
              <w:spacing w:line="300" w:lineRule="auto"/>
              <w:ind w:firstLine="0" w:firstLineChars="0"/>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CF4DF2E">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D17FE47">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63893CD">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64D1C592">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16EEA4D">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联系方式</w:t>
            </w:r>
          </w:p>
        </w:tc>
      </w:tr>
      <w:tr w14:paraId="70B6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F2FE627">
            <w:pPr>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9AEABD8">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33A8949">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06074F6">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5A4EEEFC">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373EEC8">
            <w:pPr>
              <w:spacing w:line="300" w:lineRule="auto"/>
              <w:ind w:firstLine="0" w:firstLineChars="0"/>
              <w:rPr>
                <w:rFonts w:ascii="Times New Roman" w:hAnsi="Times New Roman" w:eastAsia="仿宋_GB2312" w:cs="Times New Roman"/>
                <w:highlight w:val="none"/>
              </w:rPr>
            </w:pPr>
          </w:p>
        </w:tc>
      </w:tr>
      <w:tr w14:paraId="647E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88109B0">
            <w:pPr>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448163A1">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7199BE76">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14B4308E">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0D6E0752">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7F203741">
            <w:pPr>
              <w:spacing w:line="300" w:lineRule="auto"/>
              <w:ind w:firstLine="0" w:firstLineChars="0"/>
              <w:rPr>
                <w:rFonts w:ascii="Times New Roman" w:hAnsi="Times New Roman" w:eastAsia="仿宋_GB2312" w:cs="Times New Roman"/>
                <w:highlight w:val="none"/>
              </w:rPr>
            </w:pPr>
          </w:p>
        </w:tc>
      </w:tr>
      <w:tr w14:paraId="4D0A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F2CEA3E">
            <w:pPr>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1E33824C">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6187F112">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080912B4">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2E124206">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1D8E2A57">
            <w:pPr>
              <w:spacing w:line="300" w:lineRule="auto"/>
              <w:ind w:firstLine="0" w:firstLineChars="0"/>
              <w:rPr>
                <w:rFonts w:ascii="Times New Roman" w:hAnsi="Times New Roman" w:eastAsia="仿宋_GB2312" w:cs="Times New Roman"/>
                <w:highlight w:val="none"/>
              </w:rPr>
            </w:pPr>
          </w:p>
        </w:tc>
      </w:tr>
      <w:tr w14:paraId="38D4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CD8494D">
            <w:pPr>
              <w:adjustRightInd w:val="0"/>
              <w:snapToGrid w:val="0"/>
              <w:spacing w:line="400" w:lineRule="exact"/>
              <w:ind w:firstLine="0" w:firstLineChars="0"/>
              <w:jc w:val="center"/>
              <w:rPr>
                <w:rFonts w:ascii="Times New Roman" w:hAnsi="Times New Roman" w:eastAsia="仿宋_GB2312" w:cs="Times New Roman"/>
                <w:b/>
                <w:highlight w:val="none"/>
              </w:rPr>
            </w:pPr>
            <w:r>
              <w:rPr>
                <w:rFonts w:ascii="Times New Roman" w:hAnsi="Times New Roman" w:eastAsia="仿宋_GB2312" w:cs="Times New Roman"/>
                <w:b/>
                <w:color w:val="000000"/>
                <w:highlight w:val="none"/>
              </w:rPr>
              <w:t>参与同类项目经历</w:t>
            </w:r>
          </w:p>
          <w:p w14:paraId="10EB7D68">
            <w:pPr>
              <w:adjustRightInd w:val="0"/>
              <w:snapToGrid w:val="0"/>
              <w:spacing w:line="400" w:lineRule="exact"/>
              <w:ind w:firstLine="0" w:firstLineChars="0"/>
              <w:jc w:val="center"/>
              <w:rPr>
                <w:rFonts w:ascii="Times New Roman" w:hAnsi="Times New Roman" w:eastAsia="仿宋_GB2312" w:cs="Times New Roman"/>
                <w:i/>
                <w:szCs w:val="21"/>
                <w:highlight w:val="none"/>
              </w:rPr>
            </w:pPr>
            <w:r>
              <w:rPr>
                <w:rFonts w:ascii="Times New Roman" w:hAnsi="Times New Roman" w:eastAsia="仿宋_GB2312" w:cs="Times New Roman"/>
                <w:i/>
                <w:szCs w:val="21"/>
                <w:highlight w:val="none"/>
              </w:rPr>
              <w:t>(详细</w:t>
            </w:r>
          </w:p>
          <w:p w14:paraId="3BEF83DB">
            <w:pPr>
              <w:adjustRightInd w:val="0"/>
              <w:snapToGrid w:val="0"/>
              <w:spacing w:line="400" w:lineRule="exact"/>
              <w:ind w:firstLine="0" w:firstLineChars="0"/>
              <w:jc w:val="center"/>
              <w:rPr>
                <w:rFonts w:ascii="Times New Roman" w:hAnsi="Times New Roman" w:eastAsia="仿宋_GB2312" w:cs="Times New Roman"/>
                <w:color w:val="000000"/>
                <w:szCs w:val="21"/>
                <w:highlight w:val="none"/>
              </w:rPr>
            </w:pPr>
            <w:r>
              <w:rPr>
                <w:rFonts w:ascii="Times New Roman" w:hAnsi="Times New Roman" w:eastAsia="仿宋_GB2312" w:cs="Times New Roman"/>
                <w:i/>
                <w:szCs w:val="21"/>
                <w:highlight w:val="none"/>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1B3CF6D">
            <w:pPr>
              <w:spacing w:line="360" w:lineRule="auto"/>
              <w:ind w:firstLine="0" w:firstLineChars="0"/>
              <w:rPr>
                <w:rFonts w:ascii="Times New Roman" w:hAnsi="Times New Roman" w:eastAsia="仿宋_GB2312" w:cs="Times New Roman"/>
                <w:b/>
                <w:bCs/>
                <w:highlight w:val="none"/>
              </w:rPr>
            </w:pPr>
            <w:r>
              <w:rPr>
                <w:rFonts w:ascii="Times New Roman" w:hAnsi="Times New Roman" w:eastAsia="仿宋_GB2312" w:cs="Times New Roman"/>
                <w:b/>
                <w:bCs/>
                <w:highlight w:val="none"/>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C78BCFF">
            <w:pPr>
              <w:spacing w:line="360"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751D151">
            <w:pPr>
              <w:spacing w:line="360" w:lineRule="auto"/>
              <w:ind w:firstLine="0" w:firstLineChars="0"/>
              <w:rPr>
                <w:rFonts w:ascii="Times New Roman" w:hAnsi="Times New Roman" w:eastAsia="仿宋_GB2312" w:cs="Times New Roman"/>
                <w:highlight w:val="none"/>
              </w:rPr>
            </w:pPr>
            <w:r>
              <w:rPr>
                <w:rFonts w:ascii="Times New Roman" w:hAnsi="Times New Roman" w:eastAsia="仿宋_GB2312" w:cs="Times New Roman"/>
                <w:b/>
                <w:bCs/>
                <w:highlight w:val="none"/>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7EA659">
            <w:pPr>
              <w:spacing w:line="360"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（个）</w:t>
            </w:r>
          </w:p>
        </w:tc>
      </w:tr>
      <w:tr w14:paraId="6E2E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D880B7">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322C6E7">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AD02150">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4AFDB17">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承担</w:t>
            </w:r>
          </w:p>
          <w:p w14:paraId="109ACB36">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5783554">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1D32F6E">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项目单位证明人及联系电话</w:t>
            </w:r>
          </w:p>
        </w:tc>
      </w:tr>
      <w:tr w14:paraId="6162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18500F9">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D70318C">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EF525F5">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3CA22CD">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082F599">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E0DEF73">
            <w:pPr>
              <w:spacing w:line="360" w:lineRule="auto"/>
              <w:ind w:firstLine="0" w:firstLineChars="0"/>
              <w:rPr>
                <w:rFonts w:ascii="Times New Roman" w:hAnsi="Times New Roman" w:cs="Times New Roman"/>
                <w:highlight w:val="none"/>
              </w:rPr>
            </w:pPr>
          </w:p>
        </w:tc>
      </w:tr>
      <w:tr w14:paraId="7B45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7A45963">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846477">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B04BBC7">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3F88C42">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587A5CD">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5BDF34E">
            <w:pPr>
              <w:spacing w:line="360" w:lineRule="auto"/>
              <w:ind w:firstLine="0" w:firstLineChars="0"/>
              <w:rPr>
                <w:rFonts w:ascii="Times New Roman" w:hAnsi="Times New Roman" w:cs="Times New Roman"/>
                <w:highlight w:val="none"/>
              </w:rPr>
            </w:pPr>
          </w:p>
        </w:tc>
      </w:tr>
      <w:tr w14:paraId="5A4A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B8F2E7F">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EA128E2">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A228B53">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1A5FF97">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122251F">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18EAEAC">
            <w:pPr>
              <w:spacing w:line="360" w:lineRule="auto"/>
              <w:ind w:firstLine="0" w:firstLineChars="0"/>
              <w:rPr>
                <w:rFonts w:ascii="Times New Roman" w:hAnsi="Times New Roman" w:cs="Times New Roman"/>
                <w:highlight w:val="none"/>
              </w:rPr>
            </w:pPr>
          </w:p>
        </w:tc>
      </w:tr>
      <w:tr w14:paraId="44AE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AAD29A3">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157532">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F304CA2">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7CF8738">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419ABDE">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D17856B">
            <w:pPr>
              <w:spacing w:line="360" w:lineRule="auto"/>
              <w:ind w:firstLine="0" w:firstLineChars="0"/>
              <w:rPr>
                <w:rFonts w:ascii="Times New Roman" w:hAnsi="Times New Roman" w:cs="Times New Roman"/>
                <w:highlight w:val="none"/>
              </w:rPr>
            </w:pPr>
          </w:p>
        </w:tc>
      </w:tr>
      <w:tr w14:paraId="523A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0F5A872">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BA6BB37">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BF294E9">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2E2D37F2">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51335C">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A8DE39C">
            <w:pPr>
              <w:spacing w:line="360" w:lineRule="auto"/>
              <w:ind w:firstLine="0" w:firstLineChars="0"/>
              <w:rPr>
                <w:rFonts w:ascii="Times New Roman" w:hAnsi="Times New Roman" w:cs="Times New Roman"/>
                <w:highlight w:val="none"/>
              </w:rPr>
            </w:pPr>
          </w:p>
        </w:tc>
      </w:tr>
    </w:tbl>
    <w:p w14:paraId="6C433FA3">
      <w:pPr>
        <w:autoSpaceDE/>
        <w:autoSpaceDN/>
        <w:ind w:firstLine="0" w:firstLineChars="0"/>
        <w:rPr>
          <w:rFonts w:ascii="Times New Roman" w:hAnsi="Times New Roman"/>
          <w:sz w:val="18"/>
          <w:szCs w:val="18"/>
          <w:highlight w:val="none"/>
        </w:rPr>
      </w:pPr>
      <w:r>
        <w:rPr>
          <w:rFonts w:ascii="Times New Roman" w:hAnsi="Times New Roman" w:cs="Times New Roman"/>
          <w:highlight w:val="none"/>
        </w:rPr>
        <w:t>注：以上模板仅供参考，可以根据实际情况进行调整。</w:t>
      </w:r>
    </w:p>
    <w:p w14:paraId="63AF65C4">
      <w:pPr>
        <w:pStyle w:val="4"/>
        <w:ind w:firstLine="0" w:firstLineChars="0"/>
        <w:jc w:val="center"/>
        <w:outlineLvl w:val="2"/>
        <w:rPr>
          <w:rFonts w:hint="eastAsia"/>
          <w:b w:val="0"/>
          <w:highlight w:val="none"/>
        </w:rPr>
      </w:pPr>
      <w:r>
        <w:rPr>
          <w:rFonts w:ascii="Times New Roman" w:hAnsi="Times New Roman" w:cs="等线 Light"/>
          <w:sz w:val="21"/>
          <w:szCs w:val="21"/>
          <w:highlight w:val="none"/>
        </w:rPr>
        <w:br w:type="page"/>
      </w:r>
      <w:r>
        <w:rPr>
          <w:rFonts w:hint="eastAsia"/>
          <w:b w:val="0"/>
          <w:highlight w:val="none"/>
        </w:rPr>
        <w:t>（</w:t>
      </w:r>
      <w:r>
        <w:rPr>
          <w:rFonts w:hint="eastAsia"/>
          <w:b w:val="0"/>
          <w:highlight w:val="none"/>
          <w:lang w:val="en-US" w:eastAsia="zh-CN"/>
        </w:rPr>
        <w:t>六</w:t>
      </w:r>
      <w:r>
        <w:rPr>
          <w:rFonts w:hint="eastAsia"/>
          <w:b w:val="0"/>
          <w:highlight w:val="none"/>
        </w:rPr>
        <w:t>）售后服务和培训方案</w:t>
      </w:r>
    </w:p>
    <w:p w14:paraId="1E7E412B">
      <w:pPr>
        <w:pStyle w:val="35"/>
        <w:bidi w:val="0"/>
        <w:rPr>
          <w:highlight w:val="none"/>
        </w:rPr>
      </w:pPr>
      <w:r>
        <w:rPr>
          <w:rFonts w:hint="eastAsia"/>
          <w:color w:val="auto"/>
          <w:kern w:val="0"/>
          <w:highlight w:val="none"/>
        </w:rPr>
        <w:br w:type="page"/>
      </w:r>
      <w:r>
        <w:rPr>
          <w:rFonts w:hint="eastAsia"/>
          <w:highlight w:val="none"/>
          <w:lang w:val="en-US" w:eastAsia="zh-CN"/>
        </w:rPr>
        <w:t>（七）</w:t>
      </w:r>
      <w:r>
        <w:rPr>
          <w:rFonts w:hint="eastAsia" w:ascii="Times New Roman" w:hAnsi="Times New Roman"/>
          <w:highlight w:val="none"/>
        </w:rPr>
        <w:t>服务连续性预案</w:t>
      </w:r>
    </w:p>
    <w:p w14:paraId="7CD49204">
      <w:pPr>
        <w:tabs>
          <w:tab w:val="left" w:pos="6300"/>
        </w:tabs>
        <w:snapToGrid w:val="0"/>
        <w:spacing w:line="360" w:lineRule="auto"/>
        <w:jc w:val="center"/>
        <w:rPr>
          <w:rFonts w:hint="eastAsia" w:ascii="宋体" w:eastAsia="宋体"/>
          <w:snapToGrid w:val="0"/>
          <w:color w:val="auto"/>
          <w:kern w:val="0"/>
          <w:sz w:val="24"/>
          <w:szCs w:val="24"/>
          <w:highlight w:val="none"/>
          <w:lang w:eastAsia="zh-CN"/>
        </w:rPr>
      </w:pPr>
      <w:r>
        <w:rPr>
          <w:rFonts w:hint="eastAsia" w:ascii="宋体"/>
          <w:snapToGrid w:val="0"/>
          <w:color w:val="auto"/>
          <w:kern w:val="0"/>
          <w:sz w:val="24"/>
          <w:szCs w:val="24"/>
          <w:highlight w:val="none"/>
        </w:rPr>
        <w:t>（</w:t>
      </w:r>
      <w:r>
        <w:rPr>
          <w:rFonts w:hint="eastAsia" w:ascii="Times New Roman" w:hAnsi="Times New Roman"/>
          <w:highlight w:val="none"/>
        </w:rPr>
        <w:t>服务连续性预案应考虑供应链风险产生的影响</w:t>
      </w:r>
      <w:r>
        <w:rPr>
          <w:rFonts w:hint="eastAsia" w:ascii="Times New Roman" w:hAnsi="Times New Roman"/>
          <w:highlight w:val="none"/>
          <w:lang w:eastAsia="zh-CN"/>
        </w:rPr>
        <w:t>）</w:t>
      </w:r>
    </w:p>
    <w:p w14:paraId="444BA8DA">
      <w:pPr>
        <w:pStyle w:val="35"/>
        <w:bidi w:val="0"/>
        <w:rPr>
          <w:highlight w:val="none"/>
        </w:rPr>
      </w:pPr>
      <w:r>
        <w:rPr>
          <w:rFonts w:hint="eastAsia"/>
          <w:color w:val="auto"/>
          <w:kern w:val="0"/>
          <w:highlight w:val="none"/>
        </w:rPr>
        <w:br w:type="page"/>
      </w:r>
      <w:r>
        <w:rPr>
          <w:rFonts w:hint="eastAsia"/>
          <w:highlight w:val="none"/>
          <w:lang w:val="en-US" w:eastAsia="zh-CN"/>
        </w:rPr>
        <w:t>（八）</w:t>
      </w:r>
      <w:r>
        <w:rPr>
          <w:rFonts w:hint="eastAsia"/>
          <w:highlight w:val="none"/>
        </w:rPr>
        <w:t>项目实施方案</w:t>
      </w:r>
    </w:p>
    <w:p w14:paraId="68119841">
      <w:pPr>
        <w:tabs>
          <w:tab w:val="left" w:pos="6300"/>
        </w:tabs>
        <w:snapToGrid w:val="0"/>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w:t>
      </w:r>
      <w:r>
        <w:rPr>
          <w:rFonts w:hint="eastAsia" w:ascii="宋体"/>
          <w:snapToGrid w:val="0"/>
          <w:color w:val="auto"/>
          <w:kern w:val="0"/>
          <w:sz w:val="24"/>
          <w:szCs w:val="24"/>
          <w:highlight w:val="none"/>
          <w:lang w:val="en-US" w:eastAsia="zh-CN"/>
        </w:rPr>
        <w:t>项目</w:t>
      </w:r>
      <w:r>
        <w:rPr>
          <w:rFonts w:hint="eastAsia" w:ascii="宋体"/>
          <w:snapToGrid w:val="0"/>
          <w:color w:val="auto"/>
          <w:kern w:val="0"/>
          <w:sz w:val="24"/>
          <w:szCs w:val="24"/>
          <w:highlight w:val="none"/>
        </w:rPr>
        <w:t>实施方案包括实施方案、实施阶段、进度计划安排、实施范围内容、实施工期、履行合同的时间计划、提交资料、人员安排等内容</w:t>
      </w:r>
    </w:p>
    <w:p w14:paraId="3F12AD37">
      <w:pPr>
        <w:pStyle w:val="35"/>
        <w:bidi w:val="0"/>
        <w:rPr>
          <w:rFonts w:hint="eastAsia" w:eastAsia="宋体"/>
          <w:color w:val="auto"/>
          <w:highlight w:val="none"/>
          <w:lang w:val="zh-CN" w:eastAsia="zh-CN"/>
        </w:rPr>
      </w:pPr>
      <w:r>
        <w:rPr>
          <w:rFonts w:hint="eastAsia"/>
          <w:color w:val="auto"/>
          <w:kern w:val="0"/>
          <w:highlight w:val="none"/>
        </w:rPr>
        <w:br w:type="page"/>
      </w:r>
      <w:r>
        <w:rPr>
          <w:rFonts w:hint="eastAsia"/>
          <w:color w:val="auto"/>
          <w:highlight w:val="none"/>
          <w:lang w:val="zh-CN"/>
        </w:rPr>
        <w:t>（</w:t>
      </w:r>
      <w:r>
        <w:rPr>
          <w:rFonts w:hint="eastAsia"/>
          <w:color w:val="auto"/>
          <w:highlight w:val="none"/>
          <w:lang w:val="en-US" w:eastAsia="zh-CN"/>
        </w:rPr>
        <w:t>九</w:t>
      </w:r>
      <w:r>
        <w:rPr>
          <w:rFonts w:hint="eastAsia"/>
          <w:color w:val="auto"/>
          <w:highlight w:val="none"/>
          <w:lang w:val="zh-CN"/>
        </w:rPr>
        <w:t>）</w:t>
      </w:r>
      <w:r>
        <w:rPr>
          <w:rFonts w:ascii="Times New Roman" w:hAnsi="Times New Roman"/>
          <w:highlight w:val="none"/>
        </w:rPr>
        <w:t>服务水平协议（SLA）</w:t>
      </w:r>
    </w:p>
    <w:tbl>
      <w:tblPr>
        <w:tblStyle w:val="2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20"/>
        <w:gridCol w:w="720"/>
        <w:gridCol w:w="1403"/>
        <w:gridCol w:w="3686"/>
        <w:gridCol w:w="1734"/>
      </w:tblGrid>
      <w:tr w14:paraId="064C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72A4772">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序号</w:t>
            </w:r>
          </w:p>
        </w:tc>
        <w:tc>
          <w:tcPr>
            <w:tcW w:w="720" w:type="dxa"/>
            <w:vAlign w:val="center"/>
          </w:tcPr>
          <w:p w14:paraId="2DF871E8">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评价维度</w:t>
            </w:r>
          </w:p>
        </w:tc>
        <w:tc>
          <w:tcPr>
            <w:tcW w:w="720" w:type="dxa"/>
            <w:vAlign w:val="center"/>
          </w:tcPr>
          <w:p w14:paraId="66C319F0">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评价指标</w:t>
            </w:r>
          </w:p>
        </w:tc>
        <w:tc>
          <w:tcPr>
            <w:tcW w:w="1403" w:type="dxa"/>
            <w:vAlign w:val="center"/>
          </w:tcPr>
          <w:p w14:paraId="43DD0A3F">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指标定义</w:t>
            </w:r>
          </w:p>
        </w:tc>
        <w:tc>
          <w:tcPr>
            <w:tcW w:w="3686" w:type="dxa"/>
            <w:vAlign w:val="center"/>
          </w:tcPr>
          <w:p w14:paraId="40483140">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评分/价标准</w:t>
            </w:r>
          </w:p>
        </w:tc>
        <w:tc>
          <w:tcPr>
            <w:tcW w:w="1734" w:type="dxa"/>
            <w:vAlign w:val="center"/>
          </w:tcPr>
          <w:p w14:paraId="381C0620">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违约金标准</w:t>
            </w:r>
          </w:p>
        </w:tc>
      </w:tr>
      <w:tr w14:paraId="0E97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D5A885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w:t>
            </w:r>
          </w:p>
        </w:tc>
        <w:tc>
          <w:tcPr>
            <w:tcW w:w="720" w:type="dxa"/>
            <w:vMerge w:val="restart"/>
            <w:vAlign w:val="center"/>
          </w:tcPr>
          <w:p w14:paraId="6EFF314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服务质量</w:t>
            </w:r>
          </w:p>
        </w:tc>
        <w:tc>
          <w:tcPr>
            <w:tcW w:w="720" w:type="dxa"/>
            <w:vAlign w:val="center"/>
          </w:tcPr>
          <w:p w14:paraId="225CB40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交付成果质量</w:t>
            </w:r>
          </w:p>
        </w:tc>
        <w:tc>
          <w:tcPr>
            <w:tcW w:w="1403" w:type="dxa"/>
            <w:vAlign w:val="center"/>
          </w:tcPr>
          <w:p w14:paraId="424C06B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用于记录乙方所提交的项目交付成果与甲方要求的项目交付成果的契合度或交付成果质量与合同所约定要求的项目交付成果质量的满足程度</w:t>
            </w:r>
          </w:p>
        </w:tc>
        <w:tc>
          <w:tcPr>
            <w:tcW w:w="3686" w:type="dxa"/>
            <w:vAlign w:val="center"/>
          </w:tcPr>
          <w:p w14:paraId="19085CE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5分，指乙方能够主动快速与甲方进行有效的沟通，交付成果高度契合需求，完全满足并超出合同约定的预期目标，给甲方带来显著的附加价值；</w:t>
            </w:r>
          </w:p>
          <w:p w14:paraId="4E8E730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4分，指乙方能够快速响应需求，交付成果达到合同约定的预期目标，基本契合需求，满足合同约定的预期目标；</w:t>
            </w:r>
          </w:p>
          <w:p w14:paraId="4D0C03C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3分，指乙方能够按要求响应需求，交付成果基本满足需求，但是总体可满足合同约定的预期目标；</w:t>
            </w:r>
          </w:p>
          <w:p w14:paraId="020A255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0分，指乙方未能够按要求响应需求，或交付成果与需求契合度差距较大，无法达到合同约定的预期目标。</w:t>
            </w:r>
          </w:p>
        </w:tc>
        <w:tc>
          <w:tcPr>
            <w:tcW w:w="1734" w:type="dxa"/>
            <w:vAlign w:val="center"/>
          </w:tcPr>
          <w:p w14:paraId="0A07FC2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交付成果每缺少一项扣除乙方金额人民币2000元；每有一项交付成果质量不合格扣除乙方金额人民币2000元。</w:t>
            </w:r>
          </w:p>
        </w:tc>
      </w:tr>
      <w:tr w14:paraId="01CA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56F01E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w:t>
            </w:r>
          </w:p>
        </w:tc>
        <w:tc>
          <w:tcPr>
            <w:tcW w:w="1134" w:type="dxa"/>
            <w:vMerge w:val="continue"/>
          </w:tcPr>
          <w:p w14:paraId="4780E27F">
            <w:pPr>
              <w:rPr>
                <w:highlight w:val="none"/>
              </w:rPr>
            </w:pPr>
          </w:p>
        </w:tc>
        <w:tc>
          <w:tcPr>
            <w:tcW w:w="720" w:type="dxa"/>
            <w:vAlign w:val="center"/>
          </w:tcPr>
          <w:p w14:paraId="139E966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成果交付延期情况</w:t>
            </w:r>
          </w:p>
        </w:tc>
        <w:tc>
          <w:tcPr>
            <w:tcW w:w="1403" w:type="dxa"/>
            <w:vAlign w:val="center"/>
          </w:tcPr>
          <w:p w14:paraId="7D2F303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用于记录因乙方原因导致项目交付成果时间与合同规定时间之间的差距</w:t>
            </w:r>
          </w:p>
        </w:tc>
        <w:tc>
          <w:tcPr>
            <w:tcW w:w="3686" w:type="dxa"/>
            <w:vAlign w:val="center"/>
          </w:tcPr>
          <w:p w14:paraId="689BA5F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实际交付成果日期与合同约定交付日期之差</w:t>
            </w:r>
            <w:r>
              <w:rPr>
                <w:rFonts w:hint="eastAsia" w:ascii="Times New Roman" w:hAnsi="Times New Roman" w:cs="Times New Roman"/>
                <w:b/>
                <w:bCs/>
                <w:kern w:val="0"/>
                <w:sz w:val="21"/>
                <w:szCs w:val="24"/>
                <w:highlight w:val="none"/>
              </w:rPr>
              <w:t>【得分上限5分】</w:t>
            </w:r>
          </w:p>
          <w:p w14:paraId="5B29797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无延期</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指未出现延期，该项指标满分；</w:t>
            </w:r>
          </w:p>
          <w:p w14:paraId="74F3E21F">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0＜延期≤3个月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扣2分，指出现延期3个月（含）以内；</w:t>
            </w:r>
          </w:p>
          <w:p w14:paraId="5E10059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3＜延期≤6个月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扣3分，指出现延期大于3个月且小于等于6个月；</w:t>
            </w:r>
          </w:p>
          <w:p w14:paraId="07B7427D">
            <w:pPr>
              <w:spacing w:line="240" w:lineRule="auto"/>
              <w:ind w:firstLine="0" w:firstLineChars="0"/>
              <w:jc w:val="left"/>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延期6个月以上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扣5分，指出现延期6个月以上。</w:t>
            </w:r>
          </w:p>
        </w:tc>
        <w:tc>
          <w:tcPr>
            <w:tcW w:w="1734" w:type="dxa"/>
            <w:vAlign w:val="center"/>
          </w:tcPr>
          <w:p w14:paraId="1962250A">
            <w:pPr>
              <w:spacing w:line="240" w:lineRule="auto"/>
              <w:ind w:firstLine="0" w:firstLineChars="0"/>
              <w:jc w:val="left"/>
              <w:rPr>
                <w:rFonts w:hint="eastAsia" w:ascii="Times New Roman" w:hAnsi="Times New Roman" w:cs="Times New Roman"/>
                <w:bCs/>
                <w:kern w:val="0"/>
                <w:sz w:val="21"/>
                <w:szCs w:val="24"/>
                <w:highlight w:val="none"/>
              </w:rPr>
            </w:pPr>
            <w:r>
              <w:rPr>
                <w:rFonts w:hint="eastAsia" w:ascii="Times New Roman" w:hAnsi="Times New Roman" w:cs="Times New Roman"/>
                <w:kern w:val="0"/>
                <w:sz w:val="21"/>
                <w:szCs w:val="24"/>
                <w:highlight w:val="none"/>
              </w:rPr>
              <w:t>若延期超过1个月，每延期增加一天扣除合同总金额的0.1%（注：最多扣除不超过合同总金额的10%）</w:t>
            </w:r>
          </w:p>
        </w:tc>
      </w:tr>
      <w:tr w14:paraId="612D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25C916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3</w:t>
            </w:r>
          </w:p>
        </w:tc>
        <w:tc>
          <w:tcPr>
            <w:tcW w:w="1134" w:type="dxa"/>
            <w:vMerge w:val="continue"/>
          </w:tcPr>
          <w:p w14:paraId="3C93F78B">
            <w:pPr>
              <w:rPr>
                <w:highlight w:val="none"/>
              </w:rPr>
            </w:pPr>
          </w:p>
        </w:tc>
        <w:tc>
          <w:tcPr>
            <w:tcW w:w="720" w:type="dxa"/>
            <w:vAlign w:val="center"/>
          </w:tcPr>
          <w:p w14:paraId="34BB1C0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w:t>
            </w:r>
          </w:p>
        </w:tc>
        <w:tc>
          <w:tcPr>
            <w:tcW w:w="1403" w:type="dxa"/>
            <w:vAlign w:val="center"/>
          </w:tcPr>
          <w:p w14:paraId="5A01D10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用于记录统计周期内单位功能（案例）点发现的缺陷数量</w:t>
            </w:r>
          </w:p>
        </w:tc>
        <w:tc>
          <w:tcPr>
            <w:tcW w:w="3686" w:type="dxa"/>
            <w:vAlign w:val="center"/>
          </w:tcPr>
          <w:p w14:paraId="1B21E50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产品缺陷密度=统计周期内发现的该系统有效缺陷数/统计周期内该系统功能点总数（案例数）</w:t>
            </w:r>
          </w:p>
          <w:p w14:paraId="7AD27A21">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10分【0-5%】</w:t>
            </w:r>
          </w:p>
          <w:p w14:paraId="19E9E163">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5分【5%-20%】</w:t>
            </w:r>
          </w:p>
          <w:p w14:paraId="6AC95ED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0分【超过20%】</w:t>
            </w:r>
          </w:p>
        </w:tc>
        <w:tc>
          <w:tcPr>
            <w:tcW w:w="1734" w:type="dxa"/>
            <w:vAlign w:val="center"/>
          </w:tcPr>
          <w:p w14:paraId="14FD137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产品缺陷密度超过20%，缺陷密度每增加1%扣除合同总金额的0.1%。</w:t>
            </w:r>
          </w:p>
        </w:tc>
      </w:tr>
      <w:tr w14:paraId="3A1E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C01BD9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w:t>
            </w:r>
          </w:p>
        </w:tc>
        <w:tc>
          <w:tcPr>
            <w:tcW w:w="1134" w:type="dxa"/>
            <w:vMerge w:val="continue"/>
          </w:tcPr>
          <w:p w14:paraId="1450B985">
            <w:pPr>
              <w:rPr>
                <w:highlight w:val="none"/>
              </w:rPr>
            </w:pPr>
          </w:p>
        </w:tc>
        <w:tc>
          <w:tcPr>
            <w:tcW w:w="720" w:type="dxa"/>
            <w:vAlign w:val="center"/>
          </w:tcPr>
          <w:p w14:paraId="02252E3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w:t>
            </w:r>
          </w:p>
        </w:tc>
        <w:tc>
          <w:tcPr>
            <w:tcW w:w="1403" w:type="dxa"/>
            <w:vAlign w:val="center"/>
          </w:tcPr>
          <w:p w14:paraId="3572DA1F">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用于记录统计周期内测试发现的缺陷中已解决缺陷的比例</w:t>
            </w:r>
          </w:p>
        </w:tc>
        <w:tc>
          <w:tcPr>
            <w:tcW w:w="3686" w:type="dxa"/>
            <w:vAlign w:val="center"/>
          </w:tcPr>
          <w:p w14:paraId="75237E3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缺陷解决率=统计周期内测试发现的有效缺陷中已解决的数量/统计周期内测试发现的有效缺陷总数量</w:t>
            </w:r>
          </w:p>
          <w:p w14:paraId="7D99EF5A">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10分【98%-100%】</w:t>
            </w:r>
          </w:p>
          <w:p w14:paraId="27A8A33A">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5分【95%-97%】</w:t>
            </w:r>
          </w:p>
          <w:p w14:paraId="1799421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1464264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若缺陷解决率</w:t>
            </w:r>
            <w:r>
              <w:rPr>
                <w:rFonts w:hint="eastAsia" w:ascii="Times New Roman" w:hAnsi="Times New Roman" w:cs="Times New Roman"/>
                <w:bCs/>
                <w:kern w:val="0"/>
                <w:sz w:val="21"/>
                <w:szCs w:val="24"/>
                <w:highlight w:val="none"/>
              </w:rPr>
              <w:t>低于95</w:t>
            </w:r>
            <w:r>
              <w:rPr>
                <w:rFonts w:hint="eastAsia" w:ascii="Times New Roman" w:hAnsi="Times New Roman" w:cs="Times New Roman"/>
                <w:kern w:val="0"/>
                <w:sz w:val="21"/>
                <w:szCs w:val="24"/>
                <w:highlight w:val="none"/>
              </w:rPr>
              <w:t>%，缺陷解决率每低1%扣除合同总金额的0.1%。</w:t>
            </w:r>
          </w:p>
        </w:tc>
      </w:tr>
      <w:tr w14:paraId="478D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11D5D1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5</w:t>
            </w:r>
          </w:p>
        </w:tc>
        <w:tc>
          <w:tcPr>
            <w:tcW w:w="720" w:type="dxa"/>
            <w:vMerge w:val="restart"/>
            <w:vAlign w:val="center"/>
          </w:tcPr>
          <w:p w14:paraId="29885E5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协议履行</w:t>
            </w:r>
          </w:p>
        </w:tc>
        <w:tc>
          <w:tcPr>
            <w:tcW w:w="720" w:type="dxa"/>
            <w:vAlign w:val="center"/>
          </w:tcPr>
          <w:p w14:paraId="1E33DD8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重大事项报告</w:t>
            </w:r>
          </w:p>
        </w:tc>
        <w:tc>
          <w:tcPr>
            <w:tcW w:w="1403" w:type="dxa"/>
            <w:vAlign w:val="center"/>
          </w:tcPr>
          <w:p w14:paraId="601861E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25478B2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5分，指无重大事项或当发生重大事项时，能够于24小时内告知甲方；</w:t>
            </w:r>
          </w:p>
          <w:p w14:paraId="0D55B44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4分，指当发生重大事项时，能够于一周内告知甲方；</w:t>
            </w:r>
          </w:p>
          <w:p w14:paraId="190598B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3分，指当发生重大事项时，能够于一月内告知甲方；</w:t>
            </w:r>
          </w:p>
          <w:p w14:paraId="2072F27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kern w:val="0"/>
                <w:sz w:val="21"/>
                <w:szCs w:val="24"/>
                <w:highlight w:val="none"/>
              </w:rPr>
              <w:t>：0分，指当发生重大事项时，未告知甲方。</w:t>
            </w:r>
          </w:p>
        </w:tc>
        <w:tc>
          <w:tcPr>
            <w:tcW w:w="1734" w:type="dxa"/>
            <w:vAlign w:val="center"/>
          </w:tcPr>
          <w:p w14:paraId="573A39C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评价为较差/差时，甲方根据实际情况有权终止合同，并要求乙方赔偿实际损失。</w:t>
            </w:r>
          </w:p>
        </w:tc>
      </w:tr>
      <w:tr w14:paraId="093C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2981E4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6</w:t>
            </w:r>
          </w:p>
        </w:tc>
        <w:tc>
          <w:tcPr>
            <w:tcW w:w="1134" w:type="dxa"/>
            <w:vMerge w:val="continue"/>
          </w:tcPr>
          <w:p w14:paraId="1340042D">
            <w:pPr>
              <w:rPr>
                <w:highlight w:val="none"/>
              </w:rPr>
            </w:pPr>
          </w:p>
        </w:tc>
        <w:tc>
          <w:tcPr>
            <w:tcW w:w="720" w:type="dxa"/>
            <w:vAlign w:val="center"/>
          </w:tcPr>
          <w:p w14:paraId="5132A05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重大事件及质量缺陷</w:t>
            </w:r>
          </w:p>
        </w:tc>
        <w:tc>
          <w:tcPr>
            <w:tcW w:w="1403" w:type="dxa"/>
            <w:vAlign w:val="center"/>
          </w:tcPr>
          <w:p w14:paraId="035BBEF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用于记录乙方在服务期内出现以下重大事件及质量缺陷次数：</w:t>
            </w:r>
          </w:p>
          <w:p w14:paraId="5A9C86D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a.应用软件出现III级（含）以上的运营中断事件；</w:t>
            </w:r>
          </w:p>
          <w:p w14:paraId="75B1FE2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b.因乙方原因（含乙方合作的第三方）导致甲方发生网络安全事件；</w:t>
            </w:r>
          </w:p>
          <w:p w14:paraId="77BBCAA8">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c.应用软件出现严重缺陷和致命缺陷。</w:t>
            </w:r>
          </w:p>
        </w:tc>
        <w:tc>
          <w:tcPr>
            <w:tcW w:w="3686" w:type="dxa"/>
            <w:vAlign w:val="center"/>
          </w:tcPr>
          <w:p w14:paraId="06621D77">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1958101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0次</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指未出现重大事件及质量缺陷，该项指标满分；</w:t>
            </w:r>
          </w:p>
          <w:p w14:paraId="548FF6B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1次及以上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0分，指出现1次及以上任意一项重大事件或质量缺陷。</w:t>
            </w:r>
          </w:p>
        </w:tc>
        <w:tc>
          <w:tcPr>
            <w:tcW w:w="1734" w:type="dxa"/>
            <w:vAlign w:val="center"/>
          </w:tcPr>
          <w:p w14:paraId="59A0FF5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每出现一次重大事件或质量缺陷，扣除乙方合同总金额不低于5%（不低于2万元），并要求乙方赔偿实际损失。</w:t>
            </w:r>
          </w:p>
        </w:tc>
      </w:tr>
      <w:tr w14:paraId="6FE6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289ED93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7</w:t>
            </w:r>
          </w:p>
        </w:tc>
        <w:tc>
          <w:tcPr>
            <w:tcW w:w="1134" w:type="dxa"/>
            <w:vMerge w:val="continue"/>
          </w:tcPr>
          <w:p w14:paraId="3CD2B24A">
            <w:pPr>
              <w:rPr>
                <w:highlight w:val="none"/>
              </w:rPr>
            </w:pPr>
          </w:p>
        </w:tc>
        <w:tc>
          <w:tcPr>
            <w:tcW w:w="720" w:type="dxa"/>
            <w:vAlign w:val="center"/>
          </w:tcPr>
          <w:p w14:paraId="1B188F08">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信息安全管理</w:t>
            </w:r>
          </w:p>
        </w:tc>
        <w:tc>
          <w:tcPr>
            <w:tcW w:w="1403" w:type="dxa"/>
            <w:vAlign w:val="center"/>
          </w:tcPr>
          <w:p w14:paraId="2423463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352AB5A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互联网或电子银行类系统：</w:t>
            </w:r>
          </w:p>
          <w:p w14:paraId="4000186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1.安全漏洞及安全缺陷整改及时率=100%</w:t>
            </w:r>
          </w:p>
          <w:p w14:paraId="6D462E8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2.安全漏洞及安全缺陷整改通过率=100%</w:t>
            </w:r>
          </w:p>
          <w:p w14:paraId="784CE7B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非互联网或电子银行类系统：</w:t>
            </w:r>
          </w:p>
          <w:p w14:paraId="7492584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1.中高危安全漏洞及安全缺陷整改及时率=100%</w:t>
            </w:r>
          </w:p>
          <w:p w14:paraId="2261456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2.中高危安全漏洞及安全缺陷整改通过率=100%</w:t>
            </w:r>
          </w:p>
          <w:p w14:paraId="608AFAF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5分，指未出现安全漏洞及安全缺陷，该项指标满分；</w:t>
            </w:r>
          </w:p>
          <w:p w14:paraId="3238C81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3分，指出现安全漏洞或安全缺陷，但整改及时率、通过率均为100%；</w:t>
            </w:r>
          </w:p>
          <w:p w14:paraId="6030A29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0分，指出现安全漏洞及安全缺陷，但整改及时率或通过率未达到100%。</w:t>
            </w:r>
          </w:p>
        </w:tc>
        <w:tc>
          <w:tcPr>
            <w:tcW w:w="1734" w:type="dxa"/>
            <w:vAlign w:val="center"/>
          </w:tcPr>
          <w:p w14:paraId="2DCFDB9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若出现的安全漏洞或安全缺陷被上级或监管单位通报的，扣除乙方金额人民币不低于2万元；</w:t>
            </w:r>
          </w:p>
          <w:p w14:paraId="4E2304B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若评价为较差/差时，扣除乙方金额人民币不低于2万元，并要求乙方赔偿实际损失。</w:t>
            </w:r>
          </w:p>
        </w:tc>
      </w:tr>
      <w:tr w14:paraId="43AD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E475B5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8</w:t>
            </w:r>
          </w:p>
        </w:tc>
        <w:tc>
          <w:tcPr>
            <w:tcW w:w="1134" w:type="dxa"/>
            <w:vMerge w:val="continue"/>
          </w:tcPr>
          <w:p w14:paraId="7E408FCF">
            <w:pPr>
              <w:rPr>
                <w:highlight w:val="none"/>
              </w:rPr>
            </w:pPr>
          </w:p>
        </w:tc>
        <w:tc>
          <w:tcPr>
            <w:tcW w:w="720" w:type="dxa"/>
            <w:vAlign w:val="center"/>
          </w:tcPr>
          <w:p w14:paraId="43DEC28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外包安全行为</w:t>
            </w:r>
          </w:p>
        </w:tc>
        <w:tc>
          <w:tcPr>
            <w:tcW w:w="1403" w:type="dxa"/>
            <w:vAlign w:val="center"/>
          </w:tcPr>
          <w:p w14:paraId="7010797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vAlign w:val="center"/>
          </w:tcPr>
          <w:p w14:paraId="3C40D7C2">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0FC660F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指乙方服务未出现外包安全行为风险，该项指标满分；</w:t>
            </w:r>
          </w:p>
          <w:p w14:paraId="03B7E9E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指乙方出现1次及以上外包安全行为风险（每次扣5分，最高扣除10分）。</w:t>
            </w:r>
          </w:p>
        </w:tc>
        <w:tc>
          <w:tcPr>
            <w:tcW w:w="1734" w:type="dxa"/>
            <w:vAlign w:val="center"/>
          </w:tcPr>
          <w:p w14:paraId="40E8894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每发生一次外包安全行为风险，扣除乙方金额人民币不低于1000元，并要求乙方赔偿实际损失。</w:t>
            </w:r>
          </w:p>
        </w:tc>
      </w:tr>
      <w:tr w14:paraId="6FF0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38D2D7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9</w:t>
            </w:r>
          </w:p>
        </w:tc>
        <w:tc>
          <w:tcPr>
            <w:tcW w:w="1134" w:type="dxa"/>
            <w:vMerge w:val="continue"/>
          </w:tcPr>
          <w:p w14:paraId="40A6797A">
            <w:pPr>
              <w:rPr>
                <w:highlight w:val="none"/>
              </w:rPr>
            </w:pPr>
          </w:p>
        </w:tc>
        <w:tc>
          <w:tcPr>
            <w:tcW w:w="720" w:type="dxa"/>
            <w:vAlign w:val="center"/>
          </w:tcPr>
          <w:p w14:paraId="2801DB9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响应与解决及时性</w:t>
            </w:r>
          </w:p>
        </w:tc>
        <w:tc>
          <w:tcPr>
            <w:tcW w:w="1403" w:type="dxa"/>
            <w:vAlign w:val="center"/>
          </w:tcPr>
          <w:p w14:paraId="018D58C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用于记录乙方或服务项目对甲方的响应与解决的及时性</w:t>
            </w:r>
          </w:p>
        </w:tc>
        <w:tc>
          <w:tcPr>
            <w:tcW w:w="3686" w:type="dxa"/>
            <w:vAlign w:val="center"/>
          </w:tcPr>
          <w:p w14:paraId="794D29C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5分，指乙方或服务项目能够迅速响应需求，主动快速与甲方进行有效的沟通，第一时间从专业角度给出解决方案并解决问题；</w:t>
            </w:r>
          </w:p>
          <w:p w14:paraId="462D11A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4分，指乙方或服务项目能够按要求响应需求，及时与甲方进行有效的沟通，快速给出处理方案并解决问题；</w:t>
            </w:r>
          </w:p>
          <w:p w14:paraId="46E4CDD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3分，指乙方或服务项目能够基本按要求响应需求，保持与甲方的沟通，按时解决问题；</w:t>
            </w:r>
          </w:p>
          <w:p w14:paraId="24E3FA6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0分，指乙方或服务项目未及时响应需求，或响应需求后无法及时解决问题。</w:t>
            </w:r>
          </w:p>
        </w:tc>
        <w:tc>
          <w:tcPr>
            <w:tcW w:w="1734" w:type="dxa"/>
            <w:vAlign w:val="center"/>
          </w:tcPr>
          <w:p w14:paraId="6E4F733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评价为较差/差，即乙方或服务项目未及时响应需求，或响应需求后无法及时解决问题，扣除乙方金额人民币不低于1000元。</w:t>
            </w:r>
          </w:p>
        </w:tc>
      </w:tr>
      <w:tr w14:paraId="6C79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E21368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10</w:t>
            </w:r>
          </w:p>
        </w:tc>
        <w:tc>
          <w:tcPr>
            <w:tcW w:w="1134" w:type="dxa"/>
            <w:vMerge w:val="continue"/>
          </w:tcPr>
          <w:p w14:paraId="05B8DE86">
            <w:pPr>
              <w:rPr>
                <w:highlight w:val="none"/>
              </w:rPr>
            </w:pPr>
          </w:p>
        </w:tc>
        <w:tc>
          <w:tcPr>
            <w:tcW w:w="720" w:type="dxa"/>
            <w:vAlign w:val="center"/>
          </w:tcPr>
          <w:p w14:paraId="22719C0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w:t>
            </w:r>
          </w:p>
        </w:tc>
        <w:tc>
          <w:tcPr>
            <w:tcW w:w="1403" w:type="dxa"/>
            <w:vAlign w:val="center"/>
          </w:tcPr>
          <w:p w14:paraId="745B288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用于记录统计周期内对甲方需求进行投产计划安排的比例</w:t>
            </w:r>
          </w:p>
        </w:tc>
        <w:tc>
          <w:tcPr>
            <w:tcW w:w="3686" w:type="dxa"/>
            <w:vAlign w:val="center"/>
          </w:tcPr>
          <w:p w14:paraId="2D84F13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需求排期率=已排期需求数/总需求数</w:t>
            </w:r>
          </w:p>
          <w:p w14:paraId="7282C72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注：已排期需求数指统计周期内已经纳入投产计划的需求个数。总需求数指统计周期内由甲方提出到达服务商项目组的需求数。</w:t>
            </w:r>
          </w:p>
          <w:p w14:paraId="12674C5A">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3C46428F">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46991DD1">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5BC2180D">
            <w:pPr>
              <w:spacing w:line="240" w:lineRule="auto"/>
              <w:ind w:firstLine="0" w:firstLineChars="0"/>
              <w:jc w:val="left"/>
              <w:rPr>
                <w:rFonts w:hint="eastAsia" w:ascii="Times New Roman" w:hAnsi="Times New Roman" w:cs="Times New Roman"/>
                <w:kern w:val="0"/>
                <w:sz w:val="21"/>
                <w:szCs w:val="24"/>
                <w:highlight w:val="none"/>
              </w:rPr>
            </w:pPr>
          </w:p>
        </w:tc>
      </w:tr>
      <w:tr w14:paraId="2381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A9EA5A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11</w:t>
            </w:r>
          </w:p>
        </w:tc>
        <w:tc>
          <w:tcPr>
            <w:tcW w:w="1134" w:type="dxa"/>
            <w:vMerge w:val="continue"/>
          </w:tcPr>
          <w:p w14:paraId="35B76D88">
            <w:pPr>
              <w:rPr>
                <w:highlight w:val="none"/>
              </w:rPr>
            </w:pPr>
          </w:p>
        </w:tc>
        <w:tc>
          <w:tcPr>
            <w:tcW w:w="720" w:type="dxa"/>
            <w:vAlign w:val="center"/>
          </w:tcPr>
          <w:p w14:paraId="351D710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w:t>
            </w:r>
          </w:p>
        </w:tc>
        <w:tc>
          <w:tcPr>
            <w:tcW w:w="1403" w:type="dxa"/>
            <w:vAlign w:val="center"/>
          </w:tcPr>
          <w:p w14:paraId="5F22021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用于记录统计周期内甲方需求完成投产的比例</w:t>
            </w:r>
          </w:p>
        </w:tc>
        <w:tc>
          <w:tcPr>
            <w:tcW w:w="3686" w:type="dxa"/>
            <w:vAlign w:val="center"/>
          </w:tcPr>
          <w:p w14:paraId="0411B24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需求完成率=流程完结需求数/总需求数</w:t>
            </w:r>
          </w:p>
          <w:p w14:paraId="6ACA5A8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注：流程完结需求数指统计周期内已完成投产的需求个数；总需求数指统计周期内由甲方提出到达服务商项目组的需求个数。</w:t>
            </w:r>
          </w:p>
          <w:p w14:paraId="633A04DD">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73E6DE2C">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2692E776">
            <w:pPr>
              <w:spacing w:line="240" w:lineRule="auto"/>
              <w:ind w:firstLine="0" w:firstLineChars="0"/>
              <w:jc w:val="left"/>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046AAE59">
            <w:pPr>
              <w:spacing w:line="240" w:lineRule="auto"/>
              <w:ind w:firstLine="0" w:firstLineChars="0"/>
              <w:jc w:val="left"/>
              <w:rPr>
                <w:rFonts w:hint="eastAsia" w:ascii="Times New Roman" w:hAnsi="Times New Roman" w:cs="Times New Roman"/>
                <w:kern w:val="0"/>
                <w:sz w:val="21"/>
                <w:szCs w:val="24"/>
                <w:highlight w:val="none"/>
              </w:rPr>
            </w:pPr>
          </w:p>
        </w:tc>
      </w:tr>
      <w:tr w14:paraId="3878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B8C69B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12</w:t>
            </w:r>
          </w:p>
        </w:tc>
        <w:tc>
          <w:tcPr>
            <w:tcW w:w="1134" w:type="dxa"/>
            <w:vMerge w:val="continue"/>
          </w:tcPr>
          <w:p w14:paraId="1322B921">
            <w:pPr>
              <w:rPr>
                <w:highlight w:val="none"/>
              </w:rPr>
            </w:pPr>
          </w:p>
        </w:tc>
        <w:tc>
          <w:tcPr>
            <w:tcW w:w="720" w:type="dxa"/>
            <w:vAlign w:val="center"/>
          </w:tcPr>
          <w:p w14:paraId="4B8B5AE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人员行为规范性</w:t>
            </w:r>
          </w:p>
        </w:tc>
        <w:tc>
          <w:tcPr>
            <w:tcW w:w="1403" w:type="dxa"/>
            <w:vAlign w:val="center"/>
          </w:tcPr>
          <w:p w14:paraId="26D1AC3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用于记录外包场地日常管理或检查过程中发现外包人员行为违规（包括但不限于办公纪律、造成办公环境物理安全隐患等）的次数</w:t>
            </w:r>
          </w:p>
        </w:tc>
        <w:tc>
          <w:tcPr>
            <w:tcW w:w="3686" w:type="dxa"/>
            <w:vAlign w:val="center"/>
          </w:tcPr>
          <w:p w14:paraId="3AFFEAEF">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444D9B9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指未出现外包人员行为违规，该项指标满分；</w:t>
            </w:r>
          </w:p>
          <w:p w14:paraId="70140B7F">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指检查发现外包人员行为违规1次及以上（每人次扣5分，最高扣除10分）</w:t>
            </w:r>
          </w:p>
        </w:tc>
        <w:tc>
          <w:tcPr>
            <w:tcW w:w="1734" w:type="dxa"/>
            <w:vAlign w:val="center"/>
          </w:tcPr>
          <w:p w14:paraId="080A786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每出现一次人员行为违规，扣除乙方金额人民币不低于500元。</w:t>
            </w:r>
          </w:p>
        </w:tc>
      </w:tr>
      <w:tr w14:paraId="5B65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806CD5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13</w:t>
            </w:r>
          </w:p>
        </w:tc>
        <w:tc>
          <w:tcPr>
            <w:tcW w:w="1134" w:type="dxa"/>
            <w:vMerge w:val="continue"/>
          </w:tcPr>
          <w:p w14:paraId="104F61AD">
            <w:pPr>
              <w:rPr>
                <w:highlight w:val="none"/>
              </w:rPr>
            </w:pPr>
          </w:p>
        </w:tc>
        <w:tc>
          <w:tcPr>
            <w:tcW w:w="720" w:type="dxa"/>
            <w:vAlign w:val="center"/>
          </w:tcPr>
          <w:p w14:paraId="68940B0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w:t>
            </w:r>
          </w:p>
        </w:tc>
        <w:tc>
          <w:tcPr>
            <w:tcW w:w="1403" w:type="dxa"/>
            <w:vAlign w:val="center"/>
          </w:tcPr>
          <w:p w14:paraId="45F8FBE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用于记录统计周期内乙方未经甲方同意更换外包人员数量占乙方驻场外包人员总数量的比率</w:t>
            </w:r>
          </w:p>
        </w:tc>
        <w:tc>
          <w:tcPr>
            <w:tcW w:w="3686" w:type="dxa"/>
            <w:vAlign w:val="center"/>
          </w:tcPr>
          <w:p w14:paraId="17C0CCA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人员变动率=乙方未经甲方同意更换外包人员数量/乙方驻场外包人员总数量</w:t>
            </w:r>
          </w:p>
          <w:p w14:paraId="3DB1D727">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10分【0-20%】</w:t>
            </w:r>
          </w:p>
          <w:p w14:paraId="58BE192B">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5分【20%-40%】</w:t>
            </w:r>
          </w:p>
          <w:p w14:paraId="7BDB80F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0分【超过40%】</w:t>
            </w:r>
          </w:p>
        </w:tc>
        <w:tc>
          <w:tcPr>
            <w:tcW w:w="1734" w:type="dxa"/>
            <w:vAlign w:val="center"/>
          </w:tcPr>
          <w:p w14:paraId="2990629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技术骨干或项目经理未经甲方同意变动，扣除乙方金额人民币不低于3万元；其余人员变动率超过40%，扣除不低于合同总金额的1%。</w:t>
            </w:r>
          </w:p>
        </w:tc>
      </w:tr>
      <w:tr w14:paraId="4D99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2402FD7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14</w:t>
            </w:r>
          </w:p>
        </w:tc>
        <w:tc>
          <w:tcPr>
            <w:tcW w:w="1134" w:type="dxa"/>
            <w:vMerge w:val="continue"/>
          </w:tcPr>
          <w:p w14:paraId="09742257">
            <w:pPr>
              <w:rPr>
                <w:highlight w:val="none"/>
              </w:rPr>
            </w:pPr>
          </w:p>
        </w:tc>
        <w:tc>
          <w:tcPr>
            <w:tcW w:w="720" w:type="dxa"/>
            <w:vAlign w:val="center"/>
          </w:tcPr>
          <w:p w14:paraId="47CDAC0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人员满意度评价</w:t>
            </w:r>
          </w:p>
        </w:tc>
        <w:tc>
          <w:tcPr>
            <w:tcW w:w="1403" w:type="dxa"/>
            <w:vAlign w:val="center"/>
          </w:tcPr>
          <w:p w14:paraId="4C3D88B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甲方对乙方外包人员表现的满意度评价</w:t>
            </w:r>
          </w:p>
        </w:tc>
        <w:tc>
          <w:tcPr>
            <w:tcW w:w="3686" w:type="dxa"/>
            <w:vAlign w:val="center"/>
          </w:tcPr>
          <w:p w14:paraId="629A834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5分，指工作效率高，态度积极主动，保质保量完成工作任务，对团队有突出贡献，日常行为能起到模范带头作用的；</w:t>
            </w:r>
          </w:p>
          <w:p w14:paraId="3B37347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4分，指工作效率较高，态度比较主动，较好完成工作任务，对团队有一定贡献，日常行为表现较好的；</w:t>
            </w:r>
          </w:p>
          <w:p w14:paraId="51F70CE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3分，指工作效率一般，态度合格，能够按时完成工作任务的；</w:t>
            </w:r>
          </w:p>
          <w:p w14:paraId="575A518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0分，指工作效率低下，态度懈怠散漫，不能按时完成工作任务的。</w:t>
            </w:r>
          </w:p>
        </w:tc>
        <w:tc>
          <w:tcPr>
            <w:tcW w:w="1734" w:type="dxa"/>
            <w:vAlign w:val="center"/>
          </w:tcPr>
          <w:p w14:paraId="3FB5A18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评价为较差/差时，甲方有权要求乙方更换人员并赔偿实际损失。</w:t>
            </w:r>
          </w:p>
        </w:tc>
      </w:tr>
    </w:tbl>
    <w:p w14:paraId="0DBF6CE3">
      <w:pPr>
        <w:rPr>
          <w:rFonts w:ascii="Times New Roman" w:hAnsi="Times New Roman" w:cs="Times New Roman"/>
          <w:highlight w:val="none"/>
        </w:rPr>
      </w:pPr>
    </w:p>
    <w:p w14:paraId="02EA7529">
      <w:pPr>
        <w:rPr>
          <w:rFonts w:ascii="Times New Roman" w:hAnsi="Times New Roman" w:cs="Times New Roman"/>
          <w:highlight w:val="none"/>
        </w:rPr>
        <w:sectPr>
          <w:pgSz w:w="11906" w:h="16838"/>
          <w:pgMar w:top="1440" w:right="1800" w:bottom="1440" w:left="1800" w:header="851" w:footer="992" w:gutter="0"/>
          <w:pgNumType w:fmt="decimal"/>
          <w:cols w:space="720" w:num="1"/>
          <w:docGrid w:type="lines" w:linePitch="326" w:charSpace="0"/>
        </w:sectPr>
      </w:pPr>
    </w:p>
    <w:bookmarkEnd w:id="292"/>
    <w:bookmarkEnd w:id="293"/>
    <w:p w14:paraId="0D2B62F1">
      <w:pPr>
        <w:pStyle w:val="35"/>
        <w:bidi w:val="0"/>
        <w:rPr>
          <w:rFonts w:hint="eastAsia"/>
          <w:highlight w:val="none"/>
          <w:lang w:val="zh-CN" w:eastAsia="zh-CN"/>
        </w:rPr>
      </w:pPr>
      <w:r>
        <w:rPr>
          <w:rFonts w:hint="eastAsia"/>
          <w:highlight w:val="none"/>
          <w:lang w:val="zh-CN"/>
        </w:rPr>
        <w:t>（</w:t>
      </w:r>
      <w:r>
        <w:rPr>
          <w:rFonts w:hint="eastAsia"/>
          <w:highlight w:val="none"/>
          <w:lang w:val="en-US" w:eastAsia="zh-CN"/>
        </w:rPr>
        <w:t>十</w:t>
      </w:r>
      <w:r>
        <w:rPr>
          <w:rFonts w:hint="eastAsia"/>
          <w:highlight w:val="none"/>
          <w:lang w:val="zh-CN"/>
        </w:rPr>
        <w:t>）</w:t>
      </w:r>
      <w:r>
        <w:rPr>
          <w:rFonts w:hint="eastAsia"/>
          <w:highlight w:val="none"/>
          <w:lang w:val="en-US" w:eastAsia="zh-CN"/>
        </w:rPr>
        <w:t>其他</w:t>
      </w:r>
      <w:r>
        <w:rPr>
          <w:rFonts w:hint="eastAsia"/>
          <w:highlight w:val="none"/>
          <w:lang w:val="zh-CN"/>
        </w:rPr>
        <w:t>（</w:t>
      </w:r>
      <w:r>
        <w:rPr>
          <w:rFonts w:hint="eastAsia"/>
          <w:highlight w:val="none"/>
          <w:lang w:val="en-US" w:eastAsia="zh-CN"/>
        </w:rPr>
        <w:t>如有</w:t>
      </w:r>
      <w:r>
        <w:rPr>
          <w:rFonts w:hint="eastAsia"/>
          <w:highlight w:val="none"/>
          <w:lang w:val="zh-CN"/>
        </w:rPr>
        <w:t>）</w:t>
      </w:r>
    </w:p>
    <w:p w14:paraId="37472BD4">
      <w:pPr>
        <w:bidi w:val="0"/>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如第三章中要求提供的文件、方案等材料</w:t>
      </w:r>
      <w:r>
        <w:rPr>
          <w:rFonts w:hint="eastAsia"/>
          <w:color w:val="auto"/>
          <w:highlight w:val="none"/>
          <w:lang w:val="en-US"/>
        </w:rPr>
        <w:t>）</w:t>
      </w:r>
    </w:p>
    <w:p w14:paraId="213D60AD">
      <w:pPr>
        <w:bidi w:val="0"/>
        <w:rPr>
          <w:rFonts w:hint="eastAsia"/>
          <w:color w:val="auto"/>
          <w:highlight w:val="none"/>
          <w:lang w:val="zh-CN"/>
        </w:rPr>
      </w:pPr>
    </w:p>
    <w:p w14:paraId="30C665F4">
      <w:pPr>
        <w:bidi w:val="0"/>
        <w:rPr>
          <w:rFonts w:hint="eastAsia"/>
          <w:color w:val="auto"/>
          <w:highlight w:val="none"/>
          <w:lang w:val="zh-CN"/>
        </w:rPr>
      </w:pPr>
    </w:p>
    <w:p w14:paraId="39887A5C">
      <w:pPr>
        <w:pStyle w:val="33"/>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color w:val="auto"/>
          <w:highlight w:val="none"/>
          <w:lang w:val="zh-CN"/>
        </w:rPr>
        <w:br w:type="page"/>
      </w:r>
      <w:r>
        <w:rPr>
          <w:rFonts w:hint="eastAsia"/>
          <w:color w:val="auto"/>
          <w:highlight w:val="none"/>
          <w:lang w:val="en-US" w:eastAsia="zh-CN"/>
        </w:rPr>
        <w:t>六、商务技术文件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根据第四章内容提供相关材料。此处可提供案例，案例为第四章评审办法所用案例，参选人可将除资格业绩的其他业绩、案例放于此处。如：</w:t>
      </w:r>
      <w:r>
        <w:rPr>
          <w:rFonts w:ascii="Times New Roman" w:hAnsi="Times New Roman" w:cs="Times New Roman"/>
          <w:snapToGrid w:val="0"/>
          <w:kern w:val="0"/>
          <w:highlight w:val="none"/>
        </w:rPr>
        <w:t>原系统改造实施案例情况</w:t>
      </w:r>
      <w:r>
        <w:rPr>
          <w:rFonts w:hint="eastAsia" w:ascii="Times New Roman" w:hAnsi="Times New Roman" w:cs="Times New Roman"/>
          <w:snapToGrid w:val="0"/>
          <w:kern w:val="0"/>
          <w:highlight w:val="none"/>
          <w:lang w:eastAsia="zh-CN"/>
        </w:rPr>
        <w:t>、</w:t>
      </w:r>
      <w:r>
        <w:rPr>
          <w:rFonts w:hint="eastAsia" w:ascii="Times New Roman" w:hAnsi="Times New Roman" w:cs="Times New Roman"/>
          <w:snapToGrid w:val="0"/>
          <w:kern w:val="0"/>
          <w:highlight w:val="none"/>
        </w:rPr>
        <w:t>同业同类型实施案例</w:t>
      </w:r>
      <w:r>
        <w:rPr>
          <w:rFonts w:hint="eastAsia"/>
          <w:color w:val="auto"/>
          <w:highlight w:val="none"/>
          <w:lang w:val="en-US" w:eastAsia="zh-CN"/>
        </w:rPr>
        <w:t>（如有）。</w:t>
      </w:r>
      <w:r>
        <w:rPr>
          <w:rFonts w:hint="eastAsia"/>
          <w:color w:val="auto"/>
          <w:highlight w:val="none"/>
        </w:rPr>
        <w:t>）</w:t>
      </w:r>
    </w:p>
    <w:p w14:paraId="64205DDC">
      <w:pPr>
        <w:pStyle w:val="33"/>
        <w:rPr>
          <w:rFonts w:hint="eastAsia" w:ascii="Times New Roman" w:hAnsi="Times New Roman" w:eastAsia="宋体"/>
          <w:highlight w:val="none"/>
          <w:lang w:eastAsia="zh-CN"/>
        </w:rPr>
      </w:pPr>
      <w:r>
        <w:rPr>
          <w:rStyle w:val="45"/>
          <w:rFonts w:hint="eastAsia"/>
          <w:b/>
          <w:bCs/>
          <w:color w:val="auto"/>
          <w:highlight w:val="none"/>
          <w:lang w:val="en-US" w:eastAsia="zh-CN"/>
        </w:rPr>
        <w:br w:type="page"/>
      </w:r>
      <w:r>
        <w:rPr>
          <w:rFonts w:hint="eastAsia" w:ascii="Times New Roman" w:hAnsi="Times New Roman"/>
          <w:highlight w:val="none"/>
          <w:lang w:val="en-US" w:eastAsia="zh-CN"/>
        </w:rPr>
        <w:t>七</w:t>
      </w:r>
      <w:r>
        <w:rPr>
          <w:rFonts w:ascii="Times New Roman" w:hAnsi="Times New Roman"/>
          <w:highlight w:val="none"/>
        </w:rPr>
        <w:t>、其他</w:t>
      </w:r>
      <w:r>
        <w:rPr>
          <w:rFonts w:hint="eastAsia" w:ascii="Times New Roman" w:hAnsi="Times New Roman"/>
          <w:highlight w:val="none"/>
          <w:lang w:eastAsia="zh-CN"/>
        </w:rPr>
        <w:t>（</w:t>
      </w:r>
      <w:r>
        <w:rPr>
          <w:rFonts w:hint="eastAsia" w:ascii="Times New Roman" w:hAnsi="Times New Roman"/>
          <w:highlight w:val="none"/>
          <w:lang w:val="en-US" w:eastAsia="zh-CN"/>
        </w:rPr>
        <w:t>如有</w:t>
      </w:r>
      <w:r>
        <w:rPr>
          <w:rFonts w:hint="eastAsia" w:ascii="Times New Roman" w:hAnsi="Times New Roman"/>
          <w:highlight w:val="none"/>
          <w:lang w:eastAsia="zh-CN"/>
        </w:rPr>
        <w:t>）</w:t>
      </w:r>
    </w:p>
    <w:p w14:paraId="6C223A08">
      <w:pPr>
        <w:rPr>
          <w:rFonts w:ascii="Times New Roman" w:hAnsi="Times New Roman"/>
          <w:highlight w:val="none"/>
        </w:rPr>
      </w:pPr>
    </w:p>
    <w:p w14:paraId="7D1DC27E">
      <w:pPr>
        <w:rPr>
          <w:rFonts w:ascii="Times New Roman" w:hAnsi="Times New Roman"/>
          <w:highlight w:val="none"/>
        </w:rPr>
      </w:pPr>
    </w:p>
    <w:sectPr>
      <w:pgSz w:w="11906" w:h="16838"/>
      <w:pgMar w:top="1440" w:right="1800" w:bottom="1440" w:left="1800" w:header="851" w:footer="992"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80B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5DA8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5DA8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A858">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84316">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084316">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B0F3">
    <w:pPr>
      <w:pStyle w:val="17"/>
      <w:framePr w:wrap="around" w:vAnchor="text" w:hAnchor="margin" w:xAlign="center" w:y="1"/>
      <w:rPr>
        <w:rStyle w:val="26"/>
      </w:rPr>
    </w:pPr>
    <w:r>
      <w:rPr>
        <w:rStyle w:val="26"/>
      </w:rPr>
      <w:fldChar w:fldCharType="begin"/>
    </w:r>
    <w:r>
      <w:rPr>
        <w:rStyle w:val="26"/>
      </w:rPr>
      <w:instrText xml:space="preserve">PAGE  </w:instrText>
    </w:r>
    <w:r>
      <w:fldChar w:fldCharType="separate"/>
    </w:r>
    <w:r>
      <w:t xml:space="preserve"> </w:t>
    </w:r>
    <w:r>
      <w:fldChar w:fldCharType="end"/>
    </w:r>
  </w:p>
  <w:p w14:paraId="15F11922">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BFA6">
    <w:pPr>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ACC5">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64C19">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564C19">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E4CA">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E8924">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8E8924">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38C7">
    <w:pPr>
      <w:pStyle w:val="1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7732">
    <w:pPr>
      <w:pStyle w:val="18"/>
      <w:jc w:val="left"/>
    </w:pPr>
    <w:r>
      <w:rPr>
        <w:rFonts w:hint="eastAsia" w:ascii="宋体"/>
      </w:rPr>
      <w:t>重庆三峡银行XX系统（XX项目）外包开发合同</w:t>
    </w:r>
    <w:r>
      <w:rPr>
        <w:rFonts w:hint="eastAsia"/>
      </w:rPr>
      <w:t xml:space="preserve">                              </w:t>
    </w:r>
    <w:r>
      <w:rPr>
        <w:rFonts w:hint="eastAsia" w:ascii="宋体"/>
      </w:rPr>
      <w:t>商业秘密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A020">
    <w:pPr>
      <w:pStyle w:val="1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egacy w:legacy="1" w:legacySpace="0" w:legacyIndent="360"/>
      <w:lvlJc w:val="left"/>
      <w:pPr>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YTQ5ZmY1ODA0NTUyNTIzOGU4NGRmM2JhYjg3Y2Q0YjMifQ=="/>
  </w:docVars>
  <w:rsids>
    <w:rsidRoot w:val="00000000"/>
    <w:rsid w:val="00975D66"/>
    <w:rsid w:val="019E3ACA"/>
    <w:rsid w:val="03431F67"/>
    <w:rsid w:val="03580109"/>
    <w:rsid w:val="04357432"/>
    <w:rsid w:val="07A31495"/>
    <w:rsid w:val="0A1F61CB"/>
    <w:rsid w:val="0D6360E8"/>
    <w:rsid w:val="1130603C"/>
    <w:rsid w:val="116F23E8"/>
    <w:rsid w:val="14C76145"/>
    <w:rsid w:val="15177326"/>
    <w:rsid w:val="16AD47B3"/>
    <w:rsid w:val="1C5F1DD1"/>
    <w:rsid w:val="1E665CE1"/>
    <w:rsid w:val="1FA31BDA"/>
    <w:rsid w:val="2006711A"/>
    <w:rsid w:val="22D6731A"/>
    <w:rsid w:val="23BA4FAC"/>
    <w:rsid w:val="2483647E"/>
    <w:rsid w:val="28D51278"/>
    <w:rsid w:val="2F9D18CC"/>
    <w:rsid w:val="30370D29"/>
    <w:rsid w:val="30512FA2"/>
    <w:rsid w:val="30BF62C2"/>
    <w:rsid w:val="31E16EFE"/>
    <w:rsid w:val="3465194D"/>
    <w:rsid w:val="387446F3"/>
    <w:rsid w:val="38B33F6E"/>
    <w:rsid w:val="3A6C4D1B"/>
    <w:rsid w:val="3B306E16"/>
    <w:rsid w:val="3C0574B3"/>
    <w:rsid w:val="3C504C5D"/>
    <w:rsid w:val="3E31395E"/>
    <w:rsid w:val="3EC31FD6"/>
    <w:rsid w:val="3F397A0D"/>
    <w:rsid w:val="3F910A32"/>
    <w:rsid w:val="40A7677C"/>
    <w:rsid w:val="47011DB3"/>
    <w:rsid w:val="4776054C"/>
    <w:rsid w:val="48721C43"/>
    <w:rsid w:val="51985D69"/>
    <w:rsid w:val="52AA3E4F"/>
    <w:rsid w:val="585D01FD"/>
    <w:rsid w:val="5ADA0061"/>
    <w:rsid w:val="5D2A2AAB"/>
    <w:rsid w:val="5F894F4F"/>
    <w:rsid w:val="60EA7D0F"/>
    <w:rsid w:val="610A6444"/>
    <w:rsid w:val="6AC77447"/>
    <w:rsid w:val="6CEC283D"/>
    <w:rsid w:val="6F831D2D"/>
    <w:rsid w:val="706460AB"/>
    <w:rsid w:val="7308200E"/>
    <w:rsid w:val="73886A66"/>
    <w:rsid w:val="757E1ED2"/>
    <w:rsid w:val="758B4DC1"/>
    <w:rsid w:val="7760202A"/>
    <w:rsid w:val="77C20E0B"/>
    <w:rsid w:val="78D274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8"/>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29"/>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9"/>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5"/>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0"/>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4">
    <w:name w:val="Default Paragraph Font"/>
    <w:autoRedefine/>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afterLines="0" w:afterAutospacing="0"/>
    </w:pPr>
  </w:style>
  <w:style w:type="paragraph" w:styleId="12">
    <w:name w:val="Body Text Indent"/>
    <w:basedOn w:val="1"/>
    <w:link w:val="32"/>
    <w:qFormat/>
    <w:uiPriority w:val="0"/>
    <w:pPr>
      <w:spacing w:after="120" w:afterLines="0" w:afterAutospacing="0"/>
      <w:ind w:left="420" w:leftChars="200"/>
    </w:pPr>
  </w:style>
  <w:style w:type="paragraph" w:styleId="13">
    <w:name w:val="Plain Text"/>
    <w:basedOn w:val="1"/>
    <w:qFormat/>
    <w:uiPriority w:val="0"/>
    <w:rPr>
      <w:rFonts w:ascii="宋体" w:hAnsi="Courier New"/>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after="120" w:afterLines="0" w:afterAutospacing="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1">
    <w:name w:val="annotation subject"/>
    <w:basedOn w:val="9"/>
    <w:next w:val="9"/>
    <w:qFormat/>
    <w:uiPriority w:val="0"/>
    <w:rPr>
      <w:b/>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qFormat/>
    <w:uiPriority w:val="0"/>
    <w:rPr>
      <w:sz w:val="21"/>
    </w:rPr>
  </w:style>
  <w:style w:type="character" w:customStyle="1" w:styleId="29">
    <w:name w:val="标题 2 Char"/>
    <w:basedOn w:val="24"/>
    <w:link w:val="3"/>
    <w:autoRedefine/>
    <w:qFormat/>
    <w:uiPriority w:val="9"/>
    <w:rPr>
      <w:rFonts w:ascii="Times New Roman" w:hAnsi="Times New Roman" w:eastAsia="宋体" w:cstheme="majorBidi"/>
      <w:b/>
      <w:bCs/>
      <w:snapToGrid w:val="0"/>
      <w:szCs w:val="24"/>
    </w:rPr>
  </w:style>
  <w:style w:type="character" w:customStyle="1" w:styleId="30">
    <w:name w:val="heading 4 Char"/>
    <w:link w:val="5"/>
    <w:autoRedefine/>
    <w:qFormat/>
    <w:uiPriority w:val="0"/>
    <w:rPr>
      <w:rFonts w:cs="Times New Roman"/>
      <w:bCs/>
      <w:szCs w:val="28"/>
    </w:rPr>
  </w:style>
  <w:style w:type="character" w:customStyle="1" w:styleId="31">
    <w:name w:val="heading 5 Char"/>
    <w:link w:val="6"/>
    <w:autoRedefine/>
    <w:qFormat/>
    <w:uiPriority w:val="0"/>
    <w:rPr>
      <w:rFonts w:ascii="Times New Roman" w:hAnsi="Times New Roman" w:eastAsia="宋体"/>
      <w:b/>
      <w:sz w:val="28"/>
    </w:rPr>
  </w:style>
  <w:style w:type="character" w:customStyle="1" w:styleId="32">
    <w:name w:val="Body Text Indent Char"/>
    <w:link w:val="12"/>
    <w:autoRedefine/>
    <w:qFormat/>
    <w:uiPriority w:val="0"/>
  </w:style>
  <w:style w:type="paragraph" w:customStyle="1" w:styleId="33">
    <w:name w:val="参选文件格式1"/>
    <w:basedOn w:val="1"/>
    <w:next w:val="1"/>
    <w:link w:val="34"/>
    <w:autoRedefine/>
    <w:qFormat/>
    <w:uiPriority w:val="0"/>
    <w:pPr>
      <w:spacing w:line="360" w:lineRule="auto"/>
      <w:ind w:firstLine="0" w:firstLineChars="0"/>
      <w:jc w:val="center"/>
      <w:outlineLvl w:val="1"/>
    </w:pPr>
    <w:rPr>
      <w:rFonts w:hint="eastAsia" w:eastAsia="宋体"/>
      <w:b/>
      <w:sz w:val="28"/>
    </w:rPr>
  </w:style>
  <w:style w:type="character" w:customStyle="1" w:styleId="34">
    <w:name w:val="参选文件格式1 Char"/>
    <w:link w:val="33"/>
    <w:autoRedefine/>
    <w:qFormat/>
    <w:uiPriority w:val="0"/>
    <w:rPr>
      <w:rFonts w:hint="eastAsia" w:eastAsia="宋体"/>
      <w:b/>
      <w:sz w:val="28"/>
    </w:rPr>
  </w:style>
  <w:style w:type="paragraph" w:customStyle="1" w:styleId="35">
    <w:name w:val="参选文件格式2"/>
    <w:basedOn w:val="1"/>
    <w:next w:val="1"/>
    <w:link w:val="46"/>
    <w:autoRedefine/>
    <w:qFormat/>
    <w:uiPriority w:val="0"/>
    <w:pPr>
      <w:ind w:firstLine="0" w:firstLineChars="0"/>
      <w:jc w:val="center"/>
      <w:outlineLvl w:val="2"/>
    </w:pPr>
    <w:rPr>
      <w:rFonts w:eastAsia="宋体"/>
      <w:bCs/>
      <w:szCs w:val="32"/>
    </w:rPr>
  </w:style>
  <w:style w:type="paragraph" w:customStyle="1" w:styleId="36">
    <w:name w:val="参选文件格式3"/>
    <w:basedOn w:val="1"/>
    <w:link w:val="37"/>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7">
    <w:name w:val="参选文件格式3 Char"/>
    <w:link w:val="36"/>
    <w:autoRedefine/>
    <w:qFormat/>
    <w:uiPriority w:val="0"/>
    <w:rPr>
      <w:rFonts w:hint="eastAsia" w:ascii="宋体" w:hAnsi="宋体" w:eastAsia="宋体"/>
      <w:b/>
      <w:snapToGrid w:val="0"/>
      <w:kern w:val="0"/>
      <w:u w:val="none"/>
    </w:rPr>
  </w:style>
  <w:style w:type="character" w:customStyle="1" w:styleId="38">
    <w:name w:val="font11"/>
    <w:basedOn w:val="24"/>
    <w:autoRedefine/>
    <w:qFormat/>
    <w:uiPriority w:val="0"/>
    <w:rPr>
      <w:rFonts w:ascii="宋体" w:eastAsia="宋体" w:cs="宋体"/>
      <w:b/>
      <w:bCs/>
      <w:color w:val="000000"/>
      <w:sz w:val="21"/>
      <w:szCs w:val="21"/>
      <w:u w:val="none"/>
    </w:rPr>
  </w:style>
  <w:style w:type="character" w:customStyle="1" w:styleId="39">
    <w:name w:val="font21"/>
    <w:basedOn w:val="24"/>
    <w:autoRedefine/>
    <w:qFormat/>
    <w:uiPriority w:val="0"/>
    <w:rPr>
      <w:rFonts w:ascii="宋体" w:eastAsia="宋体" w:cs="宋体"/>
      <w:color w:val="000000"/>
      <w:sz w:val="21"/>
      <w:szCs w:val="21"/>
      <w:u w:val="none"/>
    </w:rPr>
  </w:style>
  <w:style w:type="character" w:customStyle="1" w:styleId="40">
    <w:name w:val="font31"/>
    <w:basedOn w:val="24"/>
    <w:autoRedefine/>
    <w:qFormat/>
    <w:uiPriority w:val="0"/>
    <w:rPr>
      <w:rFonts w:ascii="宋体" w:eastAsia="宋体" w:cs="宋体"/>
      <w:color w:val="FF0000"/>
      <w:sz w:val="21"/>
      <w:szCs w:val="21"/>
      <w:u w:val="none"/>
    </w:rPr>
  </w:style>
  <w:style w:type="paragraph" w:customStyle="1" w:styleId="41">
    <w:name w:val="列表段落1"/>
    <w:autoRedefine/>
    <w:qFormat/>
    <w:uiPriority w:val="0"/>
    <w:pPr>
      <w:widowControl w:val="0"/>
      <w:tabs>
        <w:tab w:val="left" w:pos="-111"/>
      </w:tabs>
      <w:autoSpaceDE w:val="0"/>
      <w:autoSpaceDN w:val="0"/>
      <w:spacing w:line="600" w:lineRule="exact"/>
      <w:ind w:firstLine="200" w:firstLineChars="200"/>
    </w:pPr>
    <w:rPr>
      <w:rFonts w:ascii="Cambria Math" w:hAnsi="Cambria Math" w:eastAsia="宋体" w:cs="Cambria Math"/>
      <w:color w:val="000000"/>
      <w:kern w:val="2"/>
      <w:sz w:val="24"/>
      <w:lang w:val="en-US" w:eastAsia="zh-CN" w:bidi="ar-SA"/>
    </w:rPr>
  </w:style>
  <w:style w:type="character" w:customStyle="1" w:styleId="42">
    <w:name w:val="font_text_1"/>
    <w:autoRedefine/>
    <w:qFormat/>
    <w:uiPriority w:val="0"/>
  </w:style>
  <w:style w:type="paragraph" w:customStyle="1" w:styleId="43">
    <w:name w:val="Revision"/>
    <w:qFormat/>
    <w:uiPriority w:val="0"/>
    <w:rPr>
      <w:rFonts w:ascii="Cambria Math" w:hAnsi="Cambria Math" w:eastAsia="宋体" w:cs="Cambria Math"/>
      <w:kern w:val="2"/>
      <w:sz w:val="24"/>
      <w:lang w:val="en-US" w:eastAsia="zh-CN" w:bidi="ar-SA"/>
    </w:rPr>
  </w:style>
  <w:style w:type="character" w:customStyle="1" w:styleId="44">
    <w:name w:val="标题 4 字符"/>
    <w:link w:val="5"/>
    <w:autoRedefine/>
    <w:qFormat/>
    <w:uiPriority w:val="0"/>
    <w:rPr>
      <w:rFonts w:ascii="Calibri Light" w:hAnsi="Calibri Light" w:eastAsia="宋体" w:cs="Times New Roman"/>
      <w:bCs/>
      <w:szCs w:val="28"/>
    </w:rPr>
  </w:style>
  <w:style w:type="character" w:customStyle="1" w:styleId="45">
    <w:name w:val="标题 4 Char"/>
    <w:link w:val="5"/>
    <w:autoRedefine/>
    <w:qFormat/>
    <w:uiPriority w:val="0"/>
    <w:rPr>
      <w:rFonts w:cs="Times New Roman"/>
      <w:bCs/>
      <w:szCs w:val="28"/>
    </w:rPr>
  </w:style>
  <w:style w:type="character" w:customStyle="1" w:styleId="46">
    <w:name w:val="参选文件格式2 Char"/>
    <w:link w:val="35"/>
    <w:autoRedefine/>
    <w:qFormat/>
    <w:uiPriority w:val="0"/>
    <w:rPr>
      <w:rFonts w:eastAsia="宋体"/>
      <w:bCs/>
      <w:szCs w:val="32"/>
    </w:rPr>
  </w:style>
  <w:style w:type="paragraph" w:customStyle="1" w:styleId="47">
    <w:name w:val="表格"/>
    <w:basedOn w:val="1"/>
    <w:qFormat/>
    <w:uiPriority w:val="0"/>
    <w:pPr>
      <w:spacing w:line="240" w:lineRule="auto"/>
      <w:ind w:firstLine="0" w:firstLineChars="0"/>
    </w:pPr>
    <w:rPr>
      <w:rFonts w:ascii="Times New Roman" w:hAnsi="Times New Roman" w:eastAsia="宋体"/>
      <w:bCs/>
      <w:color w:val="auto"/>
      <w:sz w:val="21"/>
      <w:szCs w:val="18"/>
    </w:rPr>
  </w:style>
  <w:style w:type="character" w:customStyle="1" w:styleId="48">
    <w:name w:val="标题 1 Char"/>
    <w:basedOn w:val="24"/>
    <w:link w:val="2"/>
    <w:autoRedefine/>
    <w:qFormat/>
    <w:uiPriority w:val="0"/>
    <w:rPr>
      <w:rFonts w:ascii="Times New Roman" w:hAnsi="Times New Roman" w:eastAsia="宋体" w:cs="等线 Light"/>
      <w:b/>
      <w:snapToGrid w:val="0"/>
      <w:kern w:val="0"/>
      <w:sz w:val="44"/>
      <w:szCs w:val="44"/>
    </w:rPr>
  </w:style>
  <w:style w:type="character" w:customStyle="1" w:styleId="49">
    <w:name w:val="标题 3 Char"/>
    <w:basedOn w:val="24"/>
    <w:link w:val="4"/>
    <w:autoRedefine/>
    <w:qFormat/>
    <w:uiPriority w:val="9"/>
    <w:rPr>
      <w:b/>
      <w:bCs/>
      <w:szCs w:val="32"/>
    </w:rPr>
  </w:style>
  <w:style w:type="character" w:customStyle="1" w:styleId="50">
    <w:name w:val="标题 5 Char"/>
    <w:link w:val="6"/>
    <w:autoRedefine/>
    <w:qFormat/>
    <w:uiPriority w:val="0"/>
    <w:rPr>
      <w:rFonts w:ascii="Times New Roman" w:hAnsi="Times New Roman" w:eastAsia="宋体"/>
      <w:b/>
      <w:sz w:val="28"/>
    </w:rPr>
  </w:style>
  <w:style w:type="paragraph" w:customStyle="1" w:styleId="51">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2">
    <w:name w:val="标题2（无级别）"/>
    <w:basedOn w:val="1"/>
    <w:next w:val="1"/>
    <w:link w:val="54"/>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3">
    <w:name w:val="标题3（无级别）"/>
    <w:basedOn w:val="1"/>
    <w:next w:val="1"/>
    <w:qFormat/>
    <w:uiPriority w:val="0"/>
    <w:pPr>
      <w:outlineLvl w:val="9"/>
    </w:pPr>
    <w:rPr>
      <w:rFonts w:hint="eastAsia" w:ascii="Times New Roman" w:hAnsi="Times New Roman"/>
      <w:b/>
      <w:bCs/>
      <w:sz w:val="21"/>
      <w:szCs w:val="32"/>
    </w:rPr>
  </w:style>
  <w:style w:type="character" w:customStyle="1" w:styleId="54">
    <w:name w:val="标题2（无级别） Char"/>
    <w:link w:val="52"/>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107</Pages>
  <Words>15422</Words>
  <Characters>16608</Characters>
  <Lines>3461</Lines>
  <Paragraphs>1702</Paragraphs>
  <TotalTime>0</TotalTime>
  <ScaleCrop>false</ScaleCrop>
  <LinksUpToDate>false</LinksUpToDate>
  <CharactersWithSpaces>16852</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2024-01-17T14:16:00Z</dcterms:created>
  <dc:creator>admin</dc:creator>
  <cp:lastModifiedBy>交易中心-杜</cp:lastModifiedBy>
  <cp:lastPrinted>2024-08-16T07:54:00Z</cp:lastPrinted>
  <dcterms:modified xsi:type="dcterms:W3CDTF">2025-02-10T02:26:28Z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23536B39E15447B1BA918DA806C6E8ED_13</vt:lpwstr>
  </property>
  <property fmtid="{D5CDD505-2E9C-101B-9397-08002B2CF9AE}" pid="4" name="KSOTemplateDocerSaveRecord">
    <vt:lpwstr>eyJoZGlkIjoiMjE4MmQxZjA1Y2YxYjcxZTkzZjljNGM2ODFmNzIxYzciLCJ1c2VySWQiOiIxNTcyMDkyNzExIn0=</vt:lpwstr>
  </property>
</Properties>
</file>