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400" w:lineRule="exact"/>
        <w:jc w:val="center"/>
        <w:rPr>
          <w:rFonts w:ascii="方正小标宋_GBK" w:eastAsia="方正小标宋_GBK" w:cs="方正小标宋_GBK" w:hAnsi="方正小标宋_GBK" w:hint="eastAsia"/>
          <w:kern w:val="0"/>
          <w:sz w:val="36"/>
          <w:szCs w:val="36"/>
          <w:shd w:val="clear" w:color="auto" w:fill="FFFFFF"/>
          <w:lang w:eastAsia="zh-CN"/>
        </w:rPr>
      </w:pPr>
      <w:bookmarkStart w:id="0" w:name="OLE_LINK1"/>
      <w:bookmarkStart w:id="1" w:name="_GoBack"/>
      <w:bookmarkEnd w:id="1"/>
      <w:r>
        <w:rPr>
          <w:rFonts w:ascii="方正小标宋_GBK" w:eastAsia="方正小标宋_GBK" w:cs="方正小标宋_GBK" w:hAnsi="方正小标宋_GBK" w:hint="eastAsia"/>
          <w:kern w:val="0"/>
          <w:sz w:val="36"/>
          <w:szCs w:val="36"/>
          <w:shd w:val="clear" w:color="auto" w:fill="FFFFFF"/>
        </w:rPr>
        <w:t>重庆三峡银行两江支行搬迁装修工程标段</w:t>
      </w:r>
      <w:r>
        <w:rPr>
          <w:rFonts w:ascii="方正小标宋_GBK" w:eastAsia="方正小标宋_GBK" w:cs="方正小标宋_GBK" w:hAnsi="方正小标宋_GBK" w:hint="eastAsia"/>
          <w:kern w:val="0"/>
          <w:sz w:val="36"/>
          <w:szCs w:val="36"/>
          <w:shd w:val="clear" w:color="auto" w:fill="FFFFFF"/>
          <w:lang w:val="en-US" w:eastAsia="zh-CN"/>
        </w:rPr>
        <w:t>2（第二次）</w:t>
      </w:r>
    </w:p>
    <w:p>
      <w:pPr>
        <w:widowControl/>
        <w:spacing w:line="400" w:lineRule="exact"/>
        <w:jc w:val="center"/>
      </w:pPr>
      <w:r>
        <w:rPr>
          <w:rFonts w:ascii="方正小标宋_GBK" w:eastAsia="方正小标宋_GBK" w:cs="方正小标宋_GBK" w:hAnsi="方正小标宋_GBK"/>
          <w:kern w:val="0"/>
          <w:sz w:val="36"/>
          <w:szCs w:val="36"/>
          <w:shd w:val="clear" w:color="auto" w:fill="FFFFFF"/>
        </w:rPr>
        <w:t>中标候选人公示</w:t>
      </w:r>
    </w:p>
    <w:p>
      <w:pPr>
        <w:widowControl/>
        <w:spacing w:line="400" w:lineRule="exact"/>
        <w:jc w:val="center"/>
      </w:pPr>
      <w:r>
        <w:rPr>
          <w:rFonts w:ascii="方正小标宋_GBK" w:eastAsia="方正小标宋_GBK" w:cs="方正小标宋_GBK" w:hAnsi="方正小标宋_GBK"/>
          <w:kern w:val="0"/>
          <w:sz w:val="30"/>
          <w:szCs w:val="30"/>
          <w:shd w:val="clear" w:color="auto" w:fill="FFFFFF"/>
        </w:rPr>
        <w:t>（公示期：202</w:t>
      </w:r>
      <w:r>
        <w:rPr>
          <w:rFonts w:ascii="方正小标宋_GBK" w:eastAsia="方正小标宋_GBK" w:cs="方正小标宋_GBK" w:hAnsi="方正小标宋_GBK" w:hint="eastAsia"/>
          <w:kern w:val="0"/>
          <w:sz w:val="30"/>
          <w:szCs w:val="30"/>
          <w:shd w:val="clear" w:color="auto" w:fill="FFFFFF"/>
          <w:lang w:val="en-US" w:eastAsia="zh-CN"/>
        </w:rPr>
        <w:t>5</w:t>
      </w:r>
      <w:r>
        <w:rPr>
          <w:rFonts w:ascii="方正小标宋_GBK" w:eastAsia="方正小标宋_GBK" w:cs="方正小标宋_GBK" w:hAnsi="方正小标宋_GBK"/>
          <w:kern w:val="0"/>
          <w:sz w:val="30"/>
          <w:szCs w:val="30"/>
          <w:shd w:val="clear" w:color="auto" w:fill="FFFFFF"/>
        </w:rPr>
        <w:t>年</w:t>
      </w:r>
      <w:r>
        <w:rPr>
          <w:rFonts w:ascii="方正小标宋_GBK" w:eastAsia="方正小标宋_GBK" w:cs="方正小标宋_GBK" w:hAnsi="方正小标宋_GBK" w:hint="eastAsia"/>
          <w:kern w:val="0"/>
          <w:sz w:val="30"/>
          <w:szCs w:val="30"/>
          <w:shd w:val="clear" w:color="auto" w:fill="FFFFFF"/>
          <w:lang w:val="en-US" w:eastAsia="zh-CN"/>
        </w:rPr>
        <w:t>2</w:t>
      </w:r>
      <w:r>
        <w:rPr>
          <w:rFonts w:ascii="方正小标宋_GBK" w:eastAsia="方正小标宋_GBK" w:cs="方正小标宋_GBK" w:hAnsi="方正小标宋_GBK"/>
          <w:kern w:val="0"/>
          <w:sz w:val="30"/>
          <w:szCs w:val="30"/>
          <w:shd w:val="clear" w:color="auto" w:fill="FFFFFF"/>
        </w:rPr>
        <w:t>月</w:t>
      </w:r>
      <w:r>
        <w:rPr>
          <w:rFonts w:ascii="方正小标宋_GBK" w:eastAsia="方正小标宋_GBK" w:cs="方正小标宋_GBK" w:hAnsi="方正小标宋_GBK" w:hint="eastAsia"/>
          <w:kern w:val="0"/>
          <w:sz w:val="30"/>
          <w:szCs w:val="30"/>
          <w:shd w:val="clear" w:color="auto" w:fill="FFFFFF"/>
          <w:lang w:val="en-US" w:eastAsia="zh-CN"/>
        </w:rPr>
        <w:t>12</w:t>
      </w:r>
      <w:r>
        <w:rPr>
          <w:rFonts w:ascii="方正小标宋_GBK" w:eastAsia="方正小标宋_GBK" w:cs="方正小标宋_GBK" w:hAnsi="方正小标宋_GBK"/>
          <w:kern w:val="0"/>
          <w:sz w:val="30"/>
          <w:szCs w:val="30"/>
          <w:shd w:val="clear" w:color="auto" w:fill="FFFFFF"/>
        </w:rPr>
        <w:t>日至202</w:t>
      </w:r>
      <w:r>
        <w:rPr>
          <w:rFonts w:ascii="方正小标宋_GBK" w:eastAsia="方正小标宋_GBK" w:cs="方正小标宋_GBK" w:hAnsi="方正小标宋_GBK" w:hint="eastAsia"/>
          <w:kern w:val="0"/>
          <w:sz w:val="30"/>
          <w:szCs w:val="30"/>
          <w:shd w:val="clear" w:color="auto" w:fill="FFFFFF"/>
          <w:lang w:val="en-US" w:eastAsia="zh-CN"/>
        </w:rPr>
        <w:t>5</w:t>
      </w:r>
      <w:r>
        <w:rPr>
          <w:rFonts w:ascii="方正小标宋_GBK" w:eastAsia="方正小标宋_GBK" w:cs="方正小标宋_GBK" w:hAnsi="方正小标宋_GBK"/>
          <w:kern w:val="0"/>
          <w:sz w:val="30"/>
          <w:szCs w:val="30"/>
          <w:shd w:val="clear" w:color="auto" w:fill="FFFFFF"/>
        </w:rPr>
        <w:t>年</w:t>
      </w:r>
      <w:r>
        <w:rPr>
          <w:rFonts w:ascii="方正小标宋_GBK" w:eastAsia="方正小标宋_GBK" w:cs="方正小标宋_GBK" w:hAnsi="方正小标宋_GBK" w:hint="eastAsia"/>
          <w:kern w:val="0"/>
          <w:sz w:val="30"/>
          <w:szCs w:val="30"/>
          <w:shd w:val="clear" w:color="auto" w:fill="FFFFFF"/>
          <w:lang w:val="en-US" w:eastAsia="zh-CN"/>
        </w:rPr>
        <w:t>2</w:t>
      </w:r>
      <w:r>
        <w:rPr>
          <w:rFonts w:ascii="方正小标宋_GBK" w:eastAsia="方正小标宋_GBK" w:cs="方正小标宋_GBK" w:hAnsi="方正小标宋_GBK"/>
          <w:kern w:val="0"/>
          <w:sz w:val="30"/>
          <w:szCs w:val="30"/>
          <w:shd w:val="clear" w:color="auto" w:fill="FFFFFF"/>
        </w:rPr>
        <w:t>月</w:t>
      </w:r>
      <w:r>
        <w:rPr>
          <w:rFonts w:ascii="方正小标宋_GBK" w:eastAsia="方正小标宋_GBK" w:cs="方正小标宋_GBK" w:hAnsi="方正小标宋_GBK" w:hint="eastAsia"/>
          <w:kern w:val="0"/>
          <w:sz w:val="30"/>
          <w:szCs w:val="30"/>
          <w:shd w:val="clear" w:color="auto" w:fill="FFFFFF"/>
          <w:lang w:val="en-US" w:eastAsia="zh-CN"/>
        </w:rPr>
        <w:t>17</w:t>
      </w:r>
      <w:r>
        <w:rPr>
          <w:rFonts w:ascii="方正小标宋_GBK" w:eastAsia="方正小标宋_GBK" w:cs="方正小标宋_GBK" w:hAnsi="方正小标宋_GBK"/>
          <w:kern w:val="0"/>
          <w:sz w:val="30"/>
          <w:szCs w:val="30"/>
          <w:shd w:val="clear" w:color="auto" w:fill="FFFFFF"/>
        </w:rPr>
        <w:t>日）</w:t>
      </w:r>
    </w:p>
    <w:tbl>
      <w:tblPr>
        <w:jc w:val="cente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54"/>
        <w:gridCol w:w="1755"/>
        <w:gridCol w:w="1446"/>
        <w:gridCol w:w="742"/>
        <w:gridCol w:w="122"/>
        <w:gridCol w:w="1057"/>
        <w:gridCol w:w="1103"/>
        <w:gridCol w:w="585"/>
        <w:gridCol w:w="735"/>
        <w:gridCol w:w="1607"/>
      </w:tblGrid>
      <w:tr>
        <w:trPr>
          <w:trHeight w:val="798"/>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项目标段名称</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重庆三峡银行两江支行搬迁装修工程标段2（第二次）</w:t>
            </w:r>
          </w:p>
        </w:tc>
        <w:tc>
          <w:tcPr>
            <w:tcW w:w="1688" w:type="dxa"/>
            <w:gridSpan w:val="2"/>
            <w:vMerge w:val="restart"/>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最高限价（或招标控制价）</w:t>
            </w:r>
          </w:p>
        </w:tc>
        <w:tc>
          <w:tcPr>
            <w:tcW w:w="2342" w:type="dxa"/>
            <w:gridSpan w:val="2"/>
            <w:vMerge w:val="restart"/>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lang w:val="en-US" w:eastAsia="zh-CN"/>
              </w:rPr>
            </w:pPr>
            <w:r>
              <w:rPr>
                <w:rFonts w:ascii="Times New Roman" w:eastAsia="宋体" w:hAnsi="Times New Roman" w:hint="eastAsia"/>
                <w:szCs w:val="21"/>
                <w:lang w:val="en-US" w:eastAsia="zh-CN"/>
              </w:rPr>
              <w:t>580856.47元</w:t>
            </w:r>
          </w:p>
        </w:tc>
      </w:tr>
      <w:tr>
        <w:trPr>
          <w:trHeight w:val="557"/>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项目编码</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50000120241231025040101</w:t>
            </w:r>
          </w:p>
        </w:tc>
        <w:tc>
          <w:tcPr>
            <w:tcW w:w="1688" w:type="dxa"/>
            <w:gridSpan w:val="2"/>
            <w:vMerge/>
            <w:tcBorders>
              <w:top w:val="single" w:sz="4" w:space="0" w:color="auto"/>
              <w:left w:val="nil"/>
              <w:bottom w:val="single" w:sz="4" w:space="0" w:color="auto"/>
              <w:right w:val="single" w:sz="4" w:space="0" w:color="auto"/>
            </w:tcBorders>
            <w:shd w:val="clear" w:color="auto" w:fill="auto"/>
            <w:vAlign w:val="center"/>
          </w:tcPr>
          <w:p/>
        </w:tc>
        <w:tc>
          <w:tcPr>
            <w:tcW w:w="2342" w:type="dxa"/>
            <w:gridSpan w:val="2"/>
            <w:vMerge/>
            <w:tcBorders>
              <w:top w:val="single" w:sz="4" w:space="0" w:color="auto"/>
              <w:left w:val="nil"/>
              <w:bottom w:val="single" w:sz="4" w:space="0" w:color="auto"/>
              <w:right w:val="single" w:sz="4" w:space="0" w:color="auto"/>
            </w:tcBorders>
            <w:shd w:val="clear" w:color="auto" w:fill="auto"/>
            <w:vAlign w:val="center"/>
          </w:tcPr>
          <w:p/>
        </w:tc>
      </w:tr>
      <w:tr>
        <w:trPr>
          <w:trHeight w:val="630"/>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招标公告编号</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w:t>
            </w:r>
          </w:p>
        </w:tc>
        <w:tc>
          <w:tcPr>
            <w:tcW w:w="1688" w:type="dxa"/>
            <w:gridSpan w:val="2"/>
            <w:vMerge/>
            <w:tcBorders>
              <w:top w:val="single" w:sz="4" w:space="0" w:color="auto"/>
              <w:left w:val="nil"/>
              <w:bottom w:val="single" w:sz="4" w:space="0" w:color="auto"/>
              <w:right w:val="single" w:sz="4" w:space="0" w:color="auto"/>
            </w:tcBorders>
            <w:shd w:val="clear" w:color="auto" w:fill="auto"/>
            <w:vAlign w:val="center"/>
          </w:tcPr>
          <w:p/>
        </w:tc>
        <w:tc>
          <w:tcPr>
            <w:tcW w:w="2342" w:type="dxa"/>
            <w:gridSpan w:val="2"/>
            <w:vMerge/>
            <w:tcBorders>
              <w:top w:val="single" w:sz="4" w:space="0" w:color="auto"/>
              <w:left w:val="nil"/>
              <w:bottom w:val="single" w:sz="4" w:space="0" w:color="auto"/>
              <w:right w:val="single" w:sz="4" w:space="0" w:color="auto"/>
            </w:tcBorders>
            <w:shd w:val="clear" w:color="auto" w:fill="auto"/>
            <w:vAlign w:val="center"/>
          </w:tcPr>
          <w:p/>
        </w:tc>
      </w:tr>
      <w:tr>
        <w:trPr>
          <w:trHeight w:val="515"/>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招标人</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 xml:space="preserve"> 重庆三峡银行股份有限公司</w:t>
            </w:r>
          </w:p>
        </w:tc>
        <w:tc>
          <w:tcPr>
            <w:tcW w:w="1688"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招标人联系电话</w:t>
            </w:r>
          </w:p>
        </w:tc>
        <w:tc>
          <w:tcPr>
            <w:tcW w:w="2342"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023-88890395</w:t>
            </w:r>
          </w:p>
        </w:tc>
      </w:tr>
      <w:tr>
        <w:trPr>
          <w:trHeight w:val="660"/>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招标代理机构</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重庆招标采购（集团）有限责任公司</w:t>
            </w:r>
          </w:p>
        </w:tc>
        <w:tc>
          <w:tcPr>
            <w:tcW w:w="1688"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招标代理机构联系电话</w:t>
            </w:r>
          </w:p>
        </w:tc>
        <w:tc>
          <w:tcPr>
            <w:tcW w:w="2342"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szCs w:val="21"/>
              </w:rPr>
              <w:t>023-</w:t>
            </w:r>
            <w:r>
              <w:rPr>
                <w:rFonts w:ascii="Times New Roman" w:eastAsia="宋体" w:hAnsi="Times New Roman" w:hint="eastAsia"/>
                <w:szCs w:val="21"/>
              </w:rPr>
              <w:t>67717810</w:t>
            </w:r>
          </w:p>
        </w:tc>
      </w:tr>
      <w:tr>
        <w:trPr>
          <w:trHeight w:val="395"/>
        </w:trPr>
        <w:tc>
          <w:tcPr>
            <w:tcW w:w="1154" w:type="dxa"/>
            <w:vMerge w:val="restart"/>
            <w:tcBorders>
              <w:top w:val="nil"/>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中标候选人排序</w:t>
            </w:r>
          </w:p>
        </w:tc>
        <w:tc>
          <w:tcPr>
            <w:tcW w:w="1755" w:type="dxa"/>
            <w:vMerge w:val="restart"/>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名称</w:t>
            </w:r>
          </w:p>
        </w:tc>
        <w:tc>
          <w:tcPr>
            <w:tcW w:w="1446" w:type="dxa"/>
            <w:vMerge w:val="restart"/>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hint="eastAsia"/>
                <w:szCs w:val="21"/>
                <w:lang w:eastAsia="zh-CN"/>
              </w:rPr>
            </w:pPr>
            <w:r>
              <w:rPr>
                <w:rFonts w:ascii="Times New Roman" w:eastAsia="宋体" w:cs="宋体" w:hAnsi="Times New Roman" w:hint="eastAsia"/>
                <w:color w:val="000000"/>
                <w:kern w:val="0"/>
                <w:szCs w:val="21"/>
              </w:rPr>
              <w:t>投标报价</w:t>
            </w:r>
          </w:p>
        </w:tc>
        <w:tc>
          <w:tcPr>
            <w:tcW w:w="864" w:type="dxa"/>
            <w:gridSpan w:val="2"/>
            <w:vMerge w:val="restart"/>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工期</w:t>
            </w:r>
          </w:p>
        </w:tc>
        <w:tc>
          <w:tcPr>
            <w:tcW w:w="1057" w:type="dxa"/>
            <w:vMerge w:val="restart"/>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质量标准</w:t>
            </w:r>
          </w:p>
        </w:tc>
        <w:tc>
          <w:tcPr>
            <w:tcW w:w="4030" w:type="dxa"/>
            <w:gridSpan w:val="4"/>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拟任项目经理</w:t>
            </w:r>
          </w:p>
        </w:tc>
      </w:tr>
      <w:tr>
        <w:trPr>
          <w:trHeight w:val="90"/>
        </w:trPr>
        <w:tc>
          <w:tcPr>
            <w:tcW w:w="1154" w:type="dxa"/>
            <w:vMerge/>
            <w:tcBorders>
              <w:top w:val="nil"/>
              <w:left w:val="single" w:sz="4" w:space="0" w:color="auto"/>
              <w:bottom w:val="single" w:sz="4" w:space="0" w:color="auto"/>
              <w:right w:val="single" w:sz="4" w:space="0" w:color="auto"/>
            </w:tcBorders>
            <w:shd w:val="clear" w:color="auto" w:fill="auto"/>
            <w:vAlign w:val="center"/>
          </w:tcPr>
          <w:p/>
        </w:tc>
        <w:tc>
          <w:tcPr>
            <w:tcW w:w="1755" w:type="dxa"/>
            <w:vMerge/>
            <w:tcBorders>
              <w:top w:val="nil"/>
              <w:left w:val="nil"/>
              <w:bottom w:val="single" w:sz="4" w:space="0" w:color="auto"/>
              <w:right w:val="single" w:sz="4" w:space="0" w:color="auto"/>
            </w:tcBorders>
            <w:shd w:val="clear" w:color="auto" w:fill="auto"/>
            <w:vAlign w:val="center"/>
          </w:tcPr>
          <w:p/>
        </w:tc>
        <w:tc>
          <w:tcPr>
            <w:tcW w:w="1446" w:type="dxa"/>
            <w:vMerge/>
            <w:tcBorders>
              <w:top w:val="nil"/>
              <w:left w:val="nil"/>
              <w:bottom w:val="single" w:sz="4" w:space="0" w:color="auto"/>
              <w:right w:val="single" w:sz="4" w:space="0" w:color="auto"/>
            </w:tcBorders>
            <w:shd w:val="clear" w:color="auto" w:fill="auto"/>
            <w:vAlign w:val="center"/>
          </w:tcPr>
          <w:p/>
        </w:tc>
        <w:tc>
          <w:tcPr>
            <w:tcW w:w="864" w:type="dxa"/>
            <w:gridSpan w:val="2"/>
            <w:vMerge/>
            <w:tcBorders>
              <w:top w:val="nil"/>
              <w:left w:val="nil"/>
              <w:bottom w:val="single" w:sz="4" w:space="0" w:color="auto"/>
              <w:right w:val="single" w:sz="4" w:space="0" w:color="auto"/>
            </w:tcBorders>
            <w:shd w:val="clear" w:color="auto" w:fill="auto"/>
            <w:vAlign w:val="center"/>
          </w:tcPr>
          <w:p/>
        </w:tc>
        <w:tc>
          <w:tcPr>
            <w:tcW w:w="1057" w:type="dxa"/>
            <w:vMerge/>
            <w:tcBorders>
              <w:top w:val="single" w:sz="4" w:space="0" w:color="auto"/>
              <w:left w:val="nil"/>
              <w:bottom w:val="single" w:sz="4" w:space="0" w:color="auto"/>
              <w:right w:val="single" w:sz="4" w:space="0" w:color="auto"/>
            </w:tcBorders>
            <w:shd w:val="clear" w:color="auto" w:fill="auto"/>
            <w:vAlign w:val="center"/>
          </w:tcPr>
          <w:p/>
        </w:tc>
        <w:tc>
          <w:tcPr>
            <w:tcW w:w="1103"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姓名</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证书名称</w:t>
            </w:r>
          </w:p>
        </w:tc>
        <w:tc>
          <w:tcPr>
            <w:tcW w:w="1607"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证书编号</w:t>
            </w:r>
          </w:p>
        </w:tc>
      </w:tr>
      <w:tr>
        <w:trPr>
          <w:trHeight w:val="960"/>
        </w:trPr>
        <w:tc>
          <w:tcPr>
            <w:tcW w:w="1154" w:type="dxa"/>
            <w:tcBorders>
              <w:top w:val="nil"/>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第一名</w:t>
            </w:r>
          </w:p>
        </w:tc>
        <w:tc>
          <w:tcPr>
            <w:tcW w:w="1755" w:type="dxa"/>
            <w:tcBorders>
              <w:top w:val="nil"/>
              <w:left w:val="nil"/>
              <w:bottom w:val="single" w:sz="4" w:space="0" w:color="auto"/>
              <w:right w:val="single" w:sz="4" w:space="0" w:color="auto"/>
            </w:tcBorders>
            <w:shd w:val="clear" w:color="auto" w:fill="auto"/>
            <w:vAlign w:val="center"/>
          </w:tcPr>
          <w:p>
            <w:pPr>
              <w:widowControl/>
              <w:spacing w:line="260" w:lineRule="exact"/>
              <w:rPr>
                <w:rFonts w:ascii="Times New Roman" w:eastAsia="宋体" w:hAnsi="Times New Roman"/>
                <w:szCs w:val="21"/>
                <w:lang w:val="en-US" w:eastAsia="zh-CN"/>
              </w:rPr>
            </w:pPr>
            <w:r>
              <w:rPr>
                <w:rFonts w:ascii="Times New Roman" w:eastAsia="宋体" w:hAnsi="Times New Roman" w:hint="eastAsia"/>
                <w:szCs w:val="21"/>
                <w:lang w:val="en-US" w:eastAsia="zh-CN"/>
              </w:rPr>
              <w:t>重庆市戴勋科技有限公司</w:t>
            </w:r>
          </w:p>
        </w:tc>
        <w:tc>
          <w:tcPr>
            <w:tcW w:w="1446" w:type="dxa"/>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lang w:val="en-US" w:eastAsia="zh-CN"/>
              </w:rPr>
            </w:pPr>
            <w:r>
              <w:rPr>
                <w:rFonts w:ascii="Times New Roman" w:eastAsia="宋体" w:hAnsi="Times New Roman" w:hint="eastAsia"/>
                <w:szCs w:val="21"/>
                <w:lang w:val="en-US" w:eastAsia="zh-CN"/>
              </w:rPr>
              <w:t>538451.62元</w:t>
            </w:r>
          </w:p>
        </w:tc>
        <w:tc>
          <w:tcPr>
            <w:tcW w:w="864" w:type="dxa"/>
            <w:gridSpan w:val="2"/>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057" w:type="dxa"/>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103"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lang w:val="en-US" w:eastAsia="zh-CN"/>
              </w:rPr>
            </w:pPr>
            <w:r>
              <w:rPr>
                <w:rFonts w:ascii="Times New Roman" w:eastAsia="宋体" w:hAnsi="Times New Roman" w:hint="eastAsia"/>
                <w:szCs w:val="21"/>
                <w:lang w:val="en-US" w:eastAsia="zh-CN"/>
              </w:rPr>
              <w:t>程进</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lang w:val="en-US"/>
              </w:rPr>
            </w:pPr>
            <w:r>
              <w:rPr>
                <w:rFonts w:ascii="宋体" w:eastAsia="宋体" w:cs="宋体" w:hAnsi="宋体" w:hint="eastAsia"/>
                <w:kern w:val="0"/>
                <w:szCs w:val="21"/>
                <w:lang w:val="en-US" w:eastAsia="zh-CN"/>
              </w:rPr>
              <w:t>注册建造师</w:t>
            </w:r>
          </w:p>
        </w:tc>
        <w:tc>
          <w:tcPr>
            <w:tcW w:w="1607"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lang w:val="en-US" w:eastAsia="zh-CN"/>
              </w:rPr>
            </w:pPr>
            <w:r>
              <w:rPr>
                <w:rFonts w:ascii="Times New Roman" w:eastAsia="宋体" w:hAnsi="Times New Roman" w:hint="eastAsia"/>
                <w:szCs w:val="21"/>
                <w:lang w:val="en-US" w:eastAsia="zh-CN"/>
              </w:rPr>
              <w:t>渝2502012201303454</w:t>
            </w:r>
          </w:p>
        </w:tc>
      </w:tr>
      <w:tr>
        <w:trPr>
          <w:trHeight w:val="1009"/>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第二名</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rPr>
                <w:rFonts w:ascii="Times New Roman" w:eastAsia="宋体" w:hAnsi="Times New Roman"/>
                <w:szCs w:val="21"/>
                <w:lang w:val="en-US" w:eastAsia="zh-CN"/>
              </w:rPr>
            </w:pPr>
            <w:r>
              <w:rPr>
                <w:rFonts w:ascii="Times New Roman" w:eastAsia="宋体" w:hAnsi="Times New Roman" w:hint="eastAsia"/>
                <w:szCs w:val="21"/>
                <w:lang w:val="en-US" w:eastAsia="zh-CN"/>
              </w:rPr>
              <w:t>浩云科技股份有限公司</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lang w:val="en-US" w:eastAsia="zh-CN"/>
              </w:rPr>
            </w:pPr>
            <w:r>
              <w:rPr>
                <w:rFonts w:ascii="Times New Roman" w:eastAsia="宋体" w:hAnsi="Times New Roman" w:hint="eastAsia"/>
                <w:szCs w:val="21"/>
                <w:lang w:val="en-US" w:eastAsia="zh-CN"/>
              </w:rPr>
              <w:t>539034.81元</w:t>
            </w:r>
          </w:p>
        </w:tc>
        <w:tc>
          <w:tcPr>
            <w:tcW w:w="8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lang w:val="en-US" w:eastAsia="zh-CN"/>
              </w:rPr>
            </w:pPr>
            <w:r>
              <w:rPr>
                <w:rFonts w:ascii="Times New Roman" w:eastAsia="宋体" w:hAnsi="Times New Roman" w:hint="eastAsia"/>
                <w:szCs w:val="21"/>
                <w:lang w:val="en-US" w:eastAsia="zh-CN"/>
              </w:rPr>
              <w:t>周锐林</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rPr>
            </w:pPr>
            <w:r>
              <w:rPr>
                <w:rFonts w:ascii="宋体" w:eastAsia="宋体" w:cs="宋体" w:hAnsi="宋体" w:hint="eastAsia"/>
                <w:kern w:val="0"/>
                <w:szCs w:val="21"/>
                <w:lang w:val="en-US" w:eastAsia="zh-CN"/>
              </w:rPr>
              <w:t>注册建造师</w:t>
            </w:r>
          </w:p>
        </w:tc>
        <w:tc>
          <w:tcPr>
            <w:tcW w:w="1607"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lang w:val="en-US" w:eastAsia="zh-CN"/>
              </w:rPr>
            </w:pPr>
            <w:r>
              <w:rPr>
                <w:rFonts w:ascii="Times New Roman" w:eastAsia="宋体" w:hAnsi="Times New Roman" w:hint="eastAsia"/>
                <w:szCs w:val="21"/>
                <w:lang w:val="en-US" w:eastAsia="zh-CN"/>
              </w:rPr>
              <w:t>粤2442022202310012</w:t>
            </w:r>
          </w:p>
        </w:tc>
      </w:tr>
      <w:tr>
        <w:trPr>
          <w:trHeight w:val="439"/>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第三名</w:t>
            </w:r>
          </w:p>
        </w:tc>
        <w:tc>
          <w:tcPr>
            <w:tcW w:w="1755"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hint="eastAsia"/>
                <w:sz w:val="24"/>
                <w:szCs w:val="24"/>
                <w:lang w:val="en-US" w:eastAsia="zh-CN"/>
              </w:rPr>
            </w:pPr>
            <w:r>
              <w:rPr>
                <w:rFonts w:ascii="Times New Roman" w:eastAsia="宋体" w:hAnsi="Times New Roman" w:hint="eastAsia"/>
                <w:sz w:val="24"/>
                <w:szCs w:val="24"/>
                <w:lang w:val="en-US" w:eastAsia="zh-CN"/>
              </w:rPr>
              <w:t>/</w:t>
            </w:r>
          </w:p>
        </w:tc>
        <w:tc>
          <w:tcPr>
            <w:tcW w:w="1446"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hint="eastAsia"/>
                <w:sz w:val="24"/>
                <w:szCs w:val="24"/>
                <w:lang w:val="en-US" w:eastAsia="zh-CN"/>
              </w:rPr>
            </w:pPr>
            <w:r>
              <w:rPr>
                <w:rFonts w:ascii="Times New Roman" w:eastAsia="宋体" w:hAnsi="Times New Roman" w:hint="eastAsia"/>
                <w:sz w:val="24"/>
                <w:szCs w:val="24"/>
                <w:lang w:val="en-US" w:eastAsia="zh-CN"/>
              </w:rPr>
              <w:t>/</w:t>
            </w:r>
          </w:p>
        </w:tc>
        <w:tc>
          <w:tcPr>
            <w:tcW w:w="864"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 w:val="24"/>
                <w:szCs w:val="24"/>
                <w:lang w:val="en-US" w:eastAsia="zh-CN"/>
              </w:rPr>
              <w:t>/</w:t>
            </w:r>
          </w:p>
        </w:tc>
        <w:tc>
          <w:tcPr>
            <w:tcW w:w="1057"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 w:val="24"/>
                <w:szCs w:val="24"/>
                <w:lang w:val="en-US" w:eastAsia="zh-CN"/>
              </w:rPr>
              <w:t>/</w:t>
            </w:r>
          </w:p>
        </w:tc>
        <w:tc>
          <w:tcPr>
            <w:tcW w:w="1103"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 w:val="24"/>
                <w:szCs w:val="24"/>
                <w:lang w:val="en-US" w:eastAsia="zh-CN"/>
              </w:rPr>
              <w:t>/</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 w:val="24"/>
                <w:szCs w:val="24"/>
                <w:lang w:val="en-US" w:eastAsia="zh-CN"/>
              </w:rPr>
              <w:t>/</w:t>
            </w:r>
          </w:p>
        </w:tc>
        <w:tc>
          <w:tcPr>
            <w:tcW w:w="1607"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 w:val="24"/>
                <w:szCs w:val="24"/>
                <w:lang w:val="en-US" w:eastAsia="zh-CN"/>
              </w:rPr>
              <w:t>/</w:t>
            </w:r>
          </w:p>
        </w:tc>
      </w:tr>
      <w:tr>
        <w:trPr>
          <w:trHeight w:val="448"/>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中标候选人响应招标文件要求的资格能力条件</w:t>
            </w:r>
          </w:p>
        </w:tc>
        <w:tc>
          <w:tcPr>
            <w:tcW w:w="9152" w:type="dxa"/>
            <w:gridSpan w:val="9"/>
            <w:tcBorders>
              <w:top w:val="single" w:sz="4" w:space="0" w:color="auto"/>
              <w:left w:val="nil"/>
              <w:bottom w:val="single" w:sz="4" w:space="0" w:color="auto"/>
              <w:right w:val="single" w:sz="4" w:space="0" w:color="auto"/>
            </w:tcBorders>
            <w:shd w:val="clear" w:color="auto" w:fill="auto"/>
            <w:vAlign w:val="center"/>
          </w:tcPr>
          <w:p>
            <w:pPr>
              <w:widowControl/>
              <w:spacing w:line="300" w:lineRule="exact"/>
              <w:jc w:val="left"/>
            </w:pPr>
            <w:r>
              <w:rPr>
                <w:rFonts w:hint="eastAsia"/>
              </w:rPr>
              <w:t>第一中标候选人：</w:t>
            </w:r>
            <w:r>
              <w:rPr>
                <w:rFonts w:hint="eastAsia"/>
                <w:lang w:val="en-US" w:eastAsia="zh-CN"/>
              </w:rPr>
              <w:t>重庆市戴勋科技有限公司</w:t>
            </w:r>
          </w:p>
          <w:p>
            <w:pPr>
              <w:widowControl/>
              <w:spacing w:line="300" w:lineRule="exact"/>
              <w:jc w:val="left"/>
              <w:rPr>
                <w:rFonts w:hint="eastAsia"/>
                <w:lang w:val="en-US" w:eastAsia="zh-CN"/>
              </w:rPr>
            </w:pPr>
            <w:r>
              <w:rPr>
                <w:rFonts w:hint="eastAsia"/>
              </w:rPr>
              <w:t>投标单位资质：重庆市安防工程企业一级资质、电子与智能化工程专业承包</w:t>
            </w:r>
            <w:r>
              <w:rPr>
                <w:rFonts w:hint="eastAsia"/>
                <w:lang w:val="en-US" w:eastAsia="zh-CN"/>
              </w:rPr>
              <w:t>贰</w:t>
            </w:r>
            <w:r>
              <w:rPr>
                <w:rFonts w:hint="eastAsia"/>
              </w:rPr>
              <w:t>级</w:t>
            </w:r>
          </w:p>
          <w:p>
            <w:pPr>
              <w:widowControl/>
              <w:spacing w:line="300" w:lineRule="exact"/>
              <w:jc w:val="left"/>
            </w:pPr>
            <w:r>
              <w:rPr>
                <w:rFonts w:hint="eastAsia"/>
              </w:rPr>
              <w:t>投标单位业绩：</w:t>
            </w:r>
          </w:p>
          <w:p>
            <w:pPr>
              <w:widowControl/>
              <w:numPr>
                <w:ilvl w:val="0"/>
                <w:numId w:val="1"/>
              </w:numPr>
              <w:spacing w:line="300" w:lineRule="exact"/>
              <w:jc w:val="left"/>
              <w:rPr>
                <w:rFonts w:hint="eastAsia"/>
                <w:lang w:val="en-US" w:eastAsia="zh-CN"/>
              </w:rPr>
            </w:pPr>
            <w:r>
              <w:rPr>
                <w:rFonts w:hint="eastAsia"/>
                <w:lang w:val="en-US" w:eastAsia="zh-CN"/>
              </w:rPr>
              <w:t>重庆三峡银行武隆支行搬迁装修工程（标段3：安防工程）</w:t>
            </w:r>
          </w:p>
          <w:p>
            <w:pPr>
              <w:widowControl/>
              <w:spacing w:line="300" w:lineRule="exact"/>
              <w:jc w:val="left"/>
              <w:rPr>
                <w:lang w:val="en-US" w:eastAsia="zh-CN"/>
              </w:rPr>
            </w:pPr>
            <w:r>
              <w:rPr>
                <w:rFonts w:hint="eastAsia"/>
                <w:lang w:val="en-US" w:eastAsia="zh-CN"/>
              </w:rPr>
              <w:t>2、国家开发银行重庆市分行办公楼部分监控设备改造项目</w:t>
            </w:r>
          </w:p>
          <w:p>
            <w:pPr>
              <w:widowControl/>
              <w:spacing w:line="300" w:lineRule="exact"/>
              <w:jc w:val="left"/>
            </w:pPr>
            <w:r>
              <w:rPr>
                <w:rFonts w:hint="eastAsia"/>
              </w:rPr>
              <w:t>项目经理业绩：</w:t>
            </w:r>
          </w:p>
          <w:p>
            <w:pPr>
              <w:widowControl/>
              <w:spacing w:line="300" w:lineRule="exact"/>
              <w:jc w:val="left"/>
              <w:rPr>
                <w:lang w:val="en-US" w:eastAsia="zh-CN"/>
              </w:rPr>
            </w:pPr>
            <w:r>
              <w:rPr>
                <w:rFonts w:hint="eastAsia"/>
              </w:rPr>
              <w:t>1、</w:t>
            </w:r>
            <w:bookmarkStart w:id="2" w:name="OLE_LINK2"/>
            <w:r>
              <w:rPr>
                <w:rFonts w:hint="eastAsia"/>
                <w:lang w:val="en-US" w:eastAsia="zh-CN"/>
              </w:rPr>
              <w:t>重庆三峡银行武隆支行搬迁装修工程（标段3：安防工程）</w:t>
            </w:r>
            <w:bookmarkEnd w:id="2"/>
          </w:p>
          <w:p>
            <w:pPr>
              <w:widowControl/>
              <w:spacing w:line="300" w:lineRule="exact"/>
              <w:jc w:val="left"/>
              <w:rPr>
                <w:rFonts w:hint="eastAsia"/>
              </w:rPr>
            </w:pPr>
          </w:p>
          <w:p>
            <w:pPr>
              <w:widowControl/>
              <w:spacing w:line="300" w:lineRule="exact"/>
              <w:jc w:val="left"/>
            </w:pPr>
            <w:r>
              <w:rPr>
                <w:rFonts w:hint="eastAsia"/>
              </w:rPr>
              <w:t>第二中标候选人：浩云科技股份有限公司</w:t>
            </w:r>
          </w:p>
          <w:p>
            <w:pPr>
              <w:widowControl/>
              <w:spacing w:line="300" w:lineRule="exact"/>
              <w:jc w:val="left"/>
            </w:pPr>
            <w:r>
              <w:rPr>
                <w:rFonts w:hint="eastAsia"/>
              </w:rPr>
              <w:t>投标单位资质：</w:t>
            </w:r>
            <w:r>
              <w:rPr>
                <w:rFonts w:hint="eastAsia"/>
                <w:lang w:val="en-US" w:eastAsia="zh-CN"/>
              </w:rPr>
              <w:t>广东省</w:t>
            </w:r>
            <w:r>
              <w:rPr>
                <w:rFonts w:hint="eastAsia"/>
              </w:rPr>
              <w:t>安防工程企业一级资质、电子与智能化工程专业承包</w:t>
            </w:r>
            <w:r>
              <w:rPr>
                <w:rFonts w:hint="eastAsia"/>
                <w:lang w:val="en-US" w:eastAsia="zh-CN"/>
              </w:rPr>
              <w:t>壹</w:t>
            </w:r>
            <w:r>
              <w:rPr>
                <w:rFonts w:hint="eastAsia"/>
              </w:rPr>
              <w:t>级</w:t>
            </w:r>
          </w:p>
          <w:p>
            <w:pPr>
              <w:widowControl/>
              <w:spacing w:line="300" w:lineRule="exact"/>
              <w:jc w:val="left"/>
            </w:pPr>
            <w:r>
              <w:rPr>
                <w:rFonts w:hint="eastAsia"/>
              </w:rPr>
              <w:t>投标单位业绩：</w:t>
            </w:r>
          </w:p>
          <w:p>
            <w:pPr>
              <w:widowControl/>
              <w:spacing w:line="300" w:lineRule="exact"/>
              <w:jc w:val="left"/>
              <w:rPr>
                <w:lang w:val="en-US" w:eastAsia="zh-CN"/>
              </w:rPr>
            </w:pPr>
            <w:r>
              <w:rPr>
                <w:rFonts w:hint="eastAsia"/>
              </w:rPr>
              <w:t>1、</w:t>
            </w:r>
            <w:r>
              <w:rPr>
                <w:rFonts w:hint="eastAsia"/>
                <w:lang w:val="en-US" w:eastAsia="zh-CN"/>
              </w:rPr>
              <w:t>华夏银行重庆分行门禁系统升级改造项目</w:t>
            </w:r>
          </w:p>
          <w:p>
            <w:pPr>
              <w:widowControl/>
              <w:spacing w:line="300" w:lineRule="exact"/>
              <w:jc w:val="left"/>
              <w:rPr>
                <w:rFonts w:hint="eastAsia"/>
                <w:lang w:val="en-US" w:eastAsia="zh-CN"/>
              </w:rPr>
            </w:pPr>
            <w:r>
              <w:rPr>
                <w:rFonts w:hint="eastAsia"/>
                <w:lang w:val="en-US" w:eastAsia="zh-CN"/>
              </w:rPr>
              <w:t>2、华夏银行重庆分行监控中心整体改造安装工程项目</w:t>
            </w:r>
          </w:p>
          <w:p>
            <w:pPr>
              <w:widowControl/>
              <w:spacing w:line="300" w:lineRule="exact"/>
              <w:jc w:val="left"/>
              <w:rPr>
                <w:lang w:val="en-US" w:eastAsia="zh-CN"/>
              </w:rPr>
            </w:pPr>
            <w:r>
              <w:rPr>
                <w:rFonts w:hint="eastAsia"/>
                <w:lang w:val="en-US" w:eastAsia="zh-CN"/>
              </w:rPr>
              <w:t>3、中国农业发展银行重庆市分行机关及辖属部分基层行视频监控系统升级改造工程</w:t>
            </w:r>
          </w:p>
          <w:p>
            <w:pPr>
              <w:widowControl/>
              <w:spacing w:line="300" w:lineRule="exact"/>
              <w:jc w:val="left"/>
            </w:pPr>
            <w:r>
              <w:rPr>
                <w:rFonts w:hint="eastAsia"/>
              </w:rPr>
              <w:t>项目经理业绩：</w:t>
            </w:r>
          </w:p>
          <w:p>
            <w:pPr>
              <w:widowControl/>
              <w:spacing w:line="300" w:lineRule="exact"/>
              <w:jc w:val="left"/>
              <w:rPr>
                <w:lang w:val="en-US" w:eastAsia="zh-CN"/>
              </w:rPr>
            </w:pPr>
            <w:r>
              <w:rPr>
                <w:rFonts w:hint="eastAsia"/>
              </w:rPr>
              <w:t>1、</w:t>
            </w:r>
            <w:r>
              <w:rPr>
                <w:rFonts w:hint="eastAsia"/>
                <w:lang w:val="en-US" w:eastAsia="zh-CN"/>
              </w:rPr>
              <w:t>华夏银行重庆分行门禁系统升级改造项目</w:t>
            </w:r>
          </w:p>
          <w:p>
            <w:pPr>
              <w:widowControl/>
              <w:spacing w:line="300" w:lineRule="exact"/>
              <w:jc w:val="left"/>
              <w:rPr>
                <w:rFonts w:hint="eastAsia"/>
                <w:lang w:val="en-US" w:eastAsia="zh-CN"/>
              </w:rPr>
            </w:pPr>
          </w:p>
          <w:p>
            <w:pPr>
              <w:pStyle w:val="15"/>
              <w:rPr>
                <w:rFonts w:eastAsia="宋体" w:hint="eastAsia"/>
                <w:lang w:val="en-US" w:eastAsia="zh-CN"/>
              </w:rPr>
            </w:pPr>
            <w:r>
              <w:rPr>
                <w:rFonts w:hint="eastAsia"/>
              </w:rPr>
              <w:t>第</w:t>
            </w:r>
            <w:r>
              <w:rPr>
                <w:rFonts w:hint="eastAsia"/>
                <w:lang w:val="en-US" w:eastAsia="zh-CN"/>
              </w:rPr>
              <w:t>三</w:t>
            </w:r>
            <w:r>
              <w:rPr>
                <w:rFonts w:hint="eastAsia"/>
              </w:rPr>
              <w:t>中标候选人：</w:t>
            </w:r>
            <w:r>
              <w:rPr>
                <w:rFonts w:hint="eastAsia"/>
                <w:lang w:val="en-US" w:eastAsia="zh-CN"/>
              </w:rPr>
              <w:t>/</w:t>
            </w:r>
          </w:p>
        </w:tc>
      </w:tr>
      <w:tr>
        <w:trPr>
          <w:trHeight w:val="2095"/>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招标文件规定应公示的其他内容</w:t>
            </w:r>
          </w:p>
        </w:tc>
        <w:tc>
          <w:tcPr>
            <w:tcW w:w="9152" w:type="dxa"/>
            <w:gridSpan w:val="9"/>
            <w:tcBorders>
              <w:top w:val="single" w:sz="4" w:space="0" w:color="auto"/>
              <w:left w:val="nil"/>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firstLine="0"/>
              <w:jc w:val="left"/>
              <w:textAlignment w:val="auto"/>
              <w:rPr>
                <w:rFonts w:ascii="Times New Roman" w:eastAsia="宋体" w:cs="宋体" w:hAnsi="Times New Roman" w:hint="eastAsia"/>
                <w:bCs/>
                <w:color w:val="000000"/>
                <w:kern w:val="0"/>
                <w:szCs w:val="21"/>
                <w:lang w:eastAsia="zh-CN"/>
              </w:rPr>
            </w:pPr>
            <w:r>
              <w:rPr>
                <w:rFonts w:ascii="Times New Roman" w:eastAsia="宋体" w:cs="宋体" w:hAnsi="Times New Roman" w:hint="eastAsia"/>
                <w:bCs/>
                <w:color w:val="000000"/>
                <w:kern w:val="0"/>
                <w:szCs w:val="21"/>
              </w:rPr>
              <w:t>重庆经微新技术开发有限公司业绩未附中标通知书（直接发包的项目可提供项目发包人出具的项目直接发包情况说明或证明文书代替）</w:t>
            </w:r>
            <w:r>
              <w:rPr>
                <w:rFonts w:ascii="Times New Roman" w:eastAsia="宋体" w:cs="宋体" w:hAnsi="Times New Roman" w:hint="eastAsia"/>
                <w:bCs/>
                <w:color w:val="000000"/>
                <w:kern w:val="0"/>
                <w:szCs w:val="21"/>
                <w:lang w:eastAsia="zh-CN"/>
              </w:rPr>
              <w:t>，</w:t>
            </w:r>
            <w:r>
              <w:rPr>
                <w:rFonts w:ascii="Times New Roman" w:eastAsia="宋体" w:cs="宋体" w:hAnsi="Times New Roman" w:hint="eastAsia"/>
                <w:bCs/>
                <w:color w:val="000000"/>
                <w:kern w:val="0"/>
                <w:szCs w:val="21"/>
              </w:rPr>
              <w:t>其投标文件被否决</w:t>
            </w:r>
            <w:r>
              <w:rPr>
                <w:rFonts w:ascii="Times New Roman" w:eastAsia="宋体" w:cs="宋体" w:hAnsi="Times New Roman" w:hint="eastAsia"/>
                <w:bCs/>
                <w:color w:val="000000"/>
                <w:kern w:val="0"/>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0" w:firstLine="0"/>
              <w:jc w:val="left"/>
              <w:textAlignment w:val="auto"/>
              <w:rPr>
                <w:rFonts w:ascii="Times New Roman" w:eastAsia="宋体" w:cs="宋体" w:hAnsi="Times New Roman" w:hint="eastAsia"/>
                <w:bCs/>
                <w:color w:val="000000"/>
                <w:kern w:val="0"/>
                <w:szCs w:val="21"/>
                <w:lang w:eastAsia="zh-CN"/>
              </w:rPr>
            </w:pPr>
            <w:r>
              <w:rPr>
                <w:rFonts w:ascii="Times New Roman" w:eastAsia="宋体" w:cs="宋体" w:hAnsi="Times New Roman" w:hint="eastAsia"/>
                <w:bCs/>
                <w:color w:val="000000"/>
                <w:kern w:val="0"/>
                <w:szCs w:val="21"/>
              </w:rPr>
              <w:t>重庆东原科技发展有限公司业绩工程地址为成都市青羊区超出了招标文件要求的“重庆市范围内银行网点（总分支行营业厅或办公大楼）的要求</w:t>
            </w:r>
            <w:r>
              <w:rPr>
                <w:rFonts w:ascii="Times New Roman" w:eastAsia="宋体" w:cs="宋体" w:hAnsi="Times New Roman" w:hint="eastAsia"/>
                <w:bCs/>
                <w:color w:val="000000"/>
                <w:kern w:val="0"/>
                <w:szCs w:val="21"/>
                <w:lang w:eastAsia="zh-CN"/>
              </w:rPr>
              <w:t>，</w:t>
            </w:r>
            <w:r>
              <w:rPr>
                <w:rFonts w:ascii="Times New Roman" w:eastAsia="宋体" w:cs="宋体" w:hAnsi="Times New Roman" w:hint="eastAsia"/>
                <w:bCs/>
                <w:color w:val="000000"/>
                <w:kern w:val="0"/>
                <w:szCs w:val="21"/>
              </w:rPr>
              <w:t>其投标文件被否决</w:t>
            </w:r>
            <w:r>
              <w:rPr>
                <w:rFonts w:ascii="Times New Roman" w:eastAsia="宋体" w:cs="宋体" w:hAnsi="Times New Roman" w:hint="eastAsia"/>
                <w:bCs/>
                <w:color w:val="000000"/>
                <w:kern w:val="0"/>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0" w:firstLine="0"/>
              <w:jc w:val="left"/>
              <w:textAlignment w:val="auto"/>
              <w:rPr>
                <w:rFonts w:ascii="Times New Roman" w:eastAsia="宋体" w:cs="宋体" w:hAnsi="Times New Roman" w:hint="eastAsia"/>
                <w:bCs/>
                <w:color w:val="000000"/>
                <w:kern w:val="0"/>
                <w:szCs w:val="21"/>
                <w:lang w:eastAsia="zh-CN"/>
              </w:rPr>
            </w:pPr>
            <w:r>
              <w:rPr>
                <w:rFonts w:ascii="Times New Roman" w:eastAsia="宋体" w:cs="宋体" w:hAnsi="Times New Roman" w:hint="eastAsia"/>
                <w:bCs/>
                <w:color w:val="000000"/>
                <w:kern w:val="0"/>
                <w:szCs w:val="21"/>
              </w:rPr>
              <w:t>重庆盛臻华科技有限责任公司业绩中标通知书、框架合同、工程验收表及业主发包情况表中的项目信息不一致</w:t>
            </w:r>
            <w:r>
              <w:rPr>
                <w:rFonts w:ascii="Times New Roman" w:eastAsia="宋体" w:cs="宋体" w:hAnsi="Times New Roman" w:hint="eastAsia"/>
                <w:bCs/>
                <w:color w:val="000000"/>
                <w:kern w:val="0"/>
                <w:szCs w:val="21"/>
                <w:lang w:eastAsia="zh-CN"/>
              </w:rPr>
              <w:t>，</w:t>
            </w:r>
            <w:r>
              <w:rPr>
                <w:rFonts w:ascii="Times New Roman" w:eastAsia="宋体" w:cs="宋体" w:hAnsi="Times New Roman" w:hint="eastAsia"/>
                <w:bCs/>
                <w:color w:val="000000"/>
                <w:kern w:val="0"/>
                <w:szCs w:val="21"/>
              </w:rPr>
              <w:t>其投标文件被否决</w:t>
            </w:r>
            <w:r>
              <w:rPr>
                <w:rFonts w:ascii="Times New Roman" w:eastAsia="宋体" w:cs="宋体" w:hAnsi="Times New Roman" w:hint="eastAsia"/>
                <w:bCs/>
                <w:color w:val="000000"/>
                <w:kern w:val="0"/>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0" w:firstLine="0"/>
              <w:jc w:val="left"/>
              <w:textAlignment w:val="auto"/>
              <w:rPr>
                <w:rFonts w:ascii="Times New Roman" w:eastAsia="宋体" w:hAnsi="Times New Roman" w:hint="eastAsia"/>
                <w:szCs w:val="21"/>
                <w:lang w:eastAsia="zh-CN"/>
              </w:rPr>
            </w:pPr>
            <w:r>
              <w:rPr>
                <w:rFonts w:ascii="Times New Roman" w:eastAsia="宋体" w:cs="宋体" w:hAnsi="Times New Roman" w:hint="eastAsia"/>
                <w:bCs/>
                <w:color w:val="000000"/>
                <w:kern w:val="0"/>
                <w:szCs w:val="21"/>
                <w:lang w:eastAsia="zh-CN"/>
              </w:rPr>
              <w:t>重庆西物科力电子技术有限公司投标函未填写投标报价，其投标文件被否决，</w:t>
            </w:r>
          </w:p>
        </w:tc>
      </w:tr>
      <w:tr>
        <w:trPr>
          <w:trHeight w:val="965"/>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中标候选人评标情况</w:t>
            </w:r>
          </w:p>
        </w:tc>
        <w:tc>
          <w:tcPr>
            <w:tcW w:w="9152" w:type="dxa"/>
            <w:gridSpan w:val="9"/>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rPr>
            </w:pPr>
            <w:r>
              <w:rPr>
                <w:rFonts w:ascii="Times New Roman" w:eastAsia="宋体" w:cs="宋体" w:hAnsi="Times New Roman" w:hint="eastAsia"/>
                <w:bCs/>
                <w:color w:val="333333"/>
                <w:kern w:val="0"/>
                <w:szCs w:val="21"/>
              </w:rPr>
              <w:t>中标候选人资格评审、形式评审、响应性评审、投标函部分及经济部分评审均合格。</w:t>
            </w:r>
          </w:p>
        </w:tc>
      </w:tr>
      <w:tr>
        <w:trPr>
          <w:trHeight w:val="1096"/>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提出异议的渠道和方式</w:t>
            </w:r>
          </w:p>
        </w:tc>
        <w:tc>
          <w:tcPr>
            <w:tcW w:w="9152" w:type="dxa"/>
            <w:gridSpan w:val="9"/>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rPr>
            </w:pPr>
            <w:r>
              <w:rPr>
                <w:rFonts w:ascii="Times New Roman" w:eastAsia="宋体" w:cs="宋体" w:hAnsi="Times New Roman" w:hint="eastAsia"/>
                <w:color w:val="000000"/>
                <w:kern w:val="0"/>
                <w:szCs w:val="21"/>
              </w:rPr>
              <w:t>投标人或者其他利害关系人对评标结果有异议的，应在中标候选人公示期内以书面形式向招标人：</w:t>
            </w:r>
            <w:r>
              <w:rPr>
                <w:rFonts w:ascii="Times New Roman" w:eastAsia="宋体" w:hAnsi="Times New Roman" w:hint="eastAsia"/>
                <w:szCs w:val="21"/>
              </w:rPr>
              <w:t xml:space="preserve"> 重庆三峡银行股份有限公司</w:t>
            </w:r>
            <w:r>
              <w:rPr>
                <w:rFonts w:ascii="Times New Roman" w:eastAsia="宋体" w:cs="宋体" w:hAnsi="Times New Roman" w:hint="eastAsia"/>
                <w:color w:val="000000"/>
                <w:kern w:val="0"/>
                <w:szCs w:val="21"/>
              </w:rPr>
              <w:t>，联系电话：023-88890395提出异议。</w:t>
            </w:r>
          </w:p>
        </w:tc>
      </w:tr>
      <w:tr>
        <w:trPr>
          <w:trHeight w:val="805"/>
        </w:trPr>
        <w:tc>
          <w:tcPr>
            <w:tcW w:w="50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left"/>
              <w:rPr>
                <w:rFonts w:ascii="Times New Roman" w:eastAsia="宋体" w:cs="宋体" w:hAnsi="Times New Roman"/>
                <w:color w:val="000000"/>
                <w:kern w:val="0"/>
                <w:szCs w:val="21"/>
              </w:rPr>
            </w:pPr>
            <w:r>
              <w:rPr>
                <w:rFonts w:ascii="Times New Roman" w:eastAsia="宋体" w:cs="宋体" w:hAnsi="Times New Roman" w:hint="eastAsia"/>
                <w:color w:val="000000"/>
                <w:kern w:val="0"/>
                <w:szCs w:val="21"/>
              </w:rPr>
              <w:t>招标人（盖章）：</w:t>
            </w:r>
          </w:p>
          <w:p>
            <w:pPr>
              <w:widowControl/>
              <w:spacing w:line="260" w:lineRule="exact"/>
              <w:ind w:firstLineChars="1200" w:firstLine="2520"/>
              <w:jc w:val="left"/>
              <w:rPr>
                <w:rFonts w:ascii="Times New Roman" w:eastAsia="宋体" w:hAnsi="Times New Roman"/>
                <w:szCs w:val="21"/>
              </w:rPr>
            </w:pPr>
            <w:r>
              <w:rPr>
                <w:rFonts w:ascii="Times New Roman" w:eastAsia="宋体" w:cs="宋体" w:hAnsi="Times New Roman" w:hint="eastAsia"/>
                <w:color w:val="000000"/>
                <w:kern w:val="0"/>
                <w:szCs w:val="21"/>
              </w:rPr>
              <w:t>202</w:t>
            </w:r>
            <w:r>
              <w:rPr>
                <w:rFonts w:ascii="Times New Roman" w:eastAsia="宋体" w:cs="宋体" w:hAnsi="Times New Roman" w:hint="eastAsia"/>
                <w:color w:val="000000"/>
                <w:kern w:val="0"/>
                <w:szCs w:val="21"/>
                <w:lang w:val="en-US" w:eastAsia="zh-CN"/>
              </w:rPr>
              <w:t>5</w:t>
            </w:r>
            <w:r>
              <w:rPr>
                <w:rFonts w:ascii="Times New Roman" w:eastAsia="宋体" w:cs="宋体" w:hAnsi="Times New Roman" w:hint="eastAsia"/>
                <w:color w:val="000000"/>
                <w:kern w:val="0"/>
                <w:szCs w:val="21"/>
              </w:rPr>
              <w:t>年</w:t>
            </w:r>
            <w:r>
              <w:rPr>
                <w:rFonts w:ascii="Times New Roman" w:eastAsia="宋体" w:cs="宋体" w:hAnsi="Times New Roman" w:hint="eastAsia"/>
                <w:color w:val="000000"/>
                <w:kern w:val="0"/>
                <w:szCs w:val="21"/>
                <w:lang w:val="en-US" w:eastAsia="zh-CN"/>
              </w:rPr>
              <w:t>2</w:t>
            </w:r>
            <w:r>
              <w:rPr>
                <w:rFonts w:ascii="Times New Roman" w:eastAsia="宋体" w:cs="宋体" w:hAnsi="Times New Roman" w:hint="eastAsia"/>
                <w:color w:val="000000"/>
                <w:kern w:val="0"/>
                <w:szCs w:val="21"/>
              </w:rPr>
              <w:t>月</w:t>
            </w:r>
            <w:r>
              <w:rPr>
                <w:rFonts w:ascii="Times New Roman" w:eastAsia="宋体" w:cs="宋体" w:hAnsi="Times New Roman" w:hint="eastAsia"/>
                <w:color w:val="000000"/>
                <w:kern w:val="0"/>
                <w:szCs w:val="21"/>
                <w:lang w:val="en-US" w:eastAsia="zh-CN"/>
              </w:rPr>
              <w:t>12</w:t>
            </w:r>
            <w:r>
              <w:rPr>
                <w:rFonts w:ascii="Times New Roman" w:eastAsia="宋体" w:cs="宋体" w:hAnsi="Times New Roman" w:hint="eastAsia"/>
                <w:color w:val="000000"/>
                <w:kern w:val="0"/>
                <w:szCs w:val="21"/>
              </w:rPr>
              <w:t>日</w:t>
            </w:r>
          </w:p>
        </w:tc>
        <w:tc>
          <w:tcPr>
            <w:tcW w:w="5209" w:type="dxa"/>
            <w:gridSpan w:val="6"/>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cs="宋体" w:hAnsi="Times New Roman"/>
                <w:color w:val="000000"/>
                <w:kern w:val="0"/>
                <w:szCs w:val="21"/>
              </w:rPr>
            </w:pPr>
            <w:r>
              <w:rPr>
                <w:rFonts w:ascii="Times New Roman" w:eastAsia="宋体" w:cs="宋体" w:hAnsi="Times New Roman" w:hint="eastAsia"/>
                <w:color w:val="000000"/>
                <w:kern w:val="0"/>
                <w:szCs w:val="21"/>
              </w:rPr>
              <w:t>招标代理机构（盖章）：</w:t>
            </w:r>
          </w:p>
          <w:p>
            <w:pPr>
              <w:widowControl/>
              <w:spacing w:line="260" w:lineRule="exact"/>
              <w:ind w:firstLineChars="1300" w:firstLine="2730"/>
              <w:jc w:val="left"/>
              <w:rPr>
                <w:rFonts w:ascii="Times New Roman" w:eastAsia="宋体" w:hAnsi="Times New Roman"/>
                <w:szCs w:val="21"/>
              </w:rPr>
            </w:pPr>
            <w:r>
              <w:rPr>
                <w:rFonts w:ascii="Times New Roman" w:eastAsia="宋体" w:cs="宋体" w:hAnsi="Times New Roman" w:hint="eastAsia"/>
                <w:color w:val="000000"/>
                <w:kern w:val="0"/>
                <w:szCs w:val="21"/>
              </w:rPr>
              <w:t>202</w:t>
            </w:r>
            <w:r>
              <w:rPr>
                <w:rFonts w:ascii="Times New Roman" w:eastAsia="宋体" w:cs="宋体" w:hAnsi="Times New Roman" w:hint="eastAsia"/>
                <w:color w:val="000000"/>
                <w:kern w:val="0"/>
                <w:szCs w:val="21"/>
                <w:lang w:val="en-US" w:eastAsia="zh-CN"/>
              </w:rPr>
              <w:t>5</w:t>
            </w:r>
            <w:r>
              <w:rPr>
                <w:rFonts w:ascii="Times New Roman" w:eastAsia="宋体" w:cs="宋体" w:hAnsi="Times New Roman" w:hint="eastAsia"/>
                <w:color w:val="000000"/>
                <w:kern w:val="0"/>
                <w:szCs w:val="21"/>
              </w:rPr>
              <w:t>年</w:t>
            </w:r>
            <w:r>
              <w:rPr>
                <w:rFonts w:ascii="Times New Roman" w:eastAsia="宋体" w:cs="宋体" w:hAnsi="Times New Roman" w:hint="eastAsia"/>
                <w:color w:val="000000"/>
                <w:kern w:val="0"/>
                <w:szCs w:val="21"/>
                <w:lang w:val="en-US" w:eastAsia="zh-CN"/>
              </w:rPr>
              <w:t>2</w:t>
            </w:r>
            <w:r>
              <w:rPr>
                <w:rFonts w:ascii="Times New Roman" w:eastAsia="宋体" w:cs="宋体" w:hAnsi="Times New Roman" w:hint="eastAsia"/>
                <w:color w:val="000000"/>
                <w:kern w:val="0"/>
                <w:szCs w:val="21"/>
              </w:rPr>
              <w:t>月</w:t>
            </w:r>
            <w:r>
              <w:rPr>
                <w:rFonts w:ascii="Times New Roman" w:eastAsia="宋体" w:cs="宋体" w:hAnsi="Times New Roman" w:hint="eastAsia"/>
                <w:color w:val="000000"/>
                <w:kern w:val="0"/>
                <w:szCs w:val="21"/>
                <w:lang w:val="en-US" w:eastAsia="zh-CN"/>
              </w:rPr>
              <w:t>12</w:t>
            </w:r>
            <w:r>
              <w:rPr>
                <w:rFonts w:ascii="Times New Roman" w:eastAsia="宋体" w:cs="宋体" w:hAnsi="Times New Roman" w:hint="eastAsia"/>
                <w:color w:val="000000"/>
                <w:kern w:val="0"/>
                <w:szCs w:val="21"/>
              </w:rPr>
              <w:t>日</w:t>
            </w:r>
          </w:p>
        </w:tc>
      </w:tr>
    </w:tbl>
    <w:p>
      <w:pPr>
        <w:widowControl/>
        <w:jc w:val="left"/>
      </w:pPr>
      <w:r>
        <w:rPr>
          <w:rFonts w:ascii="宋体" w:eastAsia="宋体" w:cs="宋体" w:hAnsi="宋体" w:hint="eastAsia"/>
          <w:color w:val="000000"/>
          <w:kern w:val="0"/>
          <w:szCs w:val="21"/>
          <w:shd w:val="clear" w:color="auto" w:fill="FFFFFF"/>
        </w:rPr>
        <w:t>注：1.招标人及其委托的招标代理机构对填写的中标候选人公示内容的真实性、准确性和一致性负责。</w:t>
      </w:r>
    </w:p>
    <w:p>
      <w:pPr>
        <w:widowControl/>
        <w:ind w:firstLineChars="200" w:firstLine="420"/>
        <w:jc w:val="left"/>
      </w:pPr>
      <w:r>
        <w:rPr>
          <w:rFonts w:ascii="宋体" w:eastAsia="宋体" w:cs="宋体" w:hAnsi="宋体" w:hint="eastAsia"/>
          <w:color w:val="000000"/>
          <w:kern w:val="0"/>
          <w:szCs w:val="21"/>
          <w:shd w:val="clear" w:color="auto" w:fill="FFFFFF"/>
        </w:rPr>
        <w:t>2.发布媒介和电子招标交易平台应当对所发布的公示信息的及时性、完整性负责。</w:t>
      </w:r>
    </w:p>
    <w:p>
      <w:pPr>
        <w:widowControl/>
        <w:ind w:firstLineChars="200" w:firstLine="420"/>
        <w:jc w:val="left"/>
      </w:pPr>
      <w:r>
        <w:rPr>
          <w:rFonts w:ascii="宋体" w:eastAsia="宋体" w:cs="宋体" w:hAnsi="宋体" w:hint="eastAsia"/>
          <w:color w:val="000000"/>
          <w:kern w:val="0"/>
          <w:szCs w:val="21"/>
          <w:shd w:val="clear" w:color="auto" w:fill="FFFFFF"/>
        </w:rPr>
        <w:t>3.中标候选人公示纸质文本须加盖单位公章，多页还应加盖骑缝章。</w:t>
      </w:r>
      <w:bookmarkEnd w:id="0"/>
    </w:p>
    <w:sectPr>
      <w:pgSz w:w="11906" w:h="16838"/>
      <w:pgMar w:top="1440" w:right="1706"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34"/>
    <w:family w:val="auto"/>
    <w:pitch w:val="variable"/>
    <w:sig w:usb0="E0002EFF" w:usb1="C000785B" w:usb2="00000009" w:usb3="00000000" w:csb0="400001FF" w:csb1="FFFF0000"/>
  </w:font>
  <w:font w:name="宋体">
    <w:altName w:val="华文宋体"/>
    <w:panose1 w:val="02010600030101010101"/>
    <w:charset w:val="50"/>
    <w:family w:val="auto"/>
    <w:pitch w:val="variable"/>
    <w:sig w:usb0="00000203" w:usb1="288F0000" w:usb2="00000006" w:usb3="00000000" w:csb0="00040001" w:csb1="00000000"/>
  </w:font>
  <w:font w:name="Calibri">
    <w:altName w:val="Times New Roman"/>
    <w:panose1 w:val="020F0502020204030204"/>
    <w:charset w:val="00"/>
    <w:family w:val="swiss"/>
    <w:pitch w:val="variable"/>
    <w:sig w:usb0="E4002EFF" w:usb1="C000247B" w:usb2="00000009" w:usb3="00000000" w:csb0="200001FF" w:csb1="0000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EFF" w:usb1="C000785B" w:usb2="00000009" w:usb3="00000000" w:csb0="400001FF" w:csb1="FFFF0000"/>
  </w:font>
  <w:font w:name="黑体">
    <w:altName w:val="方正黑体_GBK"/>
    <w:panose1 w:val="00000000000000000000"/>
    <w:charset w:val="00"/>
    <w:family w:val="auto"/>
    <w:pitch w:val="variable"/>
    <w:sig w:usb0="00000000" w:usb1="00000000" w:usb2="00000000" w:usb3="00000000" w:csb0="00000000" w:csb1="00000000"/>
  </w:font>
  <w:font w:name="monospace">
    <w:altName w:val="DejaVu Sans"/>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BC10832A"/>
    <w:multiLevelType w:val="singleLevel"/>
    <w:tmpl w:val="BC10832A"/>
    <w:lvl w:ilvl="0">
      <w:start w:val="1"/>
      <w:numFmt w:val="decimal"/>
      <w:lvlRestart w:val="0"/>
      <w:suff w:val="nothing"/>
      <w:lvlText w:val="%1、"/>
      <w:lvlJc w:val="left"/>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92"/>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N2YzNjBkOTgyNWQ1YTMxYzM3MzMwNWFiODNmOWIzYW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w:basedOn w:val="0"/>
    <w:next w:val="0"/>
    <w:pPr>
      <w:spacing w:after="120"/>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tabs>
        <w:tab w:val="center" w:pos="4153"/>
        <w:tab w:val="right" w:pos="8306"/>
      </w:tabs>
      <w:snapToGrid w:val="0"/>
      <w:jc w:val="center"/>
    </w:pPr>
    <w:rPr>
      <w:sz w:val="18"/>
      <w:szCs w:val="18"/>
    </w:rPr>
  </w:style>
  <w:style w:type="paragraph" w:styleId="18">
    <w:name w:val="Normal (Web)"/>
    <w:basedOn w:val="0"/>
    <w:pPr>
      <w:jc w:val="left"/>
    </w:pPr>
    <w:rPr>
      <w:rFonts w:cs="Times New Roman"/>
      <w:kern w:val="0"/>
      <w:sz w:val="24"/>
    </w:rPr>
  </w:style>
  <w:style w:type="character" w:styleId="19">
    <w:name w:val="Strong"/>
    <w:basedOn w:val="10"/>
    <w:rPr>
      <w:b/>
      <w:bCs/>
    </w:rPr>
  </w:style>
  <w:style w:type="character" w:styleId="20">
    <w:name w:val="FollowedHyperlink"/>
    <w:basedOn w:val="10"/>
    <w:rPr>
      <w:color w:val="800080"/>
      <w:u w:val="none"/>
    </w:rPr>
  </w:style>
  <w:style w:type="character" w:styleId="21">
    <w:name w:val="Emphasis"/>
    <w:basedOn w:val="10"/>
    <w:rPr>
      <w:b/>
      <w:bCs/>
    </w:rPr>
  </w:style>
  <w:style w:type="character" w:styleId="22">
    <w:name w:val="HTML Definition"/>
    <w:basedOn w:val="10"/>
  </w:style>
  <w:style w:type="character" w:styleId="23">
    <w:name w:val="HTML Typewriter"/>
    <w:basedOn w:val="10"/>
    <w:rPr>
      <w:rFonts w:ascii="monospace" w:eastAsia="monospace" w:cs="monospace" w:hAnsi="monospace"/>
      <w:sz w:val="20"/>
    </w:rPr>
  </w:style>
  <w:style w:type="character" w:styleId="24">
    <w:name w:val="HTML Acronym"/>
    <w:basedOn w:val="10"/>
  </w:style>
  <w:style w:type="character" w:styleId="25">
    <w:name w:val="HTML Variable"/>
    <w:basedOn w:val="10"/>
  </w:style>
  <w:style w:type="character" w:styleId="26">
    <w:name w:val="Hyperlink"/>
    <w:basedOn w:val="10"/>
    <w:rPr>
      <w:color w:val="0000FF"/>
      <w:u w:val="none"/>
    </w:rPr>
  </w:style>
  <w:style w:type="character" w:styleId="27">
    <w:name w:val="HTML Code"/>
    <w:basedOn w:val="10"/>
    <w:rPr>
      <w:rFonts w:ascii="monospace" w:eastAsia="monospace" w:cs="monospace" w:hAnsi="monospace"/>
      <w:sz w:val="20"/>
    </w:rPr>
  </w:style>
  <w:style w:type="character" w:styleId="28">
    <w:name w:val="HTML Cite"/>
    <w:basedOn w:val="10"/>
  </w:style>
  <w:style w:type="character" w:styleId="29">
    <w:name w:val="HTML Keyboard"/>
    <w:basedOn w:val="10"/>
    <w:rPr>
      <w:rFonts w:ascii="monospace" w:eastAsia="monospace" w:cs="monospace" w:hAnsi="monospace"/>
      <w:sz w:val="20"/>
    </w:rPr>
  </w:style>
  <w:style w:type="character" w:styleId="30">
    <w:name w:val="HTML Sample"/>
    <w:basedOn w:val="10"/>
    <w:rPr>
      <w:rFonts w:ascii="monospace" w:eastAsia="monospace" w:cs="monospace" w:hAnsi="monospace"/>
    </w:rPr>
  </w:style>
  <w:style w:type="character" w:customStyle="1" w:styleId="31">
    <w:name w:val="mini-outputtext1"/>
    <w:basedOn w:val="10"/>
  </w:style>
  <w:style w:type="paragraph" w:styleId="32">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1D3DAADF-2078-4654-A850-5B094A389367}">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2</Pages>
  <Words>0</Words>
  <Characters>1037</Characters>
  <Lines>0</Lines>
  <Paragraphs>7</Paragraphs>
  <CharactersWithSpaces>1383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CCQTGB</cp:lastModifiedBy>
  <cp:revision>21</cp:revision>
  <dcterms:created xsi:type="dcterms:W3CDTF">2014-10-29T12:08:00Z</dcterms:created>
  <dcterms:modified xsi:type="dcterms:W3CDTF">2025-02-12T05:47:58Z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2052-11.8.2.10229</vt:lpwstr>
  </property>
  <property fmtid="{D5CDD505-2E9C-101B-9397-08002B2CF9AE}" pid="3" name="ICV">
    <vt:lpwstr>6B1C9BCD9DAD495FBD10F14F3F71F2E3_13</vt:lpwstr>
  </property>
</Properties>
</file>