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E40AE">
      <w:pPr>
        <w:autoSpaceDE w:val="0"/>
        <w:autoSpaceDN w:val="0"/>
        <w:spacing w:line="360" w:lineRule="auto"/>
        <w:jc w:val="center"/>
        <w:rPr>
          <w:rFonts w:ascii="Times New Roman" w:hAnsi="Times New Roman" w:eastAsia="宋体" w:cs="Times New Roman"/>
          <w:b/>
          <w:bCs/>
          <w:snapToGrid w:val="0"/>
          <w:kern w:val="0"/>
          <w:sz w:val="48"/>
          <w:szCs w:val="84"/>
        </w:rPr>
      </w:pPr>
      <w:r>
        <w:rPr>
          <w:rFonts w:hint="eastAsia" w:ascii="Times New Roman" w:hAnsi="Times New Roman" w:eastAsia="宋体" w:cs="Times New Roman"/>
          <w:b/>
          <w:bCs/>
          <w:snapToGrid w:val="0"/>
          <w:kern w:val="0"/>
          <w:sz w:val="48"/>
          <w:szCs w:val="84"/>
        </w:rPr>
        <w:t>重庆三峡银行</w:t>
      </w:r>
    </w:p>
    <w:p w14:paraId="14D0E6B4">
      <w:pPr>
        <w:autoSpaceDE w:val="0"/>
        <w:autoSpaceDN w:val="0"/>
        <w:spacing w:line="360" w:lineRule="auto"/>
        <w:jc w:val="center"/>
        <w:rPr>
          <w:rFonts w:ascii="Times New Roman" w:hAnsi="Times New Roman" w:eastAsia="宋体" w:cs="Times New Roman"/>
          <w:b/>
          <w:bCs/>
          <w:snapToGrid w:val="0"/>
          <w:kern w:val="0"/>
          <w:sz w:val="48"/>
          <w:szCs w:val="84"/>
          <w:highlight w:val="cyan"/>
        </w:rPr>
      </w:pPr>
      <w:r>
        <w:rPr>
          <w:rFonts w:hint="eastAsia" w:ascii="Times New Roman" w:hAnsi="Times New Roman" w:eastAsia="宋体" w:cs="Times New Roman"/>
          <w:b/>
          <w:bCs/>
          <w:snapToGrid w:val="0"/>
          <w:kern w:val="0"/>
          <w:sz w:val="48"/>
          <w:szCs w:val="84"/>
        </w:rPr>
        <w:t>金融债券评级机构入围项目</w:t>
      </w:r>
    </w:p>
    <w:p w14:paraId="1E145404">
      <w:pPr>
        <w:autoSpaceDE w:val="0"/>
        <w:autoSpaceDN w:val="0"/>
        <w:spacing w:line="360" w:lineRule="auto"/>
        <w:ind w:firstLine="420" w:firstLineChars="200"/>
        <w:rPr>
          <w:rFonts w:ascii="Times New Roman" w:hAnsi="Times New Roman" w:eastAsia="宋体" w:cs="Cambria Math"/>
          <w:bCs/>
          <w:szCs w:val="18"/>
        </w:rPr>
      </w:pPr>
    </w:p>
    <w:p w14:paraId="4AA76BD4">
      <w:pPr>
        <w:autoSpaceDE w:val="0"/>
        <w:autoSpaceDN w:val="0"/>
        <w:spacing w:line="360" w:lineRule="auto"/>
        <w:ind w:firstLine="420" w:firstLineChars="200"/>
        <w:rPr>
          <w:rFonts w:ascii="Times New Roman" w:hAnsi="Times New Roman" w:eastAsia="宋体" w:cs="Cambria Math"/>
          <w:bCs/>
          <w:szCs w:val="18"/>
        </w:rPr>
      </w:pPr>
    </w:p>
    <w:p w14:paraId="571FEF7F">
      <w:pPr>
        <w:autoSpaceDE w:val="0"/>
        <w:autoSpaceDN w:val="0"/>
        <w:spacing w:line="360" w:lineRule="auto"/>
        <w:ind w:firstLine="420" w:firstLineChars="200"/>
        <w:rPr>
          <w:rFonts w:ascii="Times New Roman" w:hAnsi="Times New Roman" w:eastAsia="宋体" w:cs="Cambria Math"/>
          <w:bCs/>
          <w:szCs w:val="18"/>
        </w:rPr>
      </w:pPr>
    </w:p>
    <w:p w14:paraId="7A1BACD9">
      <w:pPr>
        <w:autoSpaceDE w:val="0"/>
        <w:autoSpaceDN w:val="0"/>
        <w:spacing w:line="360" w:lineRule="auto"/>
        <w:ind w:firstLine="420" w:firstLineChars="200"/>
        <w:rPr>
          <w:rFonts w:ascii="Times New Roman" w:hAnsi="Times New Roman" w:eastAsia="宋体" w:cs="Cambria Math"/>
          <w:bCs/>
          <w:szCs w:val="18"/>
        </w:rPr>
      </w:pPr>
    </w:p>
    <w:p w14:paraId="60F5F5F6">
      <w:pPr>
        <w:autoSpaceDE w:val="0"/>
        <w:autoSpaceDN w:val="0"/>
        <w:spacing w:line="360" w:lineRule="auto"/>
        <w:ind w:firstLine="420" w:firstLineChars="200"/>
        <w:rPr>
          <w:rFonts w:ascii="Times New Roman" w:hAnsi="Times New Roman" w:eastAsia="宋体" w:cs="Cambria Math"/>
          <w:bCs/>
          <w:szCs w:val="18"/>
        </w:rPr>
      </w:pPr>
    </w:p>
    <w:p w14:paraId="3D89AEEA">
      <w:pPr>
        <w:autoSpaceDE w:val="0"/>
        <w:autoSpaceDN w:val="0"/>
        <w:spacing w:line="360" w:lineRule="auto"/>
        <w:ind w:firstLine="420" w:firstLineChars="200"/>
        <w:rPr>
          <w:rFonts w:ascii="Times New Roman" w:hAnsi="Times New Roman" w:eastAsia="宋体" w:cs="Cambria Math"/>
          <w:bCs/>
          <w:szCs w:val="18"/>
        </w:rPr>
      </w:pPr>
    </w:p>
    <w:p w14:paraId="06CE010A">
      <w:pPr>
        <w:autoSpaceDE w:val="0"/>
        <w:autoSpaceDN w:val="0"/>
        <w:spacing w:line="360" w:lineRule="auto"/>
        <w:ind w:firstLine="420" w:firstLineChars="200"/>
        <w:rPr>
          <w:rFonts w:ascii="Times New Roman" w:hAnsi="Times New Roman" w:eastAsia="宋体" w:cs="Cambria Math"/>
          <w:bCs/>
          <w:szCs w:val="18"/>
        </w:rPr>
      </w:pPr>
    </w:p>
    <w:p w14:paraId="7F92E041">
      <w:pPr>
        <w:autoSpaceDE w:val="0"/>
        <w:autoSpaceDN w:val="0"/>
        <w:spacing w:line="360" w:lineRule="auto"/>
        <w:jc w:val="center"/>
        <w:rPr>
          <w:rFonts w:ascii="Times New Roman" w:hAnsi="Times New Roman" w:eastAsia="宋体" w:cs="Times New Roman"/>
          <w:b/>
          <w:bCs/>
          <w:snapToGrid w:val="0"/>
          <w:kern w:val="0"/>
          <w:sz w:val="84"/>
          <w:szCs w:val="84"/>
        </w:rPr>
      </w:pPr>
      <w:r>
        <w:rPr>
          <w:rFonts w:hint="eastAsia" w:ascii="Times New Roman" w:hAnsi="Times New Roman" w:eastAsia="宋体" w:cs="Times New Roman"/>
          <w:b/>
          <w:bCs/>
          <w:snapToGrid w:val="0"/>
          <w:kern w:val="0"/>
          <w:sz w:val="96"/>
          <w:szCs w:val="96"/>
        </w:rPr>
        <w:t>询比文件</w:t>
      </w:r>
    </w:p>
    <w:p w14:paraId="7532711A">
      <w:pPr>
        <w:autoSpaceDE w:val="0"/>
        <w:autoSpaceDN w:val="0"/>
        <w:spacing w:line="360" w:lineRule="auto"/>
        <w:ind w:firstLine="420" w:firstLineChars="200"/>
        <w:rPr>
          <w:rFonts w:ascii="Times New Roman" w:hAnsi="Times New Roman" w:eastAsia="宋体" w:cs="Cambria Math"/>
          <w:bCs/>
          <w:szCs w:val="18"/>
        </w:rPr>
      </w:pPr>
    </w:p>
    <w:p w14:paraId="349AF08D">
      <w:pPr>
        <w:autoSpaceDE w:val="0"/>
        <w:autoSpaceDN w:val="0"/>
        <w:spacing w:line="360" w:lineRule="auto"/>
        <w:ind w:firstLine="420" w:firstLineChars="200"/>
        <w:rPr>
          <w:rFonts w:ascii="Times New Roman" w:hAnsi="Times New Roman" w:eastAsia="宋体" w:cs="Cambria Math"/>
          <w:bCs/>
          <w:szCs w:val="18"/>
        </w:rPr>
      </w:pPr>
    </w:p>
    <w:p w14:paraId="34C6EE59">
      <w:pPr>
        <w:autoSpaceDE w:val="0"/>
        <w:autoSpaceDN w:val="0"/>
        <w:spacing w:line="360" w:lineRule="auto"/>
        <w:ind w:firstLine="420" w:firstLineChars="200"/>
        <w:rPr>
          <w:rFonts w:ascii="Times New Roman" w:hAnsi="Times New Roman" w:eastAsia="宋体" w:cs="Cambria Math"/>
          <w:bCs/>
          <w:szCs w:val="18"/>
        </w:rPr>
      </w:pPr>
    </w:p>
    <w:p w14:paraId="6D9591D6">
      <w:pPr>
        <w:autoSpaceDE w:val="0"/>
        <w:autoSpaceDN w:val="0"/>
        <w:spacing w:line="360" w:lineRule="auto"/>
        <w:ind w:firstLine="420" w:firstLineChars="200"/>
        <w:rPr>
          <w:rFonts w:ascii="Times New Roman" w:hAnsi="Times New Roman" w:eastAsia="宋体" w:cs="Cambria Math"/>
          <w:bCs/>
          <w:szCs w:val="18"/>
        </w:rPr>
      </w:pPr>
    </w:p>
    <w:p w14:paraId="3A52E992">
      <w:pPr>
        <w:autoSpaceDE w:val="0"/>
        <w:autoSpaceDN w:val="0"/>
        <w:spacing w:line="360" w:lineRule="auto"/>
        <w:ind w:firstLine="420" w:firstLineChars="200"/>
        <w:rPr>
          <w:rFonts w:ascii="Times New Roman" w:hAnsi="Times New Roman" w:eastAsia="宋体" w:cs="Cambria Math"/>
          <w:bCs/>
          <w:szCs w:val="18"/>
        </w:rPr>
      </w:pPr>
    </w:p>
    <w:p w14:paraId="4861C8AA">
      <w:pPr>
        <w:autoSpaceDE w:val="0"/>
        <w:autoSpaceDN w:val="0"/>
        <w:spacing w:line="360" w:lineRule="auto"/>
        <w:ind w:firstLine="420" w:firstLineChars="200"/>
        <w:rPr>
          <w:rFonts w:ascii="Times New Roman" w:hAnsi="Times New Roman" w:eastAsia="宋体" w:cs="Cambria Math"/>
          <w:bCs/>
          <w:szCs w:val="18"/>
        </w:rPr>
      </w:pPr>
    </w:p>
    <w:p w14:paraId="1D860B86">
      <w:pPr>
        <w:autoSpaceDE w:val="0"/>
        <w:autoSpaceDN w:val="0"/>
        <w:spacing w:line="360" w:lineRule="auto"/>
        <w:ind w:firstLine="420" w:firstLineChars="200"/>
        <w:rPr>
          <w:rFonts w:ascii="Times New Roman" w:hAnsi="Times New Roman" w:eastAsia="宋体" w:cs="Cambria Math"/>
          <w:bCs/>
          <w:szCs w:val="18"/>
        </w:rPr>
      </w:pPr>
    </w:p>
    <w:tbl>
      <w:tblPr>
        <w:tblStyle w:val="4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473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756" w:type="dxa"/>
            <w:tcBorders>
              <w:tl2br w:val="nil"/>
              <w:tr2bl w:val="nil"/>
            </w:tcBorders>
            <w:vAlign w:val="center"/>
          </w:tcPr>
          <w:p w14:paraId="1C8C5CCE">
            <w:pPr>
              <w:autoSpaceDE w:val="0"/>
              <w:autoSpaceDN w:val="0"/>
              <w:spacing w:line="360" w:lineRule="auto"/>
              <w:jc w:val="distribute"/>
              <w:rPr>
                <w:rFonts w:ascii="Times New Roman" w:hAnsi="Times New Roman" w:eastAsia="宋体" w:cs="Times New Roman"/>
                <w:b/>
                <w:bCs/>
                <w:snapToGrid w:val="0"/>
                <w:kern w:val="0"/>
                <w:sz w:val="30"/>
                <w:szCs w:val="30"/>
              </w:rPr>
            </w:pPr>
            <w:r>
              <w:rPr>
                <w:rFonts w:hint="eastAsia" w:ascii="Times New Roman" w:hAnsi="Times New Roman" w:eastAsia="宋体" w:cs="Times New Roman"/>
                <w:b/>
                <w:bCs/>
                <w:snapToGrid w:val="0"/>
                <w:kern w:val="0"/>
                <w:sz w:val="30"/>
                <w:szCs w:val="30"/>
              </w:rPr>
              <w:t>采购人</w:t>
            </w:r>
          </w:p>
        </w:tc>
        <w:tc>
          <w:tcPr>
            <w:tcW w:w="4744" w:type="dxa"/>
            <w:tcBorders>
              <w:tl2br w:val="nil"/>
              <w:tr2bl w:val="nil"/>
            </w:tcBorders>
            <w:vAlign w:val="center"/>
          </w:tcPr>
          <w:p w14:paraId="761ACACA">
            <w:pPr>
              <w:autoSpaceDE w:val="0"/>
              <w:autoSpaceDN w:val="0"/>
              <w:spacing w:line="360" w:lineRule="auto"/>
              <w:jc w:val="center"/>
              <w:rPr>
                <w:rFonts w:ascii="Times New Roman" w:hAnsi="Times New Roman" w:eastAsia="宋体" w:cs="Times New Roman"/>
                <w:b/>
                <w:bCs/>
                <w:snapToGrid w:val="0"/>
                <w:kern w:val="0"/>
                <w:sz w:val="30"/>
                <w:szCs w:val="30"/>
              </w:rPr>
            </w:pPr>
            <w:r>
              <w:rPr>
                <w:rFonts w:hint="eastAsia" w:ascii="Times New Roman" w:hAnsi="Times New Roman" w:eastAsia="宋体" w:cs="Times New Roman"/>
                <w:b/>
                <w:bCs/>
                <w:snapToGrid w:val="0"/>
                <w:kern w:val="0"/>
                <w:sz w:val="30"/>
                <w:szCs w:val="30"/>
              </w:rPr>
              <w:t>重庆三峡银行股份有限公司</w:t>
            </w:r>
          </w:p>
        </w:tc>
        <w:tc>
          <w:tcPr>
            <w:tcW w:w="2020" w:type="dxa"/>
            <w:vMerge w:val="restart"/>
            <w:tcBorders>
              <w:tl2br w:val="nil"/>
              <w:tr2bl w:val="nil"/>
            </w:tcBorders>
            <w:vAlign w:val="center"/>
          </w:tcPr>
          <w:p w14:paraId="56670650">
            <w:pPr>
              <w:autoSpaceDE w:val="0"/>
              <w:autoSpaceDN w:val="0"/>
              <w:spacing w:line="360" w:lineRule="auto"/>
              <w:jc w:val="center"/>
              <w:rPr>
                <w:rFonts w:ascii="Times New Roman" w:hAnsi="Times New Roman" w:eastAsia="宋体" w:cs="Times New Roman"/>
                <w:b/>
                <w:bCs/>
                <w:snapToGrid w:val="0"/>
                <w:kern w:val="0"/>
                <w:sz w:val="30"/>
                <w:szCs w:val="30"/>
              </w:rPr>
            </w:pPr>
            <w:r>
              <w:rPr>
                <w:rFonts w:hint="eastAsia" w:ascii="Times New Roman" w:hAnsi="Times New Roman" w:eastAsia="宋体" w:cs="Times New Roman"/>
                <w:bCs/>
                <w:snapToGrid w:val="0"/>
                <w:kern w:val="0"/>
                <w:sz w:val="24"/>
                <w:szCs w:val="24"/>
              </w:rPr>
              <w:t>（采购人公章）</w:t>
            </w:r>
          </w:p>
        </w:tc>
      </w:tr>
      <w:tr w14:paraId="640C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FBC373F">
            <w:pPr>
              <w:autoSpaceDE w:val="0"/>
              <w:autoSpaceDN w:val="0"/>
              <w:spacing w:line="360" w:lineRule="auto"/>
              <w:jc w:val="distribute"/>
              <w:rPr>
                <w:rFonts w:ascii="Times New Roman" w:hAnsi="Times New Roman" w:eastAsia="宋体" w:cs="Times New Roman"/>
                <w:b/>
                <w:bCs/>
                <w:snapToGrid w:val="0"/>
                <w:kern w:val="0"/>
                <w:sz w:val="30"/>
                <w:szCs w:val="30"/>
              </w:rPr>
            </w:pPr>
            <w:r>
              <w:rPr>
                <w:rFonts w:hint="eastAsia" w:ascii="Times New Roman" w:hAnsi="Times New Roman" w:eastAsia="宋体" w:cs="Times New Roman"/>
                <w:b/>
                <w:bCs/>
                <w:snapToGrid w:val="0"/>
                <w:kern w:val="0"/>
                <w:sz w:val="30"/>
                <w:szCs w:val="30"/>
              </w:rPr>
              <w:t>发布时间</w:t>
            </w:r>
          </w:p>
        </w:tc>
        <w:tc>
          <w:tcPr>
            <w:tcW w:w="4744" w:type="dxa"/>
            <w:tcBorders>
              <w:tl2br w:val="nil"/>
              <w:tr2bl w:val="nil"/>
            </w:tcBorders>
            <w:vAlign w:val="center"/>
          </w:tcPr>
          <w:p w14:paraId="046C37F1">
            <w:pPr>
              <w:autoSpaceDE w:val="0"/>
              <w:autoSpaceDN w:val="0"/>
              <w:spacing w:line="360" w:lineRule="auto"/>
              <w:jc w:val="center"/>
              <w:rPr>
                <w:rFonts w:ascii="Times New Roman" w:hAnsi="Times New Roman" w:eastAsia="宋体" w:cs="Times New Roman"/>
                <w:b/>
                <w:bCs/>
                <w:snapToGrid w:val="0"/>
                <w:kern w:val="0"/>
                <w:sz w:val="30"/>
                <w:szCs w:val="30"/>
              </w:rPr>
            </w:pPr>
            <w:r>
              <w:rPr>
                <w:rFonts w:ascii="Times New Roman" w:hAnsi="Times New Roman" w:eastAsia="宋体" w:cs="Times New Roman"/>
                <w:b/>
                <w:bCs/>
                <w:snapToGrid w:val="0"/>
                <w:kern w:val="0"/>
                <w:sz w:val="30"/>
                <w:szCs w:val="30"/>
              </w:rPr>
              <w:t>年月</w:t>
            </w:r>
          </w:p>
        </w:tc>
        <w:tc>
          <w:tcPr>
            <w:tcW w:w="2020" w:type="dxa"/>
            <w:vMerge w:val="continue"/>
            <w:tcBorders>
              <w:tl2br w:val="nil"/>
              <w:tr2bl w:val="nil"/>
            </w:tcBorders>
            <w:vAlign w:val="center"/>
          </w:tcPr>
          <w:p w14:paraId="27E9C69F">
            <w:pPr>
              <w:autoSpaceDE w:val="0"/>
              <w:autoSpaceDN w:val="0"/>
              <w:spacing w:line="360" w:lineRule="auto"/>
              <w:jc w:val="center"/>
              <w:rPr>
                <w:rFonts w:ascii="Times New Roman" w:hAnsi="Times New Roman" w:eastAsia="宋体" w:cs="Times New Roman"/>
                <w:b/>
                <w:bCs/>
                <w:snapToGrid w:val="0"/>
                <w:kern w:val="0"/>
                <w:sz w:val="30"/>
                <w:szCs w:val="30"/>
              </w:rPr>
            </w:pPr>
          </w:p>
        </w:tc>
      </w:tr>
    </w:tbl>
    <w:p w14:paraId="10EE43E5">
      <w:pPr>
        <w:autoSpaceDE w:val="0"/>
        <w:autoSpaceDN w:val="0"/>
        <w:spacing w:line="360" w:lineRule="auto"/>
        <w:ind w:firstLine="420" w:firstLineChars="200"/>
        <w:rPr>
          <w:rFonts w:ascii="Times New Roman" w:hAnsi="Times New Roman" w:eastAsia="宋体" w:cs="Cambria Math"/>
          <w:bCs/>
          <w:szCs w:val="18"/>
        </w:rPr>
      </w:pPr>
    </w:p>
    <w:p w14:paraId="6934569D">
      <w:pPr>
        <w:autoSpaceDE w:val="0"/>
        <w:autoSpaceDN w:val="0"/>
        <w:spacing w:line="360" w:lineRule="auto"/>
        <w:ind w:firstLine="420" w:firstLineChars="200"/>
        <w:rPr>
          <w:rFonts w:ascii="Times New Roman" w:hAnsi="Times New Roman" w:eastAsia="宋体" w:cs="Cambria Math"/>
          <w:bCs/>
          <w:szCs w:val="18"/>
        </w:rPr>
        <w:sectPr>
          <w:pgSz w:w="11906" w:h="16838"/>
          <w:pgMar w:top="1440" w:right="1800" w:bottom="1440" w:left="1800" w:header="851" w:footer="992" w:gutter="0"/>
          <w:pgNumType w:start="1"/>
          <w:cols w:space="720" w:num="1"/>
          <w:docGrid w:type="lines" w:linePitch="312" w:charSpace="0"/>
        </w:sectPr>
      </w:pPr>
    </w:p>
    <w:p w14:paraId="615891F7">
      <w:pPr>
        <w:autoSpaceDE w:val="0"/>
        <w:autoSpaceDN w:val="0"/>
        <w:spacing w:line="360" w:lineRule="auto"/>
        <w:jc w:val="center"/>
        <w:rPr>
          <w:rFonts w:ascii="Times New Roman" w:hAnsi="Times New Roman" w:eastAsia="宋体" w:cs="Times New Roman"/>
          <w:b/>
          <w:bCs/>
          <w:snapToGrid w:val="0"/>
          <w:kern w:val="0"/>
          <w:sz w:val="48"/>
          <w:szCs w:val="84"/>
        </w:rPr>
      </w:pPr>
      <w:r>
        <w:rPr>
          <w:rFonts w:ascii="Times New Roman" w:hAnsi="Times New Roman" w:eastAsia="宋体" w:cs="Times New Roman"/>
          <w:b/>
          <w:bCs/>
          <w:snapToGrid w:val="0"/>
          <w:kern w:val="0"/>
          <w:sz w:val="48"/>
          <w:szCs w:val="84"/>
        </w:rPr>
        <w:t>目录</w:t>
      </w:r>
    </w:p>
    <w:p w14:paraId="551CBE29">
      <w:pPr>
        <w:tabs>
          <w:tab w:val="right" w:leader="dot" w:pos="8306"/>
        </w:tabs>
        <w:autoSpaceDE w:val="0"/>
        <w:autoSpaceDN w:val="0"/>
        <w:spacing w:line="360" w:lineRule="auto"/>
        <w:ind w:firstLine="480" w:firstLineChars="200"/>
        <w:rPr>
          <w:rFonts w:ascii="Times New Roman" w:hAnsi="Times New Roman" w:eastAsia="宋体" w:cs="Cambria Math"/>
          <w:bCs/>
          <w:szCs w:val="18"/>
        </w:rPr>
      </w:pPr>
      <w:r>
        <w:rPr>
          <w:rFonts w:ascii="Times New Roman" w:hAnsi="Times New Roman" w:eastAsia="宋体" w:cs="Cambria Math"/>
          <w:bCs/>
          <w:snapToGrid w:val="0"/>
          <w:kern w:val="0"/>
          <w:sz w:val="24"/>
          <w:szCs w:val="18"/>
        </w:rPr>
        <w:fldChar w:fldCharType="begin"/>
      </w:r>
      <w:r>
        <w:rPr>
          <w:rFonts w:hint="eastAsia" w:ascii="Times New Roman" w:hAnsi="Times New Roman" w:eastAsia="宋体" w:cs="Cambria Math"/>
          <w:bCs/>
          <w:snapToGrid w:val="0"/>
          <w:kern w:val="0"/>
          <w:sz w:val="24"/>
          <w:szCs w:val="18"/>
        </w:rPr>
        <w:instrText xml:space="preserve">TOC \o "1-1" \h \z \u</w:instrText>
      </w:r>
      <w:r>
        <w:rPr>
          <w:rFonts w:ascii="Times New Roman" w:hAnsi="Times New Roman" w:eastAsia="宋体" w:cs="Cambria Math"/>
          <w:bCs/>
          <w:snapToGrid w:val="0"/>
          <w:kern w:val="0"/>
          <w:sz w:val="24"/>
          <w:szCs w:val="18"/>
        </w:rPr>
        <w:fldChar w:fldCharType="separate"/>
      </w:r>
      <w:r>
        <w:fldChar w:fldCharType="begin"/>
      </w:r>
      <w:r>
        <w:instrText xml:space="preserve"> HYPERLINK \l "_Toc18853" </w:instrText>
      </w:r>
      <w:r>
        <w:fldChar w:fldCharType="separate"/>
      </w:r>
      <w:r>
        <w:rPr>
          <w:rFonts w:hint="eastAsia" w:ascii="Times New Roman" w:hAnsi="Times New Roman" w:eastAsia="宋体" w:cs="Cambria Math"/>
          <w:bCs/>
          <w:szCs w:val="18"/>
        </w:rPr>
        <w:t>第一章询比公告</w:t>
      </w:r>
      <w:r>
        <w:rPr>
          <w:rFonts w:ascii="Times New Roman" w:hAnsi="Times New Roman" w:eastAsia="宋体" w:cs="Cambria Math"/>
          <w:bCs/>
          <w:szCs w:val="18"/>
        </w:rPr>
        <w:tab/>
      </w:r>
      <w:r>
        <w:rPr>
          <w:rFonts w:ascii="Times New Roman" w:hAnsi="Times New Roman" w:eastAsia="宋体" w:cs="Cambria Math"/>
          <w:bCs/>
          <w:szCs w:val="18"/>
        </w:rPr>
        <w:fldChar w:fldCharType="begin"/>
      </w:r>
      <w:r>
        <w:rPr>
          <w:rFonts w:ascii="Times New Roman" w:hAnsi="Times New Roman" w:eastAsia="宋体" w:cs="Cambria Math"/>
          <w:bCs/>
          <w:szCs w:val="18"/>
        </w:rPr>
        <w:instrText xml:space="preserve"> PAGEREF _Toc18853 \h </w:instrText>
      </w:r>
      <w:r>
        <w:rPr>
          <w:rFonts w:ascii="Times New Roman" w:hAnsi="Times New Roman" w:eastAsia="宋体" w:cs="Cambria Math"/>
          <w:bCs/>
          <w:szCs w:val="18"/>
        </w:rPr>
        <w:fldChar w:fldCharType="separate"/>
      </w:r>
      <w:r>
        <w:rPr>
          <w:rFonts w:ascii="Times New Roman" w:hAnsi="Times New Roman" w:eastAsia="宋体" w:cs="Cambria Math"/>
          <w:bCs/>
          <w:szCs w:val="18"/>
        </w:rPr>
        <w:t>1</w:t>
      </w:r>
      <w:r>
        <w:rPr>
          <w:rFonts w:ascii="Times New Roman" w:hAnsi="Times New Roman" w:eastAsia="宋体" w:cs="Cambria Math"/>
          <w:bCs/>
          <w:szCs w:val="18"/>
        </w:rPr>
        <w:fldChar w:fldCharType="end"/>
      </w:r>
      <w:r>
        <w:rPr>
          <w:rFonts w:ascii="Times New Roman" w:hAnsi="Times New Roman" w:eastAsia="宋体" w:cs="Cambria Math"/>
          <w:bCs/>
          <w:szCs w:val="18"/>
        </w:rPr>
        <w:fldChar w:fldCharType="end"/>
      </w:r>
    </w:p>
    <w:p w14:paraId="4F6360EC">
      <w:pPr>
        <w:tabs>
          <w:tab w:val="right" w:leader="dot" w:pos="8306"/>
        </w:tabs>
        <w:autoSpaceDE w:val="0"/>
        <w:autoSpaceDN w:val="0"/>
        <w:spacing w:line="360" w:lineRule="auto"/>
        <w:ind w:firstLine="420" w:firstLineChars="200"/>
        <w:rPr>
          <w:rFonts w:ascii="Times New Roman" w:hAnsi="Times New Roman" w:eastAsia="宋体" w:cs="Cambria Math"/>
          <w:bCs/>
          <w:szCs w:val="18"/>
        </w:rPr>
      </w:pPr>
      <w:r>
        <w:fldChar w:fldCharType="begin"/>
      </w:r>
      <w:r>
        <w:instrText xml:space="preserve"> HYPERLINK \l "_Toc10496" </w:instrText>
      </w:r>
      <w:r>
        <w:fldChar w:fldCharType="separate"/>
      </w:r>
      <w:r>
        <w:rPr>
          <w:rFonts w:hint="eastAsia" w:ascii="Times New Roman" w:hAnsi="Times New Roman" w:eastAsia="宋体" w:cs="Cambria Math"/>
          <w:bCs/>
          <w:szCs w:val="18"/>
        </w:rPr>
        <w:t>第二章 响应人须知</w:t>
      </w:r>
      <w:r>
        <w:rPr>
          <w:rFonts w:ascii="Times New Roman" w:hAnsi="Times New Roman" w:eastAsia="宋体" w:cs="Cambria Math"/>
          <w:bCs/>
          <w:szCs w:val="18"/>
        </w:rPr>
        <w:tab/>
      </w:r>
      <w:r>
        <w:rPr>
          <w:rFonts w:ascii="Times New Roman" w:hAnsi="Times New Roman" w:eastAsia="宋体" w:cs="Cambria Math"/>
          <w:bCs/>
          <w:szCs w:val="18"/>
        </w:rPr>
        <w:fldChar w:fldCharType="begin"/>
      </w:r>
      <w:r>
        <w:rPr>
          <w:rFonts w:ascii="Times New Roman" w:hAnsi="Times New Roman" w:eastAsia="宋体" w:cs="Cambria Math"/>
          <w:bCs/>
          <w:szCs w:val="18"/>
        </w:rPr>
        <w:instrText xml:space="preserve"> PAGEREF _Toc10496 \h </w:instrText>
      </w:r>
      <w:r>
        <w:rPr>
          <w:rFonts w:ascii="Times New Roman" w:hAnsi="Times New Roman" w:eastAsia="宋体" w:cs="Cambria Math"/>
          <w:bCs/>
          <w:szCs w:val="18"/>
        </w:rPr>
        <w:fldChar w:fldCharType="separate"/>
      </w:r>
      <w:r>
        <w:rPr>
          <w:rFonts w:ascii="Times New Roman" w:hAnsi="Times New Roman" w:eastAsia="宋体" w:cs="Cambria Math"/>
          <w:bCs/>
          <w:szCs w:val="18"/>
        </w:rPr>
        <w:t>4</w:t>
      </w:r>
      <w:r>
        <w:rPr>
          <w:rFonts w:ascii="Times New Roman" w:hAnsi="Times New Roman" w:eastAsia="宋体" w:cs="Cambria Math"/>
          <w:bCs/>
          <w:szCs w:val="18"/>
        </w:rPr>
        <w:fldChar w:fldCharType="end"/>
      </w:r>
      <w:r>
        <w:rPr>
          <w:rFonts w:ascii="Times New Roman" w:hAnsi="Times New Roman" w:eastAsia="宋体" w:cs="Cambria Math"/>
          <w:bCs/>
          <w:szCs w:val="18"/>
        </w:rPr>
        <w:fldChar w:fldCharType="end"/>
      </w:r>
    </w:p>
    <w:p w14:paraId="38696432">
      <w:pPr>
        <w:tabs>
          <w:tab w:val="right" w:leader="dot" w:pos="8306"/>
        </w:tabs>
        <w:autoSpaceDE w:val="0"/>
        <w:autoSpaceDN w:val="0"/>
        <w:spacing w:line="360" w:lineRule="auto"/>
        <w:ind w:firstLine="420" w:firstLineChars="200"/>
        <w:rPr>
          <w:rFonts w:ascii="Times New Roman" w:hAnsi="Times New Roman" w:eastAsia="宋体" w:cs="Cambria Math"/>
          <w:bCs/>
          <w:szCs w:val="18"/>
        </w:rPr>
      </w:pPr>
      <w:r>
        <w:fldChar w:fldCharType="begin"/>
      </w:r>
      <w:r>
        <w:instrText xml:space="preserve"> HYPERLINK \l "_Toc6917" </w:instrText>
      </w:r>
      <w:r>
        <w:fldChar w:fldCharType="separate"/>
      </w:r>
      <w:r>
        <w:rPr>
          <w:rFonts w:hint="eastAsia" w:ascii="Times New Roman" w:hAnsi="Times New Roman" w:eastAsia="宋体" w:cs="Cambria Math"/>
          <w:bCs/>
          <w:szCs w:val="18"/>
        </w:rPr>
        <w:t>第三章 项目要求</w:t>
      </w:r>
      <w:r>
        <w:rPr>
          <w:rFonts w:ascii="Times New Roman" w:hAnsi="Times New Roman" w:eastAsia="宋体" w:cs="Cambria Math"/>
          <w:bCs/>
          <w:szCs w:val="18"/>
        </w:rPr>
        <w:tab/>
      </w:r>
      <w:r>
        <w:rPr>
          <w:rFonts w:ascii="Times New Roman" w:hAnsi="Times New Roman" w:eastAsia="宋体" w:cs="Cambria Math"/>
          <w:bCs/>
          <w:szCs w:val="18"/>
        </w:rPr>
        <w:fldChar w:fldCharType="begin"/>
      </w:r>
      <w:r>
        <w:rPr>
          <w:rFonts w:ascii="Times New Roman" w:hAnsi="Times New Roman" w:eastAsia="宋体" w:cs="Cambria Math"/>
          <w:bCs/>
          <w:szCs w:val="18"/>
        </w:rPr>
        <w:instrText xml:space="preserve"> PAGEREF _Toc6917 \h </w:instrText>
      </w:r>
      <w:r>
        <w:rPr>
          <w:rFonts w:ascii="Times New Roman" w:hAnsi="Times New Roman" w:eastAsia="宋体" w:cs="Cambria Math"/>
          <w:bCs/>
          <w:szCs w:val="18"/>
        </w:rPr>
        <w:fldChar w:fldCharType="separate"/>
      </w:r>
      <w:r>
        <w:rPr>
          <w:rFonts w:ascii="Times New Roman" w:hAnsi="Times New Roman" w:eastAsia="宋体" w:cs="Cambria Math"/>
          <w:bCs/>
          <w:szCs w:val="18"/>
        </w:rPr>
        <w:t>11</w:t>
      </w:r>
      <w:r>
        <w:rPr>
          <w:rFonts w:ascii="Times New Roman" w:hAnsi="Times New Roman" w:eastAsia="宋体" w:cs="Cambria Math"/>
          <w:bCs/>
          <w:szCs w:val="18"/>
        </w:rPr>
        <w:fldChar w:fldCharType="end"/>
      </w:r>
      <w:r>
        <w:rPr>
          <w:rFonts w:ascii="Times New Roman" w:hAnsi="Times New Roman" w:eastAsia="宋体" w:cs="Cambria Math"/>
          <w:bCs/>
          <w:szCs w:val="18"/>
        </w:rPr>
        <w:fldChar w:fldCharType="end"/>
      </w:r>
    </w:p>
    <w:p w14:paraId="6F83C733">
      <w:pPr>
        <w:tabs>
          <w:tab w:val="right" w:leader="dot" w:pos="8306"/>
        </w:tabs>
        <w:autoSpaceDE w:val="0"/>
        <w:autoSpaceDN w:val="0"/>
        <w:spacing w:line="360" w:lineRule="auto"/>
        <w:ind w:firstLine="420" w:firstLineChars="200"/>
        <w:rPr>
          <w:rFonts w:ascii="Times New Roman" w:hAnsi="Times New Roman" w:eastAsia="宋体" w:cs="Cambria Math"/>
          <w:bCs/>
          <w:szCs w:val="18"/>
        </w:rPr>
      </w:pPr>
      <w:r>
        <w:fldChar w:fldCharType="begin"/>
      </w:r>
      <w:r>
        <w:instrText xml:space="preserve"> HYPERLINK \l "_Toc7079" </w:instrText>
      </w:r>
      <w:r>
        <w:fldChar w:fldCharType="separate"/>
      </w:r>
      <w:r>
        <w:rPr>
          <w:rFonts w:hint="eastAsia" w:ascii="Times New Roman" w:hAnsi="Times New Roman" w:eastAsia="宋体" w:cs="Cambria Math"/>
          <w:bCs/>
          <w:szCs w:val="18"/>
        </w:rPr>
        <w:t>第四章 评审办法（综合评估法）</w:t>
      </w:r>
      <w:r>
        <w:rPr>
          <w:rFonts w:ascii="Times New Roman" w:hAnsi="Times New Roman" w:eastAsia="宋体" w:cs="Cambria Math"/>
          <w:bCs/>
          <w:szCs w:val="18"/>
        </w:rPr>
        <w:tab/>
      </w:r>
      <w:r>
        <w:rPr>
          <w:rFonts w:ascii="Times New Roman" w:hAnsi="Times New Roman" w:eastAsia="宋体" w:cs="Cambria Math"/>
          <w:bCs/>
          <w:szCs w:val="18"/>
        </w:rPr>
        <w:fldChar w:fldCharType="begin"/>
      </w:r>
      <w:r>
        <w:rPr>
          <w:rFonts w:ascii="Times New Roman" w:hAnsi="Times New Roman" w:eastAsia="宋体" w:cs="Cambria Math"/>
          <w:bCs/>
          <w:szCs w:val="18"/>
        </w:rPr>
        <w:instrText xml:space="preserve"> PAGEREF _Toc7079 \h </w:instrText>
      </w:r>
      <w:r>
        <w:rPr>
          <w:rFonts w:ascii="Times New Roman" w:hAnsi="Times New Roman" w:eastAsia="宋体" w:cs="Cambria Math"/>
          <w:bCs/>
          <w:szCs w:val="18"/>
        </w:rPr>
        <w:fldChar w:fldCharType="separate"/>
      </w:r>
      <w:r>
        <w:rPr>
          <w:rFonts w:ascii="Times New Roman" w:hAnsi="Times New Roman" w:eastAsia="宋体" w:cs="Cambria Math"/>
          <w:bCs/>
          <w:szCs w:val="18"/>
        </w:rPr>
        <w:t>12</w:t>
      </w:r>
      <w:r>
        <w:rPr>
          <w:rFonts w:ascii="Times New Roman" w:hAnsi="Times New Roman" w:eastAsia="宋体" w:cs="Cambria Math"/>
          <w:bCs/>
          <w:szCs w:val="18"/>
        </w:rPr>
        <w:fldChar w:fldCharType="end"/>
      </w:r>
      <w:r>
        <w:rPr>
          <w:rFonts w:ascii="Times New Roman" w:hAnsi="Times New Roman" w:eastAsia="宋体" w:cs="Cambria Math"/>
          <w:bCs/>
          <w:szCs w:val="18"/>
        </w:rPr>
        <w:fldChar w:fldCharType="end"/>
      </w:r>
    </w:p>
    <w:p w14:paraId="68BFDBF3">
      <w:pPr>
        <w:tabs>
          <w:tab w:val="right" w:leader="dot" w:pos="8306"/>
        </w:tabs>
        <w:autoSpaceDE w:val="0"/>
        <w:autoSpaceDN w:val="0"/>
        <w:spacing w:line="360" w:lineRule="auto"/>
        <w:ind w:firstLine="420" w:firstLineChars="200"/>
        <w:rPr>
          <w:rFonts w:ascii="Times New Roman" w:hAnsi="Times New Roman" w:eastAsia="宋体" w:cs="Cambria Math"/>
          <w:bCs/>
          <w:szCs w:val="18"/>
        </w:rPr>
      </w:pPr>
      <w:r>
        <w:fldChar w:fldCharType="begin"/>
      </w:r>
      <w:r>
        <w:instrText xml:space="preserve"> HYPERLINK \l "_Toc16606" </w:instrText>
      </w:r>
      <w:r>
        <w:fldChar w:fldCharType="separate"/>
      </w:r>
      <w:r>
        <w:rPr>
          <w:rFonts w:hint="eastAsia" w:ascii="Times New Roman" w:hAnsi="Times New Roman" w:eastAsia="宋体" w:cs="Cambria Math"/>
          <w:bCs/>
          <w:szCs w:val="18"/>
        </w:rPr>
        <w:t>第五章 合同</w:t>
      </w:r>
      <w:r>
        <w:rPr>
          <w:rFonts w:ascii="Times New Roman" w:hAnsi="Times New Roman" w:eastAsia="宋体" w:cs="Cambria Math"/>
          <w:bCs/>
          <w:szCs w:val="18"/>
        </w:rPr>
        <w:t>模板</w:t>
      </w:r>
      <w:r>
        <w:rPr>
          <w:rFonts w:ascii="Times New Roman" w:hAnsi="Times New Roman" w:eastAsia="宋体" w:cs="Cambria Math"/>
          <w:bCs/>
          <w:szCs w:val="18"/>
        </w:rPr>
        <w:tab/>
      </w:r>
      <w:r>
        <w:rPr>
          <w:rFonts w:ascii="Times New Roman" w:hAnsi="Times New Roman" w:eastAsia="宋体" w:cs="Cambria Math"/>
          <w:bCs/>
          <w:szCs w:val="18"/>
        </w:rPr>
        <w:fldChar w:fldCharType="begin"/>
      </w:r>
      <w:r>
        <w:rPr>
          <w:rFonts w:ascii="Times New Roman" w:hAnsi="Times New Roman" w:eastAsia="宋体" w:cs="Cambria Math"/>
          <w:bCs/>
          <w:szCs w:val="18"/>
        </w:rPr>
        <w:instrText xml:space="preserve"> PAGEREF _Toc16606 \h </w:instrText>
      </w:r>
      <w:r>
        <w:rPr>
          <w:rFonts w:ascii="Times New Roman" w:hAnsi="Times New Roman" w:eastAsia="宋体" w:cs="Cambria Math"/>
          <w:bCs/>
          <w:szCs w:val="18"/>
        </w:rPr>
        <w:fldChar w:fldCharType="separate"/>
      </w:r>
      <w:r>
        <w:rPr>
          <w:rFonts w:ascii="Times New Roman" w:hAnsi="Times New Roman" w:eastAsia="宋体" w:cs="Cambria Math"/>
          <w:bCs/>
          <w:szCs w:val="18"/>
        </w:rPr>
        <w:t>16</w:t>
      </w:r>
      <w:r>
        <w:rPr>
          <w:rFonts w:ascii="Times New Roman" w:hAnsi="Times New Roman" w:eastAsia="宋体" w:cs="Cambria Math"/>
          <w:bCs/>
          <w:szCs w:val="18"/>
        </w:rPr>
        <w:fldChar w:fldCharType="end"/>
      </w:r>
      <w:r>
        <w:rPr>
          <w:rFonts w:ascii="Times New Roman" w:hAnsi="Times New Roman" w:eastAsia="宋体" w:cs="Cambria Math"/>
          <w:bCs/>
          <w:szCs w:val="18"/>
        </w:rPr>
        <w:fldChar w:fldCharType="end"/>
      </w:r>
    </w:p>
    <w:p w14:paraId="463288A7">
      <w:pPr>
        <w:tabs>
          <w:tab w:val="right" w:leader="dot" w:pos="8306"/>
        </w:tabs>
        <w:autoSpaceDE w:val="0"/>
        <w:autoSpaceDN w:val="0"/>
        <w:spacing w:line="360" w:lineRule="auto"/>
        <w:ind w:firstLine="420" w:firstLineChars="200"/>
        <w:rPr>
          <w:rFonts w:ascii="Times New Roman" w:hAnsi="Times New Roman" w:eastAsia="宋体" w:cs="Cambria Math"/>
          <w:bCs/>
          <w:szCs w:val="18"/>
        </w:rPr>
      </w:pPr>
      <w:r>
        <w:fldChar w:fldCharType="begin"/>
      </w:r>
      <w:r>
        <w:instrText xml:space="preserve"> HYPERLINK \l "_Toc6739" </w:instrText>
      </w:r>
      <w:r>
        <w:fldChar w:fldCharType="separate"/>
      </w:r>
      <w:r>
        <w:rPr>
          <w:rFonts w:hint="eastAsia" w:ascii="Times New Roman" w:hAnsi="Times New Roman" w:eastAsia="宋体" w:cs="Cambria Math"/>
          <w:bCs/>
          <w:szCs w:val="18"/>
        </w:rPr>
        <w:t>第六章 响应文件格式</w:t>
      </w:r>
      <w:r>
        <w:rPr>
          <w:rFonts w:ascii="Times New Roman" w:hAnsi="Times New Roman" w:eastAsia="宋体" w:cs="Cambria Math"/>
          <w:bCs/>
          <w:szCs w:val="18"/>
        </w:rPr>
        <w:tab/>
      </w:r>
      <w:r>
        <w:rPr>
          <w:rFonts w:ascii="Times New Roman" w:hAnsi="Times New Roman" w:eastAsia="宋体" w:cs="Cambria Math"/>
          <w:bCs/>
          <w:szCs w:val="18"/>
        </w:rPr>
        <w:fldChar w:fldCharType="begin"/>
      </w:r>
      <w:r>
        <w:rPr>
          <w:rFonts w:ascii="Times New Roman" w:hAnsi="Times New Roman" w:eastAsia="宋体" w:cs="Cambria Math"/>
          <w:bCs/>
          <w:szCs w:val="18"/>
        </w:rPr>
        <w:instrText xml:space="preserve"> PAGEREF _Toc6739 \h </w:instrText>
      </w:r>
      <w:r>
        <w:rPr>
          <w:rFonts w:ascii="Times New Roman" w:hAnsi="Times New Roman" w:eastAsia="宋体" w:cs="Cambria Math"/>
          <w:bCs/>
          <w:szCs w:val="18"/>
        </w:rPr>
        <w:fldChar w:fldCharType="separate"/>
      </w:r>
      <w:r>
        <w:rPr>
          <w:rFonts w:ascii="Times New Roman" w:hAnsi="Times New Roman" w:eastAsia="宋体" w:cs="Cambria Math"/>
          <w:bCs/>
          <w:szCs w:val="18"/>
        </w:rPr>
        <w:t>17</w:t>
      </w:r>
      <w:r>
        <w:rPr>
          <w:rFonts w:ascii="Times New Roman" w:hAnsi="Times New Roman" w:eastAsia="宋体" w:cs="Cambria Math"/>
          <w:bCs/>
          <w:szCs w:val="18"/>
        </w:rPr>
        <w:fldChar w:fldCharType="end"/>
      </w:r>
      <w:r>
        <w:rPr>
          <w:rFonts w:ascii="Times New Roman" w:hAnsi="Times New Roman" w:eastAsia="宋体" w:cs="Cambria Math"/>
          <w:bCs/>
          <w:szCs w:val="18"/>
        </w:rPr>
        <w:fldChar w:fldCharType="end"/>
      </w:r>
    </w:p>
    <w:p w14:paraId="29408B3F">
      <w:pPr>
        <w:autoSpaceDE w:val="0"/>
        <w:autoSpaceDN w:val="0"/>
        <w:spacing w:line="360" w:lineRule="auto"/>
        <w:ind w:firstLine="420" w:firstLineChars="200"/>
        <w:rPr>
          <w:rFonts w:ascii="Times New Roman" w:hAnsi="Times New Roman" w:eastAsia="宋体" w:cs="Cambria Math"/>
          <w:bCs/>
          <w:snapToGrid w:val="0"/>
          <w:kern w:val="0"/>
          <w:sz w:val="24"/>
          <w:szCs w:val="18"/>
          <w:highlight w:val="yellow"/>
        </w:rPr>
      </w:pPr>
      <w:r>
        <w:rPr>
          <w:rFonts w:ascii="Times New Roman" w:hAnsi="Times New Roman" w:eastAsia="宋体" w:cs="Cambria Math"/>
          <w:bCs/>
          <w:snapToGrid w:val="0"/>
          <w:kern w:val="0"/>
          <w:szCs w:val="18"/>
        </w:rPr>
        <w:fldChar w:fldCharType="end"/>
      </w:r>
    </w:p>
    <w:p w14:paraId="0C81875F">
      <w:pPr>
        <w:autoSpaceDE w:val="0"/>
        <w:autoSpaceDN w:val="0"/>
        <w:spacing w:line="360" w:lineRule="auto"/>
        <w:ind w:firstLine="420" w:firstLineChars="200"/>
        <w:rPr>
          <w:rFonts w:ascii="Times New Roman" w:hAnsi="Times New Roman" w:eastAsia="宋体" w:cs="Cambria Math"/>
          <w:bCs/>
          <w:snapToGrid w:val="0"/>
          <w:kern w:val="0"/>
          <w:szCs w:val="18"/>
          <w:highlight w:val="yellow"/>
        </w:rPr>
        <w:sectPr>
          <w:pgSz w:w="11906" w:h="16838"/>
          <w:pgMar w:top="1440" w:right="1800" w:bottom="1440" w:left="1800" w:header="851" w:footer="992" w:gutter="0"/>
          <w:pgNumType w:start="1"/>
          <w:cols w:space="720" w:num="1"/>
          <w:docGrid w:type="lines" w:linePitch="312" w:charSpace="0"/>
        </w:sectPr>
      </w:pPr>
    </w:p>
    <w:p w14:paraId="0E446FA2">
      <w:pPr>
        <w:autoSpaceDE w:val="0"/>
        <w:autoSpaceDN w:val="0"/>
        <w:spacing w:line="360" w:lineRule="auto"/>
        <w:ind w:firstLine="420" w:firstLineChars="200"/>
        <w:rPr>
          <w:rFonts w:ascii="Times New Roman" w:hAnsi="Times New Roman" w:eastAsia="宋体" w:cs="Cambria Math"/>
          <w:bCs/>
          <w:szCs w:val="18"/>
        </w:rPr>
      </w:pPr>
      <w:bookmarkStart w:id="0" w:name="_Toc6745"/>
      <w:bookmarkStart w:id="1" w:name="_Toc440628903"/>
      <w:bookmarkStart w:id="2" w:name="_Toc469574661"/>
    </w:p>
    <w:p w14:paraId="1BDF786F">
      <w:pPr>
        <w:tabs>
          <w:tab w:val="left" w:pos="3360"/>
        </w:tabs>
        <w:autoSpaceDE w:val="0"/>
        <w:autoSpaceDN w:val="0"/>
        <w:snapToGrid w:val="0"/>
        <w:spacing w:line="600" w:lineRule="exact"/>
        <w:jc w:val="center"/>
        <w:outlineLvl w:val="0"/>
        <w:rPr>
          <w:rFonts w:ascii="Times New Roman" w:hAnsi="Times New Roman" w:eastAsia="宋体" w:cs="等线 Light"/>
          <w:b/>
          <w:bCs/>
          <w:snapToGrid w:val="0"/>
          <w:kern w:val="0"/>
          <w:sz w:val="44"/>
          <w:szCs w:val="44"/>
        </w:rPr>
      </w:pPr>
      <w:bookmarkStart w:id="3" w:name="_Toc18853"/>
      <w:bookmarkStart w:id="4" w:name="_Toc25883"/>
      <w:r>
        <w:rPr>
          <w:rFonts w:hint="eastAsia" w:ascii="Times New Roman" w:hAnsi="Times New Roman" w:eastAsia="宋体" w:cs="等线 Light"/>
          <w:b/>
          <w:bCs/>
          <w:snapToGrid w:val="0"/>
          <w:kern w:val="0"/>
          <w:sz w:val="44"/>
          <w:szCs w:val="44"/>
        </w:rPr>
        <w:t>第一章</w:t>
      </w:r>
      <w:bookmarkEnd w:id="0"/>
      <w:bookmarkEnd w:id="1"/>
      <w:bookmarkEnd w:id="2"/>
      <w:r>
        <w:rPr>
          <w:rFonts w:hint="eastAsia" w:ascii="Times New Roman" w:hAnsi="Times New Roman" w:eastAsia="宋体" w:cs="等线 Light"/>
          <w:b/>
          <w:bCs/>
          <w:snapToGrid w:val="0"/>
          <w:kern w:val="0"/>
          <w:sz w:val="44"/>
          <w:szCs w:val="44"/>
        </w:rPr>
        <w:t>询比公告</w:t>
      </w:r>
      <w:bookmarkEnd w:id="3"/>
      <w:bookmarkEnd w:id="4"/>
    </w:p>
    <w:p w14:paraId="0523EBA2">
      <w:pPr>
        <w:autoSpaceDE w:val="0"/>
        <w:autoSpaceDN w:val="0"/>
        <w:spacing w:line="360" w:lineRule="auto"/>
        <w:ind w:firstLine="420" w:firstLineChars="200"/>
        <w:rPr>
          <w:rFonts w:ascii="Times New Roman" w:hAnsi="Times New Roman" w:eastAsia="宋体" w:cs="Cambria Math"/>
          <w:bCs/>
          <w:szCs w:val="18"/>
        </w:rPr>
      </w:pPr>
      <w:bookmarkStart w:id="5" w:name="_Toc55379218"/>
      <w:bookmarkStart w:id="6" w:name="_Toc89675127"/>
      <w:r>
        <w:rPr>
          <w:rFonts w:hint="eastAsia" w:ascii="Times New Roman" w:hAnsi="Times New Roman" w:eastAsia="宋体" w:cs="Cambria Math"/>
          <w:bCs/>
          <w:szCs w:val="18"/>
        </w:rPr>
        <w:t>采购人发行金融债券需要聘请评级机构。现对重庆三峡银行金融债券评级机构入围项目进行公开询比，</w:t>
      </w:r>
      <w:r>
        <w:rPr>
          <w:rFonts w:ascii="Times New Roman" w:hAnsi="Times New Roman" w:eastAsia="宋体" w:cs="Cambria Math"/>
          <w:bCs/>
          <w:szCs w:val="18"/>
        </w:rPr>
        <w:t>特邀请有</w:t>
      </w:r>
      <w:bookmarkStart w:id="7" w:name="_Hlk59455120"/>
      <w:r>
        <w:rPr>
          <w:rFonts w:ascii="Times New Roman" w:hAnsi="Times New Roman" w:eastAsia="宋体" w:cs="Cambria Math"/>
          <w:bCs/>
          <w:szCs w:val="18"/>
        </w:rPr>
        <w:t>意向</w:t>
      </w:r>
      <w:bookmarkEnd w:id="7"/>
      <w:r>
        <w:rPr>
          <w:rFonts w:ascii="Times New Roman" w:hAnsi="Times New Roman" w:eastAsia="宋体" w:cs="Cambria Math"/>
          <w:bCs/>
          <w:szCs w:val="18"/>
        </w:rPr>
        <w:t>的潜在</w:t>
      </w:r>
      <w:r>
        <w:rPr>
          <w:rFonts w:hint="eastAsia" w:ascii="Times New Roman" w:hAnsi="Times New Roman" w:eastAsia="宋体" w:cs="Cambria Math"/>
          <w:bCs/>
          <w:szCs w:val="18"/>
        </w:rPr>
        <w:t>响应人参与响应</w:t>
      </w:r>
      <w:r>
        <w:rPr>
          <w:rFonts w:ascii="Times New Roman" w:hAnsi="Times New Roman" w:eastAsia="宋体" w:cs="Cambria Math"/>
          <w:bCs/>
          <w:szCs w:val="18"/>
        </w:rPr>
        <w:t>。</w:t>
      </w:r>
    </w:p>
    <w:p w14:paraId="626B6099">
      <w:pPr>
        <w:autoSpaceDE w:val="0"/>
        <w:autoSpaceDN w:val="0"/>
        <w:spacing w:line="600" w:lineRule="exact"/>
        <w:outlineLvl w:val="1"/>
        <w:rPr>
          <w:rFonts w:ascii="Times New Roman" w:hAnsi="Times New Roman" w:eastAsia="宋体" w:cs="Times New Roman"/>
          <w:b/>
          <w:bCs/>
          <w:snapToGrid w:val="0"/>
          <w:szCs w:val="24"/>
        </w:rPr>
      </w:pPr>
      <w:r>
        <w:rPr>
          <w:rFonts w:hint="eastAsia" w:ascii="Times New Roman" w:hAnsi="Times New Roman" w:eastAsia="宋体" w:cs="Times New Roman"/>
          <w:b/>
          <w:bCs/>
          <w:snapToGrid w:val="0"/>
          <w:szCs w:val="24"/>
        </w:rPr>
        <w:t>1. 询比项目内容</w:t>
      </w:r>
      <w:bookmarkEnd w:id="5"/>
      <w:bookmarkEnd w:id="6"/>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020"/>
        <w:gridCol w:w="1950"/>
        <w:gridCol w:w="1320"/>
        <w:gridCol w:w="977"/>
      </w:tblGrid>
      <w:tr w14:paraId="3AC9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14:paraId="29AE9501">
            <w:pPr>
              <w:autoSpaceDE w:val="0"/>
              <w:autoSpaceDN w:val="0"/>
              <w:jc w:val="center"/>
              <w:rPr>
                <w:rFonts w:ascii="Times New Roman" w:hAnsi="Times New Roman" w:eastAsia="宋体" w:cs="Cambria Math"/>
                <w:b/>
                <w:bCs/>
                <w:szCs w:val="18"/>
              </w:rPr>
            </w:pPr>
            <w:r>
              <w:rPr>
                <w:rFonts w:hint="eastAsia" w:ascii="Times New Roman" w:hAnsi="Times New Roman" w:eastAsia="宋体" w:cs="Cambria Math"/>
                <w:b/>
                <w:bCs/>
                <w:szCs w:val="18"/>
              </w:rPr>
              <w:t>序号</w:t>
            </w:r>
          </w:p>
        </w:tc>
        <w:tc>
          <w:tcPr>
            <w:tcW w:w="4020" w:type="dxa"/>
            <w:vAlign w:val="center"/>
          </w:tcPr>
          <w:p w14:paraId="4D40263B">
            <w:pPr>
              <w:autoSpaceDE w:val="0"/>
              <w:autoSpaceDN w:val="0"/>
              <w:jc w:val="center"/>
              <w:rPr>
                <w:rFonts w:ascii="Times New Roman" w:hAnsi="Times New Roman" w:eastAsia="宋体" w:cs="Cambria Math"/>
                <w:b/>
                <w:bCs/>
                <w:szCs w:val="18"/>
              </w:rPr>
            </w:pPr>
            <w:r>
              <w:rPr>
                <w:rFonts w:hint="eastAsia" w:ascii="Times New Roman" w:hAnsi="Times New Roman" w:eastAsia="宋体" w:cs="Cambria Math"/>
                <w:b/>
                <w:bCs/>
                <w:szCs w:val="18"/>
              </w:rPr>
              <w:t>项目名称</w:t>
            </w:r>
          </w:p>
        </w:tc>
        <w:tc>
          <w:tcPr>
            <w:tcW w:w="1950" w:type="dxa"/>
            <w:vAlign w:val="center"/>
          </w:tcPr>
          <w:p w14:paraId="770798D2">
            <w:pPr>
              <w:autoSpaceDE w:val="0"/>
              <w:autoSpaceDN w:val="0"/>
              <w:jc w:val="center"/>
              <w:rPr>
                <w:rFonts w:ascii="Times New Roman" w:hAnsi="Times New Roman" w:eastAsia="宋体" w:cs="Cambria Math"/>
                <w:b/>
                <w:bCs/>
                <w:szCs w:val="18"/>
              </w:rPr>
            </w:pPr>
            <w:r>
              <w:rPr>
                <w:rFonts w:hint="eastAsia" w:ascii="Times New Roman" w:hAnsi="Times New Roman" w:eastAsia="宋体" w:cs="Cambria Math"/>
                <w:b/>
                <w:bCs/>
                <w:szCs w:val="18"/>
              </w:rPr>
              <w:t>最高限价</w:t>
            </w:r>
          </w:p>
        </w:tc>
        <w:tc>
          <w:tcPr>
            <w:tcW w:w="1320" w:type="dxa"/>
            <w:vAlign w:val="center"/>
          </w:tcPr>
          <w:p w14:paraId="15EBCB3A">
            <w:pPr>
              <w:autoSpaceDE w:val="0"/>
              <w:autoSpaceDN w:val="0"/>
              <w:jc w:val="center"/>
              <w:rPr>
                <w:rFonts w:ascii="Times New Roman" w:hAnsi="Times New Roman" w:eastAsia="宋体" w:cs="Cambria Math"/>
                <w:b/>
                <w:bCs/>
                <w:szCs w:val="18"/>
              </w:rPr>
            </w:pPr>
            <w:r>
              <w:rPr>
                <w:rFonts w:hint="eastAsia" w:ascii="Times New Roman" w:hAnsi="Times New Roman" w:eastAsia="宋体" w:cs="Cambria Math"/>
                <w:b/>
                <w:bCs/>
                <w:szCs w:val="18"/>
              </w:rPr>
              <w:t>入围供应商数量</w:t>
            </w:r>
          </w:p>
        </w:tc>
        <w:tc>
          <w:tcPr>
            <w:tcW w:w="977" w:type="dxa"/>
            <w:vAlign w:val="center"/>
          </w:tcPr>
          <w:p w14:paraId="07A6A735">
            <w:pPr>
              <w:autoSpaceDE w:val="0"/>
              <w:autoSpaceDN w:val="0"/>
              <w:jc w:val="center"/>
              <w:rPr>
                <w:rFonts w:ascii="Times New Roman" w:hAnsi="Times New Roman" w:eastAsia="宋体" w:cs="Cambria Math"/>
                <w:b/>
                <w:bCs/>
                <w:szCs w:val="18"/>
              </w:rPr>
            </w:pPr>
            <w:r>
              <w:rPr>
                <w:rFonts w:hint="eastAsia" w:ascii="Times New Roman" w:hAnsi="Times New Roman" w:eastAsia="宋体" w:cs="Cambria Math"/>
                <w:b/>
                <w:bCs/>
                <w:szCs w:val="18"/>
              </w:rPr>
              <w:t>备注</w:t>
            </w:r>
          </w:p>
        </w:tc>
      </w:tr>
      <w:tr w14:paraId="5EAF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48" w:type="dxa"/>
            <w:vAlign w:val="center"/>
          </w:tcPr>
          <w:p w14:paraId="5192A7AB">
            <w:pPr>
              <w:autoSpaceDE w:val="0"/>
              <w:autoSpaceDN w:val="0"/>
              <w:jc w:val="center"/>
              <w:rPr>
                <w:rFonts w:ascii="Times New Roman" w:hAnsi="Times New Roman" w:eastAsia="宋体" w:cs="Cambria Math"/>
                <w:bCs/>
                <w:szCs w:val="18"/>
              </w:rPr>
            </w:pPr>
            <w:r>
              <w:rPr>
                <w:rFonts w:ascii="Times New Roman" w:hAnsi="Times New Roman" w:eastAsia="宋体" w:cs="Cambria Math"/>
                <w:bCs/>
                <w:szCs w:val="18"/>
              </w:rPr>
              <w:t>1</w:t>
            </w:r>
          </w:p>
        </w:tc>
        <w:tc>
          <w:tcPr>
            <w:tcW w:w="4020" w:type="dxa"/>
            <w:vAlign w:val="center"/>
          </w:tcPr>
          <w:p w14:paraId="033730AE">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重庆三峡银行金融债券评级机构入围项目</w:t>
            </w:r>
          </w:p>
        </w:tc>
        <w:tc>
          <w:tcPr>
            <w:tcW w:w="1950" w:type="dxa"/>
            <w:vAlign w:val="center"/>
          </w:tcPr>
          <w:p w14:paraId="2CE8AF76">
            <w:pPr>
              <w:autoSpaceDE w:val="0"/>
              <w:autoSpaceDN w:val="0"/>
              <w:rPr>
                <w:rFonts w:ascii="Times New Roman" w:hAnsi="Times New Roman" w:eastAsia="宋体" w:cs="Cambria Math"/>
                <w:bCs/>
                <w:szCs w:val="18"/>
              </w:rPr>
            </w:pPr>
            <w:r>
              <w:rPr>
                <w:rFonts w:hint="eastAsia" w:ascii="宋体" w:hAnsi="宋体" w:eastAsia="宋体" w:cs="Cambria Math"/>
                <w:bCs/>
                <w:snapToGrid w:val="0"/>
                <w:szCs w:val="24"/>
              </w:rPr>
              <w:t>债项评级包干价</w:t>
            </w:r>
            <w:r>
              <w:rPr>
                <w:rFonts w:hint="eastAsia" w:ascii="Times New Roman" w:hAnsi="Times New Roman" w:eastAsia="宋体" w:cs="Cambria Math"/>
                <w:bCs/>
                <w:szCs w:val="18"/>
              </w:rPr>
              <w:t>：15万元/支</w:t>
            </w:r>
          </w:p>
          <w:p w14:paraId="3A0EFFB9">
            <w:pPr>
              <w:autoSpaceDE w:val="0"/>
              <w:autoSpaceDN w:val="0"/>
              <w:rPr>
                <w:rFonts w:ascii="Times New Roman" w:hAnsi="Times New Roman" w:eastAsia="宋体" w:cs="Cambria Math"/>
                <w:bCs/>
                <w:szCs w:val="18"/>
              </w:rPr>
            </w:pPr>
            <w:r>
              <w:rPr>
                <w:rFonts w:hint="eastAsia" w:ascii="Times New Roman" w:hAnsi="Times New Roman" w:eastAsia="宋体" w:cs="Cambria Math"/>
                <w:bCs/>
                <w:snapToGrid w:val="0"/>
                <w:kern w:val="0"/>
                <w:szCs w:val="18"/>
                <w:lang w:eastAsia="zh-CN"/>
              </w:rPr>
              <w:t>主体评级响应报价</w:t>
            </w:r>
            <w:r>
              <w:rPr>
                <w:rFonts w:hint="eastAsia" w:ascii="Times New Roman" w:hAnsi="Times New Roman" w:eastAsia="宋体" w:cs="Cambria Math"/>
                <w:bCs/>
                <w:szCs w:val="18"/>
              </w:rPr>
              <w:t>：25万元</w:t>
            </w:r>
          </w:p>
        </w:tc>
        <w:tc>
          <w:tcPr>
            <w:tcW w:w="1320" w:type="dxa"/>
            <w:vAlign w:val="center"/>
          </w:tcPr>
          <w:p w14:paraId="5A8B6953">
            <w:pPr>
              <w:autoSpaceDE w:val="0"/>
              <w:autoSpaceDN w:val="0"/>
              <w:jc w:val="center"/>
              <w:rPr>
                <w:rFonts w:ascii="Times New Roman" w:hAnsi="Times New Roman" w:eastAsia="宋体" w:cs="Cambria Math"/>
                <w:bCs/>
                <w:szCs w:val="18"/>
              </w:rPr>
            </w:pPr>
            <w:r>
              <w:rPr>
                <w:rFonts w:hint="eastAsia" w:ascii="Times New Roman" w:hAnsi="Times New Roman" w:eastAsia="宋体" w:cs="Cambria Math"/>
                <w:bCs/>
                <w:szCs w:val="18"/>
              </w:rPr>
              <w:t>1</w:t>
            </w:r>
            <w:r>
              <w:rPr>
                <w:rFonts w:ascii="Times New Roman" w:hAnsi="Times New Roman" w:eastAsia="宋体" w:cs="Cambria Math"/>
                <w:bCs/>
                <w:szCs w:val="18"/>
              </w:rPr>
              <w:t>-11</w:t>
            </w:r>
          </w:p>
        </w:tc>
        <w:tc>
          <w:tcPr>
            <w:tcW w:w="977" w:type="dxa"/>
            <w:vAlign w:val="center"/>
          </w:tcPr>
          <w:p w14:paraId="3E84FE7B">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（含税）</w:t>
            </w:r>
          </w:p>
        </w:tc>
      </w:tr>
    </w:tbl>
    <w:p w14:paraId="4EDC2843">
      <w:pPr>
        <w:autoSpaceDE w:val="0"/>
        <w:autoSpaceDN w:val="0"/>
        <w:spacing w:line="600" w:lineRule="exact"/>
        <w:outlineLvl w:val="1"/>
        <w:rPr>
          <w:rFonts w:ascii="Times New Roman" w:hAnsi="Times New Roman" w:eastAsia="宋体" w:cs="Times New Roman"/>
          <w:b/>
          <w:bCs/>
          <w:snapToGrid w:val="0"/>
          <w:szCs w:val="24"/>
        </w:rPr>
      </w:pPr>
      <w:bookmarkStart w:id="8" w:name="_Toc469574664"/>
      <w:bookmarkStart w:id="9" w:name="_Toc55379219"/>
      <w:bookmarkStart w:id="10" w:name="_Toc89675128"/>
      <w:bookmarkStart w:id="11" w:name="_Toc297817088"/>
      <w:bookmarkStart w:id="12" w:name="_Toc288224935"/>
      <w:r>
        <w:rPr>
          <w:rFonts w:hint="eastAsia" w:ascii="Times New Roman" w:hAnsi="Times New Roman" w:eastAsia="宋体" w:cs="Times New Roman"/>
          <w:b/>
          <w:bCs/>
          <w:snapToGrid w:val="0"/>
          <w:szCs w:val="24"/>
        </w:rPr>
        <w:t>2. 响应人资格要求</w:t>
      </w:r>
      <w:bookmarkEnd w:id="8"/>
      <w:bookmarkEnd w:id="9"/>
      <w:bookmarkEnd w:id="10"/>
      <w:bookmarkEnd w:id="11"/>
      <w:bookmarkEnd w:id="12"/>
    </w:p>
    <w:p w14:paraId="7EE3BD6F">
      <w:pPr>
        <w:autoSpaceDE w:val="0"/>
        <w:autoSpaceDN w:val="0"/>
        <w:spacing w:line="360" w:lineRule="auto"/>
        <w:ind w:firstLine="420" w:firstLineChars="200"/>
        <w:rPr>
          <w:rFonts w:ascii="Times New Roman" w:hAnsi="Times New Roman" w:eastAsia="宋体" w:cs="Cambria Math"/>
          <w:bCs/>
          <w:szCs w:val="18"/>
        </w:rPr>
      </w:pPr>
      <w:bookmarkStart w:id="13" w:name="_Hlk55488870"/>
      <w:r>
        <w:rPr>
          <w:rFonts w:hint="eastAsia" w:ascii="Times New Roman" w:hAnsi="Times New Roman" w:eastAsia="宋体" w:cs="Cambria Math"/>
          <w:bCs/>
          <w:szCs w:val="18"/>
        </w:rPr>
        <w:t>2.1 响应人应当具备承担询比项目的能力</w:t>
      </w:r>
    </w:p>
    <w:p w14:paraId="2972AE2A">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提供：1、响应人有效营业执照（副本）或事业单位法人证书（副本）或个体工商户营业执照或有效的自然人身份证明或直属的分支机构的总公司的授权委托书；2、响应人法定代表人/分支机构负责人的身份证明；3、授权委托书（如有，适用于有委托代理人的情况时采用）】</w:t>
      </w:r>
    </w:p>
    <w:p w14:paraId="662F1062">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48483759">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2.3 本项目不允许任何形式的转包【提供书面声明】。</w:t>
      </w:r>
    </w:p>
    <w:p w14:paraId="5355A055">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2.4 法人及法定代表人没有被人民法院列为失信被执行人名单【提供：1、法人在</w:t>
      </w:r>
      <w:r>
        <w:rPr>
          <w:rFonts w:ascii="Times New Roman" w:hAnsi="Times New Roman" w:eastAsia="宋体" w:cs="Cambria Math"/>
          <w:bCs/>
          <w:szCs w:val="18"/>
        </w:rPr>
        <w:t>中国执行信息公开网</w:t>
      </w:r>
      <w:r>
        <w:rPr>
          <w:rFonts w:hint="eastAsia" w:ascii="Times New Roman" w:hAnsi="Times New Roman" w:eastAsia="宋体" w:cs="Cambria Math"/>
          <w:bCs/>
          <w:szCs w:val="18"/>
        </w:rPr>
        <w:t>的查询</w:t>
      </w:r>
      <w:r>
        <w:rPr>
          <w:rFonts w:ascii="Times New Roman" w:hAnsi="Times New Roman" w:eastAsia="宋体" w:cs="Cambria Math"/>
          <w:bCs/>
          <w:szCs w:val="18"/>
        </w:rPr>
        <w:t>截图</w:t>
      </w:r>
      <w:r>
        <w:rPr>
          <w:rFonts w:hint="eastAsia" w:ascii="Times New Roman" w:hAnsi="Times New Roman" w:eastAsia="宋体" w:cs="Cambria Math"/>
          <w:bCs/>
          <w:szCs w:val="18"/>
        </w:rPr>
        <w:t>并加盖单位鲜章；2、法定代表人在</w:t>
      </w:r>
      <w:r>
        <w:rPr>
          <w:rFonts w:ascii="Times New Roman" w:hAnsi="Times New Roman" w:eastAsia="宋体" w:cs="Cambria Math"/>
          <w:bCs/>
          <w:szCs w:val="18"/>
        </w:rPr>
        <w:t>中国执行信息公开网</w:t>
      </w:r>
      <w:r>
        <w:rPr>
          <w:rFonts w:hint="eastAsia" w:ascii="Times New Roman" w:hAnsi="Times New Roman" w:eastAsia="宋体" w:cs="Cambria Math"/>
          <w:bCs/>
          <w:szCs w:val="18"/>
        </w:rPr>
        <w:t>的查询</w:t>
      </w:r>
      <w:r>
        <w:rPr>
          <w:rFonts w:ascii="Times New Roman" w:hAnsi="Times New Roman" w:eastAsia="宋体" w:cs="Cambria Math"/>
          <w:bCs/>
          <w:szCs w:val="18"/>
        </w:rPr>
        <w:t>截图</w:t>
      </w:r>
      <w:r>
        <w:rPr>
          <w:rFonts w:hint="eastAsia" w:ascii="Times New Roman" w:hAnsi="Times New Roman" w:eastAsia="宋体" w:cs="Cambria Math"/>
          <w:bCs/>
          <w:szCs w:val="18"/>
        </w:rPr>
        <w:t>并加盖单位鲜章】；</w:t>
      </w:r>
    </w:p>
    <w:p w14:paraId="413C6CFE">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2.5 本次询比不接受联合体响应。</w:t>
      </w:r>
    </w:p>
    <w:p w14:paraId="5ED46631">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2.6 本次询比响应人还应具备以下资质及能力：</w:t>
      </w:r>
    </w:p>
    <w:p w14:paraId="7B339A3F">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（1）响应人为评级结果可以在银行间债券市场使用的评级机构。【提供截图或相关证明材料】</w:t>
      </w:r>
    </w:p>
    <w:p w14:paraId="4F821655">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（2）响应人具有在2023年1月1日至2024年12月31日（以结果出具时间为准）为商业银行进行金融债信用评级的案例至少1例（金融债案例可以为普通金融债或无固定期限资本债券或二级资本债）。【</w:t>
      </w:r>
      <w:r>
        <w:rPr>
          <w:rFonts w:ascii="Times New Roman" w:hAnsi="Times New Roman" w:eastAsia="宋体" w:cs="Cambria Math"/>
          <w:bCs/>
          <w:szCs w:val="18"/>
        </w:rPr>
        <w:t>提供：1、合同关键页（合同关键页包含：甲乙双方名称、双方印章、项目名称、合同签订时间、服务范围。）；2、项目简介（格式自拟）</w:t>
      </w:r>
      <w:r>
        <w:rPr>
          <w:rFonts w:hint="eastAsia" w:ascii="Times New Roman" w:hAnsi="Times New Roman" w:eastAsia="宋体" w:cs="Cambria Math"/>
          <w:bCs/>
          <w:szCs w:val="18"/>
        </w:rPr>
        <w:t>】</w:t>
      </w:r>
    </w:p>
    <w:bookmarkEnd w:id="13"/>
    <w:p w14:paraId="758BDB5C">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ascii="Times New Roman" w:hAnsi="Times New Roman" w:eastAsia="宋体" w:cs="Times New Roman"/>
          <w:b/>
          <w:bCs/>
          <w:snapToGrid w:val="0"/>
          <w:szCs w:val="24"/>
        </w:rPr>
      </w:pPr>
      <w:bookmarkStart w:id="14" w:name="_Toc55379220"/>
      <w:bookmarkStart w:id="15" w:name="_Toc89675130"/>
      <w:bookmarkStart w:id="16" w:name="_Toc469574667"/>
      <w:bookmarkStart w:id="17" w:name="_Toc297817090"/>
      <w:bookmarkStart w:id="18" w:name="_Toc303066033"/>
      <w:bookmarkStart w:id="19" w:name="_Toc89675159"/>
      <w:r>
        <w:rPr>
          <w:rFonts w:hint="eastAsia" w:ascii="Times New Roman" w:hAnsi="Times New Roman" w:eastAsia="宋体" w:cs="Times New Roman"/>
          <w:b/>
          <w:bCs/>
          <w:snapToGrid w:val="0"/>
          <w:szCs w:val="24"/>
        </w:rPr>
        <w:t>3. 询比文件的获取</w:t>
      </w:r>
    </w:p>
    <w:p w14:paraId="084C771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ascii="Times New Roman" w:hAnsi="Times New Roman" w:eastAsia="宋体" w:cs="Cambria Math"/>
          <w:szCs w:val="20"/>
        </w:rPr>
      </w:pPr>
      <w:r>
        <w:rPr>
          <w:rFonts w:hint="eastAsia" w:ascii="Times New Roman" w:hAnsi="Times New Roman" w:eastAsia="宋体" w:cs="Cambria Math"/>
          <w:szCs w:val="20"/>
        </w:rPr>
        <w:t>3.1 响应截止时间：</w:t>
      </w:r>
      <w:r>
        <w:rPr>
          <w:rFonts w:hint="eastAsia" w:ascii="Times New Roman" w:hAnsi="Times New Roman" w:eastAsia="宋体" w:cs="Cambria Math"/>
          <w:szCs w:val="20"/>
          <w:u w:val="single"/>
          <w:lang w:val="en-US" w:eastAsia="zh-CN"/>
        </w:rPr>
        <w:t>2025</w:t>
      </w:r>
      <w:r>
        <w:rPr>
          <w:rFonts w:hint="eastAsia" w:ascii="Times New Roman" w:hAnsi="Times New Roman" w:eastAsia="宋体" w:cs="Cambria Math"/>
          <w:szCs w:val="20"/>
        </w:rPr>
        <w:t>年</w:t>
      </w:r>
      <w:r>
        <w:rPr>
          <w:rFonts w:hint="eastAsia" w:ascii="Times New Roman" w:hAnsi="Times New Roman" w:eastAsia="宋体" w:cs="Cambria Math"/>
          <w:szCs w:val="20"/>
          <w:u w:val="single"/>
          <w:lang w:val="en-US" w:eastAsia="zh-CN"/>
        </w:rPr>
        <w:t>4</w:t>
      </w:r>
      <w:r>
        <w:rPr>
          <w:rFonts w:hint="eastAsia" w:ascii="Times New Roman" w:hAnsi="Times New Roman" w:eastAsia="宋体" w:cs="Cambria Math"/>
          <w:szCs w:val="20"/>
        </w:rPr>
        <w:t>月</w:t>
      </w:r>
      <w:r>
        <w:rPr>
          <w:rFonts w:hint="eastAsia" w:ascii="Times New Roman" w:hAnsi="Times New Roman" w:eastAsia="宋体" w:cs="Cambria Math"/>
          <w:szCs w:val="20"/>
          <w:u w:val="single"/>
          <w:lang w:val="en-US" w:eastAsia="zh-CN"/>
        </w:rPr>
        <w:t>11</w:t>
      </w:r>
      <w:r>
        <w:rPr>
          <w:rFonts w:hint="eastAsia" w:ascii="Times New Roman" w:hAnsi="Times New Roman" w:eastAsia="宋体" w:cs="Cambria Math"/>
          <w:szCs w:val="20"/>
        </w:rPr>
        <w:t>日</w:t>
      </w:r>
      <w:r>
        <w:rPr>
          <w:rFonts w:hint="eastAsia" w:ascii="Times New Roman" w:hAnsi="Times New Roman" w:eastAsia="宋体" w:cs="Cambria Math"/>
          <w:szCs w:val="20"/>
          <w:u w:val="single"/>
          <w:lang w:val="en-US" w:eastAsia="zh-CN"/>
        </w:rPr>
        <w:t>9</w:t>
      </w:r>
      <w:r>
        <w:rPr>
          <w:rFonts w:hint="eastAsia" w:ascii="Times New Roman" w:hAnsi="Times New Roman" w:eastAsia="宋体" w:cs="Cambria Math"/>
          <w:szCs w:val="20"/>
        </w:rPr>
        <w:t>时</w:t>
      </w:r>
      <w:r>
        <w:rPr>
          <w:rFonts w:hint="eastAsia" w:ascii="Times New Roman" w:hAnsi="Times New Roman" w:eastAsia="宋体" w:cs="Cambria Math"/>
          <w:szCs w:val="20"/>
          <w:u w:val="single"/>
          <w:lang w:val="en-US" w:eastAsia="zh-CN"/>
        </w:rPr>
        <w:t>30</w:t>
      </w:r>
      <w:r>
        <w:rPr>
          <w:rFonts w:hint="eastAsia" w:ascii="Times New Roman" w:hAnsi="Times New Roman" w:eastAsia="宋体" w:cs="Cambria Math"/>
          <w:szCs w:val="20"/>
        </w:rPr>
        <w:t>分（北京时间）</w:t>
      </w:r>
    </w:p>
    <w:p w14:paraId="6D3BB2DB">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ascii="Times New Roman" w:hAnsi="Times New Roman" w:eastAsia="宋体" w:cs="Cambria Math"/>
          <w:szCs w:val="20"/>
        </w:rPr>
      </w:pPr>
      <w:r>
        <w:rPr>
          <w:rFonts w:hint="eastAsia" w:ascii="Times New Roman" w:hAnsi="Times New Roman" w:eastAsia="宋体" w:cs="Cambria Math"/>
          <w:szCs w:val="20"/>
        </w:rPr>
        <w:t>3.2 获取时间和方式：从</w:t>
      </w:r>
      <w:r>
        <w:rPr>
          <w:rFonts w:hint="eastAsia" w:ascii="Times New Roman" w:hAnsi="Times New Roman" w:eastAsia="宋体" w:cs="Cambria Math"/>
          <w:szCs w:val="20"/>
          <w:u w:val="single"/>
          <w:lang w:val="en-US" w:eastAsia="zh-CN"/>
        </w:rPr>
        <w:t>2025</w:t>
      </w:r>
      <w:r>
        <w:rPr>
          <w:rFonts w:hint="eastAsia" w:ascii="Times New Roman" w:hAnsi="Times New Roman" w:eastAsia="宋体" w:cs="Cambria Math"/>
          <w:szCs w:val="20"/>
        </w:rPr>
        <w:t>年</w:t>
      </w:r>
      <w:r>
        <w:rPr>
          <w:rFonts w:hint="eastAsia" w:ascii="Times New Roman" w:hAnsi="Times New Roman" w:eastAsia="宋体" w:cs="Cambria Math"/>
          <w:szCs w:val="20"/>
          <w:u w:val="single"/>
          <w:lang w:val="en-US" w:eastAsia="zh-CN"/>
        </w:rPr>
        <w:t>3</w:t>
      </w:r>
      <w:r>
        <w:rPr>
          <w:rFonts w:hint="eastAsia" w:ascii="Times New Roman" w:hAnsi="Times New Roman" w:eastAsia="宋体" w:cs="Cambria Math"/>
          <w:szCs w:val="20"/>
        </w:rPr>
        <w:t>月</w:t>
      </w:r>
      <w:r>
        <w:rPr>
          <w:rFonts w:hint="eastAsia" w:ascii="Times New Roman" w:hAnsi="Times New Roman" w:eastAsia="宋体" w:cs="Cambria Math"/>
          <w:szCs w:val="20"/>
          <w:u w:val="single"/>
          <w:lang w:val="en-US" w:eastAsia="zh-CN"/>
        </w:rPr>
        <w:t>27</w:t>
      </w:r>
      <w:r>
        <w:rPr>
          <w:rFonts w:hint="eastAsia" w:ascii="Times New Roman" w:hAnsi="Times New Roman" w:eastAsia="宋体" w:cs="Cambria Math"/>
          <w:szCs w:val="20"/>
        </w:rPr>
        <w:t>日到响应截止时间，在重庆市公共资源交易网（www.cqggzy.com）下载询比文件。</w:t>
      </w:r>
    </w:p>
    <w:p w14:paraId="037236F4">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ascii="Times New Roman" w:hAnsi="Times New Roman" w:eastAsia="宋体" w:cs="Cambria Math"/>
          <w:szCs w:val="20"/>
        </w:rPr>
      </w:pPr>
      <w:r>
        <w:rPr>
          <w:rFonts w:hint="eastAsia" w:ascii="Times New Roman" w:hAnsi="Times New Roman" w:eastAsia="宋体" w:cs="Cambria Math"/>
          <w:szCs w:val="20"/>
        </w:rPr>
        <w:t>3.3 响应人在下载询比文件后，应仔细检查询比文件的所有内容，如有残缺或文字表述不清，以及存在错、碰、漏、缺、概念模糊和有可能出现歧义或理解上的偏差的内容等应在</w:t>
      </w:r>
      <w:r>
        <w:rPr>
          <w:rFonts w:hint="eastAsia" w:ascii="Times New Roman" w:hAnsi="Times New Roman" w:eastAsia="宋体" w:cs="Cambria Math"/>
          <w:szCs w:val="20"/>
          <w:u w:val="single"/>
          <w:lang w:val="en-US" w:eastAsia="zh-CN"/>
        </w:rPr>
        <w:t>2025</w:t>
      </w:r>
      <w:r>
        <w:rPr>
          <w:rFonts w:hint="eastAsia" w:ascii="Times New Roman" w:hAnsi="Times New Roman" w:eastAsia="宋体" w:cs="Cambria Math"/>
          <w:szCs w:val="20"/>
        </w:rPr>
        <w:t>年</w:t>
      </w:r>
      <w:r>
        <w:rPr>
          <w:rFonts w:hint="eastAsia" w:ascii="Times New Roman" w:hAnsi="Times New Roman" w:eastAsia="宋体" w:cs="Cambria Math"/>
          <w:szCs w:val="20"/>
          <w:u w:val="single"/>
          <w:lang w:val="en-US" w:eastAsia="zh-CN"/>
        </w:rPr>
        <w:t>3</w:t>
      </w:r>
      <w:r>
        <w:rPr>
          <w:rFonts w:hint="eastAsia" w:ascii="Times New Roman" w:hAnsi="Times New Roman" w:eastAsia="宋体" w:cs="Cambria Math"/>
          <w:szCs w:val="20"/>
        </w:rPr>
        <w:t>月</w:t>
      </w:r>
      <w:r>
        <w:rPr>
          <w:rFonts w:hint="eastAsia" w:ascii="Times New Roman" w:hAnsi="Times New Roman" w:eastAsia="宋体" w:cs="Cambria Math"/>
          <w:szCs w:val="20"/>
          <w:u w:val="single"/>
          <w:lang w:val="en-US" w:eastAsia="zh-CN"/>
        </w:rPr>
        <w:t>30</w:t>
      </w:r>
      <w:r>
        <w:rPr>
          <w:rFonts w:hint="eastAsia" w:ascii="Times New Roman" w:hAnsi="Times New Roman" w:eastAsia="宋体" w:cs="Cambria Math"/>
          <w:szCs w:val="20"/>
        </w:rPr>
        <w:t>日</w:t>
      </w:r>
      <w:r>
        <w:rPr>
          <w:rFonts w:hint="eastAsia" w:ascii="Times New Roman" w:hAnsi="Times New Roman" w:eastAsia="宋体" w:cs="Cambria Math"/>
          <w:szCs w:val="20"/>
          <w:u w:val="single"/>
          <w:lang w:val="en-US" w:eastAsia="zh-CN"/>
        </w:rPr>
        <w:t>17</w:t>
      </w:r>
      <w:r>
        <w:rPr>
          <w:rFonts w:hint="eastAsia" w:ascii="Times New Roman" w:hAnsi="Times New Roman" w:eastAsia="宋体" w:cs="Cambria Math"/>
          <w:szCs w:val="20"/>
        </w:rPr>
        <w:t>时</w:t>
      </w:r>
      <w:r>
        <w:rPr>
          <w:rFonts w:hint="eastAsia" w:ascii="Times New Roman" w:hAnsi="Times New Roman" w:eastAsia="宋体" w:cs="Cambria Math"/>
          <w:szCs w:val="20"/>
          <w:u w:val="single"/>
          <w:lang w:val="en-US" w:eastAsia="zh-CN"/>
        </w:rPr>
        <w:t>00</w:t>
      </w:r>
      <w:r>
        <w:rPr>
          <w:rFonts w:hint="eastAsia" w:ascii="Times New Roman" w:hAnsi="Times New Roman" w:eastAsia="宋体" w:cs="Cambria Math"/>
          <w:szCs w:val="20"/>
        </w:rPr>
        <w:t>分（北京时间）前自行在重庆市公共资源交易网（http://www.cqggzy.com/）询比公告的“我要提问”栏目匿名提出。响应人未提出，则视为响应人已全面确认询比文件内容。</w:t>
      </w:r>
    </w:p>
    <w:p w14:paraId="18759A51">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szCs w:val="20"/>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bookmarkEnd w:id="14"/>
      <w:bookmarkStart w:id="242" w:name="_GoBack"/>
      <w:bookmarkEnd w:id="242"/>
    </w:p>
    <w:p w14:paraId="190C8645">
      <w:pPr>
        <w:autoSpaceDE w:val="0"/>
        <w:autoSpaceDN w:val="0"/>
        <w:spacing w:line="600" w:lineRule="exact"/>
        <w:outlineLvl w:val="1"/>
        <w:rPr>
          <w:rFonts w:ascii="Times New Roman" w:hAnsi="Times New Roman" w:eastAsia="宋体" w:cs="Times New Roman"/>
          <w:b/>
          <w:bCs/>
          <w:snapToGrid w:val="0"/>
          <w:szCs w:val="24"/>
        </w:rPr>
      </w:pPr>
      <w:bookmarkStart w:id="20" w:name="_Toc55379221"/>
      <w:r>
        <w:rPr>
          <w:rFonts w:hint="eastAsia" w:ascii="Times New Roman" w:hAnsi="Times New Roman" w:eastAsia="宋体" w:cs="Times New Roman"/>
          <w:b/>
          <w:bCs/>
          <w:snapToGrid w:val="0"/>
          <w:szCs w:val="24"/>
        </w:rPr>
        <w:t>4. 响应保证金的递交</w:t>
      </w:r>
      <w:bookmarkEnd w:id="15"/>
      <w:bookmarkEnd w:id="16"/>
      <w:bookmarkEnd w:id="17"/>
      <w:bookmarkEnd w:id="20"/>
    </w:p>
    <w:p w14:paraId="11D5491C">
      <w:pPr>
        <w:autoSpaceDE w:val="0"/>
        <w:autoSpaceDN w:val="0"/>
        <w:spacing w:line="360" w:lineRule="auto"/>
        <w:ind w:firstLine="420" w:firstLineChars="200"/>
        <w:jc w:val="left"/>
        <w:rPr>
          <w:rFonts w:ascii="Times New Roman" w:hAnsi="Times New Roman" w:eastAsia="宋体" w:cs="Cambria"/>
          <w:snapToGrid w:val="0"/>
          <w:kern w:val="0"/>
          <w:szCs w:val="18"/>
        </w:rPr>
      </w:pPr>
      <w:bookmarkStart w:id="21" w:name="_Toc55379222"/>
      <w:bookmarkStart w:id="22" w:name="_Toc469574668"/>
      <w:bookmarkStart w:id="23" w:name="_Toc297817091"/>
      <w:bookmarkStart w:id="24" w:name="_Toc89675131"/>
      <w:r>
        <w:rPr>
          <w:rFonts w:hint="eastAsia" w:ascii="Times New Roman" w:hAnsi="Times New Roman" w:eastAsia="宋体" w:cs="Cambria Math"/>
          <w:bCs/>
          <w:szCs w:val="18"/>
        </w:rPr>
        <w:t>4.1响应保证金的金额：</w:t>
      </w:r>
      <w:r>
        <w:rPr>
          <w:rFonts w:hint="eastAsia" w:ascii="Times New Roman" w:hAnsi="Times New Roman" w:eastAsia="宋体" w:cs="Cambria Math"/>
          <w:b/>
          <w:bCs/>
          <w:szCs w:val="18"/>
        </w:rPr>
        <w:t>2000</w:t>
      </w:r>
      <w:r>
        <w:rPr>
          <w:rFonts w:hint="eastAsia" w:ascii="Times New Roman" w:hAnsi="Times New Roman" w:eastAsia="宋体" w:cs="Cambria Math"/>
          <w:b/>
          <w:bCs/>
          <w:szCs w:val="18"/>
          <w:u w:val="single"/>
        </w:rPr>
        <w:t>元整（大写：贰仟元整）</w:t>
      </w:r>
      <w:r>
        <w:rPr>
          <w:rFonts w:hint="eastAsia" w:ascii="Times New Roman" w:hAnsi="Times New Roman" w:eastAsia="宋体" w:cs="Cambria"/>
          <w:b/>
          <w:bCs/>
          <w:snapToGrid w:val="0"/>
          <w:kern w:val="0"/>
          <w:szCs w:val="18"/>
        </w:rPr>
        <w:t>；</w:t>
      </w:r>
    </w:p>
    <w:p w14:paraId="6A896083">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4.2响应保证金缴纳方式：响应人从响应人的银行账户，通过转账或电汇方式直接划付至</w:t>
      </w:r>
      <w:r>
        <w:rPr>
          <w:rFonts w:hint="eastAsia" w:ascii="Times New Roman" w:hAnsi="Times New Roman" w:eastAsia="宋体" w:cs="Cambria Math"/>
          <w:b/>
          <w:szCs w:val="18"/>
        </w:rPr>
        <w:t>对应标段公告下方指定的账户（任选其一）</w:t>
      </w:r>
      <w:r>
        <w:rPr>
          <w:rFonts w:hint="eastAsia" w:ascii="Times New Roman" w:hAnsi="Times New Roman" w:eastAsia="宋体" w:cs="Cambria Math"/>
          <w:bCs/>
          <w:szCs w:val="18"/>
        </w:rPr>
        <w:t>，否则，响应保证金无效。响应人自行考虑汇入到账时间风险，本项目响应保证金不接受任何形式保函（包括电子保函）；</w:t>
      </w:r>
    </w:p>
    <w:p w14:paraId="5451C134">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响应人必须在付款凭证备注栏中注明项目简称。可简写成：</w:t>
      </w:r>
      <w:r>
        <w:rPr>
          <w:rFonts w:hint="eastAsia" w:ascii="Times New Roman" w:hAnsi="Times New Roman" w:eastAsia="宋体" w:cs="Cambria Math"/>
          <w:bCs/>
          <w:szCs w:val="18"/>
          <w:u w:val="single"/>
        </w:rPr>
        <w:t>重庆三峡银行金融债券评级机构入围项目</w:t>
      </w:r>
      <w:r>
        <w:rPr>
          <w:rFonts w:hint="eastAsia" w:ascii="Times New Roman" w:hAnsi="Times New Roman" w:eastAsia="宋体" w:cs="Cambria Math"/>
          <w:bCs/>
          <w:szCs w:val="18"/>
        </w:rPr>
        <w:t>。</w:t>
      </w:r>
    </w:p>
    <w:p w14:paraId="54A55248">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4.3响应保证金递交的截止时间同响应截止时间。响应保证金以重庆市公共资源交易中心询比现场展示的保证金交纳情况为准。</w:t>
      </w:r>
    </w:p>
    <w:p w14:paraId="789CB536">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w:t>
      </w:r>
      <w:r>
        <w:rPr>
          <w:rFonts w:ascii="Times New Roman" w:hAnsi="Times New Roman" w:eastAsia="宋体" w:cs="Cambria Math"/>
          <w:bCs/>
          <w:szCs w:val="18"/>
        </w:rPr>
        <w:t>4</w:t>
      </w:r>
      <w:r>
        <w:rPr>
          <w:rFonts w:hint="eastAsia" w:ascii="Times New Roman" w:hAnsi="Times New Roman" w:eastAsia="宋体" w:cs="Cambria Math"/>
          <w:bCs/>
          <w:szCs w:val="18"/>
        </w:rPr>
        <w:t>响应保证金专用账户如下：</w:t>
      </w:r>
    </w:p>
    <w:p w14:paraId="6679D992">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详见重庆市公共资源交易网（www.cqggzy.com）对应本项目询比公告信息栏中的保证金信息。</w:t>
      </w:r>
    </w:p>
    <w:p w14:paraId="326D8167">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ascii="Times New Roman" w:hAnsi="Times New Roman" w:eastAsia="宋体" w:cs="Times New Roman"/>
          <w:b/>
          <w:bCs/>
          <w:snapToGrid w:val="0"/>
          <w:szCs w:val="24"/>
        </w:rPr>
      </w:pPr>
      <w:r>
        <w:rPr>
          <w:rFonts w:hint="eastAsia" w:ascii="Times New Roman" w:hAnsi="Times New Roman" w:eastAsia="宋体" w:cs="Times New Roman"/>
          <w:b/>
          <w:bCs/>
          <w:snapToGrid w:val="0"/>
          <w:szCs w:val="24"/>
        </w:rPr>
        <w:t>5. 市场主体信息登记</w:t>
      </w:r>
    </w:p>
    <w:p w14:paraId="0279B3E1">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ascii="Times New Roman" w:hAnsi="Times New Roman" w:eastAsia="宋体" w:cs="Cambria Math"/>
          <w:bCs/>
          <w:szCs w:val="18"/>
        </w:rPr>
      </w:pPr>
      <w:r>
        <w:rPr>
          <w:rFonts w:hint="eastAsia" w:ascii="Times New Roman" w:hAnsi="Times New Roman" w:eastAsia="宋体" w:cs="Cambria Math"/>
          <w:bCs/>
          <w:szCs w:val="18"/>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1"/>
    <w:bookmarkEnd w:id="22"/>
    <w:bookmarkEnd w:id="23"/>
    <w:bookmarkEnd w:id="24"/>
    <w:p w14:paraId="719D9E55">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ascii="Times New Roman" w:hAnsi="Times New Roman" w:eastAsia="宋体" w:cs="Times New Roman"/>
          <w:b/>
          <w:bCs/>
          <w:snapToGrid w:val="0"/>
          <w:szCs w:val="24"/>
        </w:rPr>
      </w:pPr>
      <w:r>
        <w:rPr>
          <w:rFonts w:hint="eastAsia" w:ascii="Times New Roman" w:hAnsi="Times New Roman" w:eastAsia="宋体" w:cs="Times New Roman"/>
          <w:b/>
          <w:bCs/>
          <w:snapToGrid w:val="0"/>
          <w:szCs w:val="24"/>
        </w:rPr>
        <w:t>6. 响应文件的递交</w:t>
      </w:r>
    </w:p>
    <w:p w14:paraId="6027E1AA">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ascii="Times New Roman" w:hAnsi="Times New Roman" w:eastAsia="宋体" w:cs="Cambria Math"/>
          <w:bCs/>
          <w:szCs w:val="18"/>
        </w:rPr>
      </w:pPr>
      <w:bookmarkStart w:id="25" w:name="_Toc89675132"/>
      <w:bookmarkStart w:id="26" w:name="_Toc55379223"/>
      <w:bookmarkStart w:id="27" w:name="_Toc469574669"/>
      <w:r>
        <w:rPr>
          <w:rFonts w:hint="eastAsia" w:ascii="Times New Roman" w:hAnsi="Times New Roman" w:eastAsia="宋体" w:cs="Cambria Math"/>
          <w:bCs/>
          <w:szCs w:val="18"/>
        </w:rPr>
        <w:t>6.1 响应文件现场递交时间为</w:t>
      </w:r>
      <w:r>
        <w:rPr>
          <w:rFonts w:hint="eastAsia" w:ascii="Times New Roman" w:hAnsi="Times New Roman" w:eastAsia="宋体" w:cs="Cambria Math"/>
          <w:bCs/>
          <w:szCs w:val="18"/>
          <w:lang w:val="en-US" w:eastAsia="zh-CN"/>
        </w:rPr>
        <w:t>2025</w:t>
      </w:r>
      <w:r>
        <w:rPr>
          <w:rFonts w:hint="eastAsia" w:ascii="Times New Roman" w:hAnsi="Times New Roman" w:eastAsia="宋体" w:cs="Cambria Math"/>
          <w:bCs/>
          <w:szCs w:val="18"/>
        </w:rPr>
        <w:t>年</w:t>
      </w:r>
      <w:r>
        <w:rPr>
          <w:rFonts w:hint="eastAsia" w:ascii="Times New Roman" w:hAnsi="Times New Roman" w:eastAsia="宋体" w:cs="Cambria Math"/>
          <w:bCs/>
          <w:szCs w:val="18"/>
          <w:lang w:val="en-US" w:eastAsia="zh-CN"/>
        </w:rPr>
        <w:t>4</w:t>
      </w:r>
      <w:r>
        <w:rPr>
          <w:rFonts w:hint="eastAsia" w:ascii="Times New Roman" w:hAnsi="Times New Roman" w:eastAsia="宋体" w:cs="Cambria Math"/>
          <w:bCs/>
          <w:szCs w:val="18"/>
        </w:rPr>
        <w:t>月</w:t>
      </w:r>
      <w:r>
        <w:rPr>
          <w:rFonts w:hint="eastAsia" w:ascii="Times New Roman" w:hAnsi="Times New Roman" w:eastAsia="宋体" w:cs="Cambria Math"/>
          <w:bCs/>
          <w:szCs w:val="18"/>
          <w:lang w:val="en-US" w:eastAsia="zh-CN"/>
        </w:rPr>
        <w:t>11</w:t>
      </w:r>
      <w:r>
        <w:rPr>
          <w:rFonts w:hint="eastAsia" w:ascii="Times New Roman" w:hAnsi="Times New Roman" w:eastAsia="宋体" w:cs="Cambria Math"/>
          <w:bCs/>
          <w:szCs w:val="18"/>
        </w:rPr>
        <w:t>日</w:t>
      </w:r>
      <w:r>
        <w:rPr>
          <w:rFonts w:hint="eastAsia" w:ascii="Times New Roman" w:hAnsi="Times New Roman" w:eastAsia="宋体" w:cs="Cambria Math"/>
          <w:bCs/>
          <w:szCs w:val="18"/>
          <w:lang w:val="en-US" w:eastAsia="zh-CN"/>
        </w:rPr>
        <w:t>9</w:t>
      </w:r>
      <w:r>
        <w:rPr>
          <w:rFonts w:hint="eastAsia" w:ascii="Times New Roman" w:hAnsi="Times New Roman" w:eastAsia="宋体" w:cs="Cambria Math"/>
          <w:bCs/>
          <w:szCs w:val="18"/>
        </w:rPr>
        <w:t>时</w:t>
      </w:r>
      <w:r>
        <w:rPr>
          <w:rFonts w:hint="eastAsia" w:ascii="Times New Roman" w:hAnsi="Times New Roman" w:eastAsia="宋体" w:cs="Cambria Math"/>
          <w:bCs/>
          <w:szCs w:val="18"/>
          <w:lang w:val="en-US" w:eastAsia="zh-CN"/>
        </w:rPr>
        <w:t>00</w:t>
      </w:r>
      <w:r>
        <w:rPr>
          <w:rFonts w:hint="eastAsia" w:ascii="Times New Roman" w:hAnsi="Times New Roman" w:eastAsia="宋体" w:cs="Cambria Math"/>
          <w:bCs/>
          <w:szCs w:val="18"/>
        </w:rPr>
        <w:t>分(北京时间)至响应截止时间。</w:t>
      </w:r>
    </w:p>
    <w:p w14:paraId="6687231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ascii="Times New Roman" w:hAnsi="Times New Roman" w:eastAsia="宋体" w:cs="Cambria Math"/>
          <w:bCs/>
          <w:szCs w:val="18"/>
        </w:rPr>
      </w:pPr>
      <w:r>
        <w:rPr>
          <w:rFonts w:hint="eastAsia" w:ascii="Times New Roman" w:hAnsi="Times New Roman" w:eastAsia="宋体" w:cs="Cambria Math"/>
          <w:bCs/>
          <w:szCs w:val="18"/>
        </w:rPr>
        <w:t>6.2 递交地点为重庆市渝北区青枫北路6号渝兴广场B10栋重庆市公共资源交易中心开标区（具体请登录重庆市公共资源交易网（www.cqggzy.com）查询或递交文件当日见交易中心大厅电子显示屏）。</w:t>
      </w:r>
    </w:p>
    <w:p w14:paraId="51C1402F">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ascii="Times New Roman" w:hAnsi="Times New Roman" w:eastAsia="宋体" w:cs="Cambria Math"/>
          <w:bCs/>
          <w:szCs w:val="18"/>
        </w:rPr>
      </w:pPr>
      <w:r>
        <w:rPr>
          <w:rFonts w:hint="eastAsia" w:ascii="Times New Roman" w:hAnsi="Times New Roman" w:eastAsia="宋体" w:cs="Cambria Math"/>
          <w:bCs/>
          <w:szCs w:val="18"/>
        </w:rPr>
        <w:t>6.3 逾期送达的响应文件，不予接收。</w:t>
      </w:r>
    </w:p>
    <w:p w14:paraId="29FAEDCB">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ascii="Times New Roman" w:hAnsi="Times New Roman" w:eastAsia="宋体" w:cs="Times New Roman"/>
          <w:b/>
          <w:bCs/>
          <w:snapToGrid w:val="0"/>
          <w:szCs w:val="24"/>
        </w:rPr>
      </w:pPr>
      <w:r>
        <w:rPr>
          <w:rFonts w:hint="eastAsia" w:ascii="Times New Roman" w:hAnsi="Times New Roman" w:eastAsia="宋体" w:cs="Times New Roman"/>
          <w:b/>
          <w:bCs/>
          <w:snapToGrid w:val="0"/>
          <w:szCs w:val="24"/>
        </w:rPr>
        <w:t>7. 发布公告的媒介</w:t>
      </w:r>
      <w:bookmarkEnd w:id="25"/>
      <w:bookmarkEnd w:id="26"/>
      <w:bookmarkEnd w:id="27"/>
    </w:p>
    <w:p w14:paraId="29916C5E">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ascii="Times New Roman" w:hAnsi="Times New Roman" w:eastAsia="宋体" w:cs="Cambria Math"/>
          <w:bCs/>
          <w:szCs w:val="18"/>
        </w:rPr>
      </w:pPr>
      <w:bookmarkStart w:id="28" w:name="_Toc55379224"/>
      <w:bookmarkStart w:id="29" w:name="_Toc250565211"/>
      <w:bookmarkStart w:id="30" w:name="_Toc89675133"/>
      <w:bookmarkStart w:id="31" w:name="_Toc469574670"/>
      <w:r>
        <w:rPr>
          <w:rFonts w:hint="eastAsia" w:ascii="Times New Roman" w:hAnsi="Times New Roman" w:eastAsia="宋体" w:cs="Cambria Math"/>
          <w:bCs/>
          <w:szCs w:val="18"/>
        </w:rPr>
        <w:t>本次询比公告同时在《重庆市公共资源交易网（www.cqggzy.com）》《重庆三峡银行官网（https://www.ccqtgb.com）》和《中国招标投标公共服务平台（http://www.cebpubservice.com）》上发布。</w:t>
      </w:r>
    </w:p>
    <w:p w14:paraId="0F28EED1">
      <w:pPr>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1"/>
        <w:rPr>
          <w:rFonts w:ascii="Times New Roman" w:hAnsi="Times New Roman" w:eastAsia="宋体" w:cs="Cambria Math"/>
          <w:bCs/>
          <w:szCs w:val="18"/>
        </w:rPr>
      </w:pPr>
      <w:r>
        <w:rPr>
          <w:rFonts w:hint="eastAsia" w:ascii="Times New Roman" w:hAnsi="Times New Roman" w:eastAsia="宋体" w:cs="Times New Roman"/>
          <w:b/>
          <w:bCs/>
          <w:snapToGrid w:val="0"/>
          <w:szCs w:val="24"/>
        </w:rPr>
        <w:t>8. 联系方式</w:t>
      </w:r>
      <w:bookmarkEnd w:id="28"/>
      <w:bookmarkEnd w:id="29"/>
      <w:bookmarkEnd w:id="30"/>
      <w:bookmarkEnd w:id="31"/>
    </w:p>
    <w:tbl>
      <w:tblPr>
        <w:tblStyle w:val="22"/>
        <w:tblW w:w="0" w:type="auto"/>
        <w:tblInd w:w="0" w:type="dxa"/>
        <w:tblLayout w:type="fixed"/>
        <w:tblCellMar>
          <w:top w:w="0" w:type="dxa"/>
          <w:left w:w="108" w:type="dxa"/>
          <w:bottom w:w="0" w:type="dxa"/>
          <w:right w:w="108" w:type="dxa"/>
        </w:tblCellMar>
      </w:tblPr>
      <w:tblGrid>
        <w:gridCol w:w="3943"/>
        <w:gridCol w:w="4480"/>
      </w:tblGrid>
      <w:tr w14:paraId="006139C4">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2D33A2CC">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8.1 项目需求咨询</w:t>
            </w:r>
          </w:p>
        </w:tc>
      </w:tr>
      <w:tr w14:paraId="7C85FC51">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22B0653">
            <w:pPr>
              <w:autoSpaceDE w:val="0"/>
              <w:autoSpaceDN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Cambria Math"/>
                <w:bCs/>
                <w:szCs w:val="18"/>
              </w:rPr>
              <w:t>项目联系人：杨老师</w:t>
            </w:r>
          </w:p>
        </w:tc>
        <w:tc>
          <w:tcPr>
            <w:tcW w:w="4480" w:type="dxa"/>
            <w:tcBorders>
              <w:top w:val="nil"/>
              <w:left w:val="nil"/>
              <w:bottom w:val="nil"/>
              <w:right w:val="single" w:color="auto" w:sz="4" w:space="0"/>
            </w:tcBorders>
          </w:tcPr>
          <w:p w14:paraId="7E699971">
            <w:pPr>
              <w:autoSpaceDE w:val="0"/>
              <w:autoSpaceDN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Cambria Math"/>
                <w:bCs/>
                <w:szCs w:val="18"/>
              </w:rPr>
              <w:t>联系方式：88890144</w:t>
            </w:r>
          </w:p>
        </w:tc>
      </w:tr>
      <w:tr w14:paraId="0DBE9E1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001FC7C">
            <w:pPr>
              <w:autoSpaceDE w:val="0"/>
              <w:autoSpaceDN w:val="0"/>
              <w:spacing w:line="360" w:lineRule="auto"/>
              <w:ind w:firstLine="420" w:firstLineChars="200"/>
              <w:rPr>
                <w:rFonts w:ascii="Times New Roman" w:hAnsi="Times New Roman" w:eastAsia="宋体" w:cs="Cambria Math"/>
                <w:bCs/>
                <w:szCs w:val="18"/>
              </w:rPr>
            </w:pPr>
          </w:p>
        </w:tc>
      </w:tr>
      <w:tr w14:paraId="6D18503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0291F7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8.2 项目流程咨询</w:t>
            </w:r>
          </w:p>
        </w:tc>
      </w:tr>
      <w:tr w14:paraId="711C328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D2BA6C6">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平台服务机构：重庆联合产权交易所集团股份有限公司</w:t>
            </w:r>
          </w:p>
        </w:tc>
      </w:tr>
      <w:tr w14:paraId="37FBB188">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DA4C907">
            <w:pPr>
              <w:autoSpaceDE w:val="0"/>
              <w:autoSpaceDN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Cambria Math"/>
                <w:bCs/>
                <w:szCs w:val="18"/>
              </w:rPr>
              <w:t>平台联系人：吴老师</w:t>
            </w:r>
          </w:p>
        </w:tc>
        <w:tc>
          <w:tcPr>
            <w:tcW w:w="4480" w:type="dxa"/>
            <w:tcBorders>
              <w:top w:val="nil"/>
              <w:left w:val="nil"/>
              <w:bottom w:val="nil"/>
              <w:right w:val="single" w:color="auto" w:sz="4" w:space="0"/>
            </w:tcBorders>
          </w:tcPr>
          <w:p w14:paraId="1261B302">
            <w:pPr>
              <w:autoSpaceDE w:val="0"/>
              <w:autoSpaceDN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Cambria Math"/>
                <w:bCs/>
                <w:szCs w:val="18"/>
              </w:rPr>
              <w:t>联系方式：023-63621694</w:t>
            </w:r>
          </w:p>
        </w:tc>
      </w:tr>
      <w:tr w14:paraId="573E64C5">
        <w:tblPrEx>
          <w:tblCellMar>
            <w:top w:w="0" w:type="dxa"/>
            <w:left w:w="108" w:type="dxa"/>
            <w:bottom w:w="0" w:type="dxa"/>
            <w:right w:w="108" w:type="dxa"/>
          </w:tblCellMar>
        </w:tblPrEx>
        <w:trPr>
          <w:trHeight w:val="348" w:hRule="atLeast"/>
        </w:trPr>
        <w:tc>
          <w:tcPr>
            <w:tcW w:w="8423" w:type="dxa"/>
            <w:gridSpan w:val="2"/>
            <w:tcBorders>
              <w:top w:val="nil"/>
              <w:left w:val="single" w:color="auto" w:sz="4" w:space="0"/>
              <w:bottom w:val="nil"/>
              <w:right w:val="single" w:color="auto" w:sz="4" w:space="0"/>
            </w:tcBorders>
          </w:tcPr>
          <w:p w14:paraId="34405AA4">
            <w:pPr>
              <w:autoSpaceDE w:val="0"/>
              <w:autoSpaceDN w:val="0"/>
              <w:spacing w:line="360" w:lineRule="auto"/>
              <w:ind w:firstLine="420" w:firstLineChars="200"/>
              <w:rPr>
                <w:rFonts w:ascii="Times New Roman" w:hAnsi="Times New Roman" w:eastAsia="宋体" w:cs="Cambria Math"/>
                <w:bCs/>
                <w:szCs w:val="18"/>
              </w:rPr>
            </w:pPr>
          </w:p>
        </w:tc>
      </w:tr>
      <w:tr w14:paraId="6D2FCDD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E44455F">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8.3 采购人联系方式</w:t>
            </w:r>
          </w:p>
        </w:tc>
      </w:tr>
      <w:tr w14:paraId="7AF086B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0F810695">
            <w:pPr>
              <w:autoSpaceDE w:val="0"/>
              <w:autoSpaceDN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Cambria Math"/>
                <w:bCs/>
                <w:szCs w:val="18"/>
              </w:rPr>
              <w:t>联系人：敬老师</w:t>
            </w:r>
          </w:p>
        </w:tc>
        <w:tc>
          <w:tcPr>
            <w:tcW w:w="4480" w:type="dxa"/>
            <w:tcBorders>
              <w:top w:val="nil"/>
              <w:left w:val="nil"/>
              <w:bottom w:val="nil"/>
              <w:right w:val="single" w:color="auto" w:sz="4" w:space="0"/>
            </w:tcBorders>
          </w:tcPr>
          <w:p w14:paraId="60226195">
            <w:pPr>
              <w:autoSpaceDE w:val="0"/>
              <w:autoSpaceDN w:val="0"/>
              <w:spacing w:line="360" w:lineRule="auto"/>
              <w:ind w:firstLine="420" w:firstLineChars="200"/>
              <w:rPr>
                <w:rFonts w:ascii="Times New Roman" w:hAnsi="Times New Roman" w:eastAsia="宋体" w:cs="宋体"/>
                <w:bCs/>
                <w:szCs w:val="21"/>
              </w:rPr>
            </w:pPr>
            <w:r>
              <w:rPr>
                <w:rFonts w:hint="eastAsia" w:ascii="Times New Roman" w:hAnsi="Times New Roman" w:eastAsia="宋体" w:cs="Cambria Math"/>
                <w:bCs/>
                <w:szCs w:val="18"/>
              </w:rPr>
              <w:t>联系方式：023-88890395</w:t>
            </w:r>
          </w:p>
        </w:tc>
      </w:tr>
      <w:tr w14:paraId="2E20792B">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209BCFD1">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采购人地址：重庆市渝北区嘉州路88号中渝国际都会4号写字楼21层</w:t>
            </w:r>
          </w:p>
        </w:tc>
      </w:tr>
    </w:tbl>
    <w:p w14:paraId="75055635">
      <w:pPr>
        <w:autoSpaceDE w:val="0"/>
        <w:autoSpaceDN w:val="0"/>
        <w:spacing w:line="360" w:lineRule="auto"/>
        <w:ind w:firstLine="420" w:firstLineChars="200"/>
        <w:rPr>
          <w:rFonts w:hint="default" w:ascii="Times New Roman" w:hAnsi="Times New Roman" w:eastAsia="宋体" w:cs="Cambria Math"/>
          <w:bCs/>
          <w:szCs w:val="18"/>
          <w:lang w:val="en-US" w:eastAsia="zh-CN"/>
        </w:rPr>
      </w:pPr>
    </w:p>
    <w:p w14:paraId="73ADCDB3">
      <w:pPr>
        <w:autoSpaceDE w:val="0"/>
        <w:autoSpaceDN w:val="0"/>
        <w:spacing w:line="360" w:lineRule="auto"/>
        <w:ind w:firstLine="420" w:firstLineChars="200"/>
        <w:jc w:val="right"/>
        <w:rPr>
          <w:rFonts w:ascii="Times New Roman" w:hAnsi="Times New Roman" w:eastAsia="宋体" w:cs="Cambria Math"/>
          <w:bCs/>
          <w:szCs w:val="18"/>
        </w:rPr>
      </w:pPr>
      <w:r>
        <w:rPr>
          <w:rFonts w:hint="eastAsia" w:ascii="Times New Roman" w:hAnsi="Times New Roman" w:eastAsia="宋体" w:cs="Cambria Math"/>
          <w:bCs/>
          <w:szCs w:val="18"/>
        </w:rPr>
        <w:t>重庆三峡银行股份有限公司</w:t>
      </w:r>
    </w:p>
    <w:p w14:paraId="2A165C4B">
      <w:pPr>
        <w:autoSpaceDE w:val="0"/>
        <w:autoSpaceDN w:val="0"/>
        <w:spacing w:line="360" w:lineRule="auto"/>
        <w:ind w:firstLine="420" w:firstLineChars="200"/>
        <w:jc w:val="right"/>
      </w:pPr>
      <w:r>
        <w:rPr>
          <w:rFonts w:hint="eastAsia" w:ascii="Times New Roman" w:hAnsi="Times New Roman" w:eastAsia="宋体" w:cs="Cambria Math"/>
          <w:bCs/>
          <w:szCs w:val="18"/>
        </w:rPr>
        <w:t>202</w:t>
      </w:r>
      <w:r>
        <w:rPr>
          <w:rFonts w:hint="eastAsia" w:ascii="Times New Roman" w:hAnsi="Times New Roman" w:eastAsia="宋体" w:cs="Cambria Math"/>
          <w:bCs/>
          <w:szCs w:val="18"/>
          <w:lang w:val="en-US" w:eastAsia="zh-CN"/>
        </w:rPr>
        <w:t>5</w:t>
      </w:r>
      <w:r>
        <w:rPr>
          <w:rFonts w:hint="eastAsia" w:ascii="Times New Roman" w:hAnsi="Times New Roman" w:eastAsia="宋体" w:cs="Cambria Math"/>
          <w:bCs/>
          <w:szCs w:val="18"/>
        </w:rPr>
        <w:t>年</w:t>
      </w:r>
      <w:r>
        <w:rPr>
          <w:rFonts w:hint="eastAsia" w:ascii="Times New Roman" w:hAnsi="Times New Roman" w:eastAsia="宋体" w:cs="Cambria Math"/>
          <w:bCs/>
          <w:szCs w:val="18"/>
          <w:lang w:val="en-US" w:eastAsia="zh-CN"/>
        </w:rPr>
        <w:t>3</w:t>
      </w:r>
      <w:r>
        <w:rPr>
          <w:rFonts w:hint="eastAsia" w:ascii="Times New Roman" w:hAnsi="Times New Roman" w:eastAsia="宋体" w:cs="Cambria Math"/>
          <w:bCs/>
          <w:szCs w:val="18"/>
        </w:rPr>
        <w:t>月</w:t>
      </w:r>
      <w:r>
        <w:rPr>
          <w:rFonts w:hint="eastAsia" w:ascii="Times New Roman" w:hAnsi="Times New Roman" w:eastAsia="宋体" w:cs="Cambria Math"/>
          <w:bCs/>
          <w:szCs w:val="18"/>
          <w:lang w:val="en-US" w:eastAsia="zh-CN"/>
        </w:rPr>
        <w:t>27</w:t>
      </w:r>
      <w:r>
        <w:rPr>
          <w:rFonts w:hint="eastAsia" w:ascii="Times New Roman" w:hAnsi="Times New Roman" w:eastAsia="宋体" w:cs="Cambria Math"/>
          <w:bCs/>
          <w:szCs w:val="18"/>
        </w:rPr>
        <w:t>日</w:t>
      </w:r>
    </w:p>
    <w:p w14:paraId="439DB2CF">
      <w:pPr>
        <w:autoSpaceDE w:val="0"/>
        <w:autoSpaceDN w:val="0"/>
        <w:spacing w:line="360" w:lineRule="auto"/>
        <w:ind w:firstLine="420" w:firstLineChars="200"/>
        <w:jc w:val="right"/>
        <w:rPr>
          <w:rFonts w:ascii="Times New Roman" w:hAnsi="Times New Roman" w:eastAsia="宋体" w:cs="Cambria Math"/>
          <w:bCs/>
          <w:szCs w:val="18"/>
        </w:rPr>
      </w:pPr>
    </w:p>
    <w:p w14:paraId="69805640">
      <w:pPr>
        <w:autoSpaceDE w:val="0"/>
        <w:autoSpaceDN w:val="0"/>
        <w:spacing w:line="360" w:lineRule="auto"/>
        <w:ind w:firstLine="420" w:firstLineChars="200"/>
        <w:rPr>
          <w:rFonts w:ascii="Times New Roman" w:hAnsi="Times New Roman" w:eastAsia="宋体" w:cs="Cambria Math"/>
          <w:bCs/>
          <w:szCs w:val="18"/>
        </w:rPr>
      </w:pPr>
    </w:p>
    <w:p w14:paraId="31EBD976">
      <w:pPr>
        <w:autoSpaceDE w:val="0"/>
        <w:autoSpaceDN w:val="0"/>
        <w:spacing w:line="360" w:lineRule="auto"/>
        <w:ind w:firstLine="420" w:firstLineChars="200"/>
        <w:rPr>
          <w:rFonts w:ascii="Times New Roman" w:hAnsi="Times New Roman" w:eastAsia="宋体" w:cs="Cambria Math"/>
          <w:bCs/>
          <w:szCs w:val="18"/>
        </w:rPr>
        <w:sectPr>
          <w:footerReference r:id="rId3" w:type="default"/>
          <w:pgSz w:w="11906" w:h="16838"/>
          <w:pgMar w:top="1440" w:right="1800" w:bottom="1440" w:left="1800" w:header="851" w:footer="992" w:gutter="0"/>
          <w:pgNumType w:start="1"/>
          <w:cols w:space="720" w:num="1"/>
          <w:docGrid w:type="lines" w:linePitch="312" w:charSpace="0"/>
        </w:sectPr>
      </w:pPr>
    </w:p>
    <w:p w14:paraId="5683A155">
      <w:pPr>
        <w:tabs>
          <w:tab w:val="left" w:pos="3360"/>
        </w:tabs>
        <w:autoSpaceDE w:val="0"/>
        <w:autoSpaceDN w:val="0"/>
        <w:snapToGrid w:val="0"/>
        <w:spacing w:line="600" w:lineRule="exact"/>
        <w:jc w:val="center"/>
        <w:outlineLvl w:val="0"/>
        <w:rPr>
          <w:rFonts w:ascii="Times New Roman" w:hAnsi="Times New Roman" w:eastAsia="宋体" w:cs="等线 Light"/>
          <w:b/>
          <w:bCs/>
          <w:snapToGrid w:val="0"/>
          <w:kern w:val="0"/>
          <w:sz w:val="44"/>
          <w:szCs w:val="44"/>
        </w:rPr>
      </w:pPr>
      <w:bookmarkStart w:id="32" w:name="_Toc10496"/>
      <w:bookmarkStart w:id="33" w:name="_Toc10417"/>
      <w:r>
        <w:rPr>
          <w:rFonts w:hint="eastAsia" w:ascii="Times New Roman" w:hAnsi="Times New Roman" w:eastAsia="宋体" w:cs="等线 Light"/>
          <w:b/>
          <w:bCs/>
          <w:snapToGrid w:val="0"/>
          <w:kern w:val="0"/>
          <w:sz w:val="44"/>
          <w:szCs w:val="44"/>
        </w:rPr>
        <w:t>第二章 响应人须知</w:t>
      </w:r>
      <w:bookmarkEnd w:id="18"/>
      <w:bookmarkEnd w:id="19"/>
      <w:bookmarkEnd w:id="32"/>
      <w:bookmarkEnd w:id="33"/>
    </w:p>
    <w:p w14:paraId="0C0BCF55">
      <w:pPr>
        <w:autoSpaceDE w:val="0"/>
        <w:autoSpaceDN w:val="0"/>
        <w:spacing w:line="600" w:lineRule="exact"/>
        <w:outlineLvl w:val="1"/>
        <w:rPr>
          <w:rFonts w:ascii="Times New Roman" w:hAnsi="Times New Roman" w:eastAsia="宋体" w:cs="Times New Roman"/>
          <w:b/>
          <w:bCs/>
          <w:snapToGrid w:val="0"/>
          <w:szCs w:val="24"/>
        </w:rPr>
      </w:pPr>
      <w:bookmarkStart w:id="34" w:name="_Toc89675160"/>
      <w:r>
        <w:rPr>
          <w:rFonts w:hint="eastAsia" w:ascii="Times New Roman" w:hAnsi="Times New Roman" w:eastAsia="宋体" w:cs="Times New Roman"/>
          <w:b/>
          <w:bCs/>
          <w:snapToGrid w:val="0"/>
          <w:szCs w:val="24"/>
        </w:rPr>
        <w:t>1. 采购人</w:t>
      </w:r>
    </w:p>
    <w:p w14:paraId="07C8653A">
      <w:pPr>
        <w:autoSpaceDE w:val="0"/>
        <w:autoSpaceDN w:val="0"/>
        <w:spacing w:line="360" w:lineRule="auto"/>
        <w:ind w:firstLine="420" w:firstLineChars="200"/>
        <w:rPr>
          <w:rFonts w:ascii="Times New Roman" w:hAnsi="Times New Roman" w:eastAsia="宋体" w:cs="Cambria Math"/>
          <w:bCs/>
          <w:szCs w:val="18"/>
        </w:rPr>
      </w:pPr>
      <w:r>
        <w:rPr>
          <w:rFonts w:ascii="Times New Roman" w:hAnsi="Times New Roman" w:eastAsia="宋体" w:cs="Cambria Math"/>
          <w:bCs/>
          <w:szCs w:val="18"/>
        </w:rPr>
        <w:t>重庆三峡银行股份有限公司</w:t>
      </w:r>
      <w:r>
        <w:rPr>
          <w:rFonts w:hint="eastAsia" w:ascii="Times New Roman" w:hAnsi="Times New Roman" w:eastAsia="宋体" w:cs="Cambria Math"/>
          <w:bCs/>
          <w:szCs w:val="18"/>
        </w:rPr>
        <w:t>。</w:t>
      </w:r>
    </w:p>
    <w:bookmarkEnd w:id="34"/>
    <w:p w14:paraId="530F7A1E">
      <w:pPr>
        <w:autoSpaceDE w:val="0"/>
        <w:autoSpaceDN w:val="0"/>
        <w:spacing w:line="600" w:lineRule="exact"/>
        <w:outlineLvl w:val="1"/>
        <w:rPr>
          <w:rFonts w:ascii="Times New Roman" w:hAnsi="Times New Roman" w:eastAsia="宋体" w:cs="Times New Roman"/>
          <w:b/>
          <w:bCs/>
          <w:snapToGrid w:val="0"/>
          <w:szCs w:val="24"/>
        </w:rPr>
      </w:pPr>
      <w:bookmarkStart w:id="35" w:name="_Toc89675161"/>
      <w:r>
        <w:rPr>
          <w:rFonts w:hint="eastAsia" w:ascii="Times New Roman" w:hAnsi="Times New Roman" w:eastAsia="宋体" w:cs="Times New Roman"/>
          <w:b/>
          <w:bCs/>
          <w:snapToGrid w:val="0"/>
          <w:szCs w:val="24"/>
        </w:rPr>
        <w:t xml:space="preserve">2. </w:t>
      </w:r>
      <w:bookmarkEnd w:id="35"/>
      <w:r>
        <w:rPr>
          <w:rFonts w:hint="eastAsia" w:ascii="Times New Roman" w:hAnsi="Times New Roman" w:eastAsia="宋体" w:cs="Times New Roman"/>
          <w:b/>
          <w:bCs/>
          <w:snapToGrid w:val="0"/>
          <w:szCs w:val="24"/>
        </w:rPr>
        <w:t>响应人</w:t>
      </w:r>
    </w:p>
    <w:p w14:paraId="2D422B68">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为采购人提供工程、货物和服务的承包商、供货商和服务商。</w:t>
      </w:r>
    </w:p>
    <w:p w14:paraId="1EFE4DB9">
      <w:pPr>
        <w:autoSpaceDE w:val="0"/>
        <w:autoSpaceDN w:val="0"/>
        <w:spacing w:line="360" w:lineRule="auto"/>
        <w:ind w:firstLine="422" w:firstLineChars="200"/>
        <w:outlineLvl w:val="2"/>
        <w:rPr>
          <w:rFonts w:ascii="Times New Roman" w:hAnsi="Times New Roman" w:eastAsia="宋体" w:cs="Cambria Math"/>
          <w:b/>
          <w:bCs/>
          <w:szCs w:val="32"/>
        </w:rPr>
      </w:pPr>
      <w:r>
        <w:rPr>
          <w:rFonts w:hint="eastAsia" w:ascii="Times New Roman" w:hAnsi="Times New Roman" w:eastAsia="宋体" w:cs="Cambria Math"/>
          <w:b/>
          <w:bCs/>
          <w:szCs w:val="32"/>
        </w:rPr>
        <w:t>2.1 合格响应人条件</w:t>
      </w:r>
    </w:p>
    <w:p w14:paraId="26FEFB05">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合格响应人应完全符合询比文件第一章中规定的响应人资格条件，并对询比文件作出实质性响应。</w:t>
      </w:r>
    </w:p>
    <w:p w14:paraId="22CB52A3">
      <w:pPr>
        <w:autoSpaceDE w:val="0"/>
        <w:autoSpaceDN w:val="0"/>
        <w:spacing w:line="360" w:lineRule="auto"/>
        <w:ind w:firstLine="422" w:firstLineChars="200"/>
        <w:outlineLvl w:val="2"/>
        <w:rPr>
          <w:rFonts w:ascii="Times New Roman" w:hAnsi="Times New Roman" w:eastAsia="宋体" w:cs="Cambria Math"/>
          <w:b/>
          <w:bCs/>
          <w:szCs w:val="32"/>
        </w:rPr>
      </w:pPr>
      <w:r>
        <w:rPr>
          <w:rFonts w:hint="eastAsia" w:ascii="Times New Roman" w:hAnsi="Times New Roman" w:eastAsia="宋体" w:cs="Cambria Math"/>
          <w:b/>
          <w:bCs/>
          <w:szCs w:val="32"/>
        </w:rPr>
        <w:t>2.2 响应人的风险</w:t>
      </w:r>
    </w:p>
    <w:p w14:paraId="2CA00EE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响应人没有按照询比文件要求提供全部资料，或者响应人没有对询比文件在各方面作出实质性响应，可能导致响应被拒绝或评定为无效响应。</w:t>
      </w:r>
    </w:p>
    <w:p w14:paraId="502F4DD0">
      <w:pPr>
        <w:autoSpaceDE w:val="0"/>
        <w:autoSpaceDN w:val="0"/>
        <w:spacing w:line="600" w:lineRule="exact"/>
        <w:outlineLvl w:val="1"/>
        <w:rPr>
          <w:rFonts w:ascii="Times New Roman" w:hAnsi="Times New Roman" w:eastAsia="宋体" w:cs="Times New Roman"/>
          <w:b/>
          <w:bCs/>
          <w:snapToGrid w:val="0"/>
          <w:szCs w:val="24"/>
        </w:rPr>
      </w:pPr>
      <w:bookmarkStart w:id="36" w:name="_Toc89675162"/>
      <w:r>
        <w:rPr>
          <w:rFonts w:hint="eastAsia" w:ascii="Times New Roman" w:hAnsi="Times New Roman" w:eastAsia="宋体" w:cs="Times New Roman"/>
          <w:b/>
          <w:bCs/>
          <w:snapToGrid w:val="0"/>
          <w:szCs w:val="24"/>
        </w:rPr>
        <w:t xml:space="preserve">3. </w:t>
      </w:r>
      <w:bookmarkEnd w:id="36"/>
      <w:r>
        <w:rPr>
          <w:rFonts w:hint="eastAsia" w:ascii="Times New Roman" w:hAnsi="Times New Roman" w:eastAsia="宋体" w:cs="Times New Roman"/>
          <w:b/>
          <w:bCs/>
          <w:snapToGrid w:val="0"/>
          <w:szCs w:val="24"/>
        </w:rPr>
        <w:t>询比文件</w:t>
      </w:r>
    </w:p>
    <w:p w14:paraId="3E458AD5">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采购人根据自身采购方案或需求编制的采购文件。</w:t>
      </w:r>
    </w:p>
    <w:p w14:paraId="3B0FCDE2">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询比文件是响应人编制响应文件的依据，是评审委员会评判依据和标准。询比文件也是采购人与入围供应商签订合同的基础。</w:t>
      </w:r>
    </w:p>
    <w:p w14:paraId="79FAD940">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采购人对询比文件所作的一切有效的书面通知、修改及补充，都是询比文件不可分割的部分。</w:t>
      </w:r>
    </w:p>
    <w:p w14:paraId="3E8CBBFA">
      <w:pPr>
        <w:autoSpaceDE w:val="0"/>
        <w:autoSpaceDN w:val="0"/>
        <w:spacing w:line="600" w:lineRule="exact"/>
        <w:outlineLvl w:val="1"/>
        <w:rPr>
          <w:rFonts w:ascii="Times New Roman" w:hAnsi="Times New Roman" w:eastAsia="宋体" w:cs="Times New Roman"/>
          <w:b/>
          <w:bCs/>
          <w:snapToGrid w:val="0"/>
          <w:szCs w:val="24"/>
        </w:rPr>
      </w:pPr>
      <w:bookmarkStart w:id="37" w:name="_Toc89675163"/>
      <w:r>
        <w:rPr>
          <w:rFonts w:hint="eastAsia" w:ascii="Times New Roman" w:hAnsi="Times New Roman" w:eastAsia="宋体" w:cs="Times New Roman"/>
          <w:b/>
          <w:bCs/>
          <w:snapToGrid w:val="0"/>
          <w:szCs w:val="24"/>
        </w:rPr>
        <w:t xml:space="preserve">4. </w:t>
      </w:r>
      <w:bookmarkEnd w:id="37"/>
      <w:r>
        <w:rPr>
          <w:rFonts w:hint="eastAsia" w:ascii="Times New Roman" w:hAnsi="Times New Roman" w:eastAsia="宋体" w:cs="Times New Roman"/>
          <w:b/>
          <w:bCs/>
          <w:snapToGrid w:val="0"/>
          <w:szCs w:val="24"/>
        </w:rPr>
        <w:t>响应</w:t>
      </w:r>
    </w:p>
    <w:p w14:paraId="7DDECB7A">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响应人应当按照询比文件的要求编制响应文件，并对询比文件提出的要求和条件作出实质性响应。</w:t>
      </w:r>
    </w:p>
    <w:p w14:paraId="3F277FA2">
      <w:pPr>
        <w:autoSpaceDE w:val="0"/>
        <w:autoSpaceDN w:val="0"/>
        <w:spacing w:line="360" w:lineRule="auto"/>
        <w:ind w:firstLine="422" w:firstLineChars="200"/>
        <w:outlineLvl w:val="2"/>
        <w:rPr>
          <w:rFonts w:ascii="Times New Roman" w:hAnsi="Times New Roman" w:eastAsia="宋体" w:cs="Cambria Math"/>
          <w:b/>
          <w:bCs/>
          <w:szCs w:val="32"/>
        </w:rPr>
      </w:pPr>
      <w:r>
        <w:rPr>
          <w:rFonts w:hint="eastAsia" w:ascii="Times New Roman" w:hAnsi="Times New Roman" w:eastAsia="宋体" w:cs="Cambria Math"/>
          <w:b/>
          <w:bCs/>
          <w:szCs w:val="32"/>
        </w:rPr>
        <w:t>4.1 响应文件</w:t>
      </w:r>
    </w:p>
    <w:p w14:paraId="2E161BC8">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参与询比活动的响应人按照询比文件的要求编制提交的要约文件的统称。</w:t>
      </w:r>
    </w:p>
    <w:p w14:paraId="4954A29D">
      <w:pPr>
        <w:autoSpaceDE w:val="0"/>
        <w:autoSpaceDN w:val="0"/>
        <w:spacing w:line="360" w:lineRule="auto"/>
        <w:ind w:firstLine="422" w:firstLineChars="200"/>
        <w:outlineLvl w:val="2"/>
        <w:rPr>
          <w:rFonts w:ascii="Times New Roman" w:hAnsi="Times New Roman" w:eastAsia="宋体" w:cs="Cambria Math"/>
          <w:b/>
          <w:bCs/>
          <w:szCs w:val="32"/>
        </w:rPr>
      </w:pPr>
      <w:r>
        <w:rPr>
          <w:rFonts w:hint="eastAsia" w:ascii="Times New Roman" w:hAnsi="Times New Roman" w:eastAsia="宋体" w:cs="Cambria Math"/>
          <w:b/>
          <w:bCs/>
          <w:szCs w:val="32"/>
        </w:rPr>
        <w:t>4.2 响应文件组成</w:t>
      </w:r>
    </w:p>
    <w:p w14:paraId="7552E23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响应文件由响应人所作的一切有效补充、修改和承诺等文件组成，响应人应按照第六章“响应文件格式”规定的目录顺序组织编写和装订，否则有可能影响响应人的响应文件评审。</w:t>
      </w:r>
    </w:p>
    <w:p w14:paraId="6445AF53">
      <w:pPr>
        <w:autoSpaceDE w:val="0"/>
        <w:autoSpaceDN w:val="0"/>
        <w:spacing w:line="360" w:lineRule="auto"/>
        <w:ind w:firstLine="422" w:firstLineChars="200"/>
        <w:outlineLvl w:val="2"/>
        <w:rPr>
          <w:rFonts w:ascii="Times New Roman" w:hAnsi="Times New Roman" w:eastAsia="宋体" w:cs="Cambria Math"/>
          <w:b/>
          <w:bCs/>
          <w:szCs w:val="32"/>
        </w:rPr>
      </w:pPr>
      <w:r>
        <w:rPr>
          <w:rFonts w:hint="eastAsia" w:ascii="Times New Roman" w:hAnsi="Times New Roman" w:eastAsia="宋体" w:cs="Cambria Math"/>
          <w:b/>
          <w:bCs/>
          <w:szCs w:val="32"/>
        </w:rPr>
        <w:t>4.3 联合响应</w:t>
      </w:r>
    </w:p>
    <w:p w14:paraId="42FAAE7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本询比项目不接受联合响应</w:t>
      </w:r>
    </w:p>
    <w:p w14:paraId="48A676DA">
      <w:pPr>
        <w:autoSpaceDE w:val="0"/>
        <w:autoSpaceDN w:val="0"/>
        <w:spacing w:line="360" w:lineRule="auto"/>
        <w:ind w:firstLine="422" w:firstLineChars="200"/>
        <w:outlineLvl w:val="2"/>
        <w:rPr>
          <w:rFonts w:ascii="Times New Roman" w:hAnsi="Times New Roman" w:eastAsia="宋体" w:cs="Cambria Math"/>
          <w:b/>
          <w:bCs/>
          <w:szCs w:val="32"/>
        </w:rPr>
      </w:pPr>
      <w:r>
        <w:rPr>
          <w:rFonts w:hint="eastAsia" w:ascii="Times New Roman" w:hAnsi="Times New Roman" w:eastAsia="宋体" w:cs="Cambria Math"/>
          <w:b/>
          <w:bCs/>
          <w:szCs w:val="32"/>
        </w:rPr>
        <w:t>4.4 响应有效期</w:t>
      </w:r>
    </w:p>
    <w:p w14:paraId="03549B22">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响应有效期为响应截止时间后90天内。</w:t>
      </w:r>
    </w:p>
    <w:p w14:paraId="313C4902">
      <w:pPr>
        <w:autoSpaceDE w:val="0"/>
        <w:autoSpaceDN w:val="0"/>
        <w:spacing w:line="360" w:lineRule="auto"/>
        <w:ind w:firstLine="422" w:firstLineChars="200"/>
        <w:outlineLvl w:val="2"/>
        <w:rPr>
          <w:rFonts w:ascii="Times New Roman" w:hAnsi="Times New Roman" w:eastAsia="宋体" w:cs="Cambria Math"/>
          <w:b/>
          <w:bCs/>
          <w:szCs w:val="32"/>
        </w:rPr>
      </w:pPr>
      <w:r>
        <w:rPr>
          <w:rFonts w:hint="eastAsia" w:ascii="Times New Roman" w:hAnsi="Times New Roman" w:eastAsia="宋体" w:cs="Cambria Math"/>
          <w:b/>
          <w:bCs/>
          <w:szCs w:val="32"/>
        </w:rPr>
        <w:t>4.5 响应保证金</w:t>
      </w:r>
    </w:p>
    <w:p w14:paraId="09147D65">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4.5.1 响应人应在响应截止时间前，按询比文件第一章规定向采购人缴纳响应保证金。</w:t>
      </w:r>
    </w:p>
    <w:p w14:paraId="60E6E4E5">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4.5.2 响应保证金为响应的有效约束条件。</w:t>
      </w:r>
    </w:p>
    <w:p w14:paraId="4BE2ACF3">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4.5.3 响应保证金有效期与响应文件有效期一致。</w:t>
      </w:r>
    </w:p>
    <w:p w14:paraId="41B37416">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4.5.4 响应保证金币种应与响应报价币种相同。</w:t>
      </w:r>
    </w:p>
    <w:p w14:paraId="099BD883">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4.5.5 响应保证金的退还：</w:t>
      </w:r>
    </w:p>
    <w:p w14:paraId="4C693751">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采购人在成交通知书发出后2个工作日内将成交通知书和保证金退还通知抄告重庆市公共资源交易中心，重庆市公共资源交易中心在收到保证金退还通知后2个工作日内，向除入围供应商和成交候选人以外的响应人，退还响应保证金。</w:t>
      </w:r>
    </w:p>
    <w:p w14:paraId="1335F9D7">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采购人在合同生效后2个工作日内将签订的合同和保证金退还通知抄告重庆市公共资源交易中心，重庆市公共资源交易中心在收到保证金退还通知后2个工作日内，向入围供应商和成交候选人退还响应保证金。</w:t>
      </w:r>
    </w:p>
    <w:p w14:paraId="6F9F8B34">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响应保证金专用账户由重庆市公共资源交易中心制定，关于保证金相关情况的问题请咨询重庆市公共资源交易中心，联系电话023-63621694。</w:t>
      </w:r>
    </w:p>
    <w:p w14:paraId="00EE2755">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4.5.6 响应人有下列情形之一的，响应保证金将不予退还：</w:t>
      </w:r>
    </w:p>
    <w:p w14:paraId="4CF6A280">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4.5.6.1 响应人在响应有效期内撤销响应文件的；</w:t>
      </w:r>
    </w:p>
    <w:p w14:paraId="79BF56B0">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4.5.6.2 响应人在响应过程中弄虚作假，提供虚假材料的；</w:t>
      </w:r>
    </w:p>
    <w:p w14:paraId="5338A33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4.5.6.3 入围供应商无故弃选或无正当理由不与采购人签订合同的；</w:t>
      </w:r>
    </w:p>
    <w:p w14:paraId="5939CB70">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4.5.6.4 入围供应商将成交项目转让给他人或者在响应文件中未说明且未经询比单位同意，将成交项目分包给他人的；</w:t>
      </w:r>
    </w:p>
    <w:p w14:paraId="288B9FC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4.5.6.5 入围供应商拒绝履行合同义务的；</w:t>
      </w:r>
    </w:p>
    <w:p w14:paraId="41C35F28">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4.5.6.6 其他严重扰乱询比程序的；</w:t>
      </w:r>
    </w:p>
    <w:p w14:paraId="256C9DB6">
      <w:pPr>
        <w:autoSpaceDE w:val="0"/>
        <w:autoSpaceDN w:val="0"/>
        <w:spacing w:line="360" w:lineRule="auto"/>
        <w:ind w:firstLine="422" w:firstLineChars="200"/>
        <w:outlineLvl w:val="2"/>
        <w:rPr>
          <w:rFonts w:ascii="Times New Roman" w:hAnsi="Times New Roman" w:eastAsia="宋体" w:cs="Cambria Math"/>
          <w:b/>
          <w:bCs/>
          <w:szCs w:val="32"/>
        </w:rPr>
      </w:pPr>
      <w:r>
        <w:rPr>
          <w:rFonts w:hint="eastAsia" w:ascii="Times New Roman" w:hAnsi="Times New Roman" w:eastAsia="宋体" w:cs="Cambria Math"/>
          <w:b/>
          <w:bCs/>
          <w:szCs w:val="32"/>
        </w:rPr>
        <w:t>4.6 响应文件的份数和签署</w:t>
      </w:r>
    </w:p>
    <w:p w14:paraId="222A6C0C">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427D19F3">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4.6.2 响应文件正本中，每一页均应由响应人加盖公章，其中规定格式的文件应当按要求签名和加盖响应人公章。</w:t>
      </w:r>
    </w:p>
    <w:p w14:paraId="6288993C">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4.6.3 若响应人对响应文件的错处作必要修改，则应在修改处加盖响应人公章或由法人或委托代理人签字确认。</w:t>
      </w:r>
    </w:p>
    <w:p w14:paraId="4B2EC5CA">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4.6.4 电报、电话、邮寄、传真形式的响应文件概不接受。</w:t>
      </w:r>
    </w:p>
    <w:p w14:paraId="755B9B34">
      <w:pPr>
        <w:autoSpaceDE w:val="0"/>
        <w:autoSpaceDN w:val="0"/>
        <w:spacing w:line="360" w:lineRule="auto"/>
        <w:ind w:firstLine="422" w:firstLineChars="200"/>
        <w:outlineLvl w:val="2"/>
        <w:rPr>
          <w:rFonts w:ascii="Times New Roman" w:hAnsi="Times New Roman" w:eastAsia="宋体" w:cs="Cambria Math"/>
          <w:b/>
          <w:bCs/>
          <w:szCs w:val="32"/>
        </w:rPr>
      </w:pPr>
      <w:r>
        <w:rPr>
          <w:rFonts w:hint="eastAsia" w:ascii="Times New Roman" w:hAnsi="Times New Roman" w:eastAsia="宋体" w:cs="Cambria Math"/>
          <w:b/>
          <w:bCs/>
          <w:szCs w:val="32"/>
        </w:rPr>
        <w:t>4.7 响应文件的密封与标记</w:t>
      </w:r>
    </w:p>
    <w:p w14:paraId="14986806">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响应文件的正本、副本、电子文件装入一个文件大袋进行密封。密封袋上注明项目名称、响应人名称及“不准提前启封”字样。信封的封口须加盖响应人公章或授权代表签字。</w:t>
      </w:r>
    </w:p>
    <w:p w14:paraId="4B8D3254">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如果未按上述规定进行密封和标记，则其响应将作为无效响应处理。</w:t>
      </w:r>
    </w:p>
    <w:p w14:paraId="55003084">
      <w:pPr>
        <w:autoSpaceDE w:val="0"/>
        <w:autoSpaceDN w:val="0"/>
        <w:spacing w:line="360" w:lineRule="auto"/>
        <w:ind w:firstLine="422" w:firstLineChars="200"/>
        <w:outlineLvl w:val="2"/>
        <w:rPr>
          <w:rFonts w:ascii="Times New Roman" w:hAnsi="Times New Roman" w:eastAsia="宋体" w:cs="Cambria Math"/>
          <w:b/>
          <w:bCs/>
          <w:szCs w:val="32"/>
        </w:rPr>
      </w:pPr>
      <w:r>
        <w:rPr>
          <w:rFonts w:hint="eastAsia" w:ascii="Times New Roman" w:hAnsi="Times New Roman" w:eastAsia="宋体" w:cs="Cambria Math"/>
          <w:b/>
          <w:bCs/>
          <w:szCs w:val="32"/>
        </w:rPr>
        <w:t>4.8 响应报价</w:t>
      </w:r>
    </w:p>
    <w:p w14:paraId="6FC7DD52">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4.8.1 响应人应严格按照“响应文件格式”填写报价。</w:t>
      </w:r>
    </w:p>
    <w:p w14:paraId="78B49588">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4.8.2 响应人的报价为一次性报价，即在响应有效期内响应价格固定不变。</w:t>
      </w:r>
    </w:p>
    <w:p w14:paraId="109DDE3A">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4.8.3 本项目只接受一个响应报价，有选择的或有条件的响应将不予接受。</w:t>
      </w:r>
    </w:p>
    <w:p w14:paraId="637DC510">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4.8.4 响应报价不得高于最高限价。</w:t>
      </w:r>
    </w:p>
    <w:p w14:paraId="4F47F0DF">
      <w:pPr>
        <w:autoSpaceDE w:val="0"/>
        <w:autoSpaceDN w:val="0"/>
        <w:spacing w:line="360" w:lineRule="auto"/>
        <w:ind w:firstLine="422" w:firstLineChars="200"/>
        <w:outlineLvl w:val="2"/>
        <w:rPr>
          <w:rFonts w:ascii="Times New Roman" w:hAnsi="Times New Roman" w:eastAsia="宋体" w:cs="Cambria Math"/>
          <w:b/>
          <w:bCs/>
          <w:szCs w:val="32"/>
        </w:rPr>
      </w:pPr>
      <w:r>
        <w:rPr>
          <w:rFonts w:hint="eastAsia" w:ascii="Times New Roman" w:hAnsi="Times New Roman" w:eastAsia="宋体" w:cs="Cambria Math"/>
          <w:b/>
          <w:bCs/>
          <w:szCs w:val="32"/>
        </w:rPr>
        <w:t>4.9 修正错误</w:t>
      </w:r>
    </w:p>
    <w:p w14:paraId="280E2249">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若响应文件出现计算或表达上的错误，修正错误的原则如下：</w:t>
      </w:r>
    </w:p>
    <w:p w14:paraId="6E7AE119">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4.9.1 响应文件的大写金额和小写金额不一致的，以大写金额为准；</w:t>
      </w:r>
    </w:p>
    <w:p w14:paraId="05D69BE9">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4.9.2 总价金额与按单价汇总金额不一致的，以单价金额计算结果为准；</w:t>
      </w:r>
    </w:p>
    <w:p w14:paraId="333F9468">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4.9.3 单价金额小数点有明显错位的，应以总价为准，并修正单价；</w:t>
      </w:r>
    </w:p>
    <w:p w14:paraId="0689CC11">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4.9.4 对不同文字文本响应文件的解释发生异议的，以中文文本为准。</w:t>
      </w:r>
    </w:p>
    <w:p w14:paraId="36560102">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4.9.5 含税金额与不含税金额不一致的，以含税金额为准。</w:t>
      </w:r>
    </w:p>
    <w:p w14:paraId="37C11676">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08FC22E4">
      <w:pPr>
        <w:autoSpaceDE w:val="0"/>
        <w:autoSpaceDN w:val="0"/>
        <w:spacing w:line="600" w:lineRule="exact"/>
        <w:outlineLvl w:val="1"/>
        <w:rPr>
          <w:rFonts w:ascii="Times New Roman" w:hAnsi="Times New Roman" w:eastAsia="宋体" w:cs="Times New Roman"/>
          <w:b/>
          <w:bCs/>
          <w:snapToGrid w:val="0"/>
          <w:szCs w:val="24"/>
        </w:rPr>
      </w:pPr>
      <w:bookmarkStart w:id="38" w:name="_Toc89675166"/>
      <w:r>
        <w:rPr>
          <w:rFonts w:hint="eastAsia" w:ascii="Times New Roman" w:hAnsi="Times New Roman" w:eastAsia="宋体" w:cs="Times New Roman"/>
          <w:b/>
          <w:bCs/>
          <w:snapToGrid w:val="0"/>
          <w:szCs w:val="24"/>
        </w:rPr>
        <w:t>5. 询比程序</w:t>
      </w:r>
    </w:p>
    <w:p w14:paraId="143E7B8E">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主持人按下列程序进行询比：</w:t>
      </w:r>
    </w:p>
    <w:p w14:paraId="1EF8AED5">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5.1 宣布询比纪律；</w:t>
      </w:r>
    </w:p>
    <w:p w14:paraId="253526BA">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5.2 宣布采购人、唱标人、记录人、监督人等有关人员姓名；</w:t>
      </w:r>
    </w:p>
    <w:p w14:paraId="606FD9B8">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5.3 公布在响应截止时间前递交响应文件的响应人名称，并点名确认响应人是否派人到场；</w:t>
      </w:r>
    </w:p>
    <w:p w14:paraId="314DFFAF">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5.4 展示响应保证金，响应保证金缴款不全或有误的，则记录在案交由评审委员会评审；</w:t>
      </w:r>
    </w:p>
    <w:p w14:paraId="0C2F9061">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5.5 封装情况检查：响应人或者其推选的代表检查各响应文件的封装情况并确认；</w:t>
      </w:r>
    </w:p>
    <w:p w14:paraId="49E3A8B3">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5.6 设有最高限价的，公布最高限价；</w:t>
      </w:r>
    </w:p>
    <w:p w14:paraId="31BB43DC">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5.7 开启响应文件；</w:t>
      </w:r>
    </w:p>
    <w:p w14:paraId="40DF315E">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5.8 采购人代表、响应人代表、监督人、记录人等有关人员在询比记录上签字确认；</w:t>
      </w:r>
    </w:p>
    <w:p w14:paraId="469A5BFA">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5.9 询比结束。</w:t>
      </w:r>
    </w:p>
    <w:p w14:paraId="7A08B203">
      <w:pPr>
        <w:autoSpaceDE w:val="0"/>
        <w:autoSpaceDN w:val="0"/>
        <w:spacing w:line="600" w:lineRule="exact"/>
        <w:outlineLvl w:val="1"/>
        <w:rPr>
          <w:rFonts w:ascii="Times New Roman" w:hAnsi="Times New Roman" w:eastAsia="宋体" w:cs="Times New Roman"/>
          <w:b/>
          <w:bCs/>
          <w:snapToGrid w:val="0"/>
          <w:szCs w:val="24"/>
        </w:rPr>
      </w:pPr>
      <w:r>
        <w:rPr>
          <w:rFonts w:hint="eastAsia" w:ascii="Times New Roman" w:hAnsi="Times New Roman" w:eastAsia="宋体" w:cs="Times New Roman"/>
          <w:b/>
          <w:bCs/>
          <w:snapToGrid w:val="0"/>
          <w:szCs w:val="24"/>
        </w:rPr>
        <w:t>6. 评审</w:t>
      </w:r>
    </w:p>
    <w:p w14:paraId="74D95290">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见第四章内容。</w:t>
      </w:r>
    </w:p>
    <w:p w14:paraId="39FA6C28">
      <w:pPr>
        <w:autoSpaceDE w:val="0"/>
        <w:autoSpaceDN w:val="0"/>
        <w:spacing w:line="600" w:lineRule="exact"/>
        <w:outlineLvl w:val="1"/>
        <w:rPr>
          <w:rFonts w:ascii="Times New Roman" w:hAnsi="Times New Roman" w:eastAsia="宋体" w:cs="Times New Roman"/>
          <w:b/>
          <w:bCs/>
          <w:snapToGrid w:val="0"/>
          <w:szCs w:val="24"/>
        </w:rPr>
      </w:pPr>
      <w:r>
        <w:rPr>
          <w:rFonts w:hint="eastAsia" w:ascii="Times New Roman" w:hAnsi="Times New Roman" w:eastAsia="宋体" w:cs="Times New Roman"/>
          <w:b/>
          <w:bCs/>
          <w:snapToGrid w:val="0"/>
          <w:szCs w:val="24"/>
        </w:rPr>
        <w:t xml:space="preserve">7. </w:t>
      </w:r>
      <w:bookmarkEnd w:id="38"/>
      <w:r>
        <w:rPr>
          <w:rFonts w:hint="eastAsia" w:ascii="Times New Roman" w:hAnsi="Times New Roman" w:eastAsia="宋体" w:cs="Times New Roman"/>
          <w:b/>
          <w:bCs/>
          <w:snapToGrid w:val="0"/>
          <w:szCs w:val="24"/>
        </w:rPr>
        <w:t>确定入围供应商</w:t>
      </w:r>
    </w:p>
    <w:p w14:paraId="1589BCE2">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7.1 确定入围供应商原则</w:t>
      </w:r>
    </w:p>
    <w:p w14:paraId="619413D6">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采购人按照评审报告中推荐的成交候选人排名顺序确定入围供应商，如入围供应商因不可抗力或者自身原因不能履行合同的，采购人可以重新采购或确定依次其后的候选人为入围供应商，以此类推。</w:t>
      </w:r>
    </w:p>
    <w:p w14:paraId="7F2A885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7.2 不承诺最低价格成交。</w:t>
      </w:r>
    </w:p>
    <w:p w14:paraId="0C262630">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7.3 若入围供应商响应材料出现造假、不实等与实际查询结果不符或无故弃选的情况，采购人有权选择重新询比或顺延下一成交候选人，由此带来的损失采购人有权通过没收响应保证金等方式进行追溯。</w:t>
      </w:r>
    </w:p>
    <w:p w14:paraId="2DF29C02">
      <w:pPr>
        <w:autoSpaceDE w:val="0"/>
        <w:autoSpaceDN w:val="0"/>
        <w:spacing w:line="600" w:lineRule="exact"/>
        <w:outlineLvl w:val="1"/>
        <w:rPr>
          <w:rFonts w:ascii="Times New Roman" w:hAnsi="Times New Roman" w:eastAsia="宋体" w:cs="Times New Roman"/>
          <w:b/>
          <w:bCs/>
          <w:snapToGrid w:val="0"/>
          <w:szCs w:val="24"/>
        </w:rPr>
      </w:pPr>
      <w:bookmarkStart w:id="39" w:name="_Toc12245"/>
      <w:bookmarkStart w:id="40" w:name="_Toc89675168"/>
      <w:r>
        <w:rPr>
          <w:rFonts w:hint="eastAsia" w:ascii="Times New Roman" w:hAnsi="Times New Roman" w:eastAsia="宋体" w:cs="Times New Roman"/>
          <w:b/>
          <w:bCs/>
          <w:snapToGrid w:val="0"/>
          <w:szCs w:val="24"/>
        </w:rPr>
        <w:t>8. 签订合同</w:t>
      </w:r>
      <w:bookmarkEnd w:id="39"/>
      <w:bookmarkEnd w:id="40"/>
    </w:p>
    <w:p w14:paraId="72E8332B">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8.1 采购人指定的使用单位将在自成交通知发出之日起，依据询比文件和入围供应商响应文件的约定，按照采购人内部流程与入围供应商签订书面合同。所签订的合同不得对询比文件和入围供应商响应文件作实质性修改。</w:t>
      </w:r>
    </w:p>
    <w:p w14:paraId="1B2AB32F">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8.2 入围供应商在领取成交通知书后，应根据第一章中“联系方式”内容，及时与项目联系人对接，并按采购人要求在规定时间完成合同的签订。如未在规定时间内签订合同，且经采购人书面通知后仍不按照通知要求签订合同的，可视为入围供应商无故弃选。</w:t>
      </w:r>
    </w:p>
    <w:p w14:paraId="6EF17264">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8.3 询比文件、入围供应商的响应文件及澄清文件等，均为签订合同的依据。</w:t>
      </w:r>
    </w:p>
    <w:p w14:paraId="14E39DE2">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8.4 合同生效条款由供需双方约定，法律、行政法规规定应当办理批准、登记等手续后生效的合同，依照其规定。</w:t>
      </w:r>
    </w:p>
    <w:p w14:paraId="56D91645">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8.5 签订合同前后，若入围供应商无法按要求履约，采购人可以废除入围供应商资格，并可重新采购或选择按照成交候选人顺位与下一候选人签订合同。</w:t>
      </w:r>
    </w:p>
    <w:p w14:paraId="1CC4451B">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8.6 该项目不允许任何形式的转包。</w:t>
      </w:r>
    </w:p>
    <w:p w14:paraId="1EE0BAEC">
      <w:pPr>
        <w:autoSpaceDE w:val="0"/>
        <w:autoSpaceDN w:val="0"/>
        <w:spacing w:line="600" w:lineRule="exact"/>
        <w:outlineLvl w:val="1"/>
        <w:rPr>
          <w:rFonts w:ascii="Times New Roman" w:hAnsi="Times New Roman" w:eastAsia="宋体" w:cs="Times New Roman"/>
          <w:b/>
          <w:bCs/>
          <w:snapToGrid w:val="0"/>
          <w:szCs w:val="24"/>
        </w:rPr>
      </w:pPr>
      <w:r>
        <w:rPr>
          <w:rFonts w:hint="eastAsia" w:ascii="Times New Roman" w:hAnsi="Times New Roman" w:eastAsia="宋体" w:cs="Times New Roman"/>
          <w:b/>
          <w:bCs/>
          <w:snapToGrid w:val="0"/>
          <w:szCs w:val="24"/>
        </w:rPr>
        <w:t>9. 纪律与要求</w:t>
      </w:r>
    </w:p>
    <w:p w14:paraId="07D4622C">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响应人不得相互串通响应或者与采购人串通响应，不得向采购人行贿谋取成交，不得以他人名义响应或者以其他方式弄虚作假骗取成交；响应人不得以任何方式干扰、影响评审工作。</w:t>
      </w:r>
    </w:p>
    <w:p w14:paraId="64AEB5B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9.1 有下列情形之一的，属于响应人相互串通响应：</w:t>
      </w:r>
    </w:p>
    <w:p w14:paraId="67910AB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9.1.1 响应人之间协商响应报价等响应文件的实质性内容；</w:t>
      </w:r>
    </w:p>
    <w:p w14:paraId="06E933AF">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9.1.2 响应人之间约定入围供应商；</w:t>
      </w:r>
    </w:p>
    <w:p w14:paraId="6EC418A0">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9.1.3 响应人之间约定部分响应人放弃响应或者成交；</w:t>
      </w:r>
    </w:p>
    <w:p w14:paraId="589EF9D4">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9.1.4 属于同一集团、协会、商会等组织成员的响应人按照该组织要求协同响应；</w:t>
      </w:r>
    </w:p>
    <w:p w14:paraId="5E2790F4">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9.1.5 响应人之间为谋取成交或者排斥特定响应人而采取的其他联合行动。</w:t>
      </w:r>
    </w:p>
    <w:p w14:paraId="7F3A0F7B">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9.2 有下列情形之一的，视为响应人相互串通响应：</w:t>
      </w:r>
    </w:p>
    <w:p w14:paraId="329BB1F4">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9.2.1 不同响应人的响应文件由同一单位或者个人编制；</w:t>
      </w:r>
    </w:p>
    <w:p w14:paraId="553770AE">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9.2.2 不同响应人委托同一单位或者个人办理响应事宜；</w:t>
      </w:r>
    </w:p>
    <w:p w14:paraId="76622283">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9.2.3 不同响应人的响应文件载明的项目管理成员为同一人；</w:t>
      </w:r>
    </w:p>
    <w:p w14:paraId="4C9E5016">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9.2.4 不同响应人的响应文件相互混装；</w:t>
      </w:r>
    </w:p>
    <w:p w14:paraId="7B194CE7">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9.2.5 不同响应人的响应保证金从同一单位或者个人的账户转出。</w:t>
      </w:r>
    </w:p>
    <w:p w14:paraId="6A42B29F">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9.3 使用通过受让或者租借等方式获取的资格、资质证书响应的，属于以他人名义响应。</w:t>
      </w:r>
    </w:p>
    <w:p w14:paraId="3BF734D8">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9.4 响应人有下列情形之一的，属于弄虚作假的行为：</w:t>
      </w:r>
    </w:p>
    <w:p w14:paraId="44EB090C">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9.4.1 使用伪造、变造的许可证件；</w:t>
      </w:r>
    </w:p>
    <w:p w14:paraId="48A6DD77">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9.4.2 提供虚假的财务状况或者虚假业绩；</w:t>
      </w:r>
    </w:p>
    <w:p w14:paraId="116C2169">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9.4.3 提供虚假的项目负责人或者主要技术人员简历、劳动关系证明；</w:t>
      </w:r>
    </w:p>
    <w:p w14:paraId="4D84FDE9">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9.4.4 提供虚假的信用状况；</w:t>
      </w:r>
    </w:p>
    <w:p w14:paraId="7E0F469F">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9.4.5 其它弄虚作假的行为。</w:t>
      </w:r>
    </w:p>
    <w:p w14:paraId="47E6E229">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针对以上情况，采购人有权没收响应人的响应保证金，并保留进一步追究由此带来损失的权利。</w:t>
      </w:r>
    </w:p>
    <w:p w14:paraId="1FA8CBDD">
      <w:pPr>
        <w:autoSpaceDE w:val="0"/>
        <w:autoSpaceDN w:val="0"/>
        <w:spacing w:line="600" w:lineRule="exact"/>
        <w:outlineLvl w:val="1"/>
        <w:rPr>
          <w:rFonts w:ascii="Times New Roman" w:hAnsi="Times New Roman" w:eastAsia="宋体" w:cs="Times New Roman"/>
          <w:b/>
          <w:bCs/>
          <w:snapToGrid w:val="0"/>
          <w:szCs w:val="24"/>
        </w:rPr>
      </w:pPr>
      <w:bookmarkStart w:id="41" w:name="_Toc89675169"/>
      <w:r>
        <w:rPr>
          <w:rFonts w:hint="eastAsia" w:ascii="Times New Roman" w:hAnsi="Times New Roman" w:eastAsia="宋体" w:cs="Times New Roman"/>
          <w:b/>
          <w:bCs/>
          <w:snapToGrid w:val="0"/>
          <w:szCs w:val="24"/>
        </w:rPr>
        <w:t>10. 提问、质疑、投诉</w:t>
      </w:r>
    </w:p>
    <w:p w14:paraId="13191C6C">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10.1 补遗内容可能影响响应文件编制的，须在响应截止时间3日前发布，发布时间至响应截止时间不足3日的，须相应延后响应截止时间。</w:t>
      </w:r>
    </w:p>
    <w:p w14:paraId="7144D30E">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6CEFE6E3">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10.3 响应人对公示的成交结果有质疑，响应人需在公示期内以书面形式向采购人提出质疑。采购人认为有必要对响应人所提质疑进行答复时，将以书面形式进行答复。</w:t>
      </w:r>
    </w:p>
    <w:p w14:paraId="7E74222B">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10.4 响应人对采购人的答复不满意或者有质疑，可向采购人纪检监察部投诉。</w:t>
      </w:r>
    </w:p>
    <w:p w14:paraId="14BA5FBE">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采购质疑邮箱：</w:t>
      </w:r>
      <w:r>
        <w:rPr>
          <w:rFonts w:ascii="Times New Roman" w:hAnsi="Times New Roman" w:eastAsia="宋体" w:cs="Cambria Math"/>
          <w:bCs/>
          <w:szCs w:val="18"/>
        </w:rPr>
        <w:t>sx.jcb@ccqtgb.com</w:t>
      </w:r>
    </w:p>
    <w:p w14:paraId="7949E595">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采购投诉邮箱：</w:t>
      </w:r>
      <w:bookmarkStart w:id="42" w:name="_Hlk74215856"/>
      <w:r>
        <w:rPr>
          <w:rFonts w:hint="eastAsia" w:ascii="Times New Roman" w:hAnsi="Times New Roman" w:eastAsia="宋体" w:cs="Cambria Math"/>
          <w:bCs/>
          <w:szCs w:val="18"/>
        </w:rPr>
        <w:t>sxyhjjz@</w:t>
      </w:r>
      <w:r>
        <w:rPr>
          <w:rFonts w:ascii="Times New Roman" w:hAnsi="Times New Roman" w:eastAsia="宋体" w:cs="Cambria Math"/>
          <w:bCs/>
          <w:szCs w:val="18"/>
        </w:rPr>
        <w:t>ccqtgb</w:t>
      </w:r>
      <w:r>
        <w:rPr>
          <w:rFonts w:hint="eastAsia" w:ascii="Times New Roman" w:hAnsi="Times New Roman" w:eastAsia="宋体" w:cs="Cambria Math"/>
          <w:bCs/>
          <w:szCs w:val="18"/>
        </w:rPr>
        <w:t>.com</w:t>
      </w:r>
      <w:bookmarkEnd w:id="42"/>
    </w:p>
    <w:p w14:paraId="7A60B0D9">
      <w:pPr>
        <w:autoSpaceDE w:val="0"/>
        <w:autoSpaceDN w:val="0"/>
        <w:spacing w:line="600" w:lineRule="exact"/>
        <w:outlineLvl w:val="1"/>
        <w:rPr>
          <w:rFonts w:ascii="Times New Roman" w:hAnsi="Times New Roman" w:eastAsia="宋体" w:cs="Times New Roman"/>
          <w:b/>
          <w:bCs/>
          <w:snapToGrid w:val="0"/>
          <w:szCs w:val="24"/>
        </w:rPr>
      </w:pPr>
      <w:bookmarkStart w:id="43" w:name="_Toc89675157"/>
      <w:bookmarkStart w:id="44" w:name="_Toc275199618"/>
      <w:bookmarkStart w:id="45" w:name="_Toc15059431"/>
      <w:bookmarkStart w:id="46" w:name="_Toc440628924"/>
      <w:bookmarkStart w:id="47" w:name="_Toc11439"/>
      <w:r>
        <w:rPr>
          <w:rFonts w:hint="eastAsia" w:ascii="Times New Roman" w:hAnsi="Times New Roman" w:eastAsia="宋体" w:cs="Times New Roman"/>
          <w:b/>
          <w:bCs/>
          <w:snapToGrid w:val="0"/>
          <w:szCs w:val="24"/>
        </w:rPr>
        <w:t>11. 无效响应条款</w:t>
      </w:r>
      <w:bookmarkEnd w:id="43"/>
      <w:bookmarkEnd w:id="44"/>
      <w:bookmarkEnd w:id="45"/>
      <w:bookmarkEnd w:id="46"/>
      <w:bookmarkEnd w:id="47"/>
    </w:p>
    <w:p w14:paraId="4A57DDC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响应人或其响应文件出现下列情况之一者，应为无效响应：</w:t>
      </w:r>
    </w:p>
    <w:p w14:paraId="1C11837F">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11.1 响应人</w:t>
      </w:r>
      <w:r>
        <w:rPr>
          <w:rFonts w:ascii="Times New Roman" w:hAnsi="Times New Roman" w:eastAsia="宋体" w:cs="Cambria Math"/>
          <w:bCs/>
          <w:szCs w:val="18"/>
        </w:rPr>
        <w:t>未按</w:t>
      </w:r>
      <w:r>
        <w:rPr>
          <w:rFonts w:hint="eastAsia" w:ascii="Times New Roman" w:hAnsi="Times New Roman" w:eastAsia="宋体" w:cs="Cambria Math"/>
          <w:bCs/>
          <w:szCs w:val="18"/>
        </w:rPr>
        <w:t>询比文件</w:t>
      </w:r>
      <w:r>
        <w:rPr>
          <w:rFonts w:ascii="Times New Roman" w:hAnsi="Times New Roman" w:eastAsia="宋体" w:cs="Cambria Math"/>
          <w:bCs/>
          <w:szCs w:val="18"/>
        </w:rPr>
        <w:t>规定</w:t>
      </w:r>
      <w:r>
        <w:rPr>
          <w:rFonts w:hint="eastAsia" w:ascii="Times New Roman" w:hAnsi="Times New Roman" w:eastAsia="宋体" w:cs="Cambria Math"/>
          <w:bCs/>
          <w:szCs w:val="18"/>
        </w:rPr>
        <w:t>在响应保证金递交截止时间内</w:t>
      </w:r>
      <w:r>
        <w:rPr>
          <w:rFonts w:ascii="Times New Roman" w:hAnsi="Times New Roman" w:eastAsia="宋体" w:cs="Cambria Math"/>
          <w:bCs/>
          <w:szCs w:val="18"/>
        </w:rPr>
        <w:t>提交足额</w:t>
      </w:r>
      <w:r>
        <w:rPr>
          <w:rFonts w:hint="eastAsia" w:ascii="Times New Roman" w:hAnsi="Times New Roman" w:eastAsia="宋体" w:cs="Cambria Math"/>
          <w:bCs/>
          <w:szCs w:val="18"/>
        </w:rPr>
        <w:t>响应保证金</w:t>
      </w:r>
      <w:r>
        <w:rPr>
          <w:rFonts w:ascii="Times New Roman" w:hAnsi="Times New Roman" w:eastAsia="宋体" w:cs="Cambria Math"/>
          <w:bCs/>
          <w:szCs w:val="18"/>
        </w:rPr>
        <w:t>的</w:t>
      </w:r>
      <w:r>
        <w:rPr>
          <w:rFonts w:hint="eastAsia" w:ascii="Times New Roman" w:hAnsi="Times New Roman" w:eastAsia="宋体" w:cs="Cambria Math"/>
          <w:bCs/>
          <w:szCs w:val="18"/>
        </w:rPr>
        <w:t>。</w:t>
      </w:r>
    </w:p>
    <w:p w14:paraId="68C01BE6">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11.2 响应人</w:t>
      </w:r>
      <w:r>
        <w:rPr>
          <w:rFonts w:ascii="Times New Roman" w:hAnsi="Times New Roman" w:eastAsia="宋体" w:cs="Cambria Math"/>
          <w:bCs/>
          <w:szCs w:val="18"/>
        </w:rPr>
        <w:t>未通过</w:t>
      </w:r>
      <w:r>
        <w:rPr>
          <w:rFonts w:hint="eastAsia" w:ascii="Times New Roman" w:hAnsi="Times New Roman" w:eastAsia="宋体" w:cs="Cambria Math"/>
          <w:bCs/>
          <w:szCs w:val="18"/>
        </w:rPr>
        <w:t>资格评审、形式评审、响应性评审</w:t>
      </w:r>
      <w:r>
        <w:rPr>
          <w:rFonts w:ascii="Times New Roman" w:hAnsi="Times New Roman" w:eastAsia="宋体" w:cs="Cambria Math"/>
          <w:bCs/>
          <w:szCs w:val="18"/>
        </w:rPr>
        <w:t>或</w:t>
      </w:r>
      <w:r>
        <w:rPr>
          <w:rFonts w:hint="eastAsia" w:ascii="Times New Roman" w:hAnsi="Times New Roman" w:eastAsia="宋体" w:cs="Cambria Math"/>
          <w:bCs/>
          <w:szCs w:val="18"/>
        </w:rPr>
        <w:t>响应文件</w:t>
      </w:r>
      <w:r>
        <w:rPr>
          <w:rFonts w:ascii="Times New Roman" w:hAnsi="Times New Roman" w:eastAsia="宋体" w:cs="Cambria Math"/>
          <w:bCs/>
          <w:szCs w:val="18"/>
        </w:rPr>
        <w:t>经证实存在弄虚作假的</w:t>
      </w:r>
      <w:r>
        <w:rPr>
          <w:rFonts w:hint="eastAsia" w:ascii="Times New Roman" w:hAnsi="Times New Roman" w:eastAsia="宋体" w:cs="Cambria Math"/>
          <w:bCs/>
          <w:szCs w:val="18"/>
        </w:rPr>
        <w:t>。</w:t>
      </w:r>
    </w:p>
    <w:p w14:paraId="725B7E23">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11.3 响应人超出其营业执照或事业单位法人证书上经营范围（业务范围）响应的。</w:t>
      </w:r>
    </w:p>
    <w:p w14:paraId="318525B1">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11.4 单位负责人为同一人或者存在直接控股、管理关系的不同响应人，不得参加同一合同项下的采购活动。</w:t>
      </w:r>
    </w:p>
    <w:p w14:paraId="1139E56C">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 xml:space="preserve">11.5 </w:t>
      </w:r>
      <w:r>
        <w:rPr>
          <w:rFonts w:ascii="Times New Roman" w:hAnsi="Times New Roman" w:eastAsia="宋体" w:cs="Cambria Math"/>
          <w:bCs/>
          <w:szCs w:val="18"/>
        </w:rPr>
        <w:t>同一分包的软件，制造商参与</w:t>
      </w:r>
      <w:r>
        <w:rPr>
          <w:rFonts w:hint="eastAsia" w:ascii="Times New Roman" w:hAnsi="Times New Roman" w:eastAsia="宋体" w:cs="Cambria Math"/>
          <w:bCs/>
          <w:szCs w:val="18"/>
        </w:rPr>
        <w:t>响应</w:t>
      </w:r>
      <w:r>
        <w:rPr>
          <w:rFonts w:ascii="Times New Roman" w:hAnsi="Times New Roman" w:eastAsia="宋体" w:cs="Cambria Math"/>
          <w:bCs/>
          <w:szCs w:val="18"/>
        </w:rPr>
        <w:t>，再委托代理商参与</w:t>
      </w:r>
      <w:r>
        <w:rPr>
          <w:rFonts w:hint="eastAsia" w:ascii="Times New Roman" w:hAnsi="Times New Roman" w:eastAsia="宋体" w:cs="Cambria Math"/>
          <w:bCs/>
          <w:szCs w:val="18"/>
        </w:rPr>
        <w:t>响应</w:t>
      </w:r>
      <w:r>
        <w:rPr>
          <w:rFonts w:ascii="Times New Roman" w:hAnsi="Times New Roman" w:eastAsia="宋体" w:cs="Cambria Math"/>
          <w:bCs/>
          <w:szCs w:val="18"/>
        </w:rPr>
        <w:t>的</w:t>
      </w:r>
      <w:r>
        <w:rPr>
          <w:rFonts w:hint="eastAsia" w:ascii="Times New Roman" w:hAnsi="Times New Roman" w:eastAsia="宋体" w:cs="Cambria Math"/>
          <w:bCs/>
          <w:szCs w:val="18"/>
        </w:rPr>
        <w:t>。</w:t>
      </w:r>
    </w:p>
    <w:p w14:paraId="2D990C97">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11.6 响应文件</w:t>
      </w:r>
      <w:r>
        <w:rPr>
          <w:rFonts w:ascii="Times New Roman" w:hAnsi="Times New Roman" w:eastAsia="宋体" w:cs="Cambria Math"/>
          <w:bCs/>
          <w:szCs w:val="18"/>
        </w:rPr>
        <w:t>不满足</w:t>
      </w:r>
      <w:r>
        <w:rPr>
          <w:rFonts w:hint="eastAsia" w:ascii="Times New Roman" w:hAnsi="Times New Roman" w:eastAsia="宋体" w:cs="Cambria Math"/>
          <w:bCs/>
          <w:szCs w:val="18"/>
        </w:rPr>
        <w:t>询比文件</w:t>
      </w:r>
      <w:r>
        <w:rPr>
          <w:rFonts w:ascii="Times New Roman" w:hAnsi="Times New Roman" w:eastAsia="宋体" w:cs="Cambria Math"/>
          <w:bCs/>
          <w:szCs w:val="18"/>
        </w:rPr>
        <w:t>第</w:t>
      </w:r>
      <w:r>
        <w:rPr>
          <w:rFonts w:hint="eastAsia" w:ascii="Times New Roman" w:hAnsi="Times New Roman" w:eastAsia="宋体" w:cs="Cambria Math"/>
          <w:bCs/>
          <w:szCs w:val="18"/>
        </w:rPr>
        <w:t>六</w:t>
      </w:r>
      <w:r>
        <w:rPr>
          <w:rFonts w:ascii="Times New Roman" w:hAnsi="Times New Roman" w:eastAsia="宋体" w:cs="Cambria Math"/>
          <w:bCs/>
          <w:szCs w:val="18"/>
        </w:rPr>
        <w:t>章</w:t>
      </w:r>
      <w:r>
        <w:rPr>
          <w:rFonts w:hint="eastAsia" w:ascii="Times New Roman" w:hAnsi="Times New Roman" w:eastAsia="宋体" w:cs="Cambria Math"/>
          <w:bCs/>
          <w:szCs w:val="18"/>
        </w:rPr>
        <w:t>响应文件</w:t>
      </w:r>
      <w:r>
        <w:rPr>
          <w:rFonts w:ascii="Times New Roman" w:hAnsi="Times New Roman" w:eastAsia="宋体" w:cs="Cambria Math"/>
          <w:bCs/>
          <w:szCs w:val="18"/>
        </w:rPr>
        <w:t>格式中所规定签字、盖章的</w:t>
      </w:r>
      <w:r>
        <w:rPr>
          <w:rFonts w:hint="eastAsia" w:ascii="Times New Roman" w:hAnsi="Times New Roman" w:eastAsia="宋体" w:cs="Cambria Math"/>
          <w:bCs/>
          <w:szCs w:val="18"/>
        </w:rPr>
        <w:t>。</w:t>
      </w:r>
    </w:p>
    <w:p w14:paraId="11140857">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11.7 响应文件</w:t>
      </w:r>
      <w:r>
        <w:rPr>
          <w:rFonts w:ascii="Times New Roman" w:hAnsi="Times New Roman" w:eastAsia="宋体" w:cs="Cambria Math"/>
          <w:bCs/>
          <w:szCs w:val="18"/>
        </w:rPr>
        <w:t>出现多个</w:t>
      </w:r>
      <w:r>
        <w:rPr>
          <w:rFonts w:hint="eastAsia" w:ascii="Times New Roman" w:hAnsi="Times New Roman" w:eastAsia="宋体" w:cs="Cambria Math"/>
          <w:bCs/>
          <w:szCs w:val="18"/>
        </w:rPr>
        <w:t>响应</w:t>
      </w:r>
      <w:r>
        <w:rPr>
          <w:rFonts w:ascii="Times New Roman" w:hAnsi="Times New Roman" w:eastAsia="宋体" w:cs="Cambria Math"/>
          <w:bCs/>
          <w:szCs w:val="18"/>
        </w:rPr>
        <w:t>方案或</w:t>
      </w:r>
      <w:r>
        <w:rPr>
          <w:rFonts w:hint="eastAsia" w:ascii="Times New Roman" w:hAnsi="Times New Roman" w:eastAsia="宋体" w:cs="Cambria Math"/>
          <w:bCs/>
          <w:szCs w:val="18"/>
        </w:rPr>
        <w:t>响应报价</w:t>
      </w:r>
      <w:r>
        <w:rPr>
          <w:rFonts w:ascii="Times New Roman" w:hAnsi="Times New Roman" w:eastAsia="宋体" w:cs="Cambria Math"/>
          <w:bCs/>
          <w:szCs w:val="18"/>
        </w:rPr>
        <w:t>的</w:t>
      </w:r>
      <w:r>
        <w:rPr>
          <w:rFonts w:hint="eastAsia" w:ascii="Times New Roman" w:hAnsi="Times New Roman" w:eastAsia="宋体" w:cs="Cambria Math"/>
          <w:bCs/>
          <w:szCs w:val="18"/>
        </w:rPr>
        <w:t>。</w:t>
      </w:r>
    </w:p>
    <w:p w14:paraId="218867CA">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11.8 响应报价</w:t>
      </w:r>
      <w:r>
        <w:rPr>
          <w:rFonts w:ascii="Times New Roman" w:hAnsi="Times New Roman" w:eastAsia="宋体" w:cs="Cambria Math"/>
          <w:bCs/>
          <w:szCs w:val="18"/>
        </w:rPr>
        <w:t>超出最高限价的</w:t>
      </w:r>
      <w:r>
        <w:rPr>
          <w:rFonts w:hint="eastAsia" w:ascii="Times New Roman" w:hAnsi="Times New Roman" w:eastAsia="宋体" w:cs="Cambria Math"/>
          <w:bCs/>
          <w:szCs w:val="18"/>
        </w:rPr>
        <w:t>。</w:t>
      </w:r>
    </w:p>
    <w:p w14:paraId="2B47DA57">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11.9 响应文件</w:t>
      </w:r>
      <w:r>
        <w:rPr>
          <w:rFonts w:ascii="Times New Roman" w:hAnsi="Times New Roman" w:eastAsia="宋体" w:cs="Cambria Math"/>
          <w:bCs/>
          <w:szCs w:val="18"/>
        </w:rPr>
        <w:t>含有违反国家法律、法规的内容，或附有</w:t>
      </w:r>
      <w:r>
        <w:rPr>
          <w:rFonts w:hint="eastAsia" w:ascii="Times New Roman" w:hAnsi="Times New Roman" w:eastAsia="宋体" w:cs="Cambria Math"/>
          <w:bCs/>
          <w:szCs w:val="18"/>
        </w:rPr>
        <w:t>采购人</w:t>
      </w:r>
      <w:r>
        <w:rPr>
          <w:rFonts w:ascii="Times New Roman" w:hAnsi="Times New Roman" w:eastAsia="宋体" w:cs="Cambria Math"/>
          <w:bCs/>
          <w:szCs w:val="18"/>
        </w:rPr>
        <w:t>不能接受的条件的。</w:t>
      </w:r>
    </w:p>
    <w:p w14:paraId="7C7D6BDB">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11.10 出现影响询比公正的违法、违规行为的。</w:t>
      </w:r>
    </w:p>
    <w:p w14:paraId="63F34D4A">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11.11 与采购人、评审专家、其他响应人恶意串通。</w:t>
      </w:r>
    </w:p>
    <w:p w14:paraId="6A124C2B">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11.12 参与响应的法人发生合并、分立、破产等重大变化后，不再具备询比要求的资格条件的。</w:t>
      </w:r>
    </w:p>
    <w:p w14:paraId="529718B4">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11.13 提供虚假材料谋取成交资格的。</w:t>
      </w:r>
    </w:p>
    <w:p w14:paraId="31BAD51B">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11.14 响应文件含有采购人不能接受的附件条件的。</w:t>
      </w:r>
    </w:p>
    <w:p w14:paraId="7701706E">
      <w:pPr>
        <w:autoSpaceDE w:val="0"/>
        <w:autoSpaceDN w:val="0"/>
        <w:spacing w:line="600" w:lineRule="exact"/>
        <w:outlineLvl w:val="1"/>
        <w:rPr>
          <w:rFonts w:ascii="Times New Roman" w:hAnsi="Times New Roman" w:eastAsia="宋体" w:cs="Times New Roman"/>
          <w:b/>
          <w:bCs/>
          <w:snapToGrid w:val="0"/>
          <w:szCs w:val="24"/>
        </w:rPr>
      </w:pPr>
      <w:r>
        <w:rPr>
          <w:rFonts w:hint="eastAsia" w:ascii="Times New Roman" w:hAnsi="Times New Roman" w:eastAsia="宋体" w:cs="Times New Roman"/>
          <w:b/>
          <w:bCs/>
          <w:snapToGrid w:val="0"/>
          <w:szCs w:val="24"/>
        </w:rPr>
        <w:t>12. 询比失败情形</w:t>
      </w:r>
    </w:p>
    <w:p w14:paraId="7FA40C43">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12.1 出现以下情形本次询比失败：</w:t>
      </w:r>
    </w:p>
    <w:p w14:paraId="7BD96E1F">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12.1.1首次询比的项目，截至响应截止时间，响应人少于3个的。</w:t>
      </w:r>
    </w:p>
    <w:p w14:paraId="5B082A67">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12.1.2 经评审委员会评审后否决所有响应的。</w:t>
      </w:r>
    </w:p>
    <w:p w14:paraId="317F6136">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12.1.3 法律法规规定的其他情形。</w:t>
      </w:r>
    </w:p>
    <w:p w14:paraId="70275E67">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12.2 重新询比和不再询比</w:t>
      </w:r>
    </w:p>
    <w:p w14:paraId="4AF92E24">
      <w:pPr>
        <w:autoSpaceDE w:val="0"/>
        <w:autoSpaceDN w:val="0"/>
        <w:spacing w:line="360" w:lineRule="auto"/>
        <w:ind w:firstLine="420" w:firstLineChars="200"/>
        <w:rPr>
          <w:rFonts w:ascii="Times New Roman" w:hAnsi="Times New Roman" w:eastAsia="宋体" w:cs="Cambria Math"/>
          <w:bCs/>
          <w:szCs w:val="18"/>
        </w:rPr>
      </w:pPr>
      <w:r>
        <w:rPr>
          <w:rFonts w:ascii="Times New Roman" w:hAnsi="Times New Roman" w:eastAsia="宋体" w:cs="Cambria Math"/>
          <w:bCs/>
          <w:szCs w:val="18"/>
        </w:rPr>
        <w:t>重新</w:t>
      </w:r>
      <w:r>
        <w:rPr>
          <w:rFonts w:hint="eastAsia" w:ascii="Times New Roman" w:hAnsi="Times New Roman" w:eastAsia="宋体" w:cs="Cambria Math"/>
          <w:bCs/>
          <w:szCs w:val="18"/>
        </w:rPr>
        <w:t>询比（如第二次询比）</w:t>
      </w:r>
      <w:r>
        <w:rPr>
          <w:rFonts w:ascii="Times New Roman" w:hAnsi="Times New Roman" w:eastAsia="宋体" w:cs="Cambria Math"/>
          <w:bCs/>
          <w:szCs w:val="18"/>
        </w:rPr>
        <w:t>的</w:t>
      </w:r>
      <w:r>
        <w:rPr>
          <w:rFonts w:hint="eastAsia" w:ascii="Times New Roman" w:hAnsi="Times New Roman" w:eastAsia="宋体" w:cs="Cambria Math"/>
          <w:bCs/>
          <w:szCs w:val="18"/>
        </w:rPr>
        <w:t>响应人</w:t>
      </w:r>
      <w:r>
        <w:rPr>
          <w:rFonts w:ascii="Times New Roman" w:hAnsi="Times New Roman" w:eastAsia="宋体" w:cs="Cambria Math"/>
          <w:bCs/>
          <w:szCs w:val="18"/>
        </w:rPr>
        <w:t>仍然少于三个的，按照有关规定的程序开标和评审。重新</w:t>
      </w:r>
      <w:r>
        <w:rPr>
          <w:rFonts w:hint="eastAsia" w:ascii="Times New Roman" w:hAnsi="Times New Roman" w:eastAsia="宋体" w:cs="Cambria Math"/>
          <w:bCs/>
          <w:szCs w:val="18"/>
        </w:rPr>
        <w:t>询比</w:t>
      </w:r>
      <w:r>
        <w:rPr>
          <w:rFonts w:ascii="Times New Roman" w:hAnsi="Times New Roman" w:eastAsia="宋体" w:cs="Cambria Math"/>
          <w:bCs/>
          <w:szCs w:val="18"/>
        </w:rPr>
        <w:t>经评审有有效</w:t>
      </w:r>
      <w:r>
        <w:rPr>
          <w:rFonts w:hint="eastAsia" w:ascii="Times New Roman" w:hAnsi="Times New Roman" w:eastAsia="宋体" w:cs="Cambria Math"/>
          <w:bCs/>
          <w:szCs w:val="18"/>
        </w:rPr>
        <w:t>响应人</w:t>
      </w:r>
      <w:r>
        <w:rPr>
          <w:rFonts w:ascii="Times New Roman" w:hAnsi="Times New Roman" w:eastAsia="宋体" w:cs="Cambria Math"/>
          <w:bCs/>
          <w:szCs w:val="18"/>
        </w:rPr>
        <w:t>的，应当确定</w:t>
      </w:r>
      <w:r>
        <w:rPr>
          <w:rFonts w:hint="eastAsia" w:ascii="Times New Roman" w:hAnsi="Times New Roman" w:eastAsia="宋体" w:cs="Cambria Math"/>
          <w:bCs/>
          <w:szCs w:val="18"/>
        </w:rPr>
        <w:t>成交候选人</w:t>
      </w:r>
      <w:r>
        <w:rPr>
          <w:rFonts w:ascii="Times New Roman" w:hAnsi="Times New Roman" w:eastAsia="宋体" w:cs="Cambria Math"/>
          <w:bCs/>
          <w:szCs w:val="18"/>
        </w:rPr>
        <w:t>；无有效</w:t>
      </w:r>
      <w:r>
        <w:rPr>
          <w:rFonts w:hint="eastAsia" w:ascii="Times New Roman" w:hAnsi="Times New Roman" w:eastAsia="宋体" w:cs="Cambria Math"/>
          <w:bCs/>
          <w:szCs w:val="18"/>
        </w:rPr>
        <w:t>响应人</w:t>
      </w:r>
      <w:r>
        <w:rPr>
          <w:rFonts w:ascii="Times New Roman" w:hAnsi="Times New Roman" w:eastAsia="宋体" w:cs="Cambria Math"/>
          <w:bCs/>
          <w:szCs w:val="18"/>
        </w:rPr>
        <w:t>的，可以不再进行</w:t>
      </w:r>
      <w:r>
        <w:rPr>
          <w:rFonts w:hint="eastAsia" w:ascii="Times New Roman" w:hAnsi="Times New Roman" w:eastAsia="宋体" w:cs="Cambria Math"/>
          <w:bCs/>
          <w:szCs w:val="18"/>
        </w:rPr>
        <w:t>询比</w:t>
      </w:r>
      <w:r>
        <w:rPr>
          <w:rFonts w:ascii="Times New Roman" w:hAnsi="Times New Roman" w:eastAsia="宋体" w:cs="Cambria Math"/>
          <w:bCs/>
          <w:szCs w:val="18"/>
        </w:rPr>
        <w:t>。</w:t>
      </w:r>
    </w:p>
    <w:p w14:paraId="49EB525A">
      <w:pPr>
        <w:autoSpaceDE w:val="0"/>
        <w:autoSpaceDN w:val="0"/>
        <w:spacing w:line="600" w:lineRule="exact"/>
        <w:outlineLvl w:val="1"/>
        <w:rPr>
          <w:rFonts w:ascii="Times New Roman" w:hAnsi="Times New Roman" w:eastAsia="宋体" w:cs="Times New Roman"/>
          <w:b/>
          <w:bCs/>
          <w:snapToGrid w:val="0"/>
          <w:szCs w:val="24"/>
        </w:rPr>
      </w:pPr>
      <w:r>
        <w:rPr>
          <w:rFonts w:hint="eastAsia" w:ascii="Times New Roman" w:hAnsi="Times New Roman" w:eastAsia="宋体" w:cs="Times New Roman"/>
          <w:b/>
          <w:bCs/>
          <w:snapToGrid w:val="0"/>
          <w:szCs w:val="24"/>
        </w:rPr>
        <w:t>13. 终止</w:t>
      </w:r>
      <w:bookmarkEnd w:id="41"/>
      <w:r>
        <w:rPr>
          <w:rFonts w:hint="eastAsia" w:ascii="Times New Roman" w:hAnsi="Times New Roman" w:eastAsia="宋体" w:cs="Times New Roman"/>
          <w:b/>
          <w:bCs/>
          <w:snapToGrid w:val="0"/>
          <w:szCs w:val="24"/>
        </w:rPr>
        <w:t>询比</w:t>
      </w:r>
    </w:p>
    <w:p w14:paraId="7F29B893">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13.1 因情况发生变化或其他原因造成该项目取消的，本次询比自动终止，双方互不承担责任，采购人有息退还响应保证金。</w:t>
      </w:r>
    </w:p>
    <w:p w14:paraId="2411AA5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13.2 签订合同之前，采购人发现成交候选人经营、财务状况发生较大变化或存在违法行为，采购人认为可能影响其履约能力的，采购人可废除入围供应商或成交候选人资格。</w:t>
      </w:r>
    </w:p>
    <w:p w14:paraId="26352EBF">
      <w:pPr>
        <w:autoSpaceDE w:val="0"/>
        <w:autoSpaceDN w:val="0"/>
        <w:spacing w:line="600" w:lineRule="exact"/>
        <w:outlineLvl w:val="1"/>
        <w:rPr>
          <w:rFonts w:ascii="Times New Roman" w:hAnsi="Times New Roman" w:eastAsia="宋体" w:cs="Times New Roman"/>
          <w:b/>
          <w:bCs/>
          <w:snapToGrid w:val="0"/>
          <w:szCs w:val="24"/>
        </w:rPr>
      </w:pPr>
      <w:r>
        <w:rPr>
          <w:rFonts w:hint="eastAsia" w:ascii="Times New Roman" w:hAnsi="Times New Roman" w:eastAsia="宋体" w:cs="Times New Roman"/>
          <w:b/>
          <w:bCs/>
          <w:snapToGrid w:val="0"/>
          <w:szCs w:val="24"/>
        </w:rPr>
        <w:t>14. 参与项目费用</w:t>
      </w:r>
    </w:p>
    <w:p w14:paraId="1F7405E4">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响应人参与本询比项目时，一切与响应有关的费用均由响应人自理。</w:t>
      </w:r>
    </w:p>
    <w:p w14:paraId="151A0FC9">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本项目平台服务费为8000元，入围单位均摊平台服务费，由入围供应商向重庆联合产权交易所集团股份有限公司支付。入围供应商应在领取成交通知书时一次性缴纳，请各响应人综合考虑进行报价。</w:t>
      </w:r>
    </w:p>
    <w:p w14:paraId="2CEEA799">
      <w:pPr>
        <w:autoSpaceDE w:val="0"/>
        <w:autoSpaceDN w:val="0"/>
        <w:spacing w:line="360" w:lineRule="auto"/>
        <w:ind w:firstLine="420" w:firstLineChars="200"/>
        <w:rPr>
          <w:rFonts w:ascii="Times New Roman" w:hAnsi="Times New Roman" w:eastAsia="宋体" w:cs="Cambria Math"/>
          <w:bCs/>
          <w:szCs w:val="18"/>
        </w:rPr>
      </w:pPr>
      <w:r>
        <w:rPr>
          <w:rFonts w:ascii="Times New Roman" w:hAnsi="Times New Roman" w:eastAsia="宋体" w:cs="Cambria Math"/>
          <w:bCs/>
          <w:szCs w:val="18"/>
        </w:rPr>
        <w:br w:type="page"/>
      </w:r>
    </w:p>
    <w:p w14:paraId="59630E71">
      <w:pPr>
        <w:tabs>
          <w:tab w:val="left" w:pos="3360"/>
        </w:tabs>
        <w:autoSpaceDE w:val="0"/>
        <w:autoSpaceDN w:val="0"/>
        <w:snapToGrid w:val="0"/>
        <w:spacing w:line="600" w:lineRule="exact"/>
        <w:jc w:val="center"/>
        <w:outlineLvl w:val="0"/>
        <w:rPr>
          <w:rFonts w:ascii="Times New Roman" w:hAnsi="Times New Roman" w:eastAsia="宋体" w:cs="等线 Light"/>
          <w:b/>
          <w:bCs/>
          <w:snapToGrid w:val="0"/>
          <w:kern w:val="0"/>
          <w:sz w:val="44"/>
          <w:szCs w:val="44"/>
        </w:rPr>
      </w:pPr>
      <w:bookmarkStart w:id="48" w:name="_Toc6917"/>
      <w:bookmarkStart w:id="49" w:name="_Toc30519"/>
      <w:r>
        <w:rPr>
          <w:rFonts w:hint="eastAsia" w:ascii="Times New Roman" w:hAnsi="Times New Roman" w:eastAsia="宋体" w:cs="等线 Light"/>
          <w:b/>
          <w:bCs/>
          <w:snapToGrid w:val="0"/>
          <w:kern w:val="0"/>
          <w:sz w:val="44"/>
          <w:szCs w:val="44"/>
        </w:rPr>
        <w:t>第三章 项目要求</w:t>
      </w:r>
      <w:bookmarkEnd w:id="48"/>
      <w:bookmarkEnd w:id="49"/>
    </w:p>
    <w:p w14:paraId="107D0C6D">
      <w:pPr>
        <w:autoSpaceDE w:val="0"/>
        <w:autoSpaceDN w:val="0"/>
        <w:spacing w:line="600" w:lineRule="exact"/>
        <w:outlineLvl w:val="1"/>
        <w:rPr>
          <w:rFonts w:ascii="Times New Roman" w:hAnsi="Times New Roman" w:eastAsia="宋体" w:cs="Times New Roman"/>
          <w:b/>
          <w:bCs/>
          <w:snapToGrid w:val="0"/>
          <w:szCs w:val="24"/>
        </w:rPr>
      </w:pPr>
      <w:r>
        <w:rPr>
          <w:rFonts w:hint="eastAsia" w:ascii="Times New Roman" w:hAnsi="Times New Roman" w:eastAsia="宋体" w:cs="Times New Roman"/>
          <w:b/>
          <w:bCs/>
          <w:snapToGrid w:val="0"/>
          <w:szCs w:val="24"/>
        </w:rPr>
        <w:t>1.项目概况</w:t>
      </w:r>
    </w:p>
    <w:p w14:paraId="34D2907A">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采购人发行金融债券需聘请评级机构进行主体评级和债项评级。</w:t>
      </w:r>
    </w:p>
    <w:p w14:paraId="56656B7A">
      <w:pPr>
        <w:autoSpaceDE w:val="0"/>
        <w:autoSpaceDN w:val="0"/>
        <w:spacing w:line="600" w:lineRule="exact"/>
        <w:outlineLvl w:val="1"/>
        <w:rPr>
          <w:rFonts w:ascii="Times New Roman" w:hAnsi="Times New Roman" w:eastAsia="宋体" w:cs="Times New Roman"/>
          <w:b/>
          <w:bCs/>
          <w:snapToGrid w:val="0"/>
          <w:szCs w:val="24"/>
        </w:rPr>
      </w:pPr>
      <w:r>
        <w:rPr>
          <w:rFonts w:hint="eastAsia" w:ascii="Times New Roman" w:hAnsi="Times New Roman" w:eastAsia="宋体" w:cs="Times New Roman"/>
          <w:b/>
          <w:bCs/>
          <w:snapToGrid w:val="0"/>
          <w:szCs w:val="24"/>
        </w:rPr>
        <w:t>2. 项目要求</w:t>
      </w:r>
    </w:p>
    <w:p w14:paraId="7E61F551">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评级机构主要负责对采购人进行主体评级和金融债债项评级。</w:t>
      </w:r>
    </w:p>
    <w:p w14:paraId="2F2D7636">
      <w:pPr>
        <w:autoSpaceDE w:val="0"/>
        <w:autoSpaceDN w:val="0"/>
        <w:spacing w:line="360" w:lineRule="auto"/>
        <w:ind w:firstLine="420" w:firstLineChars="200"/>
        <w:rPr>
          <w:rFonts w:ascii="Times New Roman" w:hAnsi="Times New Roman" w:eastAsia="宋体" w:cs="Cambria Math"/>
          <w:bCs/>
          <w:szCs w:val="18"/>
        </w:rPr>
      </w:pPr>
      <w:r>
        <w:rPr>
          <w:rFonts w:ascii="Times New Roman" w:hAnsi="Times New Roman" w:eastAsia="宋体" w:cs="Cambria Math"/>
          <w:bCs/>
          <w:szCs w:val="18"/>
        </w:rPr>
        <w:t>采用遴选入库的方式询比评级机构，自本项目中标（入围）通知书发放之日起</w:t>
      </w:r>
      <w:r>
        <w:rPr>
          <w:rFonts w:hint="eastAsia" w:ascii="Times New Roman" w:hAnsi="Times New Roman" w:eastAsia="宋体" w:cs="Cambria Math"/>
          <w:bCs/>
          <w:szCs w:val="18"/>
        </w:rPr>
        <w:t>2年内有效。采购人有权在服务期内对入库供应商的服务水平情况进行综合评议，并根据评议结果对入库供应商进行退库处理。</w:t>
      </w:r>
    </w:p>
    <w:p w14:paraId="1B42D7F4">
      <w:pPr>
        <w:autoSpaceDE w:val="0"/>
        <w:autoSpaceDN w:val="0"/>
        <w:spacing w:line="600" w:lineRule="exact"/>
        <w:outlineLvl w:val="1"/>
        <w:rPr>
          <w:rFonts w:ascii="Times New Roman" w:hAnsi="Times New Roman" w:eastAsia="宋体" w:cs="Times New Roman"/>
          <w:b/>
          <w:bCs/>
          <w:snapToGrid w:val="0"/>
          <w:szCs w:val="24"/>
        </w:rPr>
      </w:pPr>
      <w:r>
        <w:rPr>
          <w:rFonts w:hint="eastAsia" w:ascii="Times New Roman" w:hAnsi="Times New Roman" w:eastAsia="宋体" w:cs="Times New Roman"/>
          <w:b/>
          <w:bCs/>
          <w:snapToGrid w:val="0"/>
          <w:szCs w:val="24"/>
        </w:rPr>
        <w:t>3. 报价要求</w:t>
      </w:r>
    </w:p>
    <w:p w14:paraId="035277FA">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响应人应严格按照《响应文件格式》</w:t>
      </w:r>
      <w:r>
        <w:rPr>
          <w:rFonts w:ascii="Times New Roman" w:hAnsi="Times New Roman" w:eastAsia="宋体" w:cs="Cambria Math"/>
          <w:bCs/>
          <w:szCs w:val="18"/>
        </w:rPr>
        <w:t>的“报价一览表”</w:t>
      </w:r>
      <w:r>
        <w:rPr>
          <w:rFonts w:hint="eastAsia" w:ascii="Times New Roman" w:hAnsi="Times New Roman" w:eastAsia="宋体" w:cs="Cambria Math"/>
          <w:bCs/>
          <w:szCs w:val="18"/>
        </w:rPr>
        <w:t>的格式认真填写。</w:t>
      </w:r>
    </w:p>
    <w:p w14:paraId="7FD2944B">
      <w:pPr>
        <w:autoSpaceDE w:val="0"/>
        <w:autoSpaceDN w:val="0"/>
        <w:spacing w:line="600" w:lineRule="exact"/>
        <w:outlineLvl w:val="1"/>
        <w:rPr>
          <w:rFonts w:ascii="Times New Roman" w:hAnsi="Times New Roman" w:eastAsia="宋体" w:cs="Times New Roman"/>
          <w:b/>
          <w:bCs/>
          <w:snapToGrid w:val="0"/>
          <w:szCs w:val="24"/>
        </w:rPr>
      </w:pPr>
      <w:bookmarkStart w:id="50" w:name="_Toc89675153"/>
      <w:bookmarkStart w:id="51" w:name="_Toc15059427"/>
      <w:r>
        <w:rPr>
          <w:rFonts w:hint="eastAsia" w:ascii="Times New Roman" w:hAnsi="Times New Roman" w:eastAsia="宋体" w:cs="Times New Roman"/>
          <w:b/>
          <w:bCs/>
          <w:snapToGrid w:val="0"/>
          <w:szCs w:val="24"/>
        </w:rPr>
        <w:t>4. 其他</w:t>
      </w:r>
      <w:bookmarkEnd w:id="50"/>
      <w:bookmarkEnd w:id="51"/>
    </w:p>
    <w:p w14:paraId="18375308">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5.1 响应人必须在响应承诺函中对本章内容做出整体性响应和承诺，承诺内容必须达到本章及询比文件其他条款的要求。</w:t>
      </w:r>
    </w:p>
    <w:p w14:paraId="38B193C1">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5.2 响应人应根据本章内容和要求，提供对应资料，无遗漏。</w:t>
      </w:r>
    </w:p>
    <w:p w14:paraId="65AC0700">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5.3 其他未尽事宜由供需双方在合同中详细约定。</w:t>
      </w:r>
    </w:p>
    <w:p w14:paraId="5FFFED90">
      <w:pPr>
        <w:autoSpaceDE w:val="0"/>
        <w:autoSpaceDN w:val="0"/>
        <w:spacing w:line="360" w:lineRule="auto"/>
        <w:ind w:firstLine="420" w:firstLineChars="200"/>
        <w:rPr>
          <w:rFonts w:ascii="Times New Roman" w:hAnsi="Times New Roman" w:eastAsia="宋体" w:cs="Cambria Math"/>
          <w:bCs/>
          <w:szCs w:val="18"/>
        </w:rPr>
      </w:pPr>
    </w:p>
    <w:p w14:paraId="56C4B554">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br w:type="page"/>
      </w:r>
    </w:p>
    <w:p w14:paraId="1836C3F4">
      <w:pPr>
        <w:tabs>
          <w:tab w:val="left" w:pos="3360"/>
        </w:tabs>
        <w:autoSpaceDE w:val="0"/>
        <w:autoSpaceDN w:val="0"/>
        <w:snapToGrid w:val="0"/>
        <w:spacing w:line="600" w:lineRule="exact"/>
        <w:jc w:val="center"/>
        <w:outlineLvl w:val="0"/>
        <w:rPr>
          <w:rFonts w:ascii="Times New Roman" w:hAnsi="Times New Roman" w:eastAsia="宋体" w:cs="等线 Light"/>
          <w:b/>
          <w:bCs/>
          <w:snapToGrid w:val="0"/>
          <w:kern w:val="0"/>
          <w:sz w:val="44"/>
          <w:szCs w:val="44"/>
        </w:rPr>
      </w:pPr>
      <w:bookmarkStart w:id="52" w:name="_Toc7079"/>
      <w:bookmarkStart w:id="53" w:name="_Toc22407"/>
      <w:bookmarkStart w:id="54" w:name="_Toc29189"/>
      <w:r>
        <w:rPr>
          <w:rFonts w:hint="eastAsia" w:ascii="Times New Roman" w:hAnsi="Times New Roman" w:eastAsia="宋体" w:cs="等线 Light"/>
          <w:b/>
          <w:bCs/>
          <w:snapToGrid w:val="0"/>
          <w:kern w:val="0"/>
          <w:sz w:val="44"/>
          <w:szCs w:val="44"/>
        </w:rPr>
        <w:t>第四章 评审办法（综合评估法）</w:t>
      </w:r>
      <w:bookmarkEnd w:id="52"/>
      <w:bookmarkEnd w:id="53"/>
      <w:bookmarkEnd w:id="54"/>
    </w:p>
    <w:p w14:paraId="7A24189B">
      <w:pPr>
        <w:autoSpaceDE w:val="0"/>
        <w:autoSpaceDN w:val="0"/>
        <w:spacing w:line="600" w:lineRule="exact"/>
        <w:outlineLvl w:val="1"/>
        <w:rPr>
          <w:rFonts w:ascii="Times New Roman" w:hAnsi="Times New Roman" w:eastAsia="宋体" w:cs="Times New Roman"/>
          <w:b/>
          <w:bCs/>
          <w:snapToGrid w:val="0"/>
          <w:szCs w:val="24"/>
        </w:rPr>
      </w:pPr>
      <w:bookmarkStart w:id="55" w:name="_Toc11471"/>
      <w:bookmarkStart w:id="56" w:name="_Toc14810"/>
      <w:bookmarkStart w:id="57" w:name="_Toc27076"/>
      <w:bookmarkStart w:id="58" w:name="_Toc2028"/>
      <w:r>
        <w:rPr>
          <w:rFonts w:hint="eastAsia" w:ascii="Times New Roman" w:hAnsi="Times New Roman" w:eastAsia="宋体" w:cs="Times New Roman"/>
          <w:b/>
          <w:bCs/>
          <w:snapToGrid w:val="0"/>
          <w:szCs w:val="24"/>
        </w:rPr>
        <w:t>评审办法前附表</w:t>
      </w:r>
      <w:bookmarkEnd w:id="55"/>
      <w:bookmarkEnd w:id="56"/>
      <w:bookmarkEnd w:id="57"/>
      <w:bookmarkEnd w:id="58"/>
    </w:p>
    <w:p w14:paraId="63326B4C">
      <w:pPr>
        <w:autoSpaceDE w:val="0"/>
        <w:autoSpaceDN w:val="0"/>
        <w:spacing w:line="360" w:lineRule="auto"/>
        <w:ind w:firstLine="420" w:firstLineChars="200"/>
        <w:rPr>
          <w:rFonts w:ascii="Times New Roman" w:hAnsi="Times New Roman" w:eastAsia="宋体" w:cs="Cambria Math"/>
          <w:bCs/>
          <w:szCs w:val="18"/>
        </w:rPr>
      </w:pPr>
      <w:r>
        <w:rPr>
          <w:rFonts w:ascii="Times New Roman" w:hAnsi="Times New Roman" w:eastAsia="宋体" w:cs="Cambria Math"/>
          <w:bCs/>
          <w:szCs w:val="18"/>
        </w:rPr>
        <w:t>若</w:t>
      </w:r>
      <w:r>
        <w:rPr>
          <w:rFonts w:hint="eastAsia" w:ascii="Times New Roman" w:hAnsi="Times New Roman" w:eastAsia="宋体" w:cs="Cambria Math"/>
          <w:bCs/>
          <w:szCs w:val="18"/>
        </w:rPr>
        <w:t>评审办法前附表</w:t>
      </w:r>
      <w:r>
        <w:rPr>
          <w:rFonts w:ascii="Times New Roman" w:hAnsi="Times New Roman" w:eastAsia="宋体" w:cs="Cambria Math"/>
          <w:bCs/>
          <w:szCs w:val="18"/>
        </w:rPr>
        <w:t>与正文不一致的地方，以</w:t>
      </w:r>
      <w:r>
        <w:rPr>
          <w:rFonts w:hint="eastAsia" w:ascii="Times New Roman" w:hAnsi="Times New Roman" w:eastAsia="宋体" w:cs="Cambria Math"/>
          <w:bCs/>
          <w:szCs w:val="18"/>
        </w:rPr>
        <w:t>评审办法前附表</w:t>
      </w:r>
      <w:r>
        <w:rPr>
          <w:rFonts w:ascii="Times New Roman" w:hAnsi="Times New Roman" w:eastAsia="宋体" w:cs="Cambria Math"/>
          <w:bCs/>
          <w:szCs w:val="18"/>
        </w:rP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30"/>
        <w:gridCol w:w="1776"/>
        <w:gridCol w:w="5476"/>
      </w:tblGrid>
      <w:tr w14:paraId="6EB3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2" w:type="dxa"/>
            <w:vAlign w:val="center"/>
          </w:tcPr>
          <w:p w14:paraId="23426572">
            <w:pPr>
              <w:autoSpaceDE w:val="0"/>
              <w:autoSpaceDN w:val="0"/>
              <w:jc w:val="center"/>
              <w:rPr>
                <w:rFonts w:ascii="Times New Roman" w:hAnsi="Times New Roman" w:eastAsia="宋体" w:cs="Cambria Math"/>
                <w:b/>
                <w:bCs/>
                <w:szCs w:val="18"/>
              </w:rPr>
            </w:pPr>
            <w:bookmarkStart w:id="59" w:name="_Toc636"/>
            <w:bookmarkStart w:id="60" w:name="_Toc21111"/>
            <w:r>
              <w:rPr>
                <w:rFonts w:hint="eastAsia" w:ascii="Times New Roman" w:hAnsi="Times New Roman" w:eastAsia="宋体" w:cs="Cambria Math"/>
                <w:b/>
                <w:bCs/>
                <w:szCs w:val="18"/>
              </w:rPr>
              <w:t>条款号</w:t>
            </w:r>
          </w:p>
        </w:tc>
        <w:tc>
          <w:tcPr>
            <w:tcW w:w="1530" w:type="dxa"/>
            <w:vAlign w:val="center"/>
          </w:tcPr>
          <w:p w14:paraId="24134D4B">
            <w:pPr>
              <w:autoSpaceDE w:val="0"/>
              <w:autoSpaceDN w:val="0"/>
              <w:jc w:val="center"/>
              <w:rPr>
                <w:rFonts w:ascii="Times New Roman" w:hAnsi="Times New Roman" w:eastAsia="宋体" w:cs="Cambria Math"/>
                <w:b/>
                <w:bCs/>
                <w:szCs w:val="18"/>
              </w:rPr>
            </w:pPr>
            <w:r>
              <w:rPr>
                <w:rFonts w:hint="eastAsia" w:ascii="Times New Roman" w:hAnsi="Times New Roman" w:eastAsia="宋体" w:cs="Cambria Math"/>
                <w:b/>
                <w:bCs/>
                <w:szCs w:val="18"/>
              </w:rPr>
              <w:t>评审因素</w:t>
            </w:r>
          </w:p>
        </w:tc>
        <w:tc>
          <w:tcPr>
            <w:tcW w:w="7252" w:type="dxa"/>
            <w:gridSpan w:val="2"/>
            <w:vAlign w:val="center"/>
          </w:tcPr>
          <w:p w14:paraId="2D46B196">
            <w:pPr>
              <w:autoSpaceDE w:val="0"/>
              <w:autoSpaceDN w:val="0"/>
              <w:jc w:val="center"/>
              <w:rPr>
                <w:rFonts w:ascii="Times New Roman" w:hAnsi="Times New Roman" w:eastAsia="宋体" w:cs="Cambria Math"/>
                <w:b/>
                <w:bCs/>
                <w:szCs w:val="18"/>
              </w:rPr>
            </w:pPr>
            <w:r>
              <w:rPr>
                <w:rFonts w:hint="eastAsia" w:ascii="Times New Roman" w:hAnsi="Times New Roman" w:eastAsia="宋体" w:cs="Cambria Math"/>
                <w:b/>
                <w:bCs/>
                <w:szCs w:val="18"/>
              </w:rPr>
              <w:t>评审标准</w:t>
            </w:r>
          </w:p>
        </w:tc>
      </w:tr>
      <w:tr w14:paraId="7021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2" w:type="dxa"/>
            <w:vAlign w:val="center"/>
          </w:tcPr>
          <w:p w14:paraId="4E32C574">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1</w:t>
            </w:r>
          </w:p>
        </w:tc>
        <w:tc>
          <w:tcPr>
            <w:tcW w:w="1530" w:type="dxa"/>
            <w:vAlign w:val="center"/>
          </w:tcPr>
          <w:p w14:paraId="189E10B6">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评审办法</w:t>
            </w:r>
          </w:p>
        </w:tc>
        <w:tc>
          <w:tcPr>
            <w:tcW w:w="7252" w:type="dxa"/>
            <w:gridSpan w:val="2"/>
            <w:vAlign w:val="center"/>
          </w:tcPr>
          <w:p w14:paraId="4FC0B5A2">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本次评审采用综合评估法。评审委员会按照评审办法前附表第2.1 条规定的标准进行初步评审，初步评审合格的响应人评审委员会按照评审办法前附表第2.2 条规定的评分标准进行打分，按得分由高到低顺序推荐1-1</w:t>
            </w:r>
            <w:r>
              <w:rPr>
                <w:rFonts w:hint="eastAsia" w:ascii="Times New Roman" w:hAnsi="Times New Roman" w:eastAsia="宋体" w:cs="Cambria Math"/>
                <w:bCs/>
                <w:szCs w:val="18"/>
                <w:lang w:val="en-US" w:eastAsia="zh-CN"/>
              </w:rPr>
              <w:t>3</w:t>
            </w:r>
            <w:r>
              <w:rPr>
                <w:rFonts w:hint="eastAsia" w:ascii="Times New Roman" w:hAnsi="Times New Roman" w:eastAsia="宋体" w:cs="Cambria Math"/>
                <w:bCs/>
                <w:szCs w:val="18"/>
              </w:rPr>
              <w:t>名入围候选人，但</w:t>
            </w:r>
            <w:r>
              <w:rPr>
                <w:rFonts w:hint="eastAsia" w:ascii="宋体" w:hAnsi="宋体" w:eastAsia="宋体" w:cs="宋体"/>
                <w:color w:val="000000"/>
                <w:kern w:val="0"/>
                <w:sz w:val="22"/>
              </w:rPr>
              <w:t>债项评级包干价、</w:t>
            </w:r>
            <w:r>
              <w:rPr>
                <w:rFonts w:hint="eastAsia" w:ascii="Times New Roman" w:hAnsi="Times New Roman" w:eastAsia="宋体" w:cs="Cambria Math"/>
                <w:bCs/>
                <w:snapToGrid w:val="0"/>
                <w:kern w:val="0"/>
                <w:szCs w:val="18"/>
                <w:lang w:eastAsia="zh-CN"/>
              </w:rPr>
              <w:t>主体评级响应报价</w:t>
            </w:r>
            <w:r>
              <w:rPr>
                <w:rFonts w:hint="eastAsia" w:ascii="Times New Roman" w:hAnsi="Times New Roman" w:eastAsia="宋体" w:cs="Cambria Math"/>
                <w:bCs/>
                <w:szCs w:val="18"/>
              </w:rPr>
              <w:t>低于其成本的除外。综合评分相等时，以</w:t>
            </w:r>
            <w:r>
              <w:rPr>
                <w:rFonts w:hint="eastAsia" w:ascii="宋体" w:hAnsi="宋体" w:eastAsia="宋体" w:cs="宋体"/>
                <w:color w:val="000000"/>
                <w:kern w:val="0"/>
                <w:sz w:val="22"/>
              </w:rPr>
              <w:t>债项评级包干价与</w:t>
            </w:r>
            <w:r>
              <w:rPr>
                <w:rFonts w:hint="eastAsia" w:ascii="Times New Roman" w:hAnsi="Times New Roman" w:eastAsia="宋体" w:cs="Cambria Math"/>
                <w:bCs/>
                <w:snapToGrid w:val="0"/>
                <w:kern w:val="0"/>
                <w:szCs w:val="18"/>
                <w:lang w:eastAsia="zh-CN"/>
              </w:rPr>
              <w:t>主体评级响应报价</w:t>
            </w:r>
            <w:r>
              <w:rPr>
                <w:rFonts w:hint="eastAsia" w:ascii="Times New Roman" w:hAnsi="Times New Roman" w:eastAsia="宋体" w:cs="Cambria Math"/>
                <w:bCs/>
                <w:snapToGrid w:val="0"/>
                <w:kern w:val="0"/>
                <w:szCs w:val="18"/>
              </w:rPr>
              <w:t>之和</w:t>
            </w:r>
            <w:r>
              <w:rPr>
                <w:rFonts w:hint="eastAsia" w:ascii="Times New Roman" w:hAnsi="Times New Roman" w:eastAsia="宋体" w:cs="Cambria Math"/>
                <w:bCs/>
                <w:szCs w:val="18"/>
              </w:rPr>
              <w:t>低的优先；</w:t>
            </w:r>
            <w:r>
              <w:rPr>
                <w:rFonts w:hint="eastAsia" w:ascii="宋体" w:hAnsi="宋体" w:eastAsia="宋体" w:cs="宋体"/>
                <w:color w:val="000000"/>
                <w:kern w:val="0"/>
                <w:sz w:val="22"/>
              </w:rPr>
              <w:t>报价之和</w:t>
            </w:r>
            <w:r>
              <w:rPr>
                <w:rFonts w:hint="eastAsia" w:ascii="Times New Roman" w:hAnsi="Times New Roman" w:eastAsia="宋体" w:cs="Cambria Math"/>
                <w:bCs/>
                <w:szCs w:val="18"/>
              </w:rPr>
              <w:t>也相等的，由评审委员会根据</w:t>
            </w:r>
            <w:r>
              <w:rPr>
                <w:rFonts w:hint="eastAsia" w:ascii="宋体" w:hAnsi="宋体" w:eastAsia="宋体" w:cs="宋体"/>
                <w:color w:val="000000"/>
                <w:kern w:val="0"/>
                <w:sz w:val="22"/>
              </w:rPr>
              <w:t>商业银行金融债信用评级案例</w:t>
            </w:r>
            <w:r>
              <w:rPr>
                <w:rFonts w:hint="eastAsia" w:ascii="Times New Roman" w:hAnsi="Times New Roman" w:eastAsia="宋体" w:cs="Cambria Math"/>
                <w:bCs/>
                <w:szCs w:val="18"/>
              </w:rPr>
              <w:t>由多到低原则排序。</w:t>
            </w:r>
          </w:p>
        </w:tc>
      </w:tr>
      <w:tr w14:paraId="09C2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2" w:type="dxa"/>
            <w:vAlign w:val="center"/>
          </w:tcPr>
          <w:p w14:paraId="543C2C71">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2.1</w:t>
            </w:r>
          </w:p>
        </w:tc>
        <w:tc>
          <w:tcPr>
            <w:tcW w:w="1530" w:type="dxa"/>
            <w:vAlign w:val="center"/>
          </w:tcPr>
          <w:p w14:paraId="13583C83">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初步评审标准</w:t>
            </w:r>
          </w:p>
        </w:tc>
        <w:tc>
          <w:tcPr>
            <w:tcW w:w="7252" w:type="dxa"/>
            <w:gridSpan w:val="2"/>
            <w:vAlign w:val="center"/>
          </w:tcPr>
          <w:p w14:paraId="55ABE154">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所有响应单位进行初步评审。初步评审内容：资格评审、形式评审、响应性评审。</w:t>
            </w:r>
          </w:p>
        </w:tc>
      </w:tr>
      <w:tr w14:paraId="23E2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2" w:type="dxa"/>
            <w:vAlign w:val="center"/>
          </w:tcPr>
          <w:p w14:paraId="36BBADE3">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2.1.1</w:t>
            </w:r>
          </w:p>
        </w:tc>
        <w:tc>
          <w:tcPr>
            <w:tcW w:w="1530" w:type="dxa"/>
            <w:vAlign w:val="center"/>
          </w:tcPr>
          <w:p w14:paraId="58C007FC">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资格评审标准</w:t>
            </w:r>
          </w:p>
        </w:tc>
        <w:tc>
          <w:tcPr>
            <w:tcW w:w="1776" w:type="dxa"/>
            <w:vAlign w:val="center"/>
          </w:tcPr>
          <w:p w14:paraId="1D90F6F2">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资格条件要求</w:t>
            </w:r>
          </w:p>
        </w:tc>
        <w:tc>
          <w:tcPr>
            <w:tcW w:w="5476" w:type="dxa"/>
            <w:vAlign w:val="center"/>
          </w:tcPr>
          <w:p w14:paraId="07B7F669">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符合第一章“2. 响应人资格要求”规定</w:t>
            </w:r>
          </w:p>
        </w:tc>
      </w:tr>
      <w:tr w14:paraId="2B2C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82" w:type="dxa"/>
            <w:vMerge w:val="restart"/>
            <w:vAlign w:val="center"/>
          </w:tcPr>
          <w:p w14:paraId="609C8541">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2.1.2</w:t>
            </w:r>
          </w:p>
        </w:tc>
        <w:tc>
          <w:tcPr>
            <w:tcW w:w="1530" w:type="dxa"/>
            <w:vMerge w:val="restart"/>
            <w:vAlign w:val="center"/>
          </w:tcPr>
          <w:p w14:paraId="37A9F2D1">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形式评审标准</w:t>
            </w:r>
          </w:p>
        </w:tc>
        <w:tc>
          <w:tcPr>
            <w:tcW w:w="1776" w:type="dxa"/>
            <w:vAlign w:val="center"/>
          </w:tcPr>
          <w:p w14:paraId="77E60F26">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响应人名称</w:t>
            </w:r>
          </w:p>
        </w:tc>
        <w:tc>
          <w:tcPr>
            <w:tcW w:w="5476" w:type="dxa"/>
            <w:vAlign w:val="center"/>
          </w:tcPr>
          <w:p w14:paraId="30670257">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与营业执照、资格证明材料一致</w:t>
            </w:r>
          </w:p>
        </w:tc>
      </w:tr>
      <w:tr w14:paraId="4559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82" w:type="dxa"/>
            <w:vMerge w:val="continue"/>
            <w:vAlign w:val="center"/>
          </w:tcPr>
          <w:p w14:paraId="4A3E5609">
            <w:pPr>
              <w:autoSpaceDE w:val="0"/>
              <w:autoSpaceDN w:val="0"/>
              <w:rPr>
                <w:rFonts w:ascii="Times New Roman" w:hAnsi="Times New Roman" w:eastAsia="宋体" w:cs="Cambria Math"/>
                <w:bCs/>
                <w:szCs w:val="18"/>
              </w:rPr>
            </w:pPr>
          </w:p>
        </w:tc>
        <w:tc>
          <w:tcPr>
            <w:tcW w:w="1530" w:type="dxa"/>
            <w:vMerge w:val="continue"/>
            <w:textDirection w:val="tbRlV"/>
            <w:vAlign w:val="center"/>
          </w:tcPr>
          <w:p w14:paraId="51EF1EFD">
            <w:pPr>
              <w:autoSpaceDE w:val="0"/>
              <w:autoSpaceDN w:val="0"/>
              <w:rPr>
                <w:rFonts w:ascii="Times New Roman" w:hAnsi="Times New Roman" w:eastAsia="宋体" w:cs="Cambria Math"/>
                <w:bCs/>
                <w:szCs w:val="18"/>
              </w:rPr>
            </w:pPr>
          </w:p>
        </w:tc>
        <w:tc>
          <w:tcPr>
            <w:tcW w:w="1776" w:type="dxa"/>
            <w:vAlign w:val="center"/>
          </w:tcPr>
          <w:p w14:paraId="0D9FDD19">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响应文件的签字盖章</w:t>
            </w:r>
          </w:p>
        </w:tc>
        <w:tc>
          <w:tcPr>
            <w:tcW w:w="5476" w:type="dxa"/>
            <w:vAlign w:val="center"/>
          </w:tcPr>
          <w:p w14:paraId="0D49AFC3">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符合第二章“响应人须知”4.6 条规定</w:t>
            </w:r>
          </w:p>
        </w:tc>
      </w:tr>
      <w:tr w14:paraId="2E8B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82" w:type="dxa"/>
            <w:vMerge w:val="continue"/>
            <w:vAlign w:val="center"/>
          </w:tcPr>
          <w:p w14:paraId="1B7622D4">
            <w:pPr>
              <w:autoSpaceDE w:val="0"/>
              <w:autoSpaceDN w:val="0"/>
              <w:rPr>
                <w:rFonts w:ascii="Times New Roman" w:hAnsi="Times New Roman" w:eastAsia="宋体" w:cs="Cambria Math"/>
                <w:bCs/>
                <w:szCs w:val="18"/>
              </w:rPr>
            </w:pPr>
          </w:p>
        </w:tc>
        <w:tc>
          <w:tcPr>
            <w:tcW w:w="1530" w:type="dxa"/>
            <w:vMerge w:val="continue"/>
            <w:textDirection w:val="tbRlV"/>
            <w:vAlign w:val="center"/>
          </w:tcPr>
          <w:p w14:paraId="3D9B66B4">
            <w:pPr>
              <w:autoSpaceDE w:val="0"/>
              <w:autoSpaceDN w:val="0"/>
              <w:rPr>
                <w:rFonts w:ascii="Times New Roman" w:hAnsi="Times New Roman" w:eastAsia="宋体" w:cs="Cambria Math"/>
                <w:bCs/>
                <w:szCs w:val="18"/>
              </w:rPr>
            </w:pPr>
          </w:p>
        </w:tc>
        <w:tc>
          <w:tcPr>
            <w:tcW w:w="1776" w:type="dxa"/>
            <w:vAlign w:val="center"/>
          </w:tcPr>
          <w:p w14:paraId="5B0C2AE1">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响应文件的密封</w:t>
            </w:r>
          </w:p>
        </w:tc>
        <w:tc>
          <w:tcPr>
            <w:tcW w:w="5476" w:type="dxa"/>
            <w:vAlign w:val="center"/>
          </w:tcPr>
          <w:p w14:paraId="44AE1844">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符合第二章“响应人须知”4.7 条规定</w:t>
            </w:r>
          </w:p>
        </w:tc>
      </w:tr>
      <w:tr w14:paraId="5181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82" w:type="dxa"/>
            <w:vMerge w:val="continue"/>
            <w:vAlign w:val="center"/>
          </w:tcPr>
          <w:p w14:paraId="42D79BD3">
            <w:pPr>
              <w:autoSpaceDE w:val="0"/>
              <w:autoSpaceDN w:val="0"/>
              <w:rPr>
                <w:rFonts w:ascii="Times New Roman" w:hAnsi="Times New Roman" w:eastAsia="宋体" w:cs="Cambria Math"/>
                <w:bCs/>
                <w:szCs w:val="18"/>
              </w:rPr>
            </w:pPr>
          </w:p>
        </w:tc>
        <w:tc>
          <w:tcPr>
            <w:tcW w:w="1530" w:type="dxa"/>
            <w:vMerge w:val="continue"/>
            <w:textDirection w:val="tbRlV"/>
            <w:vAlign w:val="center"/>
          </w:tcPr>
          <w:p w14:paraId="16659F95">
            <w:pPr>
              <w:autoSpaceDE w:val="0"/>
              <w:autoSpaceDN w:val="0"/>
              <w:rPr>
                <w:rFonts w:ascii="Times New Roman" w:hAnsi="Times New Roman" w:eastAsia="宋体" w:cs="Cambria Math"/>
                <w:bCs/>
                <w:szCs w:val="18"/>
              </w:rPr>
            </w:pPr>
          </w:p>
        </w:tc>
        <w:tc>
          <w:tcPr>
            <w:tcW w:w="1776" w:type="dxa"/>
            <w:vAlign w:val="center"/>
          </w:tcPr>
          <w:p w14:paraId="7A2D422E">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响应文件格式</w:t>
            </w:r>
          </w:p>
        </w:tc>
        <w:tc>
          <w:tcPr>
            <w:tcW w:w="5476" w:type="dxa"/>
            <w:vAlign w:val="center"/>
          </w:tcPr>
          <w:p w14:paraId="222DE104">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符合第六章“响应文件格式”的要求</w:t>
            </w:r>
          </w:p>
        </w:tc>
      </w:tr>
      <w:tr w14:paraId="1BC5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82" w:type="dxa"/>
            <w:vMerge w:val="continue"/>
            <w:vAlign w:val="center"/>
          </w:tcPr>
          <w:p w14:paraId="13B8CE6D">
            <w:pPr>
              <w:autoSpaceDE w:val="0"/>
              <w:autoSpaceDN w:val="0"/>
              <w:rPr>
                <w:rFonts w:ascii="Times New Roman" w:hAnsi="Times New Roman" w:eastAsia="宋体" w:cs="Cambria Math"/>
                <w:bCs/>
                <w:szCs w:val="18"/>
              </w:rPr>
            </w:pPr>
          </w:p>
        </w:tc>
        <w:tc>
          <w:tcPr>
            <w:tcW w:w="1530" w:type="dxa"/>
            <w:vMerge w:val="continue"/>
            <w:textDirection w:val="tbRlV"/>
            <w:vAlign w:val="center"/>
          </w:tcPr>
          <w:p w14:paraId="11A28957">
            <w:pPr>
              <w:autoSpaceDE w:val="0"/>
              <w:autoSpaceDN w:val="0"/>
              <w:rPr>
                <w:rFonts w:ascii="Times New Roman" w:hAnsi="Times New Roman" w:eastAsia="宋体" w:cs="Cambria Math"/>
                <w:bCs/>
                <w:szCs w:val="18"/>
              </w:rPr>
            </w:pPr>
          </w:p>
        </w:tc>
        <w:tc>
          <w:tcPr>
            <w:tcW w:w="1776" w:type="dxa"/>
            <w:vAlign w:val="center"/>
          </w:tcPr>
          <w:p w14:paraId="1CF4F947">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响应文件组成</w:t>
            </w:r>
          </w:p>
        </w:tc>
        <w:tc>
          <w:tcPr>
            <w:tcW w:w="5476" w:type="dxa"/>
            <w:vAlign w:val="center"/>
          </w:tcPr>
          <w:p w14:paraId="5D48B652">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符合第二章“响应人须知”4.2 条规定，内容齐全、无遗漏</w:t>
            </w:r>
          </w:p>
        </w:tc>
      </w:tr>
      <w:tr w14:paraId="4F71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682" w:type="dxa"/>
            <w:vMerge w:val="continue"/>
            <w:vAlign w:val="center"/>
          </w:tcPr>
          <w:p w14:paraId="467C1F04">
            <w:pPr>
              <w:autoSpaceDE w:val="0"/>
              <w:autoSpaceDN w:val="0"/>
              <w:rPr>
                <w:rFonts w:ascii="Times New Roman" w:hAnsi="Times New Roman" w:eastAsia="宋体" w:cs="Cambria Math"/>
                <w:bCs/>
                <w:szCs w:val="18"/>
              </w:rPr>
            </w:pPr>
          </w:p>
        </w:tc>
        <w:tc>
          <w:tcPr>
            <w:tcW w:w="1530" w:type="dxa"/>
            <w:vMerge w:val="continue"/>
            <w:textDirection w:val="tbRlV"/>
            <w:vAlign w:val="center"/>
          </w:tcPr>
          <w:p w14:paraId="5CCDA45D">
            <w:pPr>
              <w:autoSpaceDE w:val="0"/>
              <w:autoSpaceDN w:val="0"/>
              <w:rPr>
                <w:rFonts w:ascii="Times New Roman" w:hAnsi="Times New Roman" w:eastAsia="宋体" w:cs="Cambria Math"/>
                <w:bCs/>
                <w:szCs w:val="18"/>
              </w:rPr>
            </w:pPr>
          </w:p>
        </w:tc>
        <w:tc>
          <w:tcPr>
            <w:tcW w:w="1776" w:type="dxa"/>
            <w:vAlign w:val="center"/>
          </w:tcPr>
          <w:p w14:paraId="26E42F6C">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联合体响应</w:t>
            </w:r>
          </w:p>
        </w:tc>
        <w:tc>
          <w:tcPr>
            <w:tcW w:w="5476" w:type="dxa"/>
            <w:vAlign w:val="center"/>
          </w:tcPr>
          <w:p w14:paraId="6F7BF0B2">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符合第一章“2. 响应人资格要求”2.5 条的要求</w:t>
            </w:r>
          </w:p>
        </w:tc>
      </w:tr>
      <w:tr w14:paraId="3410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682" w:type="dxa"/>
            <w:vMerge w:val="restart"/>
            <w:vAlign w:val="center"/>
          </w:tcPr>
          <w:p w14:paraId="1C0559D6">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2.1.3</w:t>
            </w:r>
          </w:p>
        </w:tc>
        <w:tc>
          <w:tcPr>
            <w:tcW w:w="1530" w:type="dxa"/>
            <w:vMerge w:val="restart"/>
            <w:vAlign w:val="center"/>
          </w:tcPr>
          <w:p w14:paraId="41164896">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响应性评审标准</w:t>
            </w:r>
          </w:p>
        </w:tc>
        <w:tc>
          <w:tcPr>
            <w:tcW w:w="1776" w:type="dxa"/>
            <w:vAlign w:val="center"/>
          </w:tcPr>
          <w:p w14:paraId="368A8853">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响应内容</w:t>
            </w:r>
          </w:p>
        </w:tc>
        <w:tc>
          <w:tcPr>
            <w:tcW w:w="5476" w:type="dxa"/>
            <w:vAlign w:val="center"/>
          </w:tcPr>
          <w:p w14:paraId="5C92FC73">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1. 在响应承诺函中对第三章“项目要求”内容做出整体承诺；</w:t>
            </w:r>
          </w:p>
          <w:p w14:paraId="327610A5">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2. 根据第一章“2. 响应人</w:t>
            </w:r>
            <w:r>
              <w:rPr>
                <w:rFonts w:ascii="Times New Roman" w:hAnsi="Times New Roman" w:eastAsia="宋体" w:cs="Cambria Math"/>
                <w:bCs/>
                <w:szCs w:val="18"/>
              </w:rPr>
              <w:t>资格要求”和第三章“项目要求”的要求规定，提供对应</w:t>
            </w:r>
            <w:r>
              <w:rPr>
                <w:rFonts w:hint="eastAsia" w:ascii="Times New Roman" w:hAnsi="Times New Roman" w:eastAsia="宋体" w:cs="Cambria Math"/>
                <w:bCs/>
                <w:szCs w:val="18"/>
              </w:rPr>
              <w:t>资料</w:t>
            </w:r>
            <w:r>
              <w:rPr>
                <w:rFonts w:ascii="Times New Roman" w:hAnsi="Times New Roman" w:eastAsia="宋体" w:cs="Cambria Math"/>
                <w:bCs/>
                <w:szCs w:val="18"/>
              </w:rPr>
              <w:t>，内容齐全、无遗漏。</w:t>
            </w:r>
          </w:p>
        </w:tc>
      </w:tr>
      <w:tr w14:paraId="5D81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2" w:type="dxa"/>
            <w:vMerge w:val="continue"/>
          </w:tcPr>
          <w:p w14:paraId="170224F0">
            <w:pPr>
              <w:autoSpaceDE w:val="0"/>
              <w:autoSpaceDN w:val="0"/>
              <w:rPr>
                <w:rFonts w:ascii="Times New Roman" w:hAnsi="Times New Roman" w:eastAsia="宋体" w:cs="Cambria Math"/>
                <w:bCs/>
                <w:szCs w:val="18"/>
              </w:rPr>
            </w:pPr>
          </w:p>
        </w:tc>
        <w:tc>
          <w:tcPr>
            <w:tcW w:w="1530" w:type="dxa"/>
            <w:vMerge w:val="continue"/>
          </w:tcPr>
          <w:p w14:paraId="15BD581B">
            <w:pPr>
              <w:autoSpaceDE w:val="0"/>
              <w:autoSpaceDN w:val="0"/>
              <w:rPr>
                <w:rFonts w:ascii="Times New Roman" w:hAnsi="Times New Roman" w:eastAsia="宋体" w:cs="Cambria Math"/>
                <w:bCs/>
                <w:szCs w:val="18"/>
              </w:rPr>
            </w:pPr>
          </w:p>
        </w:tc>
        <w:tc>
          <w:tcPr>
            <w:tcW w:w="1776" w:type="dxa"/>
            <w:vAlign w:val="center"/>
          </w:tcPr>
          <w:p w14:paraId="73EC170B">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响应文件份数</w:t>
            </w:r>
          </w:p>
        </w:tc>
        <w:tc>
          <w:tcPr>
            <w:tcW w:w="5476" w:type="dxa"/>
            <w:vAlign w:val="center"/>
          </w:tcPr>
          <w:p w14:paraId="1BC1BF7D">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符合第二章“响应人须知”4.6 条规定</w:t>
            </w:r>
          </w:p>
        </w:tc>
      </w:tr>
      <w:tr w14:paraId="3633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2" w:type="dxa"/>
            <w:vMerge w:val="continue"/>
          </w:tcPr>
          <w:p w14:paraId="0B0F27EA">
            <w:pPr>
              <w:autoSpaceDE w:val="0"/>
              <w:autoSpaceDN w:val="0"/>
              <w:rPr>
                <w:rFonts w:ascii="Times New Roman" w:hAnsi="Times New Roman" w:eastAsia="宋体" w:cs="Cambria Math"/>
                <w:bCs/>
                <w:szCs w:val="18"/>
              </w:rPr>
            </w:pPr>
          </w:p>
        </w:tc>
        <w:tc>
          <w:tcPr>
            <w:tcW w:w="1530" w:type="dxa"/>
            <w:vMerge w:val="continue"/>
          </w:tcPr>
          <w:p w14:paraId="3B7A8AB1">
            <w:pPr>
              <w:autoSpaceDE w:val="0"/>
              <w:autoSpaceDN w:val="0"/>
              <w:rPr>
                <w:rFonts w:ascii="Times New Roman" w:hAnsi="Times New Roman" w:eastAsia="宋体" w:cs="Cambria Math"/>
                <w:bCs/>
                <w:szCs w:val="18"/>
              </w:rPr>
            </w:pPr>
          </w:p>
        </w:tc>
        <w:tc>
          <w:tcPr>
            <w:tcW w:w="1776" w:type="dxa"/>
            <w:vAlign w:val="center"/>
          </w:tcPr>
          <w:p w14:paraId="2DDFE173">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响应方案唯一</w:t>
            </w:r>
          </w:p>
        </w:tc>
        <w:tc>
          <w:tcPr>
            <w:tcW w:w="5476" w:type="dxa"/>
            <w:vAlign w:val="center"/>
          </w:tcPr>
          <w:p w14:paraId="6B7133AA">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只能有一个方案响应。</w:t>
            </w:r>
          </w:p>
        </w:tc>
      </w:tr>
      <w:tr w14:paraId="0D36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2" w:type="dxa"/>
            <w:vMerge w:val="continue"/>
          </w:tcPr>
          <w:p w14:paraId="1C3319EF">
            <w:pPr>
              <w:autoSpaceDE w:val="0"/>
              <w:autoSpaceDN w:val="0"/>
              <w:rPr>
                <w:rFonts w:ascii="Times New Roman" w:hAnsi="Times New Roman" w:eastAsia="宋体" w:cs="Cambria Math"/>
                <w:bCs/>
                <w:szCs w:val="18"/>
              </w:rPr>
            </w:pPr>
          </w:p>
        </w:tc>
        <w:tc>
          <w:tcPr>
            <w:tcW w:w="1530" w:type="dxa"/>
            <w:vMerge w:val="continue"/>
          </w:tcPr>
          <w:p w14:paraId="2727F567">
            <w:pPr>
              <w:autoSpaceDE w:val="0"/>
              <w:autoSpaceDN w:val="0"/>
              <w:rPr>
                <w:rFonts w:ascii="Times New Roman" w:hAnsi="Times New Roman" w:eastAsia="宋体" w:cs="Cambria Math"/>
                <w:bCs/>
                <w:szCs w:val="18"/>
              </w:rPr>
            </w:pPr>
          </w:p>
        </w:tc>
        <w:tc>
          <w:tcPr>
            <w:tcW w:w="1776" w:type="dxa"/>
            <w:vAlign w:val="center"/>
          </w:tcPr>
          <w:p w14:paraId="06D9543D">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响应报价</w:t>
            </w:r>
          </w:p>
        </w:tc>
        <w:tc>
          <w:tcPr>
            <w:tcW w:w="5476" w:type="dxa"/>
            <w:vAlign w:val="center"/>
          </w:tcPr>
          <w:p w14:paraId="48967FBA">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符合第二章“响应人须知”4.8 条规定</w:t>
            </w:r>
          </w:p>
        </w:tc>
      </w:tr>
      <w:tr w14:paraId="6AEB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2" w:type="dxa"/>
            <w:vMerge w:val="continue"/>
          </w:tcPr>
          <w:p w14:paraId="6560D87C">
            <w:pPr>
              <w:autoSpaceDE w:val="0"/>
              <w:autoSpaceDN w:val="0"/>
              <w:rPr>
                <w:rFonts w:ascii="Times New Roman" w:hAnsi="Times New Roman" w:eastAsia="宋体" w:cs="Cambria Math"/>
                <w:bCs/>
                <w:szCs w:val="18"/>
              </w:rPr>
            </w:pPr>
          </w:p>
        </w:tc>
        <w:tc>
          <w:tcPr>
            <w:tcW w:w="1530" w:type="dxa"/>
            <w:vMerge w:val="continue"/>
          </w:tcPr>
          <w:p w14:paraId="214D4BD2">
            <w:pPr>
              <w:autoSpaceDE w:val="0"/>
              <w:autoSpaceDN w:val="0"/>
              <w:rPr>
                <w:rFonts w:ascii="Times New Roman" w:hAnsi="Times New Roman" w:eastAsia="宋体" w:cs="Cambria Math"/>
                <w:bCs/>
                <w:szCs w:val="18"/>
              </w:rPr>
            </w:pPr>
          </w:p>
        </w:tc>
        <w:tc>
          <w:tcPr>
            <w:tcW w:w="1776" w:type="dxa"/>
            <w:vAlign w:val="center"/>
          </w:tcPr>
          <w:p w14:paraId="2F846B4F">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响应有效期</w:t>
            </w:r>
          </w:p>
        </w:tc>
        <w:tc>
          <w:tcPr>
            <w:tcW w:w="5476" w:type="dxa"/>
          </w:tcPr>
          <w:p w14:paraId="03D56EFB">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符合第二章“响应人须知”4.4 条规定</w:t>
            </w:r>
          </w:p>
        </w:tc>
      </w:tr>
      <w:tr w14:paraId="00F2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2" w:type="dxa"/>
            <w:vMerge w:val="continue"/>
          </w:tcPr>
          <w:p w14:paraId="6BBC85AD">
            <w:pPr>
              <w:autoSpaceDE w:val="0"/>
              <w:autoSpaceDN w:val="0"/>
              <w:rPr>
                <w:rFonts w:ascii="Times New Roman" w:hAnsi="Times New Roman" w:eastAsia="宋体" w:cs="Cambria Math"/>
                <w:bCs/>
                <w:szCs w:val="18"/>
              </w:rPr>
            </w:pPr>
          </w:p>
        </w:tc>
        <w:tc>
          <w:tcPr>
            <w:tcW w:w="1530" w:type="dxa"/>
            <w:vMerge w:val="continue"/>
          </w:tcPr>
          <w:p w14:paraId="742DA227">
            <w:pPr>
              <w:autoSpaceDE w:val="0"/>
              <w:autoSpaceDN w:val="0"/>
              <w:rPr>
                <w:rFonts w:ascii="Times New Roman" w:hAnsi="Times New Roman" w:eastAsia="宋体" w:cs="Cambria Math"/>
                <w:bCs/>
                <w:szCs w:val="18"/>
              </w:rPr>
            </w:pPr>
          </w:p>
        </w:tc>
        <w:tc>
          <w:tcPr>
            <w:tcW w:w="1776" w:type="dxa"/>
            <w:vAlign w:val="center"/>
          </w:tcPr>
          <w:p w14:paraId="743360C7">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响应保证金</w:t>
            </w:r>
          </w:p>
        </w:tc>
        <w:tc>
          <w:tcPr>
            <w:tcW w:w="5476" w:type="dxa"/>
          </w:tcPr>
          <w:p w14:paraId="136B5E35">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符合第二章“响应人须知”4.5 条规定</w:t>
            </w:r>
          </w:p>
        </w:tc>
      </w:tr>
      <w:tr w14:paraId="0A43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82" w:type="dxa"/>
            <w:vAlign w:val="center"/>
          </w:tcPr>
          <w:p w14:paraId="731BB0FF">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2.2</w:t>
            </w:r>
          </w:p>
        </w:tc>
        <w:tc>
          <w:tcPr>
            <w:tcW w:w="1530" w:type="dxa"/>
            <w:vAlign w:val="center"/>
          </w:tcPr>
          <w:p w14:paraId="59A3630C">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详细评审</w:t>
            </w:r>
          </w:p>
        </w:tc>
        <w:tc>
          <w:tcPr>
            <w:tcW w:w="1776" w:type="dxa"/>
            <w:vAlign w:val="center"/>
          </w:tcPr>
          <w:p w14:paraId="32EA50CA">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分值构成与评分标准</w:t>
            </w:r>
          </w:p>
          <w:p w14:paraId="544746BE">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(总分1OO分)</w:t>
            </w:r>
          </w:p>
        </w:tc>
        <w:tc>
          <w:tcPr>
            <w:tcW w:w="5476" w:type="dxa"/>
            <w:vAlign w:val="center"/>
          </w:tcPr>
          <w:p w14:paraId="66792115">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详见《详细评审评分表》</w:t>
            </w:r>
          </w:p>
        </w:tc>
      </w:tr>
      <w:tr w14:paraId="7290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682" w:type="dxa"/>
            <w:vAlign w:val="center"/>
          </w:tcPr>
          <w:p w14:paraId="0A633F89">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3</w:t>
            </w:r>
          </w:p>
        </w:tc>
        <w:tc>
          <w:tcPr>
            <w:tcW w:w="1530" w:type="dxa"/>
            <w:vAlign w:val="center"/>
          </w:tcPr>
          <w:p w14:paraId="7E2CEDD1">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评审程序</w:t>
            </w:r>
          </w:p>
        </w:tc>
        <w:tc>
          <w:tcPr>
            <w:tcW w:w="7252" w:type="dxa"/>
            <w:gridSpan w:val="2"/>
          </w:tcPr>
          <w:p w14:paraId="6217F403">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1.初步评审前，按本章第3.1.3项的规定对响应报价有算术性错误的进行算术性错误修正。</w:t>
            </w:r>
          </w:p>
          <w:p w14:paraId="259EE478">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2.评审委员会对响应文件进行初步评审。</w:t>
            </w:r>
          </w:p>
          <w:p w14:paraId="47C5A301">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3.初步评审合格的响应文件进行详细评审。主观评审部分由各专家独立评审打分，最后取平均得分，保留2位小数。</w:t>
            </w:r>
          </w:p>
          <w:p w14:paraId="7034C106">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4.根据综合得分由高至低进行排序，推荐1-1</w:t>
            </w:r>
            <w:r>
              <w:rPr>
                <w:rFonts w:hint="eastAsia" w:ascii="Times New Roman" w:hAnsi="Times New Roman" w:eastAsia="宋体" w:cs="Cambria Math"/>
                <w:bCs/>
                <w:szCs w:val="18"/>
                <w:lang w:val="en-US" w:eastAsia="zh-CN"/>
              </w:rPr>
              <w:t>3</w:t>
            </w:r>
            <w:r>
              <w:rPr>
                <w:rFonts w:hint="eastAsia" w:ascii="Times New Roman" w:hAnsi="Times New Roman" w:eastAsia="宋体" w:cs="Cambria Math"/>
                <w:bCs/>
                <w:szCs w:val="18"/>
              </w:rPr>
              <w:t>家合格的入围候选人。</w:t>
            </w:r>
          </w:p>
        </w:tc>
      </w:tr>
      <w:tr w14:paraId="3CEB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682" w:type="dxa"/>
            <w:vAlign w:val="center"/>
          </w:tcPr>
          <w:p w14:paraId="43ACED6A">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3.2.3</w:t>
            </w:r>
          </w:p>
        </w:tc>
        <w:tc>
          <w:tcPr>
            <w:tcW w:w="1530" w:type="dxa"/>
            <w:vAlign w:val="center"/>
          </w:tcPr>
          <w:p w14:paraId="50721A57">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响应人得分</w:t>
            </w:r>
          </w:p>
        </w:tc>
        <w:tc>
          <w:tcPr>
            <w:tcW w:w="7252" w:type="dxa"/>
            <w:gridSpan w:val="2"/>
            <w:vAlign w:val="center"/>
          </w:tcPr>
          <w:p w14:paraId="77F9D6A7">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响应人得分=响应报价得分+商务部分得分</w:t>
            </w:r>
          </w:p>
        </w:tc>
      </w:tr>
    </w:tbl>
    <w:p w14:paraId="5660953D">
      <w:pPr>
        <w:autoSpaceDE w:val="0"/>
        <w:autoSpaceDN w:val="0"/>
        <w:spacing w:line="360" w:lineRule="auto"/>
        <w:outlineLvl w:val="1"/>
        <w:rPr>
          <w:rFonts w:ascii="Times New Roman" w:hAnsi="Times New Roman" w:eastAsia="宋体" w:cs="Cambria Math"/>
          <w:bCs/>
          <w:szCs w:val="18"/>
        </w:rPr>
      </w:pPr>
      <w:r>
        <w:rPr>
          <w:rFonts w:hint="eastAsia" w:ascii="Times New Roman" w:hAnsi="Times New Roman" w:eastAsia="宋体" w:cs="Cambria Math"/>
          <w:bCs/>
          <w:szCs w:val="18"/>
        </w:rPr>
        <w:t>《详细评审评分表》</w:t>
      </w:r>
    </w:p>
    <w:tbl>
      <w:tblPr>
        <w:tblStyle w:val="22"/>
        <w:tblW w:w="9230" w:type="dxa"/>
        <w:tblInd w:w="-359" w:type="dxa"/>
        <w:tblLayout w:type="fixed"/>
        <w:tblCellMar>
          <w:top w:w="0" w:type="dxa"/>
          <w:left w:w="108" w:type="dxa"/>
          <w:bottom w:w="0" w:type="dxa"/>
          <w:right w:w="108" w:type="dxa"/>
        </w:tblCellMar>
      </w:tblPr>
      <w:tblGrid>
        <w:gridCol w:w="675"/>
        <w:gridCol w:w="1470"/>
        <w:gridCol w:w="1470"/>
        <w:gridCol w:w="5615"/>
      </w:tblGrid>
      <w:tr w14:paraId="79E67EBD">
        <w:tblPrEx>
          <w:tblCellMar>
            <w:top w:w="0" w:type="dxa"/>
            <w:left w:w="108" w:type="dxa"/>
            <w:bottom w:w="0" w:type="dxa"/>
            <w:right w:w="108" w:type="dxa"/>
          </w:tblCellMar>
        </w:tblPrEx>
        <w:trPr>
          <w:trHeight w:val="288" w:hRule="atLeast"/>
        </w:trPr>
        <w:tc>
          <w:tcPr>
            <w:tcW w:w="6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A2120">
            <w:pPr>
              <w:widowControl/>
              <w:jc w:val="center"/>
              <w:rPr>
                <w:rFonts w:ascii="方正仿宋_GBK" w:hAnsi="宋体" w:eastAsia="方正仿宋_GBK" w:cs="宋体"/>
                <w:b/>
                <w:bCs/>
                <w:color w:val="000000"/>
                <w:kern w:val="0"/>
                <w:szCs w:val="21"/>
              </w:rPr>
            </w:pPr>
            <w:r>
              <w:rPr>
                <w:rFonts w:hint="eastAsia" w:ascii="方正仿宋_GBK" w:hAnsi="宋体" w:eastAsia="方正仿宋_GBK" w:cs="宋体"/>
                <w:b/>
                <w:bCs/>
                <w:color w:val="000000"/>
                <w:kern w:val="0"/>
                <w:szCs w:val="21"/>
              </w:rPr>
              <w:t>序号</w:t>
            </w:r>
          </w:p>
        </w:tc>
        <w:tc>
          <w:tcPr>
            <w:tcW w:w="1470" w:type="dxa"/>
            <w:tcBorders>
              <w:top w:val="single" w:color="auto" w:sz="4" w:space="0"/>
              <w:left w:val="nil"/>
              <w:bottom w:val="single" w:color="auto" w:sz="4" w:space="0"/>
              <w:right w:val="single" w:color="auto" w:sz="4" w:space="0"/>
            </w:tcBorders>
            <w:shd w:val="clear" w:color="auto" w:fill="auto"/>
            <w:noWrap/>
            <w:vAlign w:val="center"/>
          </w:tcPr>
          <w:p w14:paraId="0896C28B">
            <w:pPr>
              <w:widowControl/>
              <w:jc w:val="center"/>
              <w:rPr>
                <w:rFonts w:ascii="方正仿宋_GBK" w:hAnsi="宋体" w:eastAsia="方正仿宋_GBK" w:cs="宋体"/>
                <w:b/>
                <w:bCs/>
                <w:color w:val="000000"/>
                <w:kern w:val="0"/>
                <w:szCs w:val="21"/>
              </w:rPr>
            </w:pPr>
            <w:r>
              <w:rPr>
                <w:rFonts w:hint="eastAsia" w:ascii="方正仿宋_GBK" w:hAnsi="宋体" w:eastAsia="方正仿宋_GBK" w:cs="宋体"/>
                <w:b/>
                <w:bCs/>
                <w:color w:val="000000"/>
                <w:kern w:val="0"/>
                <w:szCs w:val="21"/>
              </w:rPr>
              <w:t>评分指标</w:t>
            </w:r>
          </w:p>
        </w:tc>
        <w:tc>
          <w:tcPr>
            <w:tcW w:w="1470" w:type="dxa"/>
            <w:tcBorders>
              <w:top w:val="single" w:color="auto" w:sz="4" w:space="0"/>
              <w:left w:val="nil"/>
              <w:bottom w:val="single" w:color="auto" w:sz="4" w:space="0"/>
              <w:right w:val="single" w:color="auto" w:sz="4" w:space="0"/>
            </w:tcBorders>
            <w:shd w:val="clear" w:color="auto" w:fill="auto"/>
            <w:noWrap/>
            <w:vAlign w:val="center"/>
          </w:tcPr>
          <w:p w14:paraId="219C2090">
            <w:pPr>
              <w:widowControl/>
              <w:jc w:val="center"/>
              <w:rPr>
                <w:rFonts w:ascii="方正仿宋_GBK" w:hAnsi="宋体" w:eastAsia="方正仿宋_GBK" w:cs="宋体"/>
                <w:b/>
                <w:bCs/>
                <w:color w:val="000000"/>
                <w:kern w:val="0"/>
                <w:szCs w:val="21"/>
              </w:rPr>
            </w:pPr>
            <w:r>
              <w:rPr>
                <w:rFonts w:hint="eastAsia" w:ascii="方正仿宋_GBK" w:hAnsi="Times New Roman" w:eastAsia="方正仿宋_GBK" w:cs="宋体"/>
                <w:b/>
                <w:bCs/>
                <w:kern w:val="0"/>
                <w:szCs w:val="21"/>
              </w:rPr>
              <w:t>分项指标</w:t>
            </w:r>
          </w:p>
        </w:tc>
        <w:tc>
          <w:tcPr>
            <w:tcW w:w="5615" w:type="dxa"/>
            <w:tcBorders>
              <w:top w:val="single" w:color="auto" w:sz="4" w:space="0"/>
              <w:left w:val="nil"/>
              <w:bottom w:val="single" w:color="auto" w:sz="4" w:space="0"/>
              <w:right w:val="single" w:color="auto" w:sz="4" w:space="0"/>
            </w:tcBorders>
            <w:shd w:val="clear" w:color="auto" w:fill="auto"/>
            <w:noWrap/>
            <w:vAlign w:val="center"/>
          </w:tcPr>
          <w:p w14:paraId="5939F89D">
            <w:pPr>
              <w:widowControl/>
              <w:jc w:val="center"/>
              <w:rPr>
                <w:rFonts w:ascii="方正仿宋_GBK" w:hAnsi="宋体" w:eastAsia="方正仿宋_GBK" w:cs="宋体"/>
                <w:b/>
                <w:bCs/>
                <w:color w:val="000000"/>
                <w:kern w:val="0"/>
                <w:szCs w:val="21"/>
              </w:rPr>
            </w:pPr>
            <w:r>
              <w:rPr>
                <w:rFonts w:hint="eastAsia" w:ascii="方正仿宋_GBK" w:hAnsi="宋体" w:eastAsia="方正仿宋_GBK" w:cs="宋体"/>
                <w:b/>
                <w:bCs/>
                <w:color w:val="000000"/>
                <w:kern w:val="0"/>
                <w:szCs w:val="21"/>
              </w:rPr>
              <w:t>评分标准</w:t>
            </w:r>
          </w:p>
        </w:tc>
      </w:tr>
      <w:tr w14:paraId="3E242B75">
        <w:tblPrEx>
          <w:tblCellMar>
            <w:top w:w="0" w:type="dxa"/>
            <w:left w:w="108" w:type="dxa"/>
            <w:bottom w:w="0" w:type="dxa"/>
            <w:right w:w="108" w:type="dxa"/>
          </w:tblCellMar>
        </w:tblPrEx>
        <w:trPr>
          <w:trHeight w:val="3072" w:hRule="atLeast"/>
        </w:trPr>
        <w:tc>
          <w:tcPr>
            <w:tcW w:w="675" w:type="dxa"/>
            <w:vMerge w:val="restart"/>
            <w:tcBorders>
              <w:top w:val="nil"/>
              <w:left w:val="single" w:color="auto" w:sz="4" w:space="0"/>
              <w:bottom w:val="single" w:color="auto" w:sz="4" w:space="0"/>
              <w:right w:val="single" w:color="auto" w:sz="4" w:space="0"/>
            </w:tcBorders>
            <w:shd w:val="clear" w:color="auto" w:fill="auto"/>
            <w:vAlign w:val="center"/>
          </w:tcPr>
          <w:p w14:paraId="19767D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470" w:type="dxa"/>
            <w:vMerge w:val="restart"/>
            <w:tcBorders>
              <w:top w:val="nil"/>
              <w:left w:val="single" w:color="auto" w:sz="4" w:space="0"/>
              <w:right w:val="single" w:color="auto" w:sz="4" w:space="0"/>
            </w:tcBorders>
            <w:shd w:val="clear" w:color="auto" w:fill="auto"/>
            <w:vAlign w:val="center"/>
          </w:tcPr>
          <w:p w14:paraId="46F941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报价部分（50分）</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14:paraId="02DC69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债项评级包干价（分值：25分）</w:t>
            </w:r>
          </w:p>
        </w:tc>
        <w:tc>
          <w:tcPr>
            <w:tcW w:w="5615" w:type="dxa"/>
            <w:tcBorders>
              <w:top w:val="nil"/>
              <w:left w:val="nil"/>
              <w:bottom w:val="single" w:color="auto" w:sz="4" w:space="0"/>
              <w:right w:val="single" w:color="auto" w:sz="4" w:space="0"/>
            </w:tcBorders>
            <w:shd w:val="clear" w:color="auto" w:fill="auto"/>
            <w:vAlign w:val="center"/>
          </w:tcPr>
          <w:p w14:paraId="271E1F6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按照评级一支债券的债项评级包干价由低到高的顺序排名：</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排名第1-3：得25分；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排名第4-5：得24分；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排名第6及之后得23分。</w:t>
            </w:r>
          </w:p>
        </w:tc>
      </w:tr>
      <w:tr w14:paraId="18D43FDA">
        <w:tblPrEx>
          <w:tblCellMar>
            <w:top w:w="0" w:type="dxa"/>
            <w:left w:w="108" w:type="dxa"/>
            <w:bottom w:w="0" w:type="dxa"/>
            <w:right w:w="108" w:type="dxa"/>
          </w:tblCellMar>
        </w:tblPrEx>
        <w:trPr>
          <w:trHeight w:val="1728" w:hRule="atLeast"/>
        </w:trPr>
        <w:tc>
          <w:tcPr>
            <w:tcW w:w="675" w:type="dxa"/>
            <w:vMerge w:val="continue"/>
            <w:tcBorders>
              <w:top w:val="nil"/>
              <w:left w:val="single" w:color="auto" w:sz="4" w:space="0"/>
              <w:bottom w:val="single" w:color="auto" w:sz="4" w:space="0"/>
              <w:right w:val="single" w:color="auto" w:sz="4" w:space="0"/>
            </w:tcBorders>
            <w:vAlign w:val="center"/>
          </w:tcPr>
          <w:p w14:paraId="7CAA02D5">
            <w:pPr>
              <w:widowControl/>
              <w:jc w:val="left"/>
              <w:rPr>
                <w:rFonts w:ascii="宋体" w:hAnsi="宋体" w:eastAsia="宋体" w:cs="宋体"/>
                <w:color w:val="000000"/>
                <w:kern w:val="0"/>
                <w:sz w:val="22"/>
              </w:rPr>
            </w:pPr>
          </w:p>
        </w:tc>
        <w:tc>
          <w:tcPr>
            <w:tcW w:w="1470" w:type="dxa"/>
            <w:vMerge w:val="continue"/>
            <w:tcBorders>
              <w:left w:val="single" w:color="auto" w:sz="4" w:space="0"/>
              <w:bottom w:val="single" w:color="auto" w:sz="4" w:space="0"/>
              <w:right w:val="single" w:color="auto" w:sz="4" w:space="0"/>
            </w:tcBorders>
            <w:shd w:val="clear" w:color="auto" w:fill="auto"/>
            <w:vAlign w:val="center"/>
          </w:tcPr>
          <w:p w14:paraId="63221FC7">
            <w:pPr>
              <w:widowControl/>
              <w:jc w:val="left"/>
              <w:rPr>
                <w:rFonts w:ascii="宋体" w:hAnsi="宋体" w:eastAsia="宋体" w:cs="宋体"/>
                <w:color w:val="000000"/>
                <w:kern w:val="0"/>
                <w:sz w:val="22"/>
              </w:rPr>
            </w:pPr>
          </w:p>
        </w:tc>
        <w:tc>
          <w:tcPr>
            <w:tcW w:w="1470" w:type="dxa"/>
            <w:tcBorders>
              <w:top w:val="single" w:color="auto" w:sz="4" w:space="0"/>
              <w:left w:val="single" w:color="auto" w:sz="4" w:space="0"/>
              <w:bottom w:val="single" w:color="auto" w:sz="4" w:space="0"/>
              <w:right w:val="single" w:color="auto" w:sz="4" w:space="0"/>
            </w:tcBorders>
            <w:vAlign w:val="center"/>
          </w:tcPr>
          <w:p w14:paraId="7BA24D6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主体评级</w:t>
            </w:r>
            <w:r>
              <w:rPr>
                <w:rFonts w:hint="eastAsia" w:ascii="宋体" w:hAnsi="宋体" w:eastAsia="宋体" w:cs="宋体"/>
                <w:color w:val="000000"/>
                <w:kern w:val="0"/>
                <w:sz w:val="22"/>
                <w:lang w:eastAsia="zh-CN"/>
              </w:rPr>
              <w:t>响应报价</w:t>
            </w:r>
            <w:r>
              <w:rPr>
                <w:rFonts w:hint="eastAsia" w:ascii="宋体" w:hAnsi="宋体" w:eastAsia="宋体" w:cs="宋体"/>
                <w:color w:val="000000"/>
                <w:kern w:val="0"/>
                <w:sz w:val="22"/>
              </w:rPr>
              <w:t>（分值：25分）</w:t>
            </w:r>
          </w:p>
        </w:tc>
        <w:tc>
          <w:tcPr>
            <w:tcW w:w="5615" w:type="dxa"/>
            <w:tcBorders>
              <w:top w:val="nil"/>
              <w:left w:val="nil"/>
              <w:bottom w:val="single" w:color="auto" w:sz="4" w:space="0"/>
              <w:right w:val="single" w:color="auto" w:sz="4" w:space="0"/>
            </w:tcBorders>
            <w:shd w:val="clear" w:color="auto" w:fill="auto"/>
            <w:vAlign w:val="center"/>
          </w:tcPr>
          <w:p w14:paraId="1DDE32A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按照主体评级</w:t>
            </w:r>
            <w:r>
              <w:rPr>
                <w:rFonts w:hint="eastAsia" w:ascii="宋体" w:hAnsi="宋体" w:eastAsia="宋体" w:cs="宋体"/>
                <w:color w:val="000000"/>
                <w:kern w:val="0"/>
                <w:sz w:val="22"/>
                <w:lang w:eastAsia="zh-CN"/>
              </w:rPr>
              <w:t>响应报价</w:t>
            </w:r>
            <w:r>
              <w:rPr>
                <w:rFonts w:hint="eastAsia" w:ascii="宋体" w:hAnsi="宋体" w:eastAsia="宋体" w:cs="宋体"/>
                <w:color w:val="000000"/>
                <w:kern w:val="0"/>
                <w:sz w:val="22"/>
              </w:rPr>
              <w:t>由低到高的顺序排名：</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排名第1-3：得25分；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排名第4-6：得24分；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排名第7及之后得23分。</w:t>
            </w:r>
          </w:p>
        </w:tc>
      </w:tr>
      <w:tr w14:paraId="728333B5">
        <w:tblPrEx>
          <w:tblCellMar>
            <w:top w:w="0" w:type="dxa"/>
            <w:left w:w="108" w:type="dxa"/>
            <w:bottom w:w="0" w:type="dxa"/>
            <w:right w:w="108" w:type="dxa"/>
          </w:tblCellMar>
        </w:tblPrEx>
        <w:trPr>
          <w:trHeight w:val="1728" w:hRule="atLeast"/>
        </w:trPr>
        <w:tc>
          <w:tcPr>
            <w:tcW w:w="675" w:type="dxa"/>
            <w:tcBorders>
              <w:top w:val="nil"/>
              <w:left w:val="single" w:color="auto" w:sz="4" w:space="0"/>
              <w:bottom w:val="single" w:color="auto" w:sz="4" w:space="0"/>
              <w:right w:val="single" w:color="auto" w:sz="4" w:space="0"/>
            </w:tcBorders>
            <w:shd w:val="clear" w:color="auto" w:fill="auto"/>
            <w:vAlign w:val="center"/>
          </w:tcPr>
          <w:p w14:paraId="64D079A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w:t>
            </w:r>
          </w:p>
        </w:tc>
        <w:tc>
          <w:tcPr>
            <w:tcW w:w="1470" w:type="dxa"/>
            <w:tcBorders>
              <w:top w:val="nil"/>
              <w:left w:val="nil"/>
              <w:bottom w:val="single" w:color="auto" w:sz="4" w:space="0"/>
              <w:right w:val="single" w:color="auto" w:sz="4" w:space="0"/>
            </w:tcBorders>
            <w:shd w:val="clear" w:color="auto" w:fill="auto"/>
            <w:vAlign w:val="center"/>
          </w:tcPr>
          <w:p w14:paraId="3F74D66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商务部分（50分）</w:t>
            </w:r>
          </w:p>
        </w:tc>
        <w:tc>
          <w:tcPr>
            <w:tcW w:w="1470" w:type="dxa"/>
            <w:tcBorders>
              <w:top w:val="single" w:color="auto" w:sz="4" w:space="0"/>
              <w:left w:val="nil"/>
              <w:bottom w:val="single" w:color="auto" w:sz="4" w:space="0"/>
              <w:right w:val="single" w:color="auto" w:sz="4" w:space="0"/>
            </w:tcBorders>
            <w:shd w:val="clear" w:color="auto" w:fill="auto"/>
            <w:vAlign w:val="center"/>
          </w:tcPr>
          <w:p w14:paraId="5DC6F4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50分</w:t>
            </w:r>
          </w:p>
        </w:tc>
        <w:tc>
          <w:tcPr>
            <w:tcW w:w="5615" w:type="dxa"/>
            <w:tcBorders>
              <w:top w:val="nil"/>
              <w:left w:val="nil"/>
              <w:bottom w:val="single" w:color="auto" w:sz="4" w:space="0"/>
              <w:right w:val="single" w:color="auto" w:sz="4" w:space="0"/>
            </w:tcBorders>
            <w:shd w:val="clear" w:color="auto" w:fill="auto"/>
            <w:vAlign w:val="center"/>
          </w:tcPr>
          <w:p w14:paraId="2E8B95B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w:t>
            </w:r>
            <w:r>
              <w:rPr>
                <w:rFonts w:hint="eastAsia" w:ascii="Times New Roman" w:hAnsi="Times New Roman" w:eastAsia="宋体" w:cs="Cambria Math"/>
                <w:bCs/>
                <w:szCs w:val="18"/>
              </w:rPr>
              <w:t>2023年1月1日至2024年12月31日（以结果出具时间为准）</w:t>
            </w:r>
            <w:r>
              <w:rPr>
                <w:rFonts w:hint="eastAsia" w:ascii="宋体" w:hAnsi="宋体" w:eastAsia="宋体" w:cs="宋体"/>
                <w:color w:val="000000"/>
                <w:kern w:val="0"/>
                <w:sz w:val="22"/>
              </w:rPr>
              <w:t>为商业银行金融债信用评级的案例。（债券品种可以为普通金融债、无固定期限资本债、二级资本债等）。</w:t>
            </w:r>
            <w:r>
              <w:rPr>
                <w:rFonts w:hint="eastAsia" w:ascii="宋体" w:hAnsi="宋体" w:eastAsia="宋体" w:cs="宋体"/>
                <w:color w:val="000000"/>
                <w:kern w:val="0"/>
                <w:sz w:val="22"/>
              </w:rPr>
              <w:br w:type="textWrapping"/>
            </w:r>
            <w:r>
              <w:rPr>
                <w:rFonts w:ascii="Times New Roman" w:hAnsi="Times New Roman" w:eastAsia="宋体" w:cs="Cambria Math"/>
                <w:bCs/>
                <w:szCs w:val="18"/>
              </w:rPr>
              <w:t>其中，</w:t>
            </w:r>
            <w:r>
              <w:rPr>
                <w:rFonts w:hint="eastAsia" w:ascii="宋体" w:hAnsi="宋体" w:eastAsia="宋体" w:cs="宋体"/>
                <w:color w:val="000000"/>
                <w:kern w:val="0"/>
                <w:sz w:val="22"/>
              </w:rPr>
              <w:t>大于等于三例得50分，小于三例得0分。</w:t>
            </w:r>
          </w:p>
          <w:p w14:paraId="00C9DF2D">
            <w:pPr>
              <w:widowControl/>
              <w:jc w:val="left"/>
              <w:rPr>
                <w:rFonts w:ascii="宋体" w:hAnsi="宋体" w:eastAsia="宋体" w:cs="宋体"/>
                <w:color w:val="000000"/>
                <w:kern w:val="0"/>
                <w:sz w:val="22"/>
              </w:rPr>
            </w:pPr>
            <w:r>
              <w:rPr>
                <w:rFonts w:hint="eastAsia" w:ascii="Times New Roman" w:hAnsi="Times New Roman" w:eastAsia="宋体" w:cs="Cambria Math"/>
                <w:bCs/>
                <w:szCs w:val="18"/>
              </w:rPr>
              <w:t>【</w:t>
            </w:r>
            <w:r>
              <w:rPr>
                <w:rFonts w:ascii="Times New Roman" w:hAnsi="Times New Roman" w:eastAsia="宋体" w:cs="Cambria Math"/>
                <w:bCs/>
                <w:szCs w:val="18"/>
              </w:rPr>
              <w:t>提供：1、合同关键页（合同关键页包含：甲乙双方名称、双方印章、项目名称、合同签订时间、服务范围。）；2、项目简介（格式自拟）</w:t>
            </w:r>
            <w:r>
              <w:rPr>
                <w:rFonts w:hint="eastAsia" w:ascii="Times New Roman" w:hAnsi="Times New Roman" w:eastAsia="宋体" w:cs="Cambria Math"/>
                <w:bCs/>
                <w:szCs w:val="18"/>
              </w:rPr>
              <w:t>】</w:t>
            </w:r>
          </w:p>
        </w:tc>
      </w:tr>
    </w:tbl>
    <w:p w14:paraId="218A1FE9">
      <w:pPr>
        <w:autoSpaceDE w:val="0"/>
        <w:autoSpaceDN w:val="0"/>
        <w:spacing w:line="600" w:lineRule="exact"/>
        <w:outlineLvl w:val="1"/>
        <w:rPr>
          <w:rFonts w:ascii="Times New Roman" w:hAnsi="Times New Roman" w:eastAsia="宋体" w:cs="Times New Roman"/>
          <w:b/>
          <w:bCs/>
          <w:snapToGrid w:val="0"/>
          <w:szCs w:val="24"/>
        </w:rPr>
      </w:pPr>
      <w:r>
        <w:rPr>
          <w:rFonts w:hint="eastAsia" w:ascii="Times New Roman" w:hAnsi="Times New Roman" w:eastAsia="宋体" w:cs="Times New Roman"/>
          <w:b/>
          <w:bCs/>
          <w:snapToGrid w:val="0"/>
          <w:szCs w:val="24"/>
        </w:rPr>
        <w:t>1. 评审方法</w:t>
      </w:r>
    </w:p>
    <w:p w14:paraId="4DAFF12A">
      <w:pPr>
        <w:autoSpaceDE w:val="0"/>
        <w:autoSpaceDN w:val="0"/>
        <w:spacing w:line="360" w:lineRule="auto"/>
        <w:ind w:firstLine="420" w:firstLineChars="200"/>
        <w:rPr>
          <w:rFonts w:ascii="Times New Roman" w:hAnsi="Times New Roman" w:eastAsia="宋体" w:cs="Cambria Math"/>
          <w:bCs/>
          <w:szCs w:val="18"/>
        </w:rPr>
      </w:pPr>
      <w:bookmarkStart w:id="61" w:name="_Toc224103385"/>
      <w:bookmarkStart w:id="62" w:name="_Toc377115419"/>
      <w:bookmarkStart w:id="63" w:name="_Toc440022827"/>
      <w:bookmarkStart w:id="64" w:name="_Toc277082619"/>
      <w:bookmarkStart w:id="65" w:name="_Toc287607813"/>
      <w:bookmarkStart w:id="66" w:name="_Toc377067339"/>
      <w:bookmarkStart w:id="67" w:name="_Toc200513199"/>
      <w:bookmarkStart w:id="68" w:name="_Toc330569206"/>
      <w:bookmarkStart w:id="69" w:name="_Toc376114120"/>
      <w:bookmarkStart w:id="70" w:name="_Toc407195379"/>
      <w:bookmarkStart w:id="71" w:name="_Toc287620752"/>
      <w:r>
        <w:rPr>
          <w:rFonts w:hint="eastAsia" w:ascii="Times New Roman" w:hAnsi="Times New Roman" w:eastAsia="宋体" w:cs="Cambria Math"/>
          <w:bCs/>
          <w:szCs w:val="18"/>
        </w:rPr>
        <w:t>本次评审采用综合评估法。评审委员会按照本章第2.2 条规定的评分标准进行打分，按得分由高到低顺序推荐成交候选人，但响应报价低于其成本的除外。综合评分相等时，以</w:t>
      </w:r>
      <w:r>
        <w:rPr>
          <w:rFonts w:hint="eastAsia" w:ascii="宋体" w:hAnsi="宋体" w:eastAsia="宋体" w:cs="宋体"/>
          <w:color w:val="000000"/>
          <w:kern w:val="0"/>
          <w:sz w:val="22"/>
        </w:rPr>
        <w:t>债项评级包干价与</w:t>
      </w:r>
      <w:r>
        <w:rPr>
          <w:rFonts w:hint="eastAsia" w:ascii="Times New Roman" w:hAnsi="Times New Roman" w:eastAsia="宋体" w:cs="Cambria Math"/>
          <w:bCs/>
          <w:snapToGrid w:val="0"/>
          <w:kern w:val="0"/>
          <w:szCs w:val="18"/>
          <w:lang w:eastAsia="zh-CN"/>
        </w:rPr>
        <w:t>主体评级响应报价</w:t>
      </w:r>
      <w:r>
        <w:rPr>
          <w:rFonts w:hint="eastAsia" w:ascii="Times New Roman" w:hAnsi="Times New Roman" w:eastAsia="宋体" w:cs="Cambria Math"/>
          <w:bCs/>
          <w:snapToGrid w:val="0"/>
          <w:kern w:val="0"/>
          <w:szCs w:val="18"/>
        </w:rPr>
        <w:t>之和</w:t>
      </w:r>
      <w:r>
        <w:rPr>
          <w:rFonts w:hint="eastAsia" w:ascii="Times New Roman" w:hAnsi="Times New Roman" w:eastAsia="宋体" w:cs="Cambria Math"/>
          <w:bCs/>
          <w:szCs w:val="18"/>
        </w:rPr>
        <w:t>低的优先；</w:t>
      </w:r>
      <w:r>
        <w:rPr>
          <w:rFonts w:hint="eastAsia" w:ascii="宋体" w:hAnsi="宋体" w:eastAsia="宋体" w:cs="宋体"/>
          <w:color w:val="000000"/>
          <w:kern w:val="0"/>
          <w:sz w:val="22"/>
        </w:rPr>
        <w:t>报价之和</w:t>
      </w:r>
      <w:r>
        <w:rPr>
          <w:rFonts w:hint="eastAsia" w:ascii="Times New Roman" w:hAnsi="Times New Roman" w:eastAsia="宋体" w:cs="Cambria Math"/>
          <w:bCs/>
          <w:szCs w:val="18"/>
        </w:rPr>
        <w:t>也相等的，由评审委员会根据</w:t>
      </w:r>
      <w:r>
        <w:rPr>
          <w:rFonts w:hint="eastAsia" w:ascii="宋体" w:hAnsi="宋体" w:eastAsia="宋体" w:cs="宋体"/>
          <w:color w:val="000000"/>
          <w:kern w:val="0"/>
          <w:sz w:val="22"/>
        </w:rPr>
        <w:t>商业银行金融债信用评级案例</w:t>
      </w:r>
      <w:r>
        <w:rPr>
          <w:rFonts w:hint="eastAsia" w:ascii="Times New Roman" w:hAnsi="Times New Roman" w:eastAsia="宋体" w:cs="Cambria Math"/>
          <w:bCs/>
          <w:szCs w:val="18"/>
        </w:rPr>
        <w:t>由多到低原则排序。</w:t>
      </w:r>
    </w:p>
    <w:p w14:paraId="510D36AD">
      <w:pPr>
        <w:autoSpaceDE w:val="0"/>
        <w:autoSpaceDN w:val="0"/>
        <w:spacing w:line="600" w:lineRule="exact"/>
        <w:outlineLvl w:val="1"/>
        <w:rPr>
          <w:rFonts w:ascii="Times New Roman" w:hAnsi="Times New Roman" w:eastAsia="宋体" w:cs="Times New Roman"/>
          <w:b/>
          <w:bCs/>
          <w:snapToGrid w:val="0"/>
          <w:szCs w:val="24"/>
        </w:rPr>
      </w:pPr>
      <w:bookmarkStart w:id="72" w:name="_Toc5950"/>
      <w:bookmarkStart w:id="73" w:name="_Toc27406"/>
      <w:bookmarkStart w:id="74" w:name="_Toc2274"/>
      <w:bookmarkStart w:id="75" w:name="_Toc444155968"/>
      <w:bookmarkStart w:id="76" w:name="_Toc31615"/>
      <w:bookmarkStart w:id="77" w:name="_Toc27931"/>
      <w:bookmarkStart w:id="78" w:name="_Toc16716"/>
      <w:bookmarkStart w:id="79" w:name="_Toc765"/>
      <w:bookmarkStart w:id="80" w:name="_Toc23969"/>
      <w:r>
        <w:rPr>
          <w:rFonts w:hint="eastAsia" w:ascii="Times New Roman" w:hAnsi="Times New Roman" w:eastAsia="宋体" w:cs="Times New Roman"/>
          <w:b/>
          <w:bCs/>
          <w:snapToGrid w:val="0"/>
          <w:szCs w:val="24"/>
        </w:rPr>
        <w:t>2. 评审标准</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09666">
      <w:pPr>
        <w:autoSpaceDE w:val="0"/>
        <w:autoSpaceDN w:val="0"/>
        <w:spacing w:line="360" w:lineRule="auto"/>
        <w:ind w:firstLine="422" w:firstLineChars="200"/>
        <w:outlineLvl w:val="2"/>
        <w:rPr>
          <w:rFonts w:ascii="Times New Roman" w:hAnsi="Times New Roman" w:eastAsia="宋体" w:cs="Cambria Math"/>
          <w:b/>
          <w:bCs/>
          <w:szCs w:val="32"/>
        </w:rPr>
      </w:pPr>
      <w:bookmarkStart w:id="81" w:name="_Toc287620753"/>
      <w:bookmarkStart w:id="82" w:name="_Toc287607814"/>
      <w:bookmarkStart w:id="83" w:name="_Toc23425"/>
      <w:bookmarkStart w:id="84" w:name="_Toc21593"/>
      <w:bookmarkStart w:id="85" w:name="_Toc224103386"/>
      <w:bookmarkStart w:id="86" w:name="_Toc330569207"/>
      <w:bookmarkStart w:id="87" w:name="_Toc377115420"/>
      <w:bookmarkStart w:id="88" w:name="_Toc407195380"/>
      <w:bookmarkStart w:id="89" w:name="_Toc11839"/>
      <w:bookmarkStart w:id="90" w:name="_Toc377067340"/>
      <w:bookmarkStart w:id="91" w:name="_Toc7584"/>
      <w:bookmarkStart w:id="92" w:name="_Toc444155969"/>
      <w:bookmarkStart w:id="93" w:name="_Toc200513200"/>
      <w:bookmarkStart w:id="94" w:name="_Toc16537"/>
      <w:bookmarkStart w:id="95" w:name="_Toc440022828"/>
      <w:bookmarkStart w:id="96" w:name="_Toc376114121"/>
      <w:bookmarkStart w:id="97" w:name="_Toc10533"/>
      <w:bookmarkStart w:id="98" w:name="_Toc277082620"/>
      <w:bookmarkStart w:id="99" w:name="_Toc1358"/>
      <w:r>
        <w:rPr>
          <w:rFonts w:hint="eastAsia" w:ascii="Times New Roman" w:hAnsi="Times New Roman" w:eastAsia="宋体" w:cs="Cambria Math"/>
          <w:b/>
          <w:bCs/>
          <w:szCs w:val="32"/>
        </w:rPr>
        <w:t>2.1 初步评审标准</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54E7457A">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2.1.1 资格评审标准：见评审办法前附表。</w:t>
      </w:r>
    </w:p>
    <w:p w14:paraId="157E6A15">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2.1.2 形式评审标准：见评审办法前附表。</w:t>
      </w:r>
    </w:p>
    <w:p w14:paraId="6E256F81">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2.1.3 响应性评审标准：见评审办法前附表。</w:t>
      </w:r>
    </w:p>
    <w:p w14:paraId="6579F9DC">
      <w:pPr>
        <w:autoSpaceDE w:val="0"/>
        <w:autoSpaceDN w:val="0"/>
        <w:spacing w:line="360" w:lineRule="auto"/>
        <w:ind w:firstLine="422" w:firstLineChars="200"/>
        <w:outlineLvl w:val="2"/>
        <w:rPr>
          <w:rFonts w:ascii="Times New Roman" w:hAnsi="Times New Roman" w:eastAsia="宋体" w:cs="Cambria Math"/>
          <w:b/>
          <w:bCs/>
          <w:szCs w:val="32"/>
        </w:rPr>
      </w:pPr>
      <w:bookmarkStart w:id="100" w:name="_Toc444155970"/>
      <w:bookmarkStart w:id="101" w:name="_Toc2340"/>
      <w:bookmarkStart w:id="102" w:name="_Toc277082621"/>
      <w:bookmarkStart w:id="103" w:name="_Toc23296"/>
      <w:bookmarkStart w:id="104" w:name="_Toc25129"/>
      <w:bookmarkStart w:id="105" w:name="_Toc330569208"/>
      <w:bookmarkStart w:id="106" w:name="_Toc287607815"/>
      <w:bookmarkStart w:id="107" w:name="_Toc377067341"/>
      <w:bookmarkStart w:id="108" w:name="_Toc200513201"/>
      <w:bookmarkStart w:id="109" w:name="_Toc407195381"/>
      <w:bookmarkStart w:id="110" w:name="_Toc20840"/>
      <w:bookmarkStart w:id="111" w:name="_Toc224103387"/>
      <w:bookmarkStart w:id="112" w:name="_Toc287620754"/>
      <w:bookmarkStart w:id="113" w:name="_Toc377115421"/>
      <w:bookmarkStart w:id="114" w:name="_Toc376114122"/>
      <w:bookmarkStart w:id="115" w:name="_Toc9090"/>
      <w:bookmarkStart w:id="116" w:name="_Toc1387"/>
      <w:bookmarkStart w:id="117" w:name="_Toc6503"/>
      <w:bookmarkStart w:id="118" w:name="_Toc440022829"/>
      <w:r>
        <w:rPr>
          <w:rFonts w:hint="eastAsia" w:ascii="Times New Roman" w:hAnsi="Times New Roman" w:eastAsia="宋体" w:cs="Cambria Math"/>
          <w:b/>
          <w:bCs/>
          <w:szCs w:val="32"/>
        </w:rPr>
        <w:t>2.2 分值构成与评分标准</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B9BD6B7">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 xml:space="preserve">2.2.1 分值构成：见评审办法前附表。 </w:t>
      </w:r>
    </w:p>
    <w:p w14:paraId="6E6A6877">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2.2.2 评审基准价计算方法：见评审办法前附表。</w:t>
      </w:r>
    </w:p>
    <w:p w14:paraId="62D536C8">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2.2.3 评分标准： （1）响应报价评分标准：见评审办法前附表；</w:t>
      </w:r>
    </w:p>
    <w:p w14:paraId="1A191144">
      <w:pPr>
        <w:autoSpaceDE w:val="0"/>
        <w:autoSpaceDN w:val="0"/>
        <w:spacing w:line="360" w:lineRule="auto"/>
        <w:ind w:left="1680"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（2）商务部分评分标准：见评审办法前附表；</w:t>
      </w:r>
    </w:p>
    <w:p w14:paraId="6640F4D1">
      <w:pPr>
        <w:autoSpaceDE w:val="0"/>
        <w:autoSpaceDN w:val="0"/>
        <w:spacing w:line="360" w:lineRule="auto"/>
        <w:ind w:left="1680"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（3）技术部分评分标准：见评审办法前附表。</w:t>
      </w:r>
    </w:p>
    <w:p w14:paraId="09692DB0">
      <w:pPr>
        <w:autoSpaceDE w:val="0"/>
        <w:autoSpaceDN w:val="0"/>
        <w:spacing w:line="600" w:lineRule="exact"/>
        <w:outlineLvl w:val="1"/>
        <w:rPr>
          <w:rFonts w:ascii="Times New Roman" w:hAnsi="Times New Roman" w:eastAsia="宋体" w:cs="Times New Roman"/>
          <w:b/>
          <w:bCs/>
          <w:snapToGrid w:val="0"/>
          <w:szCs w:val="24"/>
        </w:rPr>
      </w:pPr>
      <w:bookmarkStart w:id="119" w:name="_Toc376114123"/>
      <w:bookmarkStart w:id="120" w:name="_Toc200513202"/>
      <w:bookmarkStart w:id="121" w:name="_Toc8004"/>
      <w:bookmarkStart w:id="122" w:name="_Toc330569209"/>
      <w:bookmarkStart w:id="123" w:name="_Toc224103388"/>
      <w:bookmarkStart w:id="124" w:name="_Toc377115422"/>
      <w:bookmarkStart w:id="125" w:name="_Toc9488"/>
      <w:bookmarkStart w:id="126" w:name="_Toc5546"/>
      <w:bookmarkStart w:id="127" w:name="_Toc2982"/>
      <w:bookmarkStart w:id="128" w:name="_Toc14353"/>
      <w:bookmarkStart w:id="129" w:name="_Toc287620755"/>
      <w:bookmarkStart w:id="130" w:name="_Toc444155971"/>
      <w:bookmarkStart w:id="131" w:name="_Toc287607816"/>
      <w:bookmarkStart w:id="132" w:name="_Toc277082622"/>
      <w:bookmarkStart w:id="133" w:name="_Toc12538"/>
      <w:bookmarkStart w:id="134" w:name="_Toc440022830"/>
      <w:bookmarkStart w:id="135" w:name="_Toc23633"/>
      <w:bookmarkStart w:id="136" w:name="_Toc15132"/>
      <w:bookmarkStart w:id="137" w:name="_Toc407195382"/>
      <w:bookmarkStart w:id="138" w:name="_Toc377067342"/>
      <w:r>
        <w:rPr>
          <w:rFonts w:hint="eastAsia" w:ascii="Times New Roman" w:hAnsi="Times New Roman" w:eastAsia="宋体" w:cs="Times New Roman"/>
          <w:b/>
          <w:bCs/>
          <w:snapToGrid w:val="0"/>
          <w:szCs w:val="24"/>
        </w:rPr>
        <w:t>3. 评审程序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7BEC841F">
      <w:pPr>
        <w:autoSpaceDE w:val="0"/>
        <w:autoSpaceDN w:val="0"/>
        <w:spacing w:line="360" w:lineRule="auto"/>
        <w:ind w:firstLine="422" w:firstLineChars="200"/>
        <w:outlineLvl w:val="2"/>
        <w:rPr>
          <w:rFonts w:ascii="Times New Roman" w:hAnsi="Times New Roman" w:eastAsia="宋体" w:cs="Cambria Math"/>
          <w:b/>
          <w:bCs/>
          <w:szCs w:val="32"/>
        </w:rPr>
      </w:pPr>
      <w:bookmarkStart w:id="139" w:name="_Toc330569210"/>
      <w:bookmarkStart w:id="140" w:name="_Toc200513203"/>
      <w:bookmarkStart w:id="141" w:name="_Toc224103389"/>
      <w:bookmarkStart w:id="142" w:name="_Toc376114124"/>
      <w:bookmarkStart w:id="143" w:name="_Toc440022831"/>
      <w:bookmarkStart w:id="144" w:name="_Toc287607817"/>
      <w:bookmarkStart w:id="145" w:name="_Toc9683"/>
      <w:bookmarkStart w:id="146" w:name="_Toc6448"/>
      <w:bookmarkStart w:id="147" w:name="_Toc5462"/>
      <w:bookmarkStart w:id="148" w:name="_Toc22279"/>
      <w:bookmarkStart w:id="149" w:name="_Toc444155972"/>
      <w:bookmarkStart w:id="150" w:name="_Toc377067343"/>
      <w:bookmarkStart w:id="151" w:name="_Toc32002"/>
      <w:bookmarkStart w:id="152" w:name="_Toc19840"/>
      <w:bookmarkStart w:id="153" w:name="_Toc277082623"/>
      <w:bookmarkStart w:id="154" w:name="_Toc287620756"/>
      <w:bookmarkStart w:id="155" w:name="_Toc377115423"/>
      <w:bookmarkStart w:id="156" w:name="_Toc13851"/>
      <w:bookmarkStart w:id="157" w:name="_Toc407195383"/>
      <w:r>
        <w:rPr>
          <w:rFonts w:hint="eastAsia" w:ascii="Times New Roman" w:hAnsi="Times New Roman" w:eastAsia="宋体" w:cs="Cambria Math"/>
          <w:b/>
          <w:bCs/>
          <w:szCs w:val="32"/>
        </w:rPr>
        <w:t>3.1 初步评审</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2D77C799">
      <w:pPr>
        <w:autoSpaceDE w:val="0"/>
        <w:autoSpaceDN w:val="0"/>
        <w:spacing w:line="360" w:lineRule="auto"/>
        <w:ind w:firstLine="420" w:firstLineChars="200"/>
        <w:rPr>
          <w:rFonts w:ascii="Times New Roman" w:hAnsi="Times New Roman" w:eastAsia="宋体" w:cs="Cambria Math"/>
          <w:bCs/>
          <w:szCs w:val="18"/>
        </w:rPr>
      </w:pPr>
      <w:bookmarkStart w:id="158" w:name="_Toc356243677"/>
      <w:bookmarkStart w:id="159" w:name="_Toc354387014"/>
      <w:bookmarkStart w:id="160" w:name="_Toc377067344"/>
      <w:bookmarkStart w:id="161" w:name="_Toc373172234"/>
      <w:bookmarkStart w:id="162" w:name="_Toc332380970"/>
      <w:bookmarkStart w:id="163" w:name="_Toc377115424"/>
      <w:bookmarkStart w:id="164" w:name="_Toc332028970"/>
      <w:bookmarkStart w:id="165" w:name="_Toc373264792"/>
      <w:bookmarkStart w:id="166" w:name="_Toc27164"/>
      <w:bookmarkStart w:id="167" w:name="_Toc444155973"/>
      <w:bookmarkStart w:id="168" w:name="_Toc376114125"/>
      <w:bookmarkStart w:id="169" w:name="_Toc407195384"/>
      <w:bookmarkStart w:id="170" w:name="_Toc331232467"/>
      <w:bookmarkStart w:id="171" w:name="_Toc331232649"/>
      <w:bookmarkStart w:id="172" w:name="_Toc440022832"/>
      <w:bookmarkStart w:id="173" w:name="_Toc334002333"/>
      <w:bookmarkStart w:id="174" w:name="_Toc330569211"/>
      <w:bookmarkStart w:id="175" w:name="_Toc356484119"/>
      <w:bookmarkStart w:id="176" w:name="_Toc332015984"/>
      <w:r>
        <w:rPr>
          <w:rFonts w:hint="eastAsia" w:ascii="Times New Roman" w:hAnsi="Times New Roman" w:eastAsia="宋体" w:cs="Cambria Math"/>
          <w:bCs/>
          <w:szCs w:val="18"/>
        </w:rPr>
        <w:t>3.1.1 评审委员会依据本章第2.1 条规定的标准对响应文件进行初步评审。有一项不符合评审标准的，作否决响应处理。</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A44CB9C">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3.1.2 响应人有以下情形之一的，其响应作否决响应处理：</w:t>
      </w:r>
    </w:p>
    <w:p w14:paraId="47CD613B">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3.1.2.1 有第二章“响应人须知”第9.条以及第11. 条规定的任何一种情形的；</w:t>
      </w:r>
    </w:p>
    <w:p w14:paraId="28DE1097">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3.1.2.2 有串通响应、弄虚作假等其他违反相关法律、法规行为的；</w:t>
      </w:r>
    </w:p>
    <w:p w14:paraId="3237E676">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3.1.2.3 不按评审委员会要求澄清、说明或补正的。</w:t>
      </w:r>
    </w:p>
    <w:p w14:paraId="588954E2">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3.1.2.4 本响应文件约定的其它情形。</w:t>
      </w:r>
    </w:p>
    <w:p w14:paraId="7F6DE5BE">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3.1.3 响应报价有算术错误的，评审委员会按以下原则对响应报价进行修正，修正的价格经响应人书面确认后具有约束力。响应人不接受修正价格的，其响应作否决响应处理。修正原则见</w:t>
      </w:r>
      <w:r>
        <w:rPr>
          <w:rFonts w:ascii="Times New Roman" w:hAnsi="Times New Roman" w:eastAsia="宋体" w:cs="Cambria Math"/>
          <w:bCs/>
          <w:szCs w:val="18"/>
        </w:rPr>
        <w:t>第二章“</w:t>
      </w:r>
      <w:r>
        <w:rPr>
          <w:rFonts w:hint="eastAsia" w:ascii="Times New Roman" w:hAnsi="Times New Roman" w:eastAsia="宋体" w:cs="Cambria Math"/>
          <w:bCs/>
          <w:szCs w:val="18"/>
        </w:rPr>
        <w:t>响应人</w:t>
      </w:r>
      <w:r>
        <w:rPr>
          <w:rFonts w:ascii="Times New Roman" w:hAnsi="Times New Roman" w:eastAsia="宋体" w:cs="Cambria Math"/>
          <w:bCs/>
          <w:szCs w:val="18"/>
        </w:rPr>
        <w:t>须知”第</w:t>
      </w:r>
      <w:r>
        <w:rPr>
          <w:rFonts w:hint="eastAsia" w:ascii="Times New Roman" w:hAnsi="Times New Roman" w:eastAsia="宋体" w:cs="Cambria Math"/>
          <w:bCs/>
          <w:szCs w:val="18"/>
        </w:rPr>
        <w:t>4.9 条。</w:t>
      </w:r>
    </w:p>
    <w:p w14:paraId="41AD0F95">
      <w:pPr>
        <w:autoSpaceDE w:val="0"/>
        <w:autoSpaceDN w:val="0"/>
        <w:spacing w:line="360" w:lineRule="auto"/>
        <w:ind w:firstLine="422" w:firstLineChars="200"/>
        <w:outlineLvl w:val="2"/>
        <w:rPr>
          <w:rFonts w:ascii="Times New Roman" w:hAnsi="Times New Roman" w:eastAsia="宋体" w:cs="Cambria Math"/>
          <w:b/>
          <w:bCs/>
          <w:szCs w:val="32"/>
        </w:rPr>
      </w:pPr>
      <w:bookmarkStart w:id="177" w:name="_Toc330569212"/>
      <w:bookmarkStart w:id="178" w:name="_Toc377067345"/>
      <w:bookmarkStart w:id="179" w:name="_Toc22246"/>
      <w:bookmarkStart w:id="180" w:name="_Toc407195385"/>
      <w:bookmarkStart w:id="181" w:name="_Toc200513204"/>
      <w:bookmarkStart w:id="182" w:name="_Toc287607818"/>
      <w:bookmarkStart w:id="183" w:name="_Toc19604"/>
      <w:bookmarkStart w:id="184" w:name="_Toc224103390"/>
      <w:bookmarkStart w:id="185" w:name="_Toc376114126"/>
      <w:bookmarkStart w:id="186" w:name="_Toc29925"/>
      <w:bookmarkStart w:id="187" w:name="_Toc10847"/>
      <w:bookmarkStart w:id="188" w:name="_Toc11246"/>
      <w:bookmarkStart w:id="189" w:name="_Toc7832"/>
      <w:bookmarkStart w:id="190" w:name="_Toc377115425"/>
      <w:bookmarkStart w:id="191" w:name="_Toc277082624"/>
      <w:bookmarkStart w:id="192" w:name="_Toc444155974"/>
      <w:bookmarkStart w:id="193" w:name="_Toc22848"/>
      <w:bookmarkStart w:id="194" w:name="_Toc287620757"/>
      <w:bookmarkStart w:id="195" w:name="_Toc440022833"/>
      <w:r>
        <w:rPr>
          <w:rFonts w:hint="eastAsia" w:ascii="Times New Roman" w:hAnsi="Times New Roman" w:eastAsia="宋体" w:cs="Cambria Math"/>
          <w:b/>
          <w:bCs/>
          <w:szCs w:val="32"/>
        </w:rPr>
        <w:t>3.2 详细评审</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BC16007">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3.2.1 评审委员会按本章第2.2 条规定的量化因素和分值进行打分，并计算出综合评估得分。</w:t>
      </w:r>
    </w:p>
    <w:p w14:paraId="38D026BF">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3.2.1.1 按本章第2.2 条规定的评审因素和分值对响应报价计算出得分；</w:t>
      </w:r>
    </w:p>
    <w:p w14:paraId="15CD71FA">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3.2.1.2 按本章第2.2 条规定的评审因素和分值对商务部分计算出得分（评审委员会统一打分）；</w:t>
      </w:r>
    </w:p>
    <w:p w14:paraId="1CA448FB">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3.2.2 评分分值计算保留小数点后两位，小数点后第三位“四舍五入”。</w:t>
      </w:r>
    </w:p>
    <w:p w14:paraId="2A44AE2F">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3.2.3 响应人得分=响应报价得分+商务部分得分+技术部分得分。</w:t>
      </w:r>
    </w:p>
    <w:p w14:paraId="7A842ED6">
      <w:pPr>
        <w:autoSpaceDE w:val="0"/>
        <w:autoSpaceDN w:val="0"/>
        <w:spacing w:line="360" w:lineRule="auto"/>
        <w:ind w:firstLine="422" w:firstLineChars="200"/>
        <w:outlineLvl w:val="2"/>
        <w:rPr>
          <w:rFonts w:ascii="Times New Roman" w:hAnsi="Times New Roman" w:eastAsia="宋体" w:cs="Cambria Math"/>
          <w:b/>
          <w:bCs/>
          <w:szCs w:val="32"/>
        </w:rPr>
      </w:pPr>
      <w:bookmarkStart w:id="196" w:name="_Toc287607819"/>
      <w:bookmarkStart w:id="197" w:name="_Toc440022834"/>
      <w:bookmarkStart w:id="198" w:name="_Toc7176"/>
      <w:bookmarkStart w:id="199" w:name="_Toc377067346"/>
      <w:bookmarkStart w:id="200" w:name="_Toc18708"/>
      <w:bookmarkStart w:id="201" w:name="_Toc32039"/>
      <w:bookmarkStart w:id="202" w:name="_Toc407195386"/>
      <w:bookmarkStart w:id="203" w:name="_Toc20948"/>
      <w:bookmarkStart w:id="204" w:name="_Toc287620758"/>
      <w:bookmarkStart w:id="205" w:name="_Toc277082625"/>
      <w:bookmarkStart w:id="206" w:name="_Toc29261"/>
      <w:bookmarkStart w:id="207" w:name="_Toc330569213"/>
      <w:bookmarkStart w:id="208" w:name="_Toc444155975"/>
      <w:bookmarkStart w:id="209" w:name="_Toc376114127"/>
      <w:bookmarkStart w:id="210" w:name="_Toc377115426"/>
      <w:bookmarkStart w:id="211" w:name="_Toc2542"/>
      <w:bookmarkStart w:id="212" w:name="_Toc1080"/>
      <w:bookmarkStart w:id="213" w:name="_Toc224103391"/>
      <w:bookmarkStart w:id="214" w:name="_Toc200513205"/>
      <w:r>
        <w:rPr>
          <w:rFonts w:hint="eastAsia" w:ascii="Times New Roman" w:hAnsi="Times New Roman" w:eastAsia="宋体" w:cs="Cambria Math"/>
          <w:b/>
          <w:bCs/>
          <w:szCs w:val="32"/>
        </w:rPr>
        <w:t>3.3 响应文件的澄清和补正</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4BAB351A">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3.3.1 在评审过程中，评审委员会可以书面形式要求响应人对所提交响应文件中不明确的内容进行书面澄清或说明，或者对细微偏差进行补正。评审委员会不接受响应人主动提出的澄清、说明或补正。</w:t>
      </w:r>
    </w:p>
    <w:p w14:paraId="7F95BFF2">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3.3.2 澄清、说明和补正不得改变响应文件的实质性内容（算术性错误修正的除外）。响应人的书面澄清、说明和补正属于响应文件的组成部分。</w:t>
      </w:r>
    </w:p>
    <w:p w14:paraId="0F234975">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3.3.3 评审委员会对响应人提交的澄清、说明或补正有疑问的，可以要求响应人进一步澄清、说明或补正，直至满足评审委员会的要求。</w:t>
      </w:r>
    </w:p>
    <w:p w14:paraId="133441F6">
      <w:pPr>
        <w:autoSpaceDE w:val="0"/>
        <w:autoSpaceDN w:val="0"/>
        <w:spacing w:line="360" w:lineRule="auto"/>
        <w:ind w:firstLine="422" w:firstLineChars="200"/>
        <w:outlineLvl w:val="2"/>
        <w:rPr>
          <w:rFonts w:ascii="Times New Roman" w:hAnsi="Times New Roman" w:eastAsia="宋体" w:cs="Cambria Math"/>
          <w:b/>
          <w:bCs/>
          <w:szCs w:val="32"/>
        </w:rPr>
      </w:pPr>
      <w:bookmarkStart w:id="215" w:name="_Toc440022835"/>
      <w:bookmarkStart w:id="216" w:name="_Toc287620759"/>
      <w:bookmarkStart w:id="217" w:name="_Toc30672"/>
      <w:bookmarkStart w:id="218" w:name="_Toc376114128"/>
      <w:bookmarkStart w:id="219" w:name="_Toc224103392"/>
      <w:bookmarkStart w:id="220" w:name="_Toc6310"/>
      <w:bookmarkStart w:id="221" w:name="_Toc277082626"/>
      <w:bookmarkStart w:id="222" w:name="_Toc21450"/>
      <w:bookmarkStart w:id="223" w:name="_Toc200513206"/>
      <w:bookmarkStart w:id="224" w:name="_Toc444155976"/>
      <w:bookmarkStart w:id="225" w:name="_Toc287607820"/>
      <w:bookmarkStart w:id="226" w:name="_Toc330569214"/>
      <w:bookmarkStart w:id="227" w:name="_Toc19054"/>
      <w:bookmarkStart w:id="228" w:name="_Toc407195387"/>
      <w:bookmarkStart w:id="229" w:name="_Toc14840"/>
      <w:bookmarkStart w:id="230" w:name="_Toc377115427"/>
      <w:bookmarkStart w:id="231" w:name="_Toc31270"/>
      <w:bookmarkStart w:id="232" w:name="_Toc4814"/>
      <w:bookmarkStart w:id="233" w:name="_Toc377067347"/>
      <w:r>
        <w:rPr>
          <w:rFonts w:hint="eastAsia" w:ascii="Times New Roman" w:hAnsi="Times New Roman" w:eastAsia="宋体" w:cs="Cambria Math"/>
          <w:b/>
          <w:bCs/>
          <w:szCs w:val="32"/>
        </w:rPr>
        <w:t>3.4 评审结果</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3995111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3.4.1 评审委员会按照得分由高到低的顺序推荐成交候选人。</w:t>
      </w:r>
    </w:p>
    <w:p w14:paraId="57B0EE7B">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3.4.2 评审委员会完成评审后，应当向采购人提交书面评审报告。</w:t>
      </w:r>
    </w:p>
    <w:p w14:paraId="2D4F1D89">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3.4.3 有效响应不足三个的，经评审委员会判定，响应人具有相对行业竞争力的，可继续进行评审并确定成交候选人。</w:t>
      </w:r>
    </w:p>
    <w:p w14:paraId="59C52CFD">
      <w:pPr>
        <w:autoSpaceDE w:val="0"/>
        <w:autoSpaceDN w:val="0"/>
        <w:spacing w:line="360" w:lineRule="auto"/>
        <w:ind w:firstLine="422" w:firstLineChars="200"/>
        <w:outlineLvl w:val="2"/>
        <w:rPr>
          <w:rFonts w:ascii="Times New Roman" w:hAnsi="Times New Roman" w:eastAsia="宋体" w:cs="Cambria Math"/>
          <w:b/>
          <w:bCs/>
          <w:szCs w:val="32"/>
        </w:rPr>
      </w:pPr>
      <w:r>
        <w:rPr>
          <w:rFonts w:hint="eastAsia" w:ascii="Times New Roman" w:hAnsi="Times New Roman" w:eastAsia="宋体" w:cs="Cambria Math"/>
          <w:b/>
          <w:bCs/>
          <w:szCs w:val="32"/>
        </w:rPr>
        <w:t>3.5 对评审委员会成员的纪律要求</w:t>
      </w:r>
    </w:p>
    <w:p w14:paraId="61CAFCE3">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评审委员会成员不得收受他人的财物或者其它好处，不得向他人透露对响应文件的评审和比较、成交候选人的推荐情况以及评审有关的其他情况。在评审活动中，评审委员会成员不得擅离职守，影响评审程序正常进行，不得使用本询比文件没有规定的评审因素进行评审。</w:t>
      </w:r>
    </w:p>
    <w:p w14:paraId="01CCE558">
      <w:pPr>
        <w:autoSpaceDE w:val="0"/>
        <w:autoSpaceDN w:val="0"/>
        <w:spacing w:line="360" w:lineRule="auto"/>
        <w:ind w:firstLine="422" w:firstLineChars="200"/>
        <w:outlineLvl w:val="2"/>
        <w:rPr>
          <w:rFonts w:ascii="Times New Roman" w:hAnsi="Times New Roman" w:eastAsia="宋体" w:cs="Cambria Math"/>
          <w:b/>
          <w:bCs/>
          <w:szCs w:val="32"/>
        </w:rPr>
      </w:pPr>
      <w:r>
        <w:rPr>
          <w:rFonts w:hint="eastAsia" w:ascii="Times New Roman" w:hAnsi="Times New Roman" w:eastAsia="宋体" w:cs="Cambria Math"/>
          <w:b/>
          <w:bCs/>
          <w:szCs w:val="32"/>
        </w:rPr>
        <w:t>3.6 对与评审活动有关的工作人员的纪律要求</w:t>
      </w:r>
    </w:p>
    <w:p w14:paraId="2187484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63A58AAE">
      <w:pPr>
        <w:autoSpaceDE w:val="0"/>
        <w:autoSpaceDN w:val="0"/>
        <w:spacing w:line="360" w:lineRule="auto"/>
        <w:ind w:firstLine="420" w:firstLineChars="200"/>
        <w:rPr>
          <w:rFonts w:ascii="Times New Roman" w:hAnsi="Times New Roman" w:eastAsia="宋体" w:cs="Cambria Math"/>
          <w:bCs/>
          <w:szCs w:val="18"/>
        </w:rPr>
      </w:pPr>
    </w:p>
    <w:p w14:paraId="2E8E6149">
      <w:pPr>
        <w:autoSpaceDE w:val="0"/>
        <w:autoSpaceDN w:val="0"/>
        <w:spacing w:line="360" w:lineRule="auto"/>
        <w:ind w:firstLine="420" w:firstLineChars="200"/>
        <w:rPr>
          <w:rFonts w:ascii="Times New Roman" w:hAnsi="Times New Roman" w:eastAsia="宋体" w:cs="Cambria Math"/>
          <w:bCs/>
          <w:szCs w:val="18"/>
        </w:rPr>
        <w:sectPr>
          <w:pgSz w:w="11906" w:h="16838"/>
          <w:pgMar w:top="1440" w:right="1800" w:bottom="1440" w:left="1800" w:header="851" w:footer="992" w:gutter="0"/>
          <w:cols w:space="720" w:num="1"/>
          <w:docGrid w:type="lines" w:linePitch="312" w:charSpace="0"/>
        </w:sectPr>
      </w:pPr>
    </w:p>
    <w:bookmarkEnd w:id="59"/>
    <w:bookmarkEnd w:id="60"/>
    <w:p w14:paraId="6ACFD809">
      <w:pPr>
        <w:tabs>
          <w:tab w:val="left" w:pos="3360"/>
        </w:tabs>
        <w:autoSpaceDE w:val="0"/>
        <w:autoSpaceDN w:val="0"/>
        <w:snapToGrid w:val="0"/>
        <w:spacing w:line="600" w:lineRule="exact"/>
        <w:jc w:val="center"/>
        <w:outlineLvl w:val="0"/>
        <w:rPr>
          <w:rFonts w:ascii="Times New Roman" w:hAnsi="Times New Roman" w:eastAsia="宋体" w:cs="等线 Light"/>
          <w:b/>
          <w:bCs/>
          <w:snapToGrid w:val="0"/>
          <w:kern w:val="0"/>
          <w:sz w:val="44"/>
          <w:szCs w:val="44"/>
        </w:rPr>
      </w:pPr>
      <w:bookmarkStart w:id="234" w:name="_Toc16606"/>
      <w:bookmarkStart w:id="235" w:name="_Toc150953074"/>
      <w:bookmarkStart w:id="236" w:name="_Toc27619"/>
      <w:bookmarkStart w:id="237" w:name="_Toc89675170"/>
      <w:bookmarkStart w:id="238" w:name="_Toc303066034"/>
      <w:r>
        <w:rPr>
          <w:rFonts w:hint="eastAsia" w:ascii="Times New Roman" w:hAnsi="Times New Roman" w:eastAsia="宋体" w:cs="等线 Light"/>
          <w:b/>
          <w:bCs/>
          <w:snapToGrid w:val="0"/>
          <w:kern w:val="0"/>
          <w:sz w:val="44"/>
          <w:szCs w:val="44"/>
        </w:rPr>
        <w:t>第五章 合同</w:t>
      </w:r>
      <w:r>
        <w:rPr>
          <w:rFonts w:ascii="Times New Roman" w:hAnsi="Times New Roman" w:eastAsia="宋体" w:cs="等线 Light"/>
          <w:b/>
          <w:bCs/>
          <w:snapToGrid w:val="0"/>
          <w:kern w:val="0"/>
          <w:sz w:val="44"/>
          <w:szCs w:val="44"/>
        </w:rPr>
        <w:t>模板</w:t>
      </w:r>
      <w:bookmarkEnd w:id="234"/>
      <w:bookmarkEnd w:id="235"/>
      <w:bookmarkEnd w:id="236"/>
    </w:p>
    <w:p w14:paraId="7D5BB6E4">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（本章节的合同条款及格式仅供参考，具体以合同签订时为准）</w:t>
      </w:r>
    </w:p>
    <w:p w14:paraId="01F672D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br w:type="page"/>
      </w:r>
    </w:p>
    <w:p w14:paraId="0888EF56">
      <w:pPr>
        <w:tabs>
          <w:tab w:val="left" w:pos="3360"/>
        </w:tabs>
        <w:autoSpaceDE w:val="0"/>
        <w:autoSpaceDN w:val="0"/>
        <w:snapToGrid w:val="0"/>
        <w:spacing w:line="600" w:lineRule="exact"/>
        <w:jc w:val="center"/>
        <w:outlineLvl w:val="0"/>
        <w:rPr>
          <w:rFonts w:ascii="Times New Roman" w:hAnsi="Times New Roman" w:eastAsia="宋体" w:cs="等线 Light"/>
          <w:b/>
          <w:bCs/>
          <w:snapToGrid w:val="0"/>
          <w:kern w:val="0"/>
          <w:sz w:val="44"/>
          <w:szCs w:val="44"/>
        </w:rPr>
      </w:pPr>
      <w:bookmarkStart w:id="239" w:name="_Toc19504"/>
      <w:bookmarkStart w:id="240" w:name="_Toc6739"/>
      <w:r>
        <w:rPr>
          <w:rFonts w:hint="eastAsia" w:ascii="Times New Roman" w:hAnsi="Times New Roman" w:eastAsia="宋体" w:cs="等线 Light"/>
          <w:b/>
          <w:bCs/>
          <w:snapToGrid w:val="0"/>
          <w:kern w:val="0"/>
          <w:sz w:val="44"/>
          <w:szCs w:val="44"/>
        </w:rPr>
        <w:t xml:space="preserve">第六章 </w:t>
      </w:r>
      <w:bookmarkEnd w:id="237"/>
      <w:bookmarkEnd w:id="238"/>
      <w:bookmarkStart w:id="241" w:name="_Toc303066035"/>
      <w:r>
        <w:rPr>
          <w:rFonts w:hint="eastAsia" w:ascii="Times New Roman" w:hAnsi="Times New Roman" w:eastAsia="宋体" w:cs="等线 Light"/>
          <w:b/>
          <w:bCs/>
          <w:snapToGrid w:val="0"/>
          <w:kern w:val="0"/>
          <w:sz w:val="44"/>
          <w:szCs w:val="44"/>
        </w:rPr>
        <w:t>响应文件格式</w:t>
      </w:r>
      <w:bookmarkEnd w:id="239"/>
      <w:bookmarkEnd w:id="240"/>
    </w:p>
    <w:bookmarkEnd w:id="241"/>
    <w:p w14:paraId="73A773E7">
      <w:pPr>
        <w:autoSpaceDE w:val="0"/>
        <w:autoSpaceDN w:val="0"/>
        <w:spacing w:line="360" w:lineRule="auto"/>
        <w:ind w:firstLine="420" w:firstLineChars="200"/>
        <w:rPr>
          <w:rFonts w:ascii="Times New Roman" w:hAnsi="Times New Roman" w:eastAsia="宋体" w:cs="Cambria Math"/>
          <w:bCs/>
          <w:kern w:val="0"/>
          <w:szCs w:val="18"/>
        </w:rPr>
      </w:pPr>
    </w:p>
    <w:p w14:paraId="4DF3F683">
      <w:pPr>
        <w:autoSpaceDE w:val="0"/>
        <w:autoSpaceDN w:val="0"/>
        <w:spacing w:line="360" w:lineRule="auto"/>
        <w:ind w:firstLine="420" w:firstLineChars="200"/>
        <w:rPr>
          <w:rFonts w:ascii="Times New Roman" w:hAnsi="Times New Roman" w:eastAsia="宋体" w:cs="Cambria Math"/>
          <w:bCs/>
          <w:kern w:val="0"/>
          <w:szCs w:val="18"/>
        </w:rPr>
      </w:pPr>
    </w:p>
    <w:p w14:paraId="00ABAA46">
      <w:pPr>
        <w:autoSpaceDE w:val="0"/>
        <w:autoSpaceDN w:val="0"/>
        <w:spacing w:line="360" w:lineRule="auto"/>
        <w:ind w:firstLine="420" w:firstLineChars="200"/>
        <w:rPr>
          <w:rFonts w:ascii="Times New Roman" w:hAnsi="Times New Roman" w:eastAsia="宋体" w:cs="Cambria Math"/>
          <w:bCs/>
          <w:kern w:val="0"/>
          <w:szCs w:val="18"/>
        </w:rPr>
      </w:pPr>
    </w:p>
    <w:p w14:paraId="1871691A">
      <w:pPr>
        <w:autoSpaceDE w:val="0"/>
        <w:autoSpaceDN w:val="0"/>
        <w:spacing w:line="360" w:lineRule="auto"/>
        <w:jc w:val="center"/>
        <w:rPr>
          <w:rFonts w:ascii="Times New Roman" w:hAnsi="Times New Roman" w:eastAsia="宋体" w:cs="Times New Roman"/>
          <w:b/>
          <w:bCs/>
          <w:snapToGrid w:val="0"/>
          <w:kern w:val="0"/>
          <w:sz w:val="48"/>
          <w:szCs w:val="84"/>
        </w:rPr>
      </w:pPr>
      <w:r>
        <w:rPr>
          <w:rFonts w:ascii="Times New Roman" w:hAnsi="Times New Roman" w:eastAsia="宋体" w:cs="Times New Roman"/>
          <w:b/>
          <w:bCs/>
          <w:snapToGrid w:val="0"/>
          <w:kern w:val="0"/>
          <w:sz w:val="48"/>
          <w:szCs w:val="84"/>
        </w:rPr>
        <w:t>重庆三峡银行</w:t>
      </w:r>
    </w:p>
    <w:p w14:paraId="6E387A2D">
      <w:pPr>
        <w:autoSpaceDE w:val="0"/>
        <w:autoSpaceDN w:val="0"/>
        <w:spacing w:line="360" w:lineRule="auto"/>
        <w:jc w:val="center"/>
        <w:rPr>
          <w:rFonts w:ascii="Times New Roman" w:hAnsi="Times New Roman" w:eastAsia="宋体" w:cs="Times New Roman"/>
          <w:b/>
          <w:bCs/>
          <w:snapToGrid w:val="0"/>
          <w:kern w:val="0"/>
          <w:sz w:val="48"/>
          <w:szCs w:val="84"/>
        </w:rPr>
      </w:pPr>
      <w:r>
        <w:rPr>
          <w:rFonts w:ascii="Times New Roman" w:hAnsi="Times New Roman" w:eastAsia="宋体" w:cs="Times New Roman"/>
          <w:b/>
          <w:bCs/>
          <w:snapToGrid w:val="0"/>
          <w:kern w:val="0"/>
          <w:sz w:val="48"/>
          <w:szCs w:val="84"/>
        </w:rPr>
        <w:t>金融债券评级机构入围项目</w:t>
      </w:r>
    </w:p>
    <w:p w14:paraId="06E3826F">
      <w:pPr>
        <w:autoSpaceDE w:val="0"/>
        <w:autoSpaceDN w:val="0"/>
        <w:spacing w:line="360" w:lineRule="auto"/>
        <w:jc w:val="center"/>
        <w:rPr>
          <w:rFonts w:ascii="Times New Roman" w:hAnsi="Times New Roman" w:eastAsia="宋体" w:cs="Times New Roman"/>
          <w:b/>
          <w:bCs/>
          <w:snapToGrid w:val="0"/>
          <w:kern w:val="0"/>
          <w:sz w:val="48"/>
          <w:szCs w:val="84"/>
          <w:highlight w:val="cyan"/>
        </w:rPr>
      </w:pPr>
    </w:p>
    <w:p w14:paraId="3DA3DC08">
      <w:pPr>
        <w:autoSpaceDE w:val="0"/>
        <w:autoSpaceDN w:val="0"/>
        <w:spacing w:line="360" w:lineRule="auto"/>
        <w:ind w:firstLine="420" w:firstLineChars="200"/>
        <w:rPr>
          <w:rFonts w:ascii="Times New Roman" w:hAnsi="Times New Roman" w:eastAsia="宋体" w:cs="Cambria Math"/>
          <w:bCs/>
          <w:szCs w:val="18"/>
        </w:rPr>
      </w:pPr>
    </w:p>
    <w:p w14:paraId="6B3C1802">
      <w:pPr>
        <w:autoSpaceDE w:val="0"/>
        <w:autoSpaceDN w:val="0"/>
        <w:spacing w:line="360" w:lineRule="auto"/>
        <w:ind w:firstLine="420" w:firstLineChars="200"/>
        <w:rPr>
          <w:rFonts w:ascii="Times New Roman" w:hAnsi="Times New Roman" w:eastAsia="宋体" w:cs="Cambria Math"/>
          <w:bCs/>
          <w:szCs w:val="18"/>
        </w:rPr>
      </w:pPr>
    </w:p>
    <w:p w14:paraId="7A8B7A0E">
      <w:pPr>
        <w:autoSpaceDE w:val="0"/>
        <w:autoSpaceDN w:val="0"/>
        <w:spacing w:line="360" w:lineRule="auto"/>
        <w:ind w:firstLine="420" w:firstLineChars="200"/>
        <w:rPr>
          <w:rFonts w:ascii="Times New Roman" w:hAnsi="Times New Roman" w:eastAsia="宋体" w:cs="Cambria Math"/>
          <w:bCs/>
          <w:szCs w:val="18"/>
        </w:rPr>
      </w:pPr>
    </w:p>
    <w:p w14:paraId="5D23DF62">
      <w:pPr>
        <w:autoSpaceDE w:val="0"/>
        <w:autoSpaceDN w:val="0"/>
        <w:spacing w:line="360" w:lineRule="auto"/>
        <w:ind w:firstLine="420" w:firstLineChars="200"/>
        <w:rPr>
          <w:rFonts w:ascii="Times New Roman" w:hAnsi="Times New Roman" w:eastAsia="宋体" w:cs="Cambria Math"/>
          <w:bCs/>
          <w:szCs w:val="18"/>
        </w:rPr>
      </w:pPr>
    </w:p>
    <w:p w14:paraId="2751CF20">
      <w:pPr>
        <w:autoSpaceDE w:val="0"/>
        <w:autoSpaceDN w:val="0"/>
        <w:spacing w:line="360" w:lineRule="auto"/>
        <w:ind w:firstLine="420" w:firstLineChars="200"/>
        <w:rPr>
          <w:rFonts w:ascii="Times New Roman" w:hAnsi="Times New Roman" w:eastAsia="宋体" w:cs="Cambria Math"/>
          <w:bCs/>
          <w:szCs w:val="18"/>
        </w:rPr>
      </w:pPr>
    </w:p>
    <w:p w14:paraId="66F4B4C8">
      <w:pPr>
        <w:autoSpaceDE w:val="0"/>
        <w:autoSpaceDN w:val="0"/>
        <w:spacing w:line="360" w:lineRule="auto"/>
        <w:ind w:firstLine="420" w:firstLineChars="200"/>
        <w:rPr>
          <w:rFonts w:ascii="Times New Roman" w:hAnsi="Times New Roman" w:eastAsia="宋体" w:cs="Cambria Math"/>
          <w:bCs/>
          <w:szCs w:val="18"/>
        </w:rPr>
      </w:pPr>
    </w:p>
    <w:p w14:paraId="1CB0A8C7">
      <w:pPr>
        <w:autoSpaceDE w:val="0"/>
        <w:autoSpaceDN w:val="0"/>
        <w:spacing w:line="360" w:lineRule="auto"/>
        <w:jc w:val="center"/>
        <w:rPr>
          <w:rFonts w:ascii="Times New Roman" w:hAnsi="Times New Roman" w:eastAsia="宋体" w:cs="Times New Roman"/>
          <w:b/>
          <w:bCs/>
          <w:snapToGrid w:val="0"/>
          <w:kern w:val="0"/>
          <w:sz w:val="96"/>
          <w:szCs w:val="96"/>
        </w:rPr>
      </w:pPr>
      <w:r>
        <w:rPr>
          <w:rFonts w:ascii="Times New Roman" w:hAnsi="Times New Roman" w:eastAsia="宋体" w:cs="Times New Roman"/>
          <w:b/>
          <w:bCs/>
          <w:snapToGrid w:val="0"/>
          <w:kern w:val="0"/>
          <w:sz w:val="96"/>
          <w:szCs w:val="96"/>
        </w:rPr>
        <w:t>响  应  文  件</w:t>
      </w:r>
    </w:p>
    <w:p w14:paraId="71758940">
      <w:pPr>
        <w:autoSpaceDE w:val="0"/>
        <w:autoSpaceDN w:val="0"/>
        <w:spacing w:line="360" w:lineRule="auto"/>
        <w:ind w:firstLine="420" w:firstLineChars="200"/>
        <w:rPr>
          <w:rFonts w:ascii="Times New Roman" w:hAnsi="Times New Roman" w:eastAsia="宋体" w:cs="Cambria Math"/>
          <w:bCs/>
          <w:szCs w:val="18"/>
        </w:rPr>
      </w:pPr>
    </w:p>
    <w:p w14:paraId="66A99941">
      <w:pPr>
        <w:autoSpaceDE w:val="0"/>
        <w:autoSpaceDN w:val="0"/>
        <w:spacing w:line="360" w:lineRule="auto"/>
        <w:ind w:firstLine="420" w:firstLineChars="200"/>
        <w:rPr>
          <w:rFonts w:ascii="Times New Roman" w:hAnsi="Times New Roman" w:eastAsia="宋体" w:cs="Cambria Math"/>
          <w:bCs/>
          <w:szCs w:val="18"/>
        </w:rPr>
      </w:pPr>
    </w:p>
    <w:p w14:paraId="2DCEACE5">
      <w:pPr>
        <w:autoSpaceDE w:val="0"/>
        <w:autoSpaceDN w:val="0"/>
        <w:spacing w:line="360" w:lineRule="auto"/>
        <w:ind w:firstLine="420" w:firstLineChars="200"/>
        <w:rPr>
          <w:rFonts w:ascii="Times New Roman" w:hAnsi="Times New Roman" w:eastAsia="宋体" w:cs="Cambria Math"/>
          <w:bCs/>
          <w:szCs w:val="18"/>
        </w:rPr>
      </w:pPr>
    </w:p>
    <w:p w14:paraId="7EC11C4C">
      <w:pPr>
        <w:autoSpaceDE w:val="0"/>
        <w:autoSpaceDN w:val="0"/>
        <w:spacing w:line="360" w:lineRule="auto"/>
        <w:rPr>
          <w:rFonts w:ascii="Times New Roman" w:hAnsi="Times New Roman" w:eastAsia="宋体" w:cs="Cambria Math"/>
          <w:bCs/>
          <w:szCs w:val="18"/>
        </w:rPr>
      </w:pPr>
    </w:p>
    <w:p w14:paraId="3D3E328D">
      <w:pPr>
        <w:autoSpaceDE w:val="0"/>
        <w:autoSpaceDN w:val="0"/>
        <w:spacing w:line="360" w:lineRule="auto"/>
        <w:ind w:firstLine="420" w:firstLineChars="200"/>
        <w:rPr>
          <w:rFonts w:ascii="Times New Roman" w:hAnsi="Times New Roman" w:eastAsia="宋体" w:cs="Cambria Math"/>
          <w:bCs/>
          <w:szCs w:val="18"/>
        </w:rPr>
      </w:pPr>
    </w:p>
    <w:p w14:paraId="48B82E77">
      <w:pPr>
        <w:autoSpaceDE w:val="0"/>
        <w:autoSpaceDN w:val="0"/>
        <w:spacing w:line="360" w:lineRule="auto"/>
        <w:jc w:val="center"/>
        <w:rPr>
          <w:rFonts w:ascii="Times New Roman" w:hAnsi="Times New Roman" w:eastAsia="宋体" w:cs="Cambria Math"/>
          <w:bCs/>
          <w:szCs w:val="18"/>
        </w:rPr>
      </w:pPr>
      <w:r>
        <w:rPr>
          <w:rFonts w:hint="eastAsia" w:ascii="Times New Roman" w:hAnsi="Times New Roman" w:eastAsia="宋体" w:cs="Cambria Math"/>
          <w:bCs/>
          <w:szCs w:val="18"/>
        </w:rPr>
        <w:t>响应人：</w:t>
      </w:r>
      <w:r>
        <w:rPr>
          <w:rFonts w:hint="eastAsia" w:ascii="Times New Roman" w:hAnsi="Times New Roman" w:eastAsia="宋体" w:cs="Cambria Math"/>
          <w:bCs/>
          <w:szCs w:val="18"/>
          <w:u w:val="single"/>
        </w:rPr>
        <w:t xml:space="preserve">                （盖单位公章）</w:t>
      </w:r>
    </w:p>
    <w:p w14:paraId="331724AC">
      <w:pPr>
        <w:autoSpaceDE w:val="0"/>
        <w:autoSpaceDN w:val="0"/>
        <w:spacing w:line="360" w:lineRule="auto"/>
        <w:jc w:val="center"/>
        <w:rPr>
          <w:rFonts w:ascii="Times New Roman" w:hAnsi="Times New Roman" w:eastAsia="宋体" w:cs="Cambria Math"/>
          <w:bCs/>
          <w:szCs w:val="18"/>
        </w:rPr>
      </w:pPr>
      <w:r>
        <w:rPr>
          <w:rFonts w:hint="eastAsia" w:ascii="Times New Roman" w:hAnsi="Times New Roman" w:eastAsia="宋体" w:cs="Cambria Math"/>
          <w:bCs/>
          <w:szCs w:val="18"/>
        </w:rPr>
        <w:t>年月日</w:t>
      </w:r>
    </w:p>
    <w:p w14:paraId="1FF4D6F6">
      <w:pPr>
        <w:autoSpaceDE w:val="0"/>
        <w:autoSpaceDN w:val="0"/>
        <w:spacing w:line="360" w:lineRule="auto"/>
        <w:ind w:firstLine="420" w:firstLineChars="200"/>
        <w:rPr>
          <w:rFonts w:ascii="Times New Roman" w:hAnsi="Times New Roman" w:eastAsia="宋体" w:cs="Cambria Math"/>
          <w:bCs/>
          <w:szCs w:val="18"/>
        </w:rPr>
      </w:pPr>
    </w:p>
    <w:p w14:paraId="7A928FAE">
      <w:pPr>
        <w:autoSpaceDE w:val="0"/>
        <w:autoSpaceDN w:val="0"/>
        <w:spacing w:line="360" w:lineRule="auto"/>
        <w:ind w:firstLine="420" w:firstLineChars="200"/>
        <w:rPr>
          <w:rFonts w:ascii="Times New Roman" w:hAnsi="Times New Roman" w:eastAsia="宋体" w:cs="Cambria Math"/>
          <w:bCs/>
          <w:szCs w:val="18"/>
        </w:rPr>
      </w:pPr>
    </w:p>
    <w:p w14:paraId="1C726244">
      <w:pPr>
        <w:autoSpaceDE w:val="0"/>
        <w:autoSpaceDN w:val="0"/>
        <w:spacing w:line="360" w:lineRule="auto"/>
        <w:ind w:firstLine="420" w:firstLineChars="200"/>
        <w:rPr>
          <w:rFonts w:ascii="Times New Roman" w:hAnsi="Times New Roman" w:eastAsia="宋体" w:cs="Cambria Math"/>
          <w:bCs/>
          <w:szCs w:val="18"/>
        </w:rPr>
        <w:sectPr>
          <w:pgSz w:w="11906" w:h="16838"/>
          <w:pgMar w:top="1440" w:right="1800" w:bottom="1440" w:left="1800" w:header="851" w:footer="992" w:gutter="0"/>
          <w:cols w:space="720" w:num="1"/>
          <w:docGrid w:type="lines" w:linePitch="312" w:charSpace="0"/>
        </w:sectPr>
      </w:pPr>
    </w:p>
    <w:p w14:paraId="1208E5AF">
      <w:pPr>
        <w:tabs>
          <w:tab w:val="left" w:pos="6300"/>
        </w:tabs>
        <w:autoSpaceDE w:val="0"/>
        <w:autoSpaceDN w:val="0"/>
        <w:snapToGrid w:val="0"/>
        <w:spacing w:line="360" w:lineRule="auto"/>
        <w:jc w:val="center"/>
        <w:outlineLvl w:val="1"/>
        <w:rPr>
          <w:rFonts w:ascii="宋体" w:hAnsi="Times New Roman" w:eastAsia="宋体" w:cs="Cambria Math"/>
          <w:b/>
          <w:bCs/>
          <w:snapToGrid w:val="0"/>
          <w:kern w:val="0"/>
          <w:sz w:val="36"/>
          <w:szCs w:val="28"/>
        </w:rPr>
      </w:pPr>
      <w:r>
        <w:rPr>
          <w:rFonts w:hint="eastAsia" w:ascii="宋体" w:hAnsi="Times New Roman" w:eastAsia="宋体" w:cs="Cambria Math"/>
          <w:b/>
          <w:bCs/>
          <w:snapToGrid w:val="0"/>
          <w:kern w:val="0"/>
          <w:sz w:val="36"/>
          <w:szCs w:val="28"/>
        </w:rPr>
        <w:t>目  录</w:t>
      </w:r>
    </w:p>
    <w:p w14:paraId="15F16987">
      <w:pPr>
        <w:widowControl/>
        <w:jc w:val="left"/>
        <w:rPr>
          <w:rFonts w:ascii="Times New Roman" w:hAnsi="Times New Roman" w:eastAsia="宋体" w:cs="Cambria Math"/>
          <w:bCs/>
          <w:szCs w:val="18"/>
        </w:rPr>
      </w:pPr>
      <w:r>
        <w:rPr>
          <w:rFonts w:hint="eastAsia" w:ascii="Times New Roman" w:hAnsi="Times New Roman" w:eastAsia="宋体" w:cs="Cambria Math"/>
          <w:bCs/>
          <w:szCs w:val="18"/>
        </w:rPr>
        <w:t>一、响应函</w:t>
      </w:r>
    </w:p>
    <w:p w14:paraId="772DAB43">
      <w:pPr>
        <w:widowControl/>
        <w:jc w:val="left"/>
        <w:rPr>
          <w:rFonts w:ascii="Times New Roman" w:hAnsi="Times New Roman" w:eastAsia="宋体" w:cs="Cambria Math"/>
          <w:bCs/>
          <w:szCs w:val="18"/>
        </w:rPr>
      </w:pPr>
      <w:r>
        <w:rPr>
          <w:rFonts w:hint="eastAsia" w:ascii="Times New Roman" w:hAnsi="Times New Roman" w:eastAsia="宋体" w:cs="Cambria Math"/>
          <w:bCs/>
          <w:szCs w:val="18"/>
        </w:rPr>
        <w:t>二、报价一览表</w:t>
      </w:r>
    </w:p>
    <w:p w14:paraId="72868C71">
      <w:pPr>
        <w:widowControl/>
        <w:jc w:val="left"/>
        <w:rPr>
          <w:rFonts w:ascii="Times New Roman" w:hAnsi="Times New Roman" w:eastAsia="宋体" w:cs="Cambria Math"/>
          <w:bCs/>
          <w:szCs w:val="18"/>
        </w:rPr>
      </w:pPr>
      <w:r>
        <w:rPr>
          <w:rFonts w:hint="eastAsia" w:ascii="Times New Roman" w:hAnsi="Times New Roman" w:eastAsia="宋体" w:cs="Cambria Math"/>
          <w:bCs/>
          <w:szCs w:val="18"/>
        </w:rPr>
        <w:t>三、资格性文件</w:t>
      </w:r>
    </w:p>
    <w:p w14:paraId="49CEC760">
      <w:pPr>
        <w:widowControl/>
        <w:ind w:firstLine="420"/>
        <w:jc w:val="left"/>
        <w:rPr>
          <w:rFonts w:ascii="Times New Roman" w:hAnsi="Times New Roman" w:eastAsia="宋体" w:cs="Cambria Math"/>
          <w:bCs/>
          <w:szCs w:val="18"/>
        </w:rPr>
      </w:pPr>
      <w:r>
        <w:rPr>
          <w:rFonts w:hint="eastAsia" w:ascii="Times New Roman" w:hAnsi="Times New Roman" w:eastAsia="宋体" w:cs="Cambria Math"/>
          <w:bCs/>
          <w:szCs w:val="18"/>
        </w:rPr>
        <w:t>（一）响应人基本情况介绍，资质证明等</w:t>
      </w:r>
    </w:p>
    <w:p w14:paraId="4622AFA7">
      <w:pPr>
        <w:widowControl/>
        <w:ind w:firstLine="420"/>
        <w:jc w:val="left"/>
        <w:rPr>
          <w:rFonts w:ascii="Times New Roman" w:hAnsi="Times New Roman" w:eastAsia="宋体" w:cs="Cambria Math"/>
          <w:bCs/>
          <w:szCs w:val="18"/>
        </w:rPr>
      </w:pPr>
      <w:r>
        <w:rPr>
          <w:rFonts w:hint="eastAsia" w:ascii="Times New Roman" w:hAnsi="Times New Roman" w:eastAsia="宋体" w:cs="Cambria Math"/>
          <w:bCs/>
          <w:szCs w:val="18"/>
        </w:rPr>
        <w:t>（二）法定代表人/分支机构负责人身份证明及授权委托书（含分支机构）</w:t>
      </w:r>
    </w:p>
    <w:p w14:paraId="7BE14E29">
      <w:pPr>
        <w:widowControl/>
        <w:ind w:firstLine="420"/>
        <w:jc w:val="left"/>
        <w:rPr>
          <w:rFonts w:ascii="Times New Roman" w:hAnsi="Times New Roman" w:eastAsia="宋体" w:cs="Cambria Math"/>
          <w:bCs/>
          <w:szCs w:val="18"/>
        </w:rPr>
      </w:pPr>
      <w:r>
        <w:rPr>
          <w:rFonts w:hint="eastAsia" w:ascii="Times New Roman" w:hAnsi="Times New Roman" w:eastAsia="宋体" w:cs="Cambria Math"/>
          <w:bCs/>
          <w:szCs w:val="18"/>
        </w:rPr>
        <w:t>（三）书面声明</w:t>
      </w:r>
    </w:p>
    <w:p w14:paraId="0616DD16">
      <w:pPr>
        <w:widowControl/>
        <w:ind w:firstLine="420"/>
        <w:jc w:val="left"/>
        <w:rPr>
          <w:rFonts w:ascii="Times New Roman" w:hAnsi="Times New Roman" w:eastAsia="宋体" w:cs="Cambria Math"/>
          <w:bCs/>
          <w:szCs w:val="18"/>
        </w:rPr>
      </w:pPr>
      <w:r>
        <w:rPr>
          <w:rFonts w:hint="eastAsia" w:ascii="Times New Roman" w:hAnsi="Times New Roman" w:eastAsia="宋体" w:cs="Cambria Math"/>
          <w:bCs/>
          <w:szCs w:val="18"/>
        </w:rPr>
        <w:t>（四）中国执行信息公开网截图</w:t>
      </w:r>
    </w:p>
    <w:p w14:paraId="372B7EBF">
      <w:pPr>
        <w:widowControl/>
        <w:ind w:firstLine="420"/>
        <w:jc w:val="left"/>
        <w:rPr>
          <w:rFonts w:ascii="Times New Roman" w:hAnsi="Times New Roman" w:eastAsia="宋体" w:cs="Cambria Math"/>
          <w:bCs/>
          <w:szCs w:val="18"/>
        </w:rPr>
      </w:pPr>
      <w:r>
        <w:rPr>
          <w:rFonts w:hint="eastAsia" w:ascii="Times New Roman" w:hAnsi="Times New Roman" w:eastAsia="宋体" w:cs="Cambria Math"/>
          <w:bCs/>
          <w:szCs w:val="18"/>
        </w:rPr>
        <w:t>（</w:t>
      </w:r>
      <w:r>
        <w:rPr>
          <w:rFonts w:ascii="Times New Roman" w:hAnsi="Times New Roman" w:eastAsia="宋体" w:cs="Cambria Math"/>
          <w:bCs/>
          <w:szCs w:val="18"/>
        </w:rPr>
        <w:t>五</w:t>
      </w:r>
      <w:r>
        <w:rPr>
          <w:rFonts w:hint="eastAsia" w:ascii="Times New Roman" w:hAnsi="Times New Roman" w:eastAsia="宋体" w:cs="Cambria Math"/>
          <w:bCs/>
          <w:szCs w:val="18"/>
        </w:rPr>
        <w:t>）评级机构：评级结果可以在银行间债券市场使用</w:t>
      </w:r>
    </w:p>
    <w:p w14:paraId="50C5E794">
      <w:pPr>
        <w:widowControl/>
        <w:ind w:firstLine="420"/>
        <w:jc w:val="left"/>
        <w:rPr>
          <w:rFonts w:ascii="Times New Roman" w:hAnsi="Times New Roman" w:eastAsia="宋体" w:cs="Cambria Math"/>
          <w:bCs/>
          <w:szCs w:val="18"/>
        </w:rPr>
      </w:pPr>
      <w:r>
        <w:rPr>
          <w:rFonts w:hint="eastAsia" w:ascii="Times New Roman" w:hAnsi="Times New Roman" w:eastAsia="宋体" w:cs="Cambria Math"/>
          <w:bCs/>
          <w:szCs w:val="18"/>
        </w:rPr>
        <w:t>（六）商业银行金融债信用评级案例</w:t>
      </w:r>
    </w:p>
    <w:p w14:paraId="2265BCBC">
      <w:pPr>
        <w:widowControl/>
        <w:ind w:firstLine="420"/>
        <w:jc w:val="left"/>
        <w:rPr>
          <w:rFonts w:ascii="Times New Roman" w:hAnsi="Times New Roman" w:eastAsia="宋体" w:cs="Cambria Math"/>
          <w:bCs/>
          <w:szCs w:val="18"/>
        </w:rPr>
      </w:pPr>
      <w:r>
        <w:rPr>
          <w:rFonts w:hint="eastAsia" w:ascii="Times New Roman" w:hAnsi="Times New Roman" w:eastAsia="宋体" w:cs="Cambria Math"/>
          <w:bCs/>
          <w:szCs w:val="18"/>
        </w:rPr>
        <w:t>（</w:t>
      </w:r>
      <w:r>
        <w:rPr>
          <w:rFonts w:ascii="Times New Roman" w:hAnsi="Times New Roman" w:eastAsia="宋体" w:cs="Cambria Math"/>
          <w:bCs/>
          <w:szCs w:val="18"/>
        </w:rPr>
        <w:t>七</w:t>
      </w:r>
      <w:r>
        <w:rPr>
          <w:rFonts w:hint="eastAsia" w:ascii="Times New Roman" w:hAnsi="Times New Roman" w:eastAsia="宋体" w:cs="Cambria Math"/>
          <w:bCs/>
          <w:szCs w:val="18"/>
        </w:rPr>
        <w:t>）其他（如有）</w:t>
      </w:r>
    </w:p>
    <w:p w14:paraId="4D7C385A">
      <w:pPr>
        <w:widowControl/>
        <w:jc w:val="left"/>
        <w:rPr>
          <w:rFonts w:ascii="Times New Roman" w:hAnsi="Times New Roman" w:eastAsia="宋体" w:cs="Cambria Math"/>
          <w:bCs/>
          <w:szCs w:val="18"/>
        </w:rPr>
      </w:pPr>
      <w:r>
        <w:rPr>
          <w:rFonts w:hint="eastAsia" w:ascii="Times New Roman" w:hAnsi="Times New Roman" w:eastAsia="宋体" w:cs="Cambria Math"/>
          <w:bCs/>
          <w:szCs w:val="18"/>
        </w:rPr>
        <w:t>四、响应性文件</w:t>
      </w:r>
    </w:p>
    <w:p w14:paraId="009818B5">
      <w:pPr>
        <w:widowControl/>
        <w:ind w:firstLine="420"/>
        <w:jc w:val="left"/>
        <w:rPr>
          <w:rFonts w:ascii="Times New Roman" w:hAnsi="Times New Roman" w:eastAsia="宋体" w:cs="Cambria Math"/>
          <w:bCs/>
          <w:szCs w:val="18"/>
        </w:rPr>
      </w:pPr>
      <w:r>
        <w:rPr>
          <w:rFonts w:hint="eastAsia" w:ascii="Times New Roman" w:hAnsi="Times New Roman" w:eastAsia="宋体" w:cs="Cambria Math"/>
          <w:bCs/>
          <w:szCs w:val="18"/>
        </w:rPr>
        <w:t>（一）响应承诺函</w:t>
      </w:r>
    </w:p>
    <w:p w14:paraId="691CA04C">
      <w:pPr>
        <w:widowControl/>
        <w:ind w:firstLine="420"/>
        <w:jc w:val="left"/>
        <w:rPr>
          <w:rFonts w:ascii="Times New Roman" w:hAnsi="Times New Roman" w:eastAsia="宋体" w:cs="Cambria Math"/>
          <w:bCs/>
          <w:szCs w:val="18"/>
        </w:rPr>
      </w:pPr>
      <w:r>
        <w:rPr>
          <w:rFonts w:hint="eastAsia" w:ascii="Times New Roman" w:hAnsi="Times New Roman" w:eastAsia="宋体" w:cs="Cambria Math"/>
          <w:bCs/>
          <w:szCs w:val="18"/>
        </w:rPr>
        <w:t>（二）其他（如有）</w:t>
      </w:r>
    </w:p>
    <w:p w14:paraId="7E31EDC9">
      <w:pPr>
        <w:widowControl/>
        <w:jc w:val="left"/>
        <w:rPr>
          <w:rFonts w:ascii="Times New Roman" w:hAnsi="Times New Roman" w:eastAsia="宋体" w:cs="Cambria Math"/>
          <w:bCs/>
          <w:szCs w:val="18"/>
        </w:rPr>
      </w:pPr>
      <w:r>
        <w:rPr>
          <w:rFonts w:hint="eastAsia" w:ascii="Times New Roman" w:hAnsi="Times New Roman" w:eastAsia="宋体" w:cs="Cambria Math"/>
          <w:bCs/>
          <w:szCs w:val="18"/>
        </w:rPr>
        <w:t>五、商务文件（如有）</w:t>
      </w:r>
    </w:p>
    <w:p w14:paraId="678F587F">
      <w:pPr>
        <w:widowControl/>
        <w:jc w:val="left"/>
        <w:rPr>
          <w:rFonts w:ascii="Times New Roman" w:hAnsi="Times New Roman" w:eastAsia="宋体" w:cs="Cambria Math"/>
          <w:bCs/>
          <w:szCs w:val="18"/>
        </w:rPr>
      </w:pPr>
      <w:r>
        <w:rPr>
          <w:rFonts w:hint="eastAsia" w:ascii="Times New Roman" w:hAnsi="Times New Roman" w:eastAsia="宋体" w:cs="Cambria Math"/>
          <w:bCs/>
          <w:szCs w:val="18"/>
        </w:rPr>
        <w:t>六、其他（如有）</w:t>
      </w:r>
    </w:p>
    <w:p w14:paraId="38820DD3">
      <w:pPr>
        <w:autoSpaceDE w:val="0"/>
        <w:autoSpaceDN w:val="0"/>
        <w:spacing w:line="360" w:lineRule="auto"/>
        <w:ind w:firstLine="420" w:firstLineChars="200"/>
        <w:rPr>
          <w:rFonts w:ascii="Times New Roman" w:hAnsi="Times New Roman" w:eastAsia="宋体" w:cs="Cambria Math"/>
          <w:bCs/>
          <w:szCs w:val="18"/>
          <w:highlight w:val="yellow"/>
        </w:rPr>
      </w:pPr>
    </w:p>
    <w:p w14:paraId="6544EB80">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br w:type="page"/>
      </w:r>
    </w:p>
    <w:p w14:paraId="61214CE4">
      <w:pPr>
        <w:autoSpaceDE w:val="0"/>
        <w:autoSpaceDN w:val="0"/>
        <w:spacing w:line="360" w:lineRule="auto"/>
        <w:ind w:firstLine="420" w:firstLineChars="200"/>
        <w:rPr>
          <w:rFonts w:ascii="Times New Roman" w:hAnsi="Times New Roman" w:eastAsia="宋体" w:cs="Cambria Math"/>
          <w:bCs/>
          <w:szCs w:val="18"/>
        </w:rPr>
      </w:pPr>
    </w:p>
    <w:p w14:paraId="50F3122B">
      <w:pPr>
        <w:autoSpaceDE w:val="0"/>
        <w:autoSpaceDN w:val="0"/>
        <w:spacing w:line="360" w:lineRule="auto"/>
        <w:jc w:val="center"/>
        <w:outlineLvl w:val="1"/>
        <w:rPr>
          <w:rFonts w:ascii="Times New Roman" w:hAnsi="Times New Roman" w:eastAsia="宋体" w:cs="Cambria Math"/>
          <w:b/>
          <w:bCs/>
          <w:sz w:val="28"/>
          <w:szCs w:val="18"/>
        </w:rPr>
      </w:pPr>
      <w:r>
        <w:rPr>
          <w:rFonts w:ascii="Times New Roman" w:hAnsi="Times New Roman" w:eastAsia="宋体" w:cs="Cambria Math"/>
          <w:b/>
          <w:bCs/>
          <w:sz w:val="28"/>
          <w:szCs w:val="18"/>
        </w:rPr>
        <w:t>一、响应函</w:t>
      </w:r>
    </w:p>
    <w:p w14:paraId="19D1AD2E">
      <w:pPr>
        <w:autoSpaceDE w:val="0"/>
        <w:autoSpaceDN w:val="0"/>
        <w:spacing w:line="360" w:lineRule="auto"/>
        <w:ind w:firstLine="420" w:firstLineChars="200"/>
        <w:rPr>
          <w:rFonts w:ascii="Times New Roman" w:hAnsi="Times New Roman" w:eastAsia="宋体" w:cs="Cambria Math"/>
          <w:bCs/>
          <w:szCs w:val="18"/>
        </w:rPr>
      </w:pPr>
    </w:p>
    <w:p w14:paraId="4B4C780F">
      <w:pPr>
        <w:autoSpaceDE w:val="0"/>
        <w:autoSpaceDN w:val="0"/>
        <w:spacing w:line="360" w:lineRule="auto"/>
        <w:rPr>
          <w:rFonts w:ascii="Times New Roman" w:hAnsi="Times New Roman" w:eastAsia="宋体" w:cs="Cambria Math"/>
          <w:bCs/>
          <w:szCs w:val="18"/>
        </w:rPr>
      </w:pPr>
      <w:r>
        <w:rPr>
          <w:rFonts w:hint="eastAsia" w:ascii="Times New Roman" w:hAnsi="Times New Roman" w:eastAsia="宋体" w:cs="Cambria Math"/>
          <w:bCs/>
          <w:szCs w:val="18"/>
        </w:rPr>
        <w:t>重庆三峡银行股份有限公司：</w:t>
      </w:r>
    </w:p>
    <w:p w14:paraId="56C2074F">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我方收到</w:t>
      </w:r>
      <w:r>
        <w:rPr>
          <w:rFonts w:hint="eastAsia"/>
          <w:u w:val="single"/>
        </w:rPr>
        <w:t xml:space="preserve">             </w:t>
      </w:r>
      <w:r>
        <w:rPr>
          <w:rFonts w:hint="eastAsia" w:ascii="Times New Roman" w:hAnsi="Times New Roman" w:eastAsia="宋体" w:cs="Cambria Math"/>
          <w:bCs/>
          <w:szCs w:val="18"/>
        </w:rPr>
        <w:t>（项目名称）询比文件，经详细研究，决定参加该询比项目并响应。</w:t>
      </w:r>
    </w:p>
    <w:p w14:paraId="7B17CC97">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1、愿意按照询比文件中的一切要求，以响应文件中的内容和报价承担和完成本项目。</w:t>
      </w:r>
    </w:p>
    <w:p w14:paraId="6355F754">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2、我方现提交的响应文件为：响应文件正本一份，副本一份，电子文件一份。</w:t>
      </w:r>
    </w:p>
    <w:p w14:paraId="67F582A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3、如果我方响应文件被接受，我方将履行询比文件中规定的各项要求，按相关法律法规和合同约定条款承担我方的责任。</w:t>
      </w:r>
    </w:p>
    <w:p w14:paraId="7AAF1C20">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4、我方愿意提供询比文件中要求的所有资料，并对其真实性负责。</w:t>
      </w:r>
    </w:p>
    <w:p w14:paraId="2F662EA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5、我方理解最低价格不是成交的唯一条件。</w:t>
      </w:r>
    </w:p>
    <w:p w14:paraId="6E25E9C4">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6、响应有效期为响应截止日期后90天内。</w:t>
      </w:r>
    </w:p>
    <w:p w14:paraId="612649BB">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7、若我方成交，我方开具税率为           %的增值税专用发票；</w:t>
      </w:r>
    </w:p>
    <w:p w14:paraId="79D5EADD">
      <w:pPr>
        <w:autoSpaceDE w:val="0"/>
        <w:autoSpaceDN w:val="0"/>
        <w:spacing w:line="360" w:lineRule="auto"/>
        <w:ind w:firstLine="420" w:firstLineChars="200"/>
        <w:rPr>
          <w:rFonts w:ascii="Times New Roman" w:hAnsi="Times New Roman" w:eastAsia="宋体" w:cs="Cambria Math"/>
          <w:bCs/>
          <w:szCs w:val="18"/>
        </w:rPr>
      </w:pPr>
    </w:p>
    <w:p w14:paraId="221E9272">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响应人（公章）：</w:t>
      </w:r>
    </w:p>
    <w:p w14:paraId="0AACD37C">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 xml:space="preserve">响应人联系人：  </w:t>
      </w:r>
    </w:p>
    <w:p w14:paraId="5055762B">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 xml:space="preserve">响应人联系人联系电话：     </w:t>
      </w:r>
    </w:p>
    <w:p w14:paraId="7ACF69F1">
      <w:pPr>
        <w:autoSpaceDE w:val="0"/>
        <w:autoSpaceDN w:val="0"/>
        <w:spacing w:line="360" w:lineRule="auto"/>
        <w:ind w:firstLine="420" w:firstLineChars="200"/>
        <w:jc w:val="right"/>
        <w:rPr>
          <w:rFonts w:ascii="Times New Roman" w:hAnsi="Times New Roman" w:eastAsia="宋体" w:cs="Cambria Math"/>
          <w:bCs/>
          <w:szCs w:val="18"/>
        </w:rPr>
      </w:pPr>
      <w:r>
        <w:rPr>
          <w:rFonts w:hint="eastAsia" w:ascii="Times New Roman" w:hAnsi="Times New Roman" w:eastAsia="宋体" w:cs="Cambria Math"/>
          <w:bCs/>
          <w:szCs w:val="18"/>
        </w:rPr>
        <w:t>年     月     日</w:t>
      </w:r>
    </w:p>
    <w:p w14:paraId="16BC43D3">
      <w:pPr>
        <w:autoSpaceDE w:val="0"/>
        <w:autoSpaceDN w:val="0"/>
        <w:spacing w:line="360" w:lineRule="auto"/>
        <w:ind w:firstLine="420" w:firstLineChars="200"/>
        <w:rPr>
          <w:rFonts w:ascii="Times New Roman" w:hAnsi="Times New Roman" w:eastAsia="宋体" w:cs="Cambria Math"/>
          <w:bCs/>
          <w:szCs w:val="18"/>
        </w:rPr>
      </w:pPr>
    </w:p>
    <w:p w14:paraId="010427F2">
      <w:pPr>
        <w:autoSpaceDE w:val="0"/>
        <w:autoSpaceDN w:val="0"/>
        <w:spacing w:line="360" w:lineRule="auto"/>
        <w:ind w:firstLine="420" w:firstLineChars="200"/>
        <w:rPr>
          <w:rFonts w:ascii="Times New Roman" w:hAnsi="Times New Roman" w:eastAsia="宋体" w:cs="Cambria Math"/>
          <w:bCs/>
          <w:snapToGrid w:val="0"/>
          <w:kern w:val="0"/>
          <w:szCs w:val="18"/>
        </w:rPr>
      </w:pPr>
    </w:p>
    <w:p w14:paraId="09FE416A">
      <w:pPr>
        <w:autoSpaceDE w:val="0"/>
        <w:autoSpaceDN w:val="0"/>
        <w:spacing w:line="360" w:lineRule="auto"/>
        <w:ind w:firstLine="420" w:firstLineChars="200"/>
        <w:rPr>
          <w:rFonts w:ascii="Times New Roman" w:hAnsi="Times New Roman" w:eastAsia="宋体" w:cs="Cambria Math"/>
          <w:bCs/>
          <w:snapToGrid w:val="0"/>
          <w:kern w:val="0"/>
          <w:szCs w:val="18"/>
        </w:rPr>
        <w:sectPr>
          <w:pgSz w:w="11906" w:h="16838"/>
          <w:pgMar w:top="1440" w:right="1800" w:bottom="1440" w:left="1800" w:header="851" w:footer="992" w:gutter="0"/>
          <w:cols w:space="720" w:num="1"/>
          <w:docGrid w:type="lines" w:linePitch="312" w:charSpace="0"/>
        </w:sectPr>
      </w:pPr>
    </w:p>
    <w:p w14:paraId="33388BF6">
      <w:pPr>
        <w:autoSpaceDE w:val="0"/>
        <w:autoSpaceDN w:val="0"/>
        <w:spacing w:line="360" w:lineRule="auto"/>
        <w:jc w:val="center"/>
        <w:outlineLvl w:val="1"/>
        <w:rPr>
          <w:rFonts w:ascii="Times New Roman" w:hAnsi="Times New Roman" w:eastAsia="宋体" w:cs="Cambria Math"/>
          <w:b/>
          <w:bCs/>
          <w:sz w:val="28"/>
          <w:szCs w:val="18"/>
        </w:rPr>
      </w:pPr>
      <w:r>
        <w:rPr>
          <w:rFonts w:ascii="Times New Roman" w:hAnsi="Times New Roman" w:eastAsia="宋体" w:cs="Cambria Math"/>
          <w:b/>
          <w:bCs/>
          <w:sz w:val="28"/>
          <w:szCs w:val="18"/>
        </w:rPr>
        <w:t>二、报价一览表</w:t>
      </w:r>
    </w:p>
    <w:tbl>
      <w:tblPr>
        <w:tblStyle w:val="2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2871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5F507884">
            <w:pPr>
              <w:autoSpaceDE w:val="0"/>
              <w:autoSpaceDN w:val="0"/>
              <w:spacing w:line="360" w:lineRule="auto"/>
              <w:jc w:val="center"/>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响应人全称</w:t>
            </w:r>
          </w:p>
        </w:tc>
        <w:tc>
          <w:tcPr>
            <w:tcW w:w="5661" w:type="dxa"/>
            <w:tcBorders>
              <w:top w:val="single" w:color="auto" w:sz="4" w:space="0"/>
              <w:left w:val="single" w:color="auto" w:sz="4" w:space="0"/>
              <w:bottom w:val="single" w:color="auto" w:sz="4" w:space="0"/>
              <w:right w:val="single" w:color="auto" w:sz="4" w:space="0"/>
            </w:tcBorders>
            <w:noWrap/>
            <w:vAlign w:val="center"/>
          </w:tcPr>
          <w:p w14:paraId="1CCE53A9">
            <w:pPr>
              <w:autoSpaceDE w:val="0"/>
              <w:autoSpaceDN w:val="0"/>
              <w:spacing w:line="360" w:lineRule="auto"/>
              <w:ind w:firstLine="420" w:firstLineChars="200"/>
              <w:rPr>
                <w:rFonts w:ascii="Times New Roman" w:hAnsi="Times New Roman" w:eastAsia="宋体" w:cs="Cambria Math"/>
                <w:bCs/>
                <w:szCs w:val="18"/>
              </w:rPr>
            </w:pPr>
          </w:p>
        </w:tc>
      </w:tr>
      <w:tr w14:paraId="54CA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663FD3D9">
            <w:pPr>
              <w:autoSpaceDE w:val="0"/>
              <w:autoSpaceDN w:val="0"/>
              <w:spacing w:line="300" w:lineRule="exact"/>
              <w:jc w:val="center"/>
              <w:rPr>
                <w:rFonts w:ascii="Times New Roman" w:hAnsi="Times New Roman" w:eastAsia="宋体" w:cs="Cambria Math"/>
                <w:bCs/>
                <w:snapToGrid w:val="0"/>
                <w:kern w:val="0"/>
                <w:szCs w:val="18"/>
              </w:rPr>
            </w:pPr>
            <w:r>
              <w:rPr>
                <w:rFonts w:hint="eastAsia" w:ascii="宋体" w:hAnsi="宋体" w:eastAsia="宋体" w:cs="Cambria Math"/>
                <w:bCs/>
                <w:snapToGrid w:val="0"/>
                <w:kern w:val="0"/>
                <w:szCs w:val="24"/>
              </w:rPr>
              <w:t>项目名称</w:t>
            </w:r>
          </w:p>
        </w:tc>
        <w:tc>
          <w:tcPr>
            <w:tcW w:w="5661" w:type="dxa"/>
            <w:tcBorders>
              <w:top w:val="single" w:color="auto" w:sz="4" w:space="0"/>
              <w:left w:val="single" w:color="auto" w:sz="4" w:space="0"/>
              <w:bottom w:val="single" w:color="auto" w:sz="4" w:space="0"/>
              <w:right w:val="single" w:color="auto" w:sz="4" w:space="0"/>
            </w:tcBorders>
            <w:noWrap/>
            <w:vAlign w:val="center"/>
          </w:tcPr>
          <w:p w14:paraId="20454B26">
            <w:pPr>
              <w:autoSpaceDE w:val="0"/>
              <w:autoSpaceDN w:val="0"/>
              <w:adjustRightInd w:val="0"/>
              <w:snapToGrid w:val="0"/>
              <w:spacing w:line="300" w:lineRule="exact"/>
              <w:rPr>
                <w:rFonts w:ascii="Times New Roman" w:hAnsi="Times New Roman" w:eastAsia="宋体" w:cs="Cambria Math"/>
                <w:bCs/>
                <w:szCs w:val="18"/>
              </w:rPr>
            </w:pPr>
            <w:r>
              <w:rPr>
                <w:rFonts w:hint="eastAsia" w:ascii="Times New Roman" w:hAnsi="Times New Roman" w:eastAsia="宋体" w:cs="Cambria Math"/>
                <w:bCs/>
                <w:szCs w:val="18"/>
              </w:rPr>
              <w:t>重庆三峡银行金融债券评级机构入围项目</w:t>
            </w:r>
          </w:p>
        </w:tc>
      </w:tr>
      <w:tr w14:paraId="435F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A2AD0">
            <w:pPr>
              <w:spacing w:line="360" w:lineRule="auto"/>
              <w:jc w:val="center"/>
              <w:rPr>
                <w:rFonts w:ascii="宋体" w:hAnsi="宋体" w:eastAsia="宋体" w:cs="Cambria Math"/>
                <w:bCs/>
                <w:snapToGrid w:val="0"/>
                <w:kern w:val="0"/>
                <w:szCs w:val="24"/>
              </w:rPr>
            </w:pPr>
            <w:r>
              <w:rPr>
                <w:rFonts w:hint="eastAsia" w:ascii="宋体" w:hAnsi="宋体" w:eastAsia="宋体" w:cs="Cambria Math"/>
                <w:bCs/>
                <w:snapToGrid w:val="0"/>
                <w:szCs w:val="24"/>
              </w:rPr>
              <w:t>债项评级包干价</w:t>
            </w:r>
            <w:r>
              <w:rPr>
                <w:rFonts w:hint="eastAsia" w:ascii="宋体" w:hAnsi="宋体" w:eastAsia="宋体" w:cs="Cambria Math"/>
                <w:bCs/>
                <w:szCs w:val="24"/>
              </w:rPr>
              <w:t>（含税）</w:t>
            </w:r>
          </w:p>
        </w:tc>
        <w:tc>
          <w:tcPr>
            <w:tcW w:w="56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0AB25">
            <w:pPr>
              <w:autoSpaceDE w:val="0"/>
              <w:autoSpaceDN w:val="0"/>
              <w:rPr>
                <w:rFonts w:hint="default" w:ascii="Times New Roman" w:hAnsi="Times New Roman" w:eastAsia="宋体" w:cs="Cambria Math"/>
                <w:bCs/>
                <w:szCs w:val="18"/>
                <w:lang w:val="en-US" w:eastAsia="zh-CN"/>
              </w:rPr>
            </w:pPr>
            <w:r>
              <w:rPr>
                <w:rFonts w:ascii="Times New Roman" w:hAnsi="Times New Roman" w:eastAsia="宋体" w:cs="Cambria Math"/>
                <w:bCs/>
                <w:szCs w:val="18"/>
              </w:rPr>
              <w:t>小写</w:t>
            </w:r>
            <w:r>
              <w:rPr>
                <w:rFonts w:hint="eastAsia" w:ascii="Times New Roman" w:hAnsi="Times New Roman" w:eastAsia="宋体" w:cs="Cambria Math"/>
                <w:bCs/>
                <w:szCs w:val="18"/>
              </w:rPr>
              <w:t xml:space="preserve">：            </w:t>
            </w:r>
            <w:r>
              <w:rPr>
                <w:rFonts w:ascii="Times New Roman" w:hAnsi="Times New Roman" w:eastAsia="宋体" w:cs="Cambria Math"/>
                <w:bCs/>
                <w:szCs w:val="18"/>
              </w:rPr>
              <w:t>人民币</w:t>
            </w:r>
            <w:r>
              <w:rPr>
                <w:rFonts w:hint="eastAsia" w:ascii="Times New Roman" w:hAnsi="Times New Roman" w:eastAsia="宋体" w:cs="Cambria Math"/>
                <w:bCs/>
                <w:szCs w:val="18"/>
                <w:lang w:val="en-US" w:eastAsia="zh-CN"/>
              </w:rPr>
              <w:t>/支</w:t>
            </w:r>
          </w:p>
          <w:p w14:paraId="69540C6B">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大写：            人民币</w:t>
            </w:r>
            <w:r>
              <w:rPr>
                <w:rFonts w:hint="eastAsia" w:ascii="Times New Roman" w:hAnsi="Times New Roman" w:eastAsia="宋体" w:cs="Cambria Math"/>
                <w:bCs/>
                <w:szCs w:val="18"/>
                <w:lang w:val="en-US" w:eastAsia="zh-CN"/>
              </w:rPr>
              <w:t>/支</w:t>
            </w:r>
          </w:p>
          <w:p w14:paraId="055E4AF0">
            <w:pPr>
              <w:autoSpaceDE w:val="0"/>
              <w:autoSpaceDN w:val="0"/>
              <w:rPr>
                <w:rFonts w:ascii="Times New Roman" w:hAnsi="Times New Roman" w:eastAsia="宋体" w:cs="Cambria Math"/>
                <w:bCs/>
                <w:szCs w:val="18"/>
              </w:rPr>
            </w:pPr>
            <w:r>
              <w:rPr>
                <w:rFonts w:ascii="Times New Roman" w:hAnsi="Times New Roman" w:eastAsia="宋体" w:cs="Cambria Math"/>
                <w:bCs/>
                <w:szCs w:val="18"/>
              </w:rPr>
              <w:t>其中首评</w:t>
            </w:r>
            <w:r>
              <w:rPr>
                <w:rFonts w:hint="eastAsia" w:ascii="Times New Roman" w:hAnsi="Times New Roman" w:eastAsia="宋体" w:cs="Cambria Math"/>
                <w:bCs/>
                <w:szCs w:val="18"/>
              </w:rPr>
              <w:t>费用 人民币</w:t>
            </w:r>
          </w:p>
          <w:p w14:paraId="1BF7DF45">
            <w:pPr>
              <w:autoSpaceDE w:val="0"/>
              <w:autoSpaceDN w:val="0"/>
              <w:rPr>
                <w:rFonts w:ascii="Times New Roman" w:hAnsi="Times New Roman" w:eastAsia="宋体" w:cs="Cambria Math"/>
                <w:bCs/>
                <w:szCs w:val="18"/>
              </w:rPr>
            </w:pPr>
            <w:r>
              <w:rPr>
                <w:rFonts w:ascii="Times New Roman" w:hAnsi="Times New Roman" w:eastAsia="宋体" w:cs="Cambria Math"/>
                <w:bCs/>
                <w:szCs w:val="18"/>
              </w:rPr>
              <w:t>跟评</w:t>
            </w:r>
            <w:r>
              <w:rPr>
                <w:rFonts w:hint="eastAsia" w:ascii="Times New Roman" w:hAnsi="Times New Roman" w:eastAsia="宋体" w:cs="Cambria Math"/>
                <w:bCs/>
                <w:szCs w:val="18"/>
              </w:rPr>
              <w:t>费用 人民币</w:t>
            </w:r>
          </w:p>
        </w:tc>
      </w:tr>
      <w:tr w14:paraId="2109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7414D31B">
            <w:pPr>
              <w:autoSpaceDE w:val="0"/>
              <w:autoSpaceDN w:val="0"/>
              <w:spacing w:line="360" w:lineRule="auto"/>
              <w:jc w:val="center"/>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主体评级响应报价（含税）</w:t>
            </w:r>
          </w:p>
        </w:tc>
        <w:tc>
          <w:tcPr>
            <w:tcW w:w="5661" w:type="dxa"/>
            <w:tcBorders>
              <w:top w:val="single" w:color="auto" w:sz="4" w:space="0"/>
              <w:left w:val="single" w:color="auto" w:sz="4" w:space="0"/>
              <w:bottom w:val="single" w:color="auto" w:sz="4" w:space="0"/>
              <w:right w:val="single" w:color="auto" w:sz="4" w:space="0"/>
            </w:tcBorders>
            <w:noWrap/>
            <w:vAlign w:val="center"/>
          </w:tcPr>
          <w:p w14:paraId="37D49CE7">
            <w:pPr>
              <w:autoSpaceDE w:val="0"/>
              <w:autoSpaceDN w:val="0"/>
              <w:rPr>
                <w:rFonts w:ascii="Times New Roman" w:hAnsi="Times New Roman" w:eastAsia="宋体" w:cs="Cambria Math"/>
                <w:bCs/>
                <w:szCs w:val="18"/>
              </w:rPr>
            </w:pPr>
            <w:r>
              <w:rPr>
                <w:rFonts w:ascii="Times New Roman" w:hAnsi="Times New Roman" w:eastAsia="宋体" w:cs="Cambria Math"/>
                <w:bCs/>
                <w:szCs w:val="18"/>
              </w:rPr>
              <w:t>小写</w:t>
            </w:r>
            <w:r>
              <w:rPr>
                <w:rFonts w:hint="eastAsia" w:ascii="Times New Roman" w:hAnsi="Times New Roman" w:eastAsia="宋体" w:cs="Cambria Math"/>
                <w:bCs/>
                <w:szCs w:val="18"/>
              </w:rPr>
              <w:t xml:space="preserve">：            </w:t>
            </w:r>
            <w:r>
              <w:rPr>
                <w:rFonts w:ascii="Times New Roman" w:hAnsi="Times New Roman" w:eastAsia="宋体" w:cs="Cambria Math"/>
                <w:bCs/>
                <w:szCs w:val="18"/>
              </w:rPr>
              <w:t>人民币</w:t>
            </w:r>
          </w:p>
          <w:p w14:paraId="2303C42E">
            <w:pPr>
              <w:autoSpaceDE w:val="0"/>
              <w:autoSpaceDN w:val="0"/>
              <w:spacing w:line="360" w:lineRule="auto"/>
              <w:rPr>
                <w:rFonts w:ascii="Times New Roman" w:hAnsi="Times New Roman" w:eastAsia="宋体" w:cs="Cambria Math"/>
                <w:bCs/>
                <w:szCs w:val="18"/>
              </w:rPr>
            </w:pPr>
            <w:r>
              <w:rPr>
                <w:rFonts w:hint="eastAsia" w:ascii="Times New Roman" w:hAnsi="Times New Roman" w:eastAsia="宋体" w:cs="Cambria Math"/>
                <w:bCs/>
                <w:szCs w:val="18"/>
              </w:rPr>
              <w:t>大写：            人民币</w:t>
            </w:r>
          </w:p>
        </w:tc>
      </w:tr>
      <w:tr w14:paraId="6E88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7A9D07B1">
            <w:pPr>
              <w:autoSpaceDE w:val="0"/>
              <w:autoSpaceDN w:val="0"/>
              <w:spacing w:line="360" w:lineRule="auto"/>
              <w:jc w:val="center"/>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开具发票类型</w:t>
            </w:r>
          </w:p>
        </w:tc>
        <w:tc>
          <w:tcPr>
            <w:tcW w:w="5661" w:type="dxa"/>
            <w:tcBorders>
              <w:top w:val="single" w:color="auto" w:sz="4" w:space="0"/>
              <w:left w:val="single" w:color="auto" w:sz="4" w:space="0"/>
              <w:bottom w:val="single" w:color="auto" w:sz="4" w:space="0"/>
              <w:right w:val="single" w:color="auto" w:sz="4" w:space="0"/>
            </w:tcBorders>
            <w:noWrap/>
            <w:vAlign w:val="center"/>
          </w:tcPr>
          <w:p w14:paraId="3A3F434D">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税率为 %的增值税专用发票</w:t>
            </w:r>
          </w:p>
        </w:tc>
      </w:tr>
      <w:tr w14:paraId="2058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tcPr>
          <w:p w14:paraId="5627B082">
            <w:pPr>
              <w:autoSpaceDE w:val="0"/>
              <w:autoSpaceDN w:val="0"/>
              <w:spacing w:line="360" w:lineRule="auto"/>
              <w:ind w:firstLine="420" w:firstLineChars="2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备注：</w:t>
            </w:r>
          </w:p>
        </w:tc>
      </w:tr>
    </w:tbl>
    <w:p w14:paraId="47277201">
      <w:pPr>
        <w:autoSpaceDE w:val="0"/>
        <w:autoSpaceDN w:val="0"/>
        <w:spacing w:line="360" w:lineRule="auto"/>
        <w:ind w:firstLine="420" w:firstLineChars="200"/>
        <w:rPr>
          <w:rFonts w:ascii="Times New Roman" w:hAnsi="Times New Roman" w:eastAsia="宋体" w:cs="Cambria Math"/>
          <w:bCs/>
          <w:szCs w:val="18"/>
        </w:rPr>
      </w:pPr>
    </w:p>
    <w:p w14:paraId="360D1B50">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注：上述税率为推荐税率，因国家政策产生的特殊情况除外，若有税收优惠请附相关凭证。若遇国家税率调整，则保持不含税价不变，重新计算含税价格。</w:t>
      </w:r>
    </w:p>
    <w:p w14:paraId="6C6FBC56">
      <w:pPr>
        <w:autoSpaceDE w:val="0"/>
        <w:autoSpaceDN w:val="0"/>
        <w:spacing w:line="360" w:lineRule="auto"/>
        <w:ind w:firstLine="420" w:firstLineChars="200"/>
        <w:rPr>
          <w:rFonts w:ascii="Times New Roman" w:hAnsi="Times New Roman" w:eastAsia="宋体" w:cs="Cambria Math"/>
          <w:bCs/>
          <w:szCs w:val="18"/>
        </w:rPr>
      </w:pPr>
      <w:r>
        <w:rPr>
          <w:rFonts w:hint="eastAsia" w:ascii="宋体" w:hAnsi="宋体" w:eastAsia="宋体" w:cs="Cambria Math"/>
          <w:bCs/>
          <w:snapToGrid w:val="0"/>
          <w:szCs w:val="24"/>
        </w:rPr>
        <w:t>债项评级包干价</w:t>
      </w:r>
      <w:r>
        <w:rPr>
          <w:rFonts w:ascii="Times New Roman" w:hAnsi="Times New Roman" w:eastAsia="宋体" w:cs="Cambria Math"/>
          <w:bCs/>
          <w:szCs w:val="18"/>
        </w:rPr>
        <w:t>，为</w:t>
      </w:r>
      <w:r>
        <w:rPr>
          <w:rFonts w:hint="eastAsia" w:ascii="Times New Roman" w:hAnsi="Times New Roman" w:eastAsia="宋体" w:cs="Cambria Math"/>
          <w:bCs/>
          <w:szCs w:val="18"/>
          <w:lang w:eastAsia="zh-CN"/>
        </w:rPr>
        <w:t>一支债劵的</w:t>
      </w:r>
      <w:r>
        <w:rPr>
          <w:rFonts w:ascii="Times New Roman" w:hAnsi="Times New Roman" w:eastAsia="宋体" w:cs="Cambria Math"/>
          <w:bCs/>
          <w:szCs w:val="18"/>
        </w:rPr>
        <w:t>首评费用</w:t>
      </w:r>
      <w:r>
        <w:rPr>
          <w:rFonts w:hint="eastAsia" w:ascii="Times New Roman" w:hAnsi="Times New Roman" w:eastAsia="宋体" w:cs="Cambria Math"/>
          <w:bCs/>
          <w:szCs w:val="18"/>
        </w:rPr>
        <w:t>+跟评费用*债券期限（以3年为例）</w:t>
      </w:r>
    </w:p>
    <w:p w14:paraId="4C43B0F6">
      <w:pPr>
        <w:autoSpaceDE w:val="0"/>
        <w:autoSpaceDN w:val="0"/>
        <w:spacing w:line="360" w:lineRule="auto"/>
        <w:ind w:firstLine="420" w:firstLineChars="200"/>
        <w:rPr>
          <w:rFonts w:ascii="Times New Roman" w:hAnsi="Times New Roman" w:eastAsia="宋体" w:cs="Cambria Math"/>
          <w:bCs/>
          <w:snapToGrid w:val="0"/>
          <w:szCs w:val="18"/>
        </w:rPr>
      </w:pPr>
      <w:r>
        <w:rPr>
          <w:rFonts w:hint="eastAsia" w:ascii="Times New Roman" w:hAnsi="Times New Roman" w:eastAsia="宋体" w:cs="Cambria Math"/>
          <w:bCs/>
          <w:snapToGrid w:val="0"/>
          <w:szCs w:val="18"/>
        </w:rPr>
        <w:t>除非市场发生重大变化，后续每期项目发行实际费用不得高于此响应报价。</w:t>
      </w:r>
    </w:p>
    <w:p w14:paraId="1DBAA075">
      <w:pPr>
        <w:autoSpaceDE w:val="0"/>
        <w:autoSpaceDN w:val="0"/>
        <w:spacing w:line="360" w:lineRule="auto"/>
        <w:ind w:firstLine="420" w:firstLineChars="200"/>
        <w:rPr>
          <w:rFonts w:ascii="Times New Roman" w:hAnsi="Times New Roman" w:eastAsia="宋体" w:cs="Cambria Math"/>
          <w:bCs/>
          <w:szCs w:val="18"/>
        </w:rPr>
      </w:pPr>
    </w:p>
    <w:p w14:paraId="6DF856A2">
      <w:pPr>
        <w:autoSpaceDE w:val="0"/>
        <w:autoSpaceDN w:val="0"/>
        <w:spacing w:line="360" w:lineRule="auto"/>
        <w:ind w:left="3360" w:firstLine="420"/>
        <w:jc w:val="center"/>
        <w:rPr>
          <w:rFonts w:ascii="Times New Roman" w:hAnsi="Times New Roman" w:eastAsia="宋体" w:cs="Cambria Math"/>
          <w:bCs/>
          <w:snapToGrid w:val="0"/>
          <w:kern w:val="0"/>
          <w:szCs w:val="24"/>
        </w:rPr>
      </w:pPr>
      <w:r>
        <w:rPr>
          <w:rFonts w:hint="eastAsia" w:ascii="Times New Roman" w:hAnsi="Times New Roman" w:eastAsia="宋体" w:cs="等线 Light"/>
          <w:bCs/>
          <w:snapToGrid w:val="0"/>
          <w:kern w:val="0"/>
          <w:szCs w:val="24"/>
        </w:rPr>
        <w:t>响应人</w:t>
      </w:r>
      <w:r>
        <w:rPr>
          <w:rFonts w:hint="eastAsia" w:ascii="Times New Roman" w:hAnsi="Times New Roman" w:eastAsia="宋体" w:cs="Cambria Math"/>
          <w:bCs/>
          <w:snapToGrid w:val="0"/>
          <w:kern w:val="0"/>
          <w:szCs w:val="24"/>
        </w:rPr>
        <w:t>：</w:t>
      </w:r>
    </w:p>
    <w:p w14:paraId="515BE40F">
      <w:pPr>
        <w:autoSpaceDE w:val="0"/>
        <w:autoSpaceDN w:val="0"/>
        <w:spacing w:line="360" w:lineRule="auto"/>
        <w:ind w:left="4620" w:firstLine="420"/>
        <w:jc w:val="center"/>
        <w:rPr>
          <w:rFonts w:ascii="Times New Roman" w:hAnsi="Times New Roman" w:eastAsia="宋体" w:cs="Cambria Math"/>
          <w:bCs/>
          <w:snapToGrid w:val="0"/>
          <w:kern w:val="0"/>
          <w:szCs w:val="24"/>
        </w:rPr>
      </w:pPr>
      <w:r>
        <w:rPr>
          <w:rFonts w:hint="eastAsia" w:ascii="Times New Roman" w:hAnsi="Times New Roman" w:eastAsia="宋体" w:cs="Cambria Math"/>
          <w:bCs/>
          <w:snapToGrid w:val="0"/>
          <w:kern w:val="0"/>
          <w:szCs w:val="24"/>
        </w:rPr>
        <w:t xml:space="preserve">（公章）      </w:t>
      </w:r>
    </w:p>
    <w:p w14:paraId="62D61D8F">
      <w:pPr>
        <w:autoSpaceDE w:val="0"/>
        <w:autoSpaceDN w:val="0"/>
        <w:spacing w:line="360" w:lineRule="auto"/>
        <w:ind w:right="-29" w:rightChars="-14" w:firstLine="420" w:firstLineChars="200"/>
        <w:jc w:val="right"/>
        <w:rPr>
          <w:rFonts w:ascii="Times New Roman" w:hAnsi="Times New Roman" w:eastAsia="宋体" w:cs="Cambria Math"/>
          <w:bCs/>
          <w:snapToGrid w:val="0"/>
          <w:kern w:val="0"/>
          <w:szCs w:val="24"/>
        </w:rPr>
      </w:pPr>
      <w:r>
        <w:rPr>
          <w:rFonts w:hint="eastAsia" w:ascii="Times New Roman" w:hAnsi="Times New Roman" w:eastAsia="宋体" w:cs="Cambria Math"/>
          <w:bCs/>
          <w:snapToGrid w:val="0"/>
          <w:kern w:val="0"/>
          <w:szCs w:val="24"/>
        </w:rPr>
        <w:t xml:space="preserve">       年     月     日</w:t>
      </w:r>
    </w:p>
    <w:p w14:paraId="27A2D2D1">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有关说明：</w:t>
      </w:r>
    </w:p>
    <w:p w14:paraId="2B666217">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报价一览表在开标大会上当众宣读，务必填写清楚，准确无误。表格可扩展。</w:t>
      </w:r>
    </w:p>
    <w:p w14:paraId="38DF4E97">
      <w:pPr>
        <w:autoSpaceDE w:val="0"/>
        <w:autoSpaceDN w:val="0"/>
        <w:spacing w:line="360" w:lineRule="auto"/>
        <w:ind w:firstLine="420" w:firstLineChars="200"/>
        <w:rPr>
          <w:rFonts w:ascii="Times New Roman" w:hAnsi="Times New Roman" w:eastAsia="宋体" w:cs="Cambria Math"/>
          <w:bCs/>
          <w:szCs w:val="18"/>
        </w:rPr>
      </w:pPr>
    </w:p>
    <w:p w14:paraId="4B88878B">
      <w:pPr>
        <w:autoSpaceDE w:val="0"/>
        <w:autoSpaceDN w:val="0"/>
        <w:spacing w:line="360" w:lineRule="auto"/>
        <w:ind w:firstLine="420" w:firstLineChars="200"/>
        <w:rPr>
          <w:rFonts w:ascii="Times New Roman" w:hAnsi="Times New Roman" w:eastAsia="宋体" w:cs="Cambria Math"/>
          <w:bCs/>
          <w:szCs w:val="18"/>
        </w:rPr>
      </w:pPr>
      <w:r>
        <w:rPr>
          <w:rFonts w:ascii="Times New Roman" w:hAnsi="Times New Roman" w:eastAsia="宋体" w:cs="Cambria Math"/>
          <w:bCs/>
          <w:szCs w:val="18"/>
        </w:rPr>
        <w:br w:type="page"/>
      </w:r>
    </w:p>
    <w:p w14:paraId="367133DA">
      <w:pPr>
        <w:autoSpaceDE w:val="0"/>
        <w:autoSpaceDN w:val="0"/>
        <w:spacing w:line="360" w:lineRule="auto"/>
        <w:jc w:val="center"/>
        <w:outlineLvl w:val="1"/>
        <w:rPr>
          <w:rFonts w:ascii="Times New Roman" w:hAnsi="Times New Roman" w:eastAsia="宋体" w:cs="Cambria Math"/>
          <w:b/>
          <w:bCs/>
          <w:sz w:val="28"/>
          <w:szCs w:val="18"/>
        </w:rPr>
      </w:pPr>
      <w:r>
        <w:rPr>
          <w:rFonts w:ascii="Times New Roman" w:hAnsi="Times New Roman" w:eastAsia="宋体" w:cs="Cambria Math"/>
          <w:b/>
          <w:bCs/>
          <w:sz w:val="28"/>
          <w:szCs w:val="18"/>
        </w:rPr>
        <w:t>三、资格性文件</w:t>
      </w:r>
    </w:p>
    <w:p w14:paraId="4D136E55">
      <w:pPr>
        <w:autoSpaceDE w:val="0"/>
        <w:autoSpaceDN w:val="0"/>
        <w:spacing w:line="360" w:lineRule="auto"/>
        <w:jc w:val="center"/>
        <w:outlineLvl w:val="2"/>
        <w:rPr>
          <w:rFonts w:ascii="Times New Roman" w:hAnsi="Times New Roman" w:eastAsia="宋体" w:cs="Cambria Math"/>
          <w:bCs/>
          <w:szCs w:val="32"/>
        </w:rPr>
      </w:pPr>
      <w:r>
        <w:rPr>
          <w:rFonts w:ascii="Times New Roman" w:hAnsi="Times New Roman" w:eastAsia="宋体" w:cs="Cambria Math"/>
          <w:bCs/>
          <w:szCs w:val="32"/>
        </w:rPr>
        <w:t>（一）</w:t>
      </w:r>
      <w:r>
        <w:rPr>
          <w:rFonts w:hint="eastAsia" w:ascii="Times New Roman" w:hAnsi="Times New Roman" w:eastAsia="宋体" w:cs="Cambria Math"/>
          <w:bCs/>
          <w:szCs w:val="32"/>
        </w:rPr>
        <w:t>响应人</w:t>
      </w:r>
      <w:r>
        <w:rPr>
          <w:rFonts w:ascii="Times New Roman" w:hAnsi="Times New Roman" w:eastAsia="宋体" w:cs="Cambria Math"/>
          <w:bCs/>
          <w:szCs w:val="32"/>
        </w:rPr>
        <w:t>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1252"/>
        <w:gridCol w:w="1325"/>
        <w:gridCol w:w="176"/>
        <w:gridCol w:w="723"/>
        <w:gridCol w:w="758"/>
      </w:tblGrid>
      <w:tr w14:paraId="2442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D786970">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响应人名称</w:t>
            </w:r>
          </w:p>
        </w:tc>
        <w:tc>
          <w:tcPr>
            <w:tcW w:w="7114" w:type="dxa"/>
            <w:gridSpan w:val="7"/>
          </w:tcPr>
          <w:p w14:paraId="39822722">
            <w:pPr>
              <w:autoSpaceDE w:val="0"/>
              <w:autoSpaceDN w:val="0"/>
              <w:rPr>
                <w:rFonts w:ascii="Times New Roman" w:hAnsi="Times New Roman" w:eastAsia="宋体" w:cs="Cambria Math"/>
                <w:bCs/>
                <w:szCs w:val="18"/>
              </w:rPr>
            </w:pPr>
          </w:p>
        </w:tc>
      </w:tr>
      <w:tr w14:paraId="730E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6A2E2DF">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注册地址</w:t>
            </w:r>
          </w:p>
        </w:tc>
        <w:tc>
          <w:tcPr>
            <w:tcW w:w="4132" w:type="dxa"/>
            <w:gridSpan w:val="3"/>
            <w:tcBorders>
              <w:top w:val="single" w:color="auto" w:sz="4" w:space="0"/>
              <w:left w:val="single" w:color="auto" w:sz="4" w:space="0"/>
              <w:right w:val="single" w:color="auto" w:sz="4" w:space="0"/>
            </w:tcBorders>
          </w:tcPr>
          <w:p w14:paraId="67E51B4C">
            <w:pPr>
              <w:autoSpaceDE w:val="0"/>
              <w:autoSpaceDN w:val="0"/>
              <w:rPr>
                <w:rFonts w:ascii="Times New Roman" w:hAnsi="Times New Roman" w:eastAsia="宋体" w:cs="Cambria Math"/>
                <w:bCs/>
                <w:szCs w:val="18"/>
              </w:rPr>
            </w:pPr>
          </w:p>
        </w:tc>
        <w:tc>
          <w:tcPr>
            <w:tcW w:w="1325" w:type="dxa"/>
            <w:tcBorders>
              <w:top w:val="single" w:color="auto" w:sz="4" w:space="0"/>
              <w:left w:val="single" w:color="auto" w:sz="4" w:space="0"/>
              <w:right w:val="single" w:color="auto" w:sz="4" w:space="0"/>
            </w:tcBorders>
            <w:vAlign w:val="center"/>
          </w:tcPr>
          <w:p w14:paraId="1AD42F4F">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邮政编码</w:t>
            </w:r>
          </w:p>
        </w:tc>
        <w:tc>
          <w:tcPr>
            <w:tcW w:w="1657" w:type="dxa"/>
            <w:gridSpan w:val="3"/>
          </w:tcPr>
          <w:p w14:paraId="2EACD9DA">
            <w:pPr>
              <w:autoSpaceDE w:val="0"/>
              <w:autoSpaceDN w:val="0"/>
              <w:rPr>
                <w:rFonts w:ascii="Times New Roman" w:hAnsi="Times New Roman" w:eastAsia="宋体" w:cs="Cambria Math"/>
                <w:bCs/>
                <w:szCs w:val="18"/>
              </w:rPr>
            </w:pPr>
          </w:p>
        </w:tc>
      </w:tr>
      <w:tr w14:paraId="738D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805A370">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联系方式</w:t>
            </w:r>
          </w:p>
        </w:tc>
        <w:tc>
          <w:tcPr>
            <w:tcW w:w="1077" w:type="dxa"/>
            <w:tcBorders>
              <w:top w:val="single" w:color="auto" w:sz="4" w:space="0"/>
              <w:left w:val="single" w:color="auto" w:sz="4" w:space="0"/>
              <w:right w:val="single" w:color="auto" w:sz="4" w:space="0"/>
            </w:tcBorders>
            <w:vAlign w:val="center"/>
          </w:tcPr>
          <w:p w14:paraId="05924B52">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联系人</w:t>
            </w:r>
          </w:p>
        </w:tc>
        <w:tc>
          <w:tcPr>
            <w:tcW w:w="3055" w:type="dxa"/>
            <w:gridSpan w:val="2"/>
            <w:tcBorders>
              <w:top w:val="single" w:color="auto" w:sz="4" w:space="0"/>
              <w:left w:val="single" w:color="auto" w:sz="4" w:space="0"/>
              <w:right w:val="single" w:color="auto" w:sz="4" w:space="0"/>
            </w:tcBorders>
          </w:tcPr>
          <w:p w14:paraId="4A4DEAC1">
            <w:pPr>
              <w:autoSpaceDE w:val="0"/>
              <w:autoSpaceDN w:val="0"/>
              <w:rPr>
                <w:rFonts w:ascii="Times New Roman" w:hAnsi="Times New Roman" w:eastAsia="宋体" w:cs="Cambria Math"/>
                <w:bCs/>
                <w:szCs w:val="18"/>
              </w:rPr>
            </w:pPr>
          </w:p>
        </w:tc>
        <w:tc>
          <w:tcPr>
            <w:tcW w:w="1325" w:type="dxa"/>
            <w:tcBorders>
              <w:top w:val="single" w:color="auto" w:sz="4" w:space="0"/>
              <w:left w:val="single" w:color="auto" w:sz="4" w:space="0"/>
              <w:right w:val="single" w:color="auto" w:sz="4" w:space="0"/>
            </w:tcBorders>
            <w:vAlign w:val="center"/>
          </w:tcPr>
          <w:p w14:paraId="64048680">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电话</w:t>
            </w:r>
          </w:p>
        </w:tc>
        <w:tc>
          <w:tcPr>
            <w:tcW w:w="1657" w:type="dxa"/>
            <w:gridSpan w:val="3"/>
          </w:tcPr>
          <w:p w14:paraId="32B3E781">
            <w:pPr>
              <w:autoSpaceDE w:val="0"/>
              <w:autoSpaceDN w:val="0"/>
              <w:rPr>
                <w:rFonts w:ascii="Times New Roman" w:hAnsi="Times New Roman" w:eastAsia="宋体" w:cs="Cambria Math"/>
                <w:bCs/>
                <w:szCs w:val="18"/>
              </w:rPr>
            </w:pPr>
          </w:p>
        </w:tc>
      </w:tr>
      <w:tr w14:paraId="60CF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2FA39FA9">
            <w:pPr>
              <w:autoSpaceDE w:val="0"/>
              <w:autoSpaceDN w:val="0"/>
              <w:rPr>
                <w:rFonts w:ascii="Times New Roman" w:hAnsi="Times New Roman" w:eastAsia="宋体" w:cs="Cambria Math"/>
                <w:bCs/>
                <w:szCs w:val="18"/>
              </w:rPr>
            </w:pPr>
          </w:p>
        </w:tc>
        <w:tc>
          <w:tcPr>
            <w:tcW w:w="1077" w:type="dxa"/>
            <w:tcBorders>
              <w:top w:val="single" w:color="auto" w:sz="4" w:space="0"/>
              <w:left w:val="single" w:color="auto" w:sz="4" w:space="0"/>
              <w:right w:val="single" w:color="auto" w:sz="4" w:space="0"/>
            </w:tcBorders>
            <w:vAlign w:val="center"/>
          </w:tcPr>
          <w:p w14:paraId="0E16C7F2">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传真</w:t>
            </w:r>
          </w:p>
        </w:tc>
        <w:tc>
          <w:tcPr>
            <w:tcW w:w="3055" w:type="dxa"/>
            <w:gridSpan w:val="2"/>
            <w:tcBorders>
              <w:top w:val="single" w:color="auto" w:sz="4" w:space="0"/>
              <w:left w:val="single" w:color="auto" w:sz="4" w:space="0"/>
              <w:right w:val="single" w:color="auto" w:sz="4" w:space="0"/>
            </w:tcBorders>
          </w:tcPr>
          <w:p w14:paraId="085BE62C">
            <w:pPr>
              <w:autoSpaceDE w:val="0"/>
              <w:autoSpaceDN w:val="0"/>
              <w:rPr>
                <w:rFonts w:ascii="Times New Roman" w:hAnsi="Times New Roman" w:eastAsia="宋体" w:cs="Cambria Math"/>
                <w:bCs/>
                <w:szCs w:val="18"/>
              </w:rPr>
            </w:pPr>
          </w:p>
        </w:tc>
        <w:tc>
          <w:tcPr>
            <w:tcW w:w="1325" w:type="dxa"/>
            <w:tcBorders>
              <w:top w:val="single" w:color="auto" w:sz="4" w:space="0"/>
              <w:left w:val="single" w:color="auto" w:sz="4" w:space="0"/>
              <w:right w:val="single" w:color="auto" w:sz="4" w:space="0"/>
            </w:tcBorders>
            <w:vAlign w:val="center"/>
          </w:tcPr>
          <w:p w14:paraId="3CEB10A8">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网址</w:t>
            </w:r>
          </w:p>
        </w:tc>
        <w:tc>
          <w:tcPr>
            <w:tcW w:w="1657" w:type="dxa"/>
            <w:gridSpan w:val="3"/>
          </w:tcPr>
          <w:p w14:paraId="63BD41E3">
            <w:pPr>
              <w:autoSpaceDE w:val="0"/>
              <w:autoSpaceDN w:val="0"/>
              <w:rPr>
                <w:rFonts w:ascii="Times New Roman" w:hAnsi="Times New Roman" w:eastAsia="宋体" w:cs="Cambria Math"/>
                <w:bCs/>
                <w:szCs w:val="18"/>
              </w:rPr>
            </w:pPr>
          </w:p>
        </w:tc>
      </w:tr>
      <w:tr w14:paraId="137D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DD10D17">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组织结构</w:t>
            </w:r>
          </w:p>
        </w:tc>
        <w:tc>
          <w:tcPr>
            <w:tcW w:w="7114" w:type="dxa"/>
            <w:gridSpan w:val="7"/>
            <w:vAlign w:val="center"/>
          </w:tcPr>
          <w:p w14:paraId="4E44516B">
            <w:pPr>
              <w:autoSpaceDE w:val="0"/>
              <w:autoSpaceDN w:val="0"/>
              <w:rPr>
                <w:rFonts w:ascii="Times New Roman" w:hAnsi="Times New Roman" w:eastAsia="宋体" w:cs="Cambria Math"/>
                <w:bCs/>
                <w:szCs w:val="18"/>
              </w:rPr>
            </w:pPr>
          </w:p>
        </w:tc>
      </w:tr>
      <w:tr w14:paraId="1575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210281F">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法定代表人/分支机构负责人</w:t>
            </w:r>
          </w:p>
        </w:tc>
        <w:tc>
          <w:tcPr>
            <w:tcW w:w="1077" w:type="dxa"/>
            <w:tcBorders>
              <w:top w:val="single" w:color="auto" w:sz="4" w:space="0"/>
              <w:left w:val="single" w:color="auto" w:sz="4" w:space="0"/>
              <w:right w:val="single" w:color="auto" w:sz="4" w:space="0"/>
            </w:tcBorders>
            <w:vAlign w:val="center"/>
          </w:tcPr>
          <w:p w14:paraId="0C0C77C1">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姓名</w:t>
            </w:r>
          </w:p>
        </w:tc>
        <w:tc>
          <w:tcPr>
            <w:tcW w:w="1803" w:type="dxa"/>
            <w:tcBorders>
              <w:top w:val="single" w:color="auto" w:sz="4" w:space="0"/>
              <w:left w:val="single" w:color="auto" w:sz="4" w:space="0"/>
              <w:right w:val="single" w:color="auto" w:sz="4" w:space="0"/>
            </w:tcBorders>
          </w:tcPr>
          <w:p w14:paraId="49FA3F58">
            <w:pPr>
              <w:autoSpaceDE w:val="0"/>
              <w:autoSpaceDN w:val="0"/>
              <w:rPr>
                <w:rFonts w:ascii="Times New Roman" w:hAnsi="Times New Roman" w:eastAsia="宋体" w:cs="Cambria Math"/>
                <w:bCs/>
                <w:szCs w:val="18"/>
              </w:rPr>
            </w:pPr>
          </w:p>
        </w:tc>
        <w:tc>
          <w:tcPr>
            <w:tcW w:w="1252" w:type="dxa"/>
            <w:tcBorders>
              <w:top w:val="single" w:color="auto" w:sz="4" w:space="0"/>
              <w:left w:val="single" w:color="auto" w:sz="4" w:space="0"/>
              <w:right w:val="single" w:color="auto" w:sz="4" w:space="0"/>
            </w:tcBorders>
            <w:vAlign w:val="center"/>
          </w:tcPr>
          <w:p w14:paraId="6F0E9E49">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技术职称</w:t>
            </w:r>
          </w:p>
        </w:tc>
        <w:tc>
          <w:tcPr>
            <w:tcW w:w="1501" w:type="dxa"/>
            <w:gridSpan w:val="2"/>
            <w:tcBorders>
              <w:top w:val="single" w:color="auto" w:sz="4" w:space="0"/>
              <w:left w:val="single" w:color="auto" w:sz="4" w:space="0"/>
              <w:right w:val="single" w:color="auto" w:sz="4" w:space="0"/>
            </w:tcBorders>
            <w:vAlign w:val="center"/>
          </w:tcPr>
          <w:p w14:paraId="5D2CF7BD">
            <w:pPr>
              <w:autoSpaceDE w:val="0"/>
              <w:autoSpaceDN w:val="0"/>
              <w:rPr>
                <w:rFonts w:ascii="Times New Roman" w:hAnsi="Times New Roman" w:eastAsia="宋体" w:cs="Cambria Math"/>
                <w:bCs/>
                <w:szCs w:val="18"/>
              </w:rPr>
            </w:pPr>
          </w:p>
        </w:tc>
        <w:tc>
          <w:tcPr>
            <w:tcW w:w="723" w:type="dxa"/>
            <w:tcBorders>
              <w:top w:val="single" w:color="auto" w:sz="4" w:space="0"/>
              <w:left w:val="single" w:color="auto" w:sz="4" w:space="0"/>
              <w:right w:val="single" w:color="auto" w:sz="4" w:space="0"/>
            </w:tcBorders>
            <w:vAlign w:val="center"/>
          </w:tcPr>
          <w:p w14:paraId="4EA2F22E">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电话</w:t>
            </w:r>
          </w:p>
        </w:tc>
        <w:tc>
          <w:tcPr>
            <w:tcW w:w="758" w:type="dxa"/>
          </w:tcPr>
          <w:p w14:paraId="1FA27A24">
            <w:pPr>
              <w:autoSpaceDE w:val="0"/>
              <w:autoSpaceDN w:val="0"/>
              <w:rPr>
                <w:rFonts w:ascii="Times New Roman" w:hAnsi="Times New Roman" w:eastAsia="宋体" w:cs="Cambria Math"/>
                <w:bCs/>
                <w:szCs w:val="18"/>
              </w:rPr>
            </w:pPr>
          </w:p>
        </w:tc>
      </w:tr>
      <w:tr w14:paraId="3C38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09D1035">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技术负责人</w:t>
            </w:r>
          </w:p>
        </w:tc>
        <w:tc>
          <w:tcPr>
            <w:tcW w:w="1077" w:type="dxa"/>
            <w:tcBorders>
              <w:top w:val="single" w:color="auto" w:sz="4" w:space="0"/>
              <w:left w:val="single" w:color="auto" w:sz="4" w:space="0"/>
              <w:right w:val="single" w:color="auto" w:sz="4" w:space="0"/>
            </w:tcBorders>
            <w:vAlign w:val="center"/>
          </w:tcPr>
          <w:p w14:paraId="2D78DC50">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姓名</w:t>
            </w:r>
          </w:p>
        </w:tc>
        <w:tc>
          <w:tcPr>
            <w:tcW w:w="1803" w:type="dxa"/>
            <w:tcBorders>
              <w:top w:val="single" w:color="auto" w:sz="4" w:space="0"/>
              <w:left w:val="single" w:color="auto" w:sz="4" w:space="0"/>
              <w:right w:val="single" w:color="auto" w:sz="4" w:space="0"/>
            </w:tcBorders>
          </w:tcPr>
          <w:p w14:paraId="36F8C0D1">
            <w:pPr>
              <w:autoSpaceDE w:val="0"/>
              <w:autoSpaceDN w:val="0"/>
              <w:rPr>
                <w:rFonts w:ascii="Times New Roman" w:hAnsi="Times New Roman" w:eastAsia="宋体" w:cs="Cambria Math"/>
                <w:bCs/>
                <w:szCs w:val="18"/>
              </w:rPr>
            </w:pPr>
          </w:p>
        </w:tc>
        <w:tc>
          <w:tcPr>
            <w:tcW w:w="1252" w:type="dxa"/>
            <w:tcBorders>
              <w:top w:val="single" w:color="auto" w:sz="4" w:space="0"/>
              <w:left w:val="single" w:color="auto" w:sz="4" w:space="0"/>
              <w:right w:val="single" w:color="auto" w:sz="4" w:space="0"/>
            </w:tcBorders>
            <w:vAlign w:val="center"/>
          </w:tcPr>
          <w:p w14:paraId="338B2EB6">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技术职称</w:t>
            </w:r>
          </w:p>
        </w:tc>
        <w:tc>
          <w:tcPr>
            <w:tcW w:w="1501" w:type="dxa"/>
            <w:gridSpan w:val="2"/>
            <w:tcBorders>
              <w:top w:val="single" w:color="auto" w:sz="4" w:space="0"/>
              <w:left w:val="single" w:color="auto" w:sz="4" w:space="0"/>
              <w:right w:val="single" w:color="auto" w:sz="4" w:space="0"/>
            </w:tcBorders>
            <w:vAlign w:val="center"/>
          </w:tcPr>
          <w:p w14:paraId="087F969E">
            <w:pPr>
              <w:autoSpaceDE w:val="0"/>
              <w:autoSpaceDN w:val="0"/>
              <w:rPr>
                <w:rFonts w:ascii="Times New Roman" w:hAnsi="Times New Roman" w:eastAsia="宋体" w:cs="Cambria Math"/>
                <w:bCs/>
                <w:szCs w:val="18"/>
              </w:rPr>
            </w:pPr>
          </w:p>
        </w:tc>
        <w:tc>
          <w:tcPr>
            <w:tcW w:w="723" w:type="dxa"/>
            <w:tcBorders>
              <w:top w:val="single" w:color="auto" w:sz="4" w:space="0"/>
              <w:left w:val="single" w:color="auto" w:sz="4" w:space="0"/>
              <w:right w:val="single" w:color="auto" w:sz="4" w:space="0"/>
            </w:tcBorders>
            <w:vAlign w:val="center"/>
          </w:tcPr>
          <w:p w14:paraId="3299D418">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电话</w:t>
            </w:r>
          </w:p>
        </w:tc>
        <w:tc>
          <w:tcPr>
            <w:tcW w:w="758" w:type="dxa"/>
          </w:tcPr>
          <w:p w14:paraId="5ABAA606">
            <w:pPr>
              <w:autoSpaceDE w:val="0"/>
              <w:autoSpaceDN w:val="0"/>
              <w:rPr>
                <w:rFonts w:ascii="Times New Roman" w:hAnsi="Times New Roman" w:eastAsia="宋体" w:cs="Cambria Math"/>
                <w:bCs/>
                <w:szCs w:val="18"/>
              </w:rPr>
            </w:pPr>
          </w:p>
        </w:tc>
      </w:tr>
      <w:tr w14:paraId="3605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E55D8C4">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成立时间</w:t>
            </w:r>
          </w:p>
        </w:tc>
        <w:tc>
          <w:tcPr>
            <w:tcW w:w="2880" w:type="dxa"/>
            <w:gridSpan w:val="2"/>
            <w:tcBorders>
              <w:top w:val="single" w:color="auto" w:sz="4" w:space="0"/>
              <w:left w:val="single" w:color="auto" w:sz="4" w:space="0"/>
              <w:right w:val="single" w:color="auto" w:sz="4" w:space="0"/>
            </w:tcBorders>
          </w:tcPr>
          <w:p w14:paraId="6E723AD9">
            <w:pPr>
              <w:autoSpaceDE w:val="0"/>
              <w:autoSpaceDN w:val="0"/>
              <w:rPr>
                <w:rFonts w:ascii="Times New Roman" w:hAnsi="Times New Roman" w:eastAsia="宋体" w:cs="Cambria Math"/>
                <w:bCs/>
                <w:szCs w:val="18"/>
              </w:rPr>
            </w:pPr>
          </w:p>
        </w:tc>
        <w:tc>
          <w:tcPr>
            <w:tcW w:w="4234" w:type="dxa"/>
            <w:gridSpan w:val="5"/>
          </w:tcPr>
          <w:p w14:paraId="14437F12">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员工总人数：</w:t>
            </w:r>
          </w:p>
        </w:tc>
      </w:tr>
      <w:tr w14:paraId="13ED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BA6C400">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企业资质等级</w:t>
            </w:r>
          </w:p>
        </w:tc>
        <w:tc>
          <w:tcPr>
            <w:tcW w:w="7114" w:type="dxa"/>
            <w:gridSpan w:val="7"/>
            <w:tcBorders>
              <w:top w:val="single" w:color="auto" w:sz="4" w:space="0"/>
              <w:left w:val="single" w:color="auto" w:sz="4" w:space="0"/>
            </w:tcBorders>
          </w:tcPr>
          <w:p w14:paraId="43BB8C79">
            <w:pPr>
              <w:autoSpaceDE w:val="0"/>
              <w:autoSpaceDN w:val="0"/>
              <w:rPr>
                <w:rFonts w:ascii="Times New Roman" w:hAnsi="Times New Roman" w:eastAsia="宋体" w:cs="Cambria Math"/>
                <w:bCs/>
                <w:szCs w:val="18"/>
              </w:rPr>
            </w:pPr>
          </w:p>
        </w:tc>
      </w:tr>
      <w:tr w14:paraId="058D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1906556">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营业执照号</w:t>
            </w:r>
          </w:p>
        </w:tc>
        <w:tc>
          <w:tcPr>
            <w:tcW w:w="7114" w:type="dxa"/>
            <w:gridSpan w:val="7"/>
            <w:tcBorders>
              <w:top w:val="single" w:color="auto" w:sz="4" w:space="0"/>
              <w:left w:val="single" w:color="auto" w:sz="4" w:space="0"/>
            </w:tcBorders>
          </w:tcPr>
          <w:p w14:paraId="1DD0039B">
            <w:pPr>
              <w:autoSpaceDE w:val="0"/>
              <w:autoSpaceDN w:val="0"/>
              <w:rPr>
                <w:rFonts w:ascii="Times New Roman" w:hAnsi="Times New Roman" w:eastAsia="宋体" w:cs="Cambria Math"/>
                <w:bCs/>
                <w:szCs w:val="18"/>
              </w:rPr>
            </w:pPr>
          </w:p>
        </w:tc>
      </w:tr>
      <w:tr w14:paraId="034E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4C305FE5">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注册资金</w:t>
            </w:r>
          </w:p>
        </w:tc>
        <w:tc>
          <w:tcPr>
            <w:tcW w:w="7114" w:type="dxa"/>
            <w:gridSpan w:val="7"/>
            <w:tcBorders>
              <w:top w:val="single" w:color="auto" w:sz="4" w:space="0"/>
              <w:left w:val="single" w:color="auto" w:sz="4" w:space="0"/>
            </w:tcBorders>
          </w:tcPr>
          <w:p w14:paraId="51A8EA04">
            <w:pPr>
              <w:autoSpaceDE w:val="0"/>
              <w:autoSpaceDN w:val="0"/>
              <w:rPr>
                <w:rFonts w:ascii="Times New Roman" w:hAnsi="Times New Roman" w:eastAsia="宋体" w:cs="Cambria Math"/>
                <w:bCs/>
                <w:szCs w:val="18"/>
              </w:rPr>
            </w:pPr>
          </w:p>
        </w:tc>
      </w:tr>
      <w:tr w14:paraId="56AA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D8181D5">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开户银行</w:t>
            </w:r>
          </w:p>
        </w:tc>
        <w:tc>
          <w:tcPr>
            <w:tcW w:w="7114" w:type="dxa"/>
            <w:gridSpan w:val="7"/>
            <w:tcBorders>
              <w:top w:val="single" w:color="auto" w:sz="4" w:space="0"/>
              <w:left w:val="single" w:color="auto" w:sz="4" w:space="0"/>
            </w:tcBorders>
          </w:tcPr>
          <w:p w14:paraId="66F55EBD">
            <w:pPr>
              <w:autoSpaceDE w:val="0"/>
              <w:autoSpaceDN w:val="0"/>
              <w:rPr>
                <w:rFonts w:ascii="Times New Roman" w:hAnsi="Times New Roman" w:eastAsia="宋体" w:cs="Cambria Math"/>
                <w:bCs/>
                <w:szCs w:val="18"/>
              </w:rPr>
            </w:pPr>
          </w:p>
        </w:tc>
      </w:tr>
      <w:tr w14:paraId="7D0A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C3BEFD7">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账号</w:t>
            </w:r>
          </w:p>
        </w:tc>
        <w:tc>
          <w:tcPr>
            <w:tcW w:w="7114" w:type="dxa"/>
            <w:gridSpan w:val="7"/>
            <w:tcBorders>
              <w:top w:val="single" w:color="auto" w:sz="4" w:space="0"/>
              <w:left w:val="single" w:color="auto" w:sz="4" w:space="0"/>
            </w:tcBorders>
          </w:tcPr>
          <w:p w14:paraId="0BC9215D">
            <w:pPr>
              <w:autoSpaceDE w:val="0"/>
              <w:autoSpaceDN w:val="0"/>
              <w:rPr>
                <w:rFonts w:ascii="Times New Roman" w:hAnsi="Times New Roman" w:eastAsia="宋体" w:cs="Cambria Math"/>
                <w:bCs/>
                <w:szCs w:val="18"/>
              </w:rPr>
            </w:pPr>
          </w:p>
        </w:tc>
      </w:tr>
      <w:tr w14:paraId="7862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7AEE3323">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经营范围</w:t>
            </w:r>
          </w:p>
        </w:tc>
        <w:tc>
          <w:tcPr>
            <w:tcW w:w="7114" w:type="dxa"/>
            <w:gridSpan w:val="7"/>
          </w:tcPr>
          <w:p w14:paraId="2501136C">
            <w:pPr>
              <w:autoSpaceDE w:val="0"/>
              <w:autoSpaceDN w:val="0"/>
              <w:rPr>
                <w:rFonts w:ascii="Times New Roman" w:hAnsi="Times New Roman" w:eastAsia="宋体" w:cs="Cambria Math"/>
                <w:bCs/>
                <w:szCs w:val="18"/>
              </w:rPr>
            </w:pPr>
          </w:p>
        </w:tc>
      </w:tr>
      <w:tr w14:paraId="50AE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28C1D36B">
            <w:pPr>
              <w:autoSpaceDE w:val="0"/>
              <w:autoSpaceDN w:val="0"/>
              <w:rPr>
                <w:rFonts w:ascii="Times New Roman" w:hAnsi="Times New Roman" w:eastAsia="宋体" w:cs="Cambria Math"/>
                <w:bCs/>
                <w:szCs w:val="18"/>
              </w:rPr>
            </w:pPr>
            <w:r>
              <w:rPr>
                <w:rFonts w:hint="eastAsia" w:ascii="Times New Roman" w:hAnsi="Times New Roman" w:eastAsia="宋体" w:cs="Cambria Math"/>
                <w:bCs/>
                <w:szCs w:val="18"/>
              </w:rPr>
              <w:t>备注</w:t>
            </w:r>
          </w:p>
        </w:tc>
        <w:tc>
          <w:tcPr>
            <w:tcW w:w="7114" w:type="dxa"/>
            <w:gridSpan w:val="7"/>
          </w:tcPr>
          <w:p w14:paraId="78BACDE2">
            <w:pPr>
              <w:autoSpaceDE w:val="0"/>
              <w:autoSpaceDN w:val="0"/>
              <w:rPr>
                <w:rFonts w:ascii="Times New Roman" w:hAnsi="Times New Roman" w:eastAsia="宋体" w:cs="Cambria Math"/>
                <w:bCs/>
                <w:szCs w:val="18"/>
              </w:rPr>
            </w:pPr>
          </w:p>
        </w:tc>
      </w:tr>
    </w:tbl>
    <w:p w14:paraId="7A85A0E7">
      <w:pPr>
        <w:autoSpaceDE w:val="0"/>
        <w:autoSpaceDN w:val="0"/>
        <w:spacing w:line="360" w:lineRule="auto"/>
        <w:ind w:firstLine="420" w:firstLineChars="200"/>
        <w:rPr>
          <w:rFonts w:ascii="Times New Roman" w:hAnsi="Times New Roman" w:eastAsia="宋体" w:cs="Cambria Math"/>
          <w:bCs/>
          <w:szCs w:val="18"/>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Cambria Math"/>
          <w:bCs/>
          <w:szCs w:val="18"/>
        </w:rPr>
        <w:t>注：附营业执照（副本）、总公司授权委托书、资质证明复印件等。</w:t>
      </w:r>
    </w:p>
    <w:p w14:paraId="51BE032E">
      <w:pPr>
        <w:autoSpaceDE w:val="0"/>
        <w:autoSpaceDN w:val="0"/>
        <w:spacing w:line="360" w:lineRule="auto"/>
        <w:jc w:val="center"/>
        <w:outlineLvl w:val="2"/>
        <w:rPr>
          <w:rFonts w:ascii="Times New Roman" w:hAnsi="Times New Roman" w:eastAsia="宋体" w:cs="Cambria Math"/>
          <w:bCs/>
          <w:szCs w:val="32"/>
        </w:rPr>
      </w:pPr>
      <w:r>
        <w:rPr>
          <w:rFonts w:ascii="Times New Roman" w:hAnsi="Times New Roman" w:eastAsia="宋体" w:cs="Cambria Math"/>
          <w:bCs/>
          <w:szCs w:val="32"/>
        </w:rPr>
        <w:t>（二）法定代表人</w:t>
      </w:r>
      <w:r>
        <w:rPr>
          <w:rFonts w:hint="eastAsia" w:ascii="Times New Roman" w:hAnsi="Times New Roman" w:eastAsia="宋体" w:cs="Cambria Math"/>
          <w:bCs/>
          <w:snapToGrid w:val="0"/>
          <w:kern w:val="0"/>
          <w:szCs w:val="32"/>
        </w:rPr>
        <w:t>/</w:t>
      </w:r>
      <w:r>
        <w:rPr>
          <w:rFonts w:hint="eastAsia" w:ascii="Times New Roman" w:hAnsi="Times New Roman" w:eastAsia="宋体" w:cs="Cambria Math"/>
          <w:bCs/>
          <w:szCs w:val="32"/>
        </w:rPr>
        <w:t>分支机构负责人</w:t>
      </w:r>
      <w:r>
        <w:rPr>
          <w:rFonts w:ascii="Times New Roman" w:hAnsi="Times New Roman" w:eastAsia="宋体" w:cs="Cambria Math"/>
          <w:bCs/>
          <w:szCs w:val="32"/>
        </w:rPr>
        <w:t>身份证明及授权委托书</w:t>
      </w:r>
      <w:r>
        <w:rPr>
          <w:rFonts w:hint="eastAsia" w:ascii="Times New Roman" w:hAnsi="Times New Roman" w:eastAsia="宋体" w:cs="Cambria Math"/>
          <w:bCs/>
          <w:szCs w:val="32"/>
        </w:rPr>
        <w:t>（含分支机构）</w:t>
      </w:r>
    </w:p>
    <w:p w14:paraId="51BE2BCE">
      <w:pPr>
        <w:tabs>
          <w:tab w:val="left" w:pos="6300"/>
        </w:tabs>
        <w:autoSpaceDE w:val="0"/>
        <w:autoSpaceDN w:val="0"/>
        <w:snapToGrid w:val="0"/>
        <w:spacing w:line="600" w:lineRule="exact"/>
        <w:jc w:val="center"/>
        <w:rPr>
          <w:rFonts w:ascii="Times New Roman" w:hAnsi="Times New Roman" w:eastAsia="宋体" w:cs="Cambria Math"/>
          <w:b/>
          <w:bCs/>
          <w:snapToGrid w:val="0"/>
          <w:kern w:val="0"/>
          <w:szCs w:val="18"/>
        </w:rPr>
      </w:pPr>
      <w:r>
        <w:rPr>
          <w:rFonts w:ascii="Times New Roman" w:hAnsi="Times New Roman" w:eastAsia="宋体" w:cs="Cambria Math"/>
          <w:b/>
          <w:bCs/>
          <w:snapToGrid w:val="0"/>
          <w:kern w:val="0"/>
          <w:szCs w:val="18"/>
        </w:rPr>
        <w:t>法定代表人/分支机构负责人身份证明书</w:t>
      </w:r>
    </w:p>
    <w:p w14:paraId="6D3E2480">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58D0BFF2">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项目名称：</w:t>
      </w:r>
      <w:r>
        <w:rPr>
          <w:rFonts w:hint="eastAsia" w:ascii="Times New Roman" w:hAnsi="Times New Roman" w:eastAsia="宋体" w:cs="Cambria Math"/>
          <w:bCs/>
          <w:snapToGrid w:val="0"/>
          <w:kern w:val="0"/>
          <w:szCs w:val="18"/>
          <w:u w:val="single"/>
        </w:rPr>
        <w:t>____________________</w:t>
      </w:r>
    </w:p>
    <w:p w14:paraId="6C10580E">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22C0C9E8">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致：</w:t>
      </w:r>
      <w:r>
        <w:rPr>
          <w:rFonts w:hint="eastAsia" w:ascii="Times New Roman" w:hAnsi="Times New Roman" w:eastAsia="宋体" w:cs="Cambria Math"/>
          <w:bCs/>
          <w:snapToGrid w:val="0"/>
          <w:kern w:val="0"/>
          <w:szCs w:val="18"/>
          <w:u w:val="single"/>
        </w:rPr>
        <w:t xml:space="preserve"> 重庆三峡银行股份有限公司  </w:t>
      </w:r>
      <w:r>
        <w:rPr>
          <w:rFonts w:hint="eastAsia" w:ascii="Times New Roman" w:hAnsi="Times New Roman" w:eastAsia="宋体" w:cs="Cambria Math"/>
          <w:bCs/>
          <w:snapToGrid w:val="0"/>
          <w:kern w:val="0"/>
          <w:szCs w:val="18"/>
        </w:rPr>
        <w:t>：</w:t>
      </w:r>
    </w:p>
    <w:p w14:paraId="314285ED">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w:t>
      </w:r>
      <w:r>
        <w:rPr>
          <w:rFonts w:hint="eastAsia" w:ascii="Times New Roman" w:hAnsi="Times New Roman" w:eastAsia="宋体" w:cs="Cambria"/>
          <w:bCs/>
          <w:snapToGrid w:val="0"/>
          <w:kern w:val="0"/>
          <w:szCs w:val="24"/>
        </w:rPr>
        <w:t>响应人</w:t>
      </w:r>
      <w:r>
        <w:rPr>
          <w:rFonts w:hint="eastAsia" w:ascii="Times New Roman" w:hAnsi="Times New Roman" w:eastAsia="宋体" w:cs="Cambria Math"/>
          <w:bCs/>
          <w:snapToGrid w:val="0"/>
          <w:kern w:val="0"/>
          <w:szCs w:val="18"/>
        </w:rPr>
        <w:t>法定代表人</w:t>
      </w:r>
      <w:r>
        <w:rPr>
          <w:rFonts w:hint="eastAsia" w:ascii="Times New Roman" w:hAnsi="Times New Roman" w:eastAsia="宋体" w:cs="Cambria Math"/>
          <w:bCs/>
          <w:szCs w:val="18"/>
        </w:rPr>
        <w:t>/分支机构负责人</w:t>
      </w:r>
      <w:r>
        <w:rPr>
          <w:rFonts w:hint="eastAsia" w:ascii="Times New Roman" w:hAnsi="Times New Roman" w:eastAsia="宋体" w:cs="Cambria Math"/>
          <w:bCs/>
          <w:snapToGrid w:val="0"/>
          <w:kern w:val="0"/>
          <w:szCs w:val="18"/>
        </w:rPr>
        <w:t>姓名）在（响应人名称）任（职务名称）职务，是（响应人名称）的法定代表人/</w:t>
      </w:r>
      <w:r>
        <w:rPr>
          <w:rFonts w:hint="eastAsia" w:ascii="Times New Roman" w:hAnsi="Times New Roman" w:eastAsia="宋体" w:cs="Cambria Math"/>
          <w:bCs/>
          <w:szCs w:val="18"/>
        </w:rPr>
        <w:t>分支机构负责人</w:t>
      </w:r>
      <w:r>
        <w:rPr>
          <w:rFonts w:hint="eastAsia" w:ascii="Times New Roman" w:hAnsi="Times New Roman" w:eastAsia="宋体" w:cs="Cambria Math"/>
          <w:bCs/>
          <w:snapToGrid w:val="0"/>
          <w:kern w:val="0"/>
          <w:szCs w:val="18"/>
        </w:rPr>
        <w:t>。</w:t>
      </w:r>
    </w:p>
    <w:p w14:paraId="5C5AAF51">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3C9D533B">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特此证明。</w:t>
      </w:r>
    </w:p>
    <w:p w14:paraId="1E5A3D7E">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6BB73A3D">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0564E29A">
      <w:pPr>
        <w:tabs>
          <w:tab w:val="left" w:pos="6300"/>
        </w:tabs>
        <w:autoSpaceDE w:val="0"/>
        <w:autoSpaceDN w:val="0"/>
        <w:snapToGrid w:val="0"/>
        <w:spacing w:line="360" w:lineRule="auto"/>
        <w:ind w:firstLine="5250" w:firstLineChars="25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响应人：</w:t>
      </w:r>
    </w:p>
    <w:p w14:paraId="07E4442E">
      <w:pPr>
        <w:tabs>
          <w:tab w:val="left" w:pos="6300"/>
        </w:tabs>
        <w:autoSpaceDE w:val="0"/>
        <w:autoSpaceDN w:val="0"/>
        <w:snapToGrid w:val="0"/>
        <w:spacing w:line="360" w:lineRule="auto"/>
        <w:ind w:firstLine="5040" w:firstLineChars="24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w:t>
      </w:r>
      <w:r>
        <w:rPr>
          <w:rFonts w:hint="eastAsia" w:ascii="Times New Roman" w:hAnsi="Times New Roman" w:eastAsia="宋体" w:cs="Cambria"/>
          <w:bCs/>
          <w:snapToGrid w:val="0"/>
          <w:kern w:val="0"/>
          <w:szCs w:val="24"/>
        </w:rPr>
        <w:t>响应人</w:t>
      </w:r>
      <w:r>
        <w:rPr>
          <w:rFonts w:hint="eastAsia" w:ascii="Times New Roman" w:hAnsi="Times New Roman" w:eastAsia="宋体" w:cs="Cambria Math"/>
          <w:bCs/>
          <w:snapToGrid w:val="0"/>
          <w:kern w:val="0"/>
          <w:szCs w:val="18"/>
        </w:rPr>
        <w:t>公章）</w:t>
      </w:r>
    </w:p>
    <w:p w14:paraId="1AF4A7A6">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3A6A318F">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 xml:space="preserve">                                             年   月   日</w:t>
      </w:r>
    </w:p>
    <w:p w14:paraId="5B7BE643">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3C0CE065">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（附：法定代表人</w:t>
      </w:r>
      <w:r>
        <w:rPr>
          <w:rFonts w:hint="eastAsia" w:ascii="Times New Roman" w:hAnsi="Times New Roman" w:eastAsia="宋体" w:cs="Cambria Math"/>
          <w:bCs/>
          <w:szCs w:val="18"/>
        </w:rPr>
        <w:t>/分支机构负责人</w:t>
      </w:r>
      <w:r>
        <w:rPr>
          <w:rFonts w:hint="eastAsia" w:ascii="Times New Roman" w:hAnsi="Times New Roman" w:eastAsia="宋体" w:cs="Cambria Math"/>
          <w:bCs/>
          <w:snapToGrid w:val="0"/>
          <w:kern w:val="0"/>
          <w:szCs w:val="18"/>
        </w:rPr>
        <w:t>身份证正反面复印件）</w:t>
      </w:r>
    </w:p>
    <w:p w14:paraId="520E2580">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432FB278">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645425CC">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0EF01E71">
      <w:pPr>
        <w:autoSpaceDE w:val="0"/>
        <w:autoSpaceDN w:val="0"/>
        <w:spacing w:line="360" w:lineRule="auto"/>
        <w:ind w:firstLine="420" w:firstLineChars="200"/>
        <w:jc w:val="center"/>
        <w:rPr>
          <w:rFonts w:ascii="Times New Roman" w:hAnsi="Times New Roman" w:eastAsia="宋体" w:cs="Cambria Math"/>
          <w:b/>
          <w:bCs/>
          <w:snapToGrid w:val="0"/>
          <w:kern w:val="0"/>
          <w:szCs w:val="18"/>
        </w:rPr>
      </w:pPr>
      <w:r>
        <w:rPr>
          <w:rFonts w:hint="eastAsia" w:ascii="Times New Roman" w:hAnsi="Times New Roman" w:eastAsia="宋体" w:cs="Cambria Math"/>
          <w:bCs/>
          <w:snapToGrid w:val="0"/>
          <w:kern w:val="0"/>
          <w:szCs w:val="18"/>
        </w:rPr>
        <w:br w:type="column"/>
      </w:r>
      <w:r>
        <w:rPr>
          <w:rFonts w:ascii="Times New Roman" w:hAnsi="Times New Roman" w:eastAsia="宋体" w:cs="Cambria Math"/>
          <w:b/>
          <w:bCs/>
          <w:snapToGrid w:val="0"/>
          <w:kern w:val="0"/>
          <w:szCs w:val="18"/>
        </w:rPr>
        <w:t>授权委托书</w:t>
      </w:r>
      <w:r>
        <w:rPr>
          <w:rFonts w:ascii="宋体" w:hAnsi="宋体" w:eastAsia="宋体" w:cs="Cambria Math"/>
          <w:b/>
          <w:bCs/>
          <w:snapToGrid w:val="0"/>
          <w:kern w:val="0"/>
          <w:szCs w:val="18"/>
        </w:rPr>
        <w:t>（如有）</w:t>
      </w:r>
    </w:p>
    <w:p w14:paraId="4031ED57">
      <w:pPr>
        <w:tabs>
          <w:tab w:val="left" w:pos="6300"/>
        </w:tabs>
        <w:autoSpaceDE w:val="0"/>
        <w:autoSpaceDN w:val="0"/>
        <w:snapToGrid w:val="0"/>
        <w:spacing w:line="360" w:lineRule="auto"/>
        <w:jc w:val="center"/>
        <w:rPr>
          <w:rFonts w:ascii="Times New Roman" w:hAnsi="Times New Roman" w:eastAsia="宋体" w:cs="Cambria Math"/>
          <w:bCs/>
          <w:snapToGrid w:val="0"/>
          <w:kern w:val="0"/>
          <w:szCs w:val="18"/>
        </w:rPr>
      </w:pPr>
      <w:r>
        <w:rPr>
          <w:rFonts w:hint="eastAsia" w:ascii="Times New Roman" w:hAnsi="Times New Roman" w:eastAsia="宋体" w:cs="Cambria Math"/>
          <w:bCs/>
          <w:szCs w:val="18"/>
        </w:rPr>
        <w:t>（适用于有委托代理人的情况时采用）</w:t>
      </w:r>
    </w:p>
    <w:p w14:paraId="1CF24A4B">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564674D3">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28"/>
        </w:rPr>
        <w:t>项目名称</w:t>
      </w:r>
      <w:r>
        <w:rPr>
          <w:rFonts w:hint="eastAsia" w:ascii="Times New Roman" w:hAnsi="Times New Roman" w:eastAsia="宋体" w:cs="Cambria Math"/>
          <w:bCs/>
          <w:snapToGrid w:val="0"/>
          <w:kern w:val="0"/>
          <w:szCs w:val="18"/>
        </w:rPr>
        <w:t>：</w:t>
      </w:r>
      <w:r>
        <w:rPr>
          <w:rFonts w:hint="eastAsia" w:ascii="Times New Roman" w:hAnsi="Times New Roman" w:eastAsia="宋体" w:cs="Cambria Math"/>
          <w:bCs/>
          <w:snapToGrid w:val="0"/>
          <w:kern w:val="0"/>
          <w:szCs w:val="24"/>
          <w:u w:val="single"/>
        </w:rPr>
        <w:t>___________________</w:t>
      </w:r>
    </w:p>
    <w:p w14:paraId="299081F6">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7E5439E5">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致：</w:t>
      </w:r>
      <w:r>
        <w:rPr>
          <w:rFonts w:hint="eastAsia" w:ascii="Times New Roman" w:hAnsi="Times New Roman" w:eastAsia="宋体" w:cs="Cambria Math"/>
          <w:bCs/>
          <w:snapToGrid w:val="0"/>
          <w:kern w:val="0"/>
          <w:szCs w:val="18"/>
          <w:u w:val="single"/>
        </w:rPr>
        <w:t>重庆三峡银行股份有限公司</w:t>
      </w:r>
      <w:r>
        <w:rPr>
          <w:rFonts w:hint="eastAsia" w:ascii="Times New Roman" w:hAnsi="Times New Roman" w:eastAsia="宋体" w:cs="Cambria Math"/>
          <w:bCs/>
          <w:snapToGrid w:val="0"/>
          <w:kern w:val="0"/>
          <w:szCs w:val="18"/>
        </w:rPr>
        <w:t>：</w:t>
      </w:r>
    </w:p>
    <w:p w14:paraId="03A47A1E">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w:t>
      </w:r>
      <w:r>
        <w:rPr>
          <w:rFonts w:hint="eastAsia" w:ascii="Times New Roman" w:hAnsi="Times New Roman" w:eastAsia="宋体" w:cs="Cambria"/>
          <w:bCs/>
          <w:snapToGrid w:val="0"/>
          <w:kern w:val="0"/>
          <w:szCs w:val="24"/>
        </w:rPr>
        <w:t>响应</w:t>
      </w:r>
      <w:r>
        <w:rPr>
          <w:rFonts w:hint="eastAsia" w:ascii="Times New Roman" w:hAnsi="Times New Roman" w:eastAsia="宋体" w:cs="Cambria Math"/>
          <w:bCs/>
          <w:snapToGrid w:val="0"/>
          <w:kern w:val="0"/>
          <w:szCs w:val="18"/>
        </w:rPr>
        <w:t>人法定代表人</w:t>
      </w:r>
      <w:r>
        <w:rPr>
          <w:rFonts w:hint="eastAsia" w:ascii="Times New Roman" w:hAnsi="Times New Roman" w:eastAsia="宋体" w:cs="Cambria Math"/>
          <w:bCs/>
          <w:szCs w:val="18"/>
        </w:rPr>
        <w:t>/分支机构负责人</w:t>
      </w:r>
      <w:r>
        <w:rPr>
          <w:rFonts w:hint="eastAsia" w:ascii="Times New Roman" w:hAnsi="Times New Roman" w:eastAsia="宋体" w:cs="Cambria Math"/>
          <w:bCs/>
          <w:snapToGrid w:val="0"/>
          <w:kern w:val="0"/>
          <w:szCs w:val="18"/>
        </w:rPr>
        <w:t>名称）是（</w:t>
      </w:r>
      <w:r>
        <w:rPr>
          <w:rFonts w:hint="eastAsia" w:ascii="Times New Roman" w:hAnsi="Times New Roman" w:eastAsia="宋体" w:cs="Cambria"/>
          <w:bCs/>
          <w:snapToGrid w:val="0"/>
          <w:kern w:val="0"/>
          <w:szCs w:val="24"/>
        </w:rPr>
        <w:t>响应</w:t>
      </w:r>
      <w:r>
        <w:rPr>
          <w:rFonts w:hint="eastAsia" w:ascii="Times New Roman" w:hAnsi="Times New Roman" w:eastAsia="宋体" w:cs="Cambria Math"/>
          <w:bCs/>
          <w:snapToGrid w:val="0"/>
          <w:kern w:val="0"/>
          <w:szCs w:val="18"/>
        </w:rPr>
        <w:t>人名称）的法定代表人</w:t>
      </w:r>
      <w:r>
        <w:rPr>
          <w:rFonts w:hint="eastAsia" w:ascii="Times New Roman" w:hAnsi="Times New Roman" w:eastAsia="宋体" w:cs="Cambria Math"/>
          <w:bCs/>
          <w:szCs w:val="18"/>
        </w:rPr>
        <w:t>（分支机构负责人）</w:t>
      </w:r>
      <w:r>
        <w:rPr>
          <w:rFonts w:hint="eastAsia" w:ascii="Times New Roman" w:hAnsi="Times New Roman" w:eastAsia="宋体" w:cs="Cambria Math"/>
          <w:bCs/>
          <w:snapToGrid w:val="0"/>
          <w:kern w:val="0"/>
          <w:szCs w:val="18"/>
        </w:rPr>
        <w:t>，特授权（委托代理人姓名及身份证代码）代表我单位全权办理上述项目的</w:t>
      </w:r>
      <w:r>
        <w:rPr>
          <w:rFonts w:hint="eastAsia" w:ascii="Times New Roman" w:hAnsi="Times New Roman" w:eastAsia="宋体" w:cs="Cambria"/>
          <w:bCs/>
          <w:snapToGrid w:val="0"/>
          <w:kern w:val="0"/>
          <w:szCs w:val="24"/>
        </w:rPr>
        <w:t>响应</w:t>
      </w:r>
      <w:r>
        <w:rPr>
          <w:rFonts w:hint="eastAsia" w:ascii="Times New Roman" w:hAnsi="Times New Roman" w:eastAsia="宋体" w:cs="Cambria Math"/>
          <w:bCs/>
          <w:snapToGrid w:val="0"/>
          <w:kern w:val="0"/>
          <w:szCs w:val="18"/>
        </w:rPr>
        <w:t>、谈判、签约等具体工作，并签署全部有关文件、协议及合同。</w:t>
      </w:r>
    </w:p>
    <w:p w14:paraId="50E84FCD">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我单位对委托代理人的签字负全部责任。</w:t>
      </w:r>
    </w:p>
    <w:p w14:paraId="19A681C0">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在撤销授权的书面通知以前，本授权书一直有效。委托代理人在授权书有效期内签署的所有文件不因授权的撤销而失效。</w:t>
      </w:r>
    </w:p>
    <w:p w14:paraId="747CA21A">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4DD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496CD7">
            <w:pPr>
              <w:tabs>
                <w:tab w:val="left" w:pos="6300"/>
              </w:tabs>
              <w:autoSpaceDE w:val="0"/>
              <w:autoSpaceDN w:val="0"/>
              <w:snapToGrid w:val="0"/>
              <w:spacing w:line="360" w:lineRule="auto"/>
              <w:rPr>
                <w:rFonts w:ascii="Times New Roman" w:hAnsi="Times New Roman" w:eastAsia="宋体" w:cs="Cambria Math"/>
                <w:bCs/>
                <w:snapToGrid w:val="0"/>
                <w:kern w:val="0"/>
                <w:sz w:val="20"/>
                <w:szCs w:val="18"/>
              </w:rPr>
            </w:pPr>
            <w:r>
              <w:rPr>
                <w:rFonts w:hint="eastAsia" w:ascii="Times New Roman" w:hAnsi="Times New Roman" w:eastAsia="宋体" w:cs="Cambria Math"/>
                <w:bCs/>
                <w:snapToGrid w:val="0"/>
                <w:kern w:val="0"/>
                <w:sz w:val="20"/>
                <w:szCs w:val="18"/>
              </w:rPr>
              <w:t>委托代理人</w:t>
            </w:r>
          </w:p>
        </w:tc>
        <w:tc>
          <w:tcPr>
            <w:tcW w:w="4261" w:type="dxa"/>
            <w:tcBorders>
              <w:top w:val="nil"/>
              <w:left w:val="nil"/>
              <w:bottom w:val="nil"/>
              <w:right w:val="nil"/>
            </w:tcBorders>
          </w:tcPr>
          <w:p w14:paraId="3F737CEB">
            <w:pPr>
              <w:tabs>
                <w:tab w:val="left" w:pos="6300"/>
              </w:tabs>
              <w:autoSpaceDE w:val="0"/>
              <w:autoSpaceDN w:val="0"/>
              <w:snapToGrid w:val="0"/>
              <w:spacing w:line="360" w:lineRule="auto"/>
              <w:rPr>
                <w:rFonts w:ascii="Times New Roman" w:hAnsi="Times New Roman" w:eastAsia="宋体" w:cs="Cambria Math"/>
                <w:bCs/>
                <w:snapToGrid w:val="0"/>
                <w:kern w:val="0"/>
                <w:sz w:val="20"/>
                <w:szCs w:val="18"/>
              </w:rPr>
            </w:pPr>
            <w:r>
              <w:rPr>
                <w:rFonts w:hint="eastAsia" w:ascii="Times New Roman" w:hAnsi="Times New Roman" w:eastAsia="宋体" w:cs="Cambria"/>
                <w:bCs/>
                <w:snapToGrid w:val="0"/>
                <w:kern w:val="0"/>
                <w:sz w:val="20"/>
                <w:szCs w:val="24"/>
              </w:rPr>
              <w:t>响应</w:t>
            </w:r>
            <w:r>
              <w:rPr>
                <w:rFonts w:hint="eastAsia" w:ascii="Times New Roman" w:hAnsi="Times New Roman" w:eastAsia="宋体" w:cs="Cambria Math"/>
                <w:bCs/>
                <w:snapToGrid w:val="0"/>
                <w:kern w:val="0"/>
                <w:sz w:val="20"/>
                <w:szCs w:val="18"/>
              </w:rPr>
              <w:t>人法定代表人</w:t>
            </w:r>
            <w:r>
              <w:rPr>
                <w:rFonts w:hint="eastAsia" w:ascii="Times New Roman" w:hAnsi="Times New Roman" w:eastAsia="宋体" w:cs="Cambria Math"/>
                <w:bCs/>
                <w:kern w:val="0"/>
                <w:sz w:val="20"/>
                <w:szCs w:val="18"/>
              </w:rPr>
              <w:t>/分支机构负责人</w:t>
            </w:r>
            <w:r>
              <w:rPr>
                <w:rFonts w:hint="eastAsia" w:ascii="Times New Roman" w:hAnsi="Times New Roman" w:eastAsia="宋体" w:cs="Cambria Math"/>
                <w:bCs/>
                <w:snapToGrid w:val="0"/>
                <w:kern w:val="0"/>
                <w:sz w:val="20"/>
                <w:szCs w:val="18"/>
              </w:rPr>
              <w:t>名称：</w:t>
            </w:r>
          </w:p>
        </w:tc>
      </w:tr>
      <w:tr w14:paraId="230D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A820758">
            <w:pPr>
              <w:tabs>
                <w:tab w:val="left" w:pos="6300"/>
              </w:tabs>
              <w:autoSpaceDE w:val="0"/>
              <w:autoSpaceDN w:val="0"/>
              <w:snapToGrid w:val="0"/>
              <w:spacing w:line="360" w:lineRule="auto"/>
              <w:rPr>
                <w:rFonts w:ascii="Times New Roman" w:hAnsi="Times New Roman" w:eastAsia="宋体" w:cs="Cambria Math"/>
                <w:bCs/>
                <w:snapToGrid w:val="0"/>
                <w:kern w:val="0"/>
                <w:sz w:val="20"/>
                <w:szCs w:val="18"/>
              </w:rPr>
            </w:pPr>
            <w:r>
              <w:rPr>
                <w:rFonts w:hint="eastAsia" w:ascii="Times New Roman" w:hAnsi="Times New Roman" w:eastAsia="宋体" w:cs="Cambria Math"/>
                <w:bCs/>
                <w:snapToGrid w:val="0"/>
                <w:kern w:val="0"/>
                <w:sz w:val="20"/>
                <w:szCs w:val="28"/>
              </w:rPr>
              <w:t>（签字或盖章）</w:t>
            </w:r>
          </w:p>
        </w:tc>
        <w:tc>
          <w:tcPr>
            <w:tcW w:w="4261" w:type="dxa"/>
            <w:tcBorders>
              <w:top w:val="nil"/>
              <w:left w:val="nil"/>
              <w:bottom w:val="nil"/>
              <w:right w:val="nil"/>
            </w:tcBorders>
          </w:tcPr>
          <w:p w14:paraId="1005EECD">
            <w:pPr>
              <w:tabs>
                <w:tab w:val="left" w:pos="6300"/>
              </w:tabs>
              <w:autoSpaceDE w:val="0"/>
              <w:autoSpaceDN w:val="0"/>
              <w:snapToGrid w:val="0"/>
              <w:spacing w:line="360" w:lineRule="auto"/>
              <w:rPr>
                <w:rFonts w:ascii="Times New Roman" w:hAnsi="Times New Roman" w:eastAsia="宋体" w:cs="Cambria Math"/>
                <w:bCs/>
                <w:snapToGrid w:val="0"/>
                <w:kern w:val="0"/>
                <w:sz w:val="20"/>
                <w:szCs w:val="18"/>
              </w:rPr>
            </w:pPr>
            <w:r>
              <w:rPr>
                <w:rFonts w:hint="eastAsia" w:ascii="Times New Roman" w:hAnsi="Times New Roman" w:eastAsia="宋体" w:cs="Cambria Math"/>
                <w:bCs/>
                <w:snapToGrid w:val="0"/>
                <w:kern w:val="0"/>
                <w:sz w:val="20"/>
                <w:szCs w:val="28"/>
              </w:rPr>
              <w:t>（签字或盖章）</w:t>
            </w:r>
          </w:p>
        </w:tc>
      </w:tr>
    </w:tbl>
    <w:p w14:paraId="41F51B60">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0DDD6B08">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28"/>
        </w:rPr>
      </w:pPr>
    </w:p>
    <w:p w14:paraId="7E5E6884">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43DCB6FC">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（附：委托代理人身份证正反面复印件）</w:t>
      </w:r>
    </w:p>
    <w:p w14:paraId="14336D74">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0EC420AE">
      <w:pPr>
        <w:tabs>
          <w:tab w:val="left" w:pos="6300"/>
        </w:tabs>
        <w:autoSpaceDE w:val="0"/>
        <w:autoSpaceDN w:val="0"/>
        <w:snapToGrid w:val="0"/>
        <w:spacing w:line="360" w:lineRule="auto"/>
        <w:ind w:firstLine="5250" w:firstLineChars="25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响应人：</w:t>
      </w:r>
    </w:p>
    <w:p w14:paraId="527F3A9D">
      <w:pPr>
        <w:tabs>
          <w:tab w:val="left" w:pos="6300"/>
        </w:tabs>
        <w:autoSpaceDE w:val="0"/>
        <w:autoSpaceDN w:val="0"/>
        <w:snapToGrid w:val="0"/>
        <w:spacing w:line="360" w:lineRule="auto"/>
        <w:ind w:firstLine="5040" w:firstLineChars="24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w:t>
      </w:r>
      <w:r>
        <w:rPr>
          <w:rFonts w:hint="eastAsia" w:ascii="Times New Roman" w:hAnsi="Times New Roman" w:eastAsia="宋体" w:cs="Cambria"/>
          <w:bCs/>
          <w:snapToGrid w:val="0"/>
          <w:kern w:val="0"/>
          <w:szCs w:val="24"/>
        </w:rPr>
        <w:t>响应人</w:t>
      </w:r>
      <w:r>
        <w:rPr>
          <w:rFonts w:hint="eastAsia" w:ascii="Times New Roman" w:hAnsi="Times New Roman" w:eastAsia="宋体" w:cs="Cambria Math"/>
          <w:bCs/>
          <w:snapToGrid w:val="0"/>
          <w:kern w:val="0"/>
          <w:szCs w:val="18"/>
        </w:rPr>
        <w:t>公章）</w:t>
      </w:r>
    </w:p>
    <w:p w14:paraId="545839C3">
      <w:pPr>
        <w:tabs>
          <w:tab w:val="left" w:pos="6300"/>
        </w:tabs>
        <w:autoSpaceDE w:val="0"/>
        <w:autoSpaceDN w:val="0"/>
        <w:snapToGrid w:val="0"/>
        <w:spacing w:line="360" w:lineRule="auto"/>
        <w:ind w:right="-36" w:firstLine="420" w:firstLineChars="200"/>
        <w:jc w:val="right"/>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年   月   日</w:t>
      </w:r>
    </w:p>
    <w:p w14:paraId="47BE4C2E">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p>
    <w:p w14:paraId="148CDF52">
      <w:pPr>
        <w:tabs>
          <w:tab w:val="left" w:pos="6300"/>
        </w:tabs>
        <w:autoSpaceDE w:val="0"/>
        <w:autoSpaceDN w:val="0"/>
        <w:snapToGrid w:val="0"/>
        <w:spacing w:line="360" w:lineRule="auto"/>
        <w:ind w:firstLine="420" w:firstLineChars="200"/>
        <w:rPr>
          <w:rFonts w:ascii="Times New Roman" w:hAnsi="Times New Roman" w:eastAsia="宋体" w:cs="Cambria Math"/>
          <w:bCs/>
          <w:snapToGrid w:val="0"/>
          <w:kern w:val="0"/>
          <w:szCs w:val="18"/>
        </w:rPr>
      </w:pPr>
      <w:r>
        <w:rPr>
          <w:rFonts w:hint="eastAsia" w:ascii="Times New Roman" w:hAnsi="Times New Roman" w:eastAsia="宋体" w:cs="Cambria Math"/>
          <w:bCs/>
          <w:snapToGrid w:val="0"/>
          <w:kern w:val="0"/>
          <w:szCs w:val="18"/>
        </w:rPr>
        <w:t>注：若为法定代表人（分支机构负责人）办理并签署响应文件的，不提供此文件。</w:t>
      </w:r>
    </w:p>
    <w:p w14:paraId="3843891A">
      <w:pPr>
        <w:autoSpaceDE w:val="0"/>
        <w:autoSpaceDN w:val="0"/>
        <w:spacing w:line="360" w:lineRule="auto"/>
        <w:ind w:firstLine="420" w:firstLineChars="200"/>
        <w:rPr>
          <w:rFonts w:ascii="Times New Roman" w:hAnsi="Times New Roman" w:eastAsia="宋体" w:cs="Cambria Math"/>
          <w:bCs/>
          <w:snapToGrid w:val="0"/>
          <w:kern w:val="0"/>
          <w:szCs w:val="18"/>
        </w:rPr>
      </w:pPr>
    </w:p>
    <w:p w14:paraId="25CE03E5">
      <w:pPr>
        <w:autoSpaceDE w:val="0"/>
        <w:autoSpaceDN w:val="0"/>
        <w:spacing w:line="360" w:lineRule="auto"/>
        <w:ind w:firstLine="420" w:firstLineChars="200"/>
        <w:rPr>
          <w:rFonts w:ascii="Times New Roman" w:hAnsi="Times New Roman" w:eastAsia="宋体" w:cs="Cambria Math"/>
          <w:bCs/>
          <w:szCs w:val="18"/>
        </w:rPr>
      </w:pPr>
    </w:p>
    <w:p w14:paraId="3CD0C135">
      <w:pPr>
        <w:autoSpaceDE w:val="0"/>
        <w:autoSpaceDN w:val="0"/>
        <w:spacing w:line="360" w:lineRule="auto"/>
        <w:ind w:firstLine="420" w:firstLineChars="200"/>
        <w:rPr>
          <w:rFonts w:ascii="Times New Roman" w:hAnsi="Times New Roman" w:eastAsia="宋体" w:cs="Cambria Math"/>
          <w:bCs/>
          <w:szCs w:val="18"/>
        </w:rPr>
        <w:sectPr>
          <w:pgSz w:w="11906" w:h="16838"/>
          <w:pgMar w:top="1440" w:right="1800" w:bottom="1440" w:left="1800" w:header="851" w:footer="992" w:gutter="0"/>
          <w:cols w:space="720" w:num="1"/>
          <w:docGrid w:type="lines" w:linePitch="312" w:charSpace="0"/>
        </w:sectPr>
      </w:pPr>
    </w:p>
    <w:p w14:paraId="19312C0A">
      <w:pPr>
        <w:autoSpaceDE w:val="0"/>
        <w:autoSpaceDN w:val="0"/>
        <w:spacing w:line="360" w:lineRule="auto"/>
        <w:jc w:val="center"/>
        <w:outlineLvl w:val="2"/>
        <w:rPr>
          <w:rFonts w:ascii="Times New Roman" w:hAnsi="Times New Roman" w:eastAsia="宋体" w:cs="Cambria Math"/>
          <w:bCs/>
          <w:szCs w:val="32"/>
        </w:rPr>
      </w:pPr>
      <w:r>
        <w:rPr>
          <w:rFonts w:hint="eastAsia" w:ascii="Times New Roman" w:hAnsi="Times New Roman" w:eastAsia="宋体" w:cs="Cambria Math"/>
          <w:bCs/>
          <w:szCs w:val="32"/>
        </w:rPr>
        <w:t>（三）书面声明</w:t>
      </w:r>
    </w:p>
    <w:p w14:paraId="173225C6">
      <w:pPr>
        <w:tabs>
          <w:tab w:val="left" w:pos="6300"/>
        </w:tabs>
        <w:autoSpaceDE w:val="0"/>
        <w:autoSpaceDN w:val="0"/>
        <w:snapToGrid w:val="0"/>
        <w:spacing w:line="360" w:lineRule="auto"/>
        <w:ind w:firstLine="480" w:firstLineChars="200"/>
        <w:rPr>
          <w:rFonts w:ascii="宋体" w:hAnsi="Times New Roman" w:eastAsia="宋体" w:cs="Cambria Math"/>
          <w:bCs/>
          <w:sz w:val="24"/>
          <w:szCs w:val="18"/>
        </w:rPr>
      </w:pPr>
    </w:p>
    <w:p w14:paraId="5F3DD046">
      <w:pPr>
        <w:tabs>
          <w:tab w:val="left" w:pos="6300"/>
        </w:tabs>
        <w:autoSpaceDE w:val="0"/>
        <w:autoSpaceDN w:val="0"/>
        <w:snapToGrid w:val="0"/>
        <w:spacing w:line="360" w:lineRule="auto"/>
        <w:ind w:firstLine="480" w:firstLineChars="200"/>
        <w:rPr>
          <w:rFonts w:ascii="宋体" w:hAnsi="Times New Roman" w:eastAsia="宋体" w:cs="Cambria Math"/>
          <w:bCs/>
          <w:sz w:val="24"/>
          <w:szCs w:val="18"/>
        </w:rPr>
      </w:pPr>
      <w:r>
        <w:rPr>
          <w:rFonts w:hint="eastAsia" w:ascii="宋体" w:hAnsi="Times New Roman" w:eastAsia="宋体" w:cs="Cambria Math"/>
          <w:bCs/>
          <w:sz w:val="24"/>
          <w:szCs w:val="28"/>
        </w:rPr>
        <w:t>项目名称</w:t>
      </w:r>
      <w:r>
        <w:rPr>
          <w:rFonts w:hint="eastAsia" w:ascii="宋体" w:hAnsi="Times New Roman" w:eastAsia="宋体" w:cs="Cambria Math"/>
          <w:bCs/>
          <w:sz w:val="24"/>
          <w:szCs w:val="18"/>
        </w:rPr>
        <w:t>：</w:t>
      </w:r>
      <w:r>
        <w:rPr>
          <w:rFonts w:hint="eastAsia" w:ascii="宋体" w:hAnsi="Times New Roman" w:eastAsia="宋体" w:cs="Cambria Math"/>
          <w:bCs/>
          <w:snapToGrid w:val="0"/>
          <w:kern w:val="0"/>
          <w:sz w:val="24"/>
          <w:szCs w:val="24"/>
          <w:u w:val="single"/>
        </w:rPr>
        <w:t>__________________</w:t>
      </w:r>
    </w:p>
    <w:p w14:paraId="608798E9">
      <w:pPr>
        <w:tabs>
          <w:tab w:val="left" w:pos="6300"/>
        </w:tabs>
        <w:autoSpaceDE w:val="0"/>
        <w:autoSpaceDN w:val="0"/>
        <w:snapToGrid w:val="0"/>
        <w:spacing w:line="360" w:lineRule="auto"/>
        <w:ind w:firstLine="480" w:firstLineChars="200"/>
        <w:rPr>
          <w:rFonts w:ascii="宋体" w:hAnsi="Times New Roman" w:eastAsia="宋体" w:cs="Cambria Math"/>
          <w:bCs/>
          <w:sz w:val="24"/>
          <w:szCs w:val="18"/>
        </w:rPr>
      </w:pPr>
    </w:p>
    <w:p w14:paraId="42E65860">
      <w:pPr>
        <w:tabs>
          <w:tab w:val="left" w:pos="6300"/>
        </w:tabs>
        <w:autoSpaceDE w:val="0"/>
        <w:autoSpaceDN w:val="0"/>
        <w:snapToGrid w:val="0"/>
        <w:spacing w:line="360" w:lineRule="auto"/>
        <w:ind w:firstLine="480" w:firstLineChars="200"/>
        <w:rPr>
          <w:rFonts w:ascii="宋体" w:hAnsi="Times New Roman" w:eastAsia="宋体" w:cs="Cambria Math"/>
          <w:bCs/>
          <w:sz w:val="24"/>
          <w:szCs w:val="18"/>
        </w:rPr>
      </w:pPr>
      <w:r>
        <w:rPr>
          <w:rFonts w:hint="eastAsia" w:ascii="宋体" w:hAnsi="Times New Roman" w:eastAsia="宋体" w:cs="Cambria Math"/>
          <w:bCs/>
          <w:sz w:val="24"/>
          <w:szCs w:val="18"/>
        </w:rPr>
        <w:t>致：</w:t>
      </w:r>
      <w:r>
        <w:rPr>
          <w:rFonts w:hint="eastAsia" w:ascii="宋体" w:hAnsi="Times New Roman" w:eastAsia="宋体" w:cs="Cambria Math"/>
          <w:bCs/>
          <w:snapToGrid w:val="0"/>
          <w:kern w:val="0"/>
          <w:sz w:val="24"/>
          <w:szCs w:val="18"/>
          <w:u w:val="single"/>
        </w:rPr>
        <w:t>重庆三峡银行股份有限公司</w:t>
      </w:r>
      <w:r>
        <w:rPr>
          <w:rFonts w:hint="eastAsia" w:ascii="宋体" w:hAnsi="Times New Roman" w:eastAsia="宋体" w:cs="Cambria Math"/>
          <w:bCs/>
          <w:sz w:val="24"/>
          <w:szCs w:val="18"/>
        </w:rPr>
        <w:t>：</w:t>
      </w:r>
    </w:p>
    <w:p w14:paraId="6E6B4642">
      <w:pPr>
        <w:tabs>
          <w:tab w:val="left" w:pos="6300"/>
        </w:tabs>
        <w:autoSpaceDE w:val="0"/>
        <w:autoSpaceDN w:val="0"/>
        <w:snapToGrid w:val="0"/>
        <w:spacing w:line="360" w:lineRule="auto"/>
        <w:ind w:firstLine="480" w:firstLineChars="200"/>
        <w:rPr>
          <w:rFonts w:ascii="宋体" w:hAnsi="Times New Roman" w:eastAsia="宋体" w:cs="Cambria Math"/>
          <w:bCs/>
          <w:sz w:val="24"/>
          <w:szCs w:val="18"/>
        </w:rPr>
      </w:pPr>
      <w:r>
        <w:rPr>
          <w:rFonts w:hint="eastAsia" w:ascii="宋体"/>
          <w:sz w:val="24"/>
          <w:u w:val="single"/>
        </w:rPr>
        <w:t xml:space="preserve">            </w:t>
      </w:r>
      <w:r>
        <w:rPr>
          <w:rFonts w:hint="eastAsia" w:ascii="宋体" w:hAnsi="Times New Roman" w:eastAsia="宋体" w:cs="Cambria Math"/>
          <w:bCs/>
          <w:sz w:val="24"/>
          <w:szCs w:val="18"/>
        </w:rPr>
        <w:t>（</w:t>
      </w:r>
      <w:r>
        <w:rPr>
          <w:rFonts w:hint="eastAsia" w:ascii="宋体" w:hAnsi="Times New Roman" w:eastAsia="宋体" w:cs="等线 Light"/>
          <w:bCs/>
          <w:snapToGrid w:val="0"/>
          <w:kern w:val="0"/>
          <w:sz w:val="24"/>
          <w:szCs w:val="24"/>
        </w:rPr>
        <w:t>响应人</w:t>
      </w:r>
      <w:r>
        <w:rPr>
          <w:rFonts w:hint="eastAsia" w:ascii="宋体" w:hAnsi="Times New Roman" w:eastAsia="宋体" w:cs="Cambria Math"/>
          <w:bCs/>
          <w:sz w:val="24"/>
          <w:szCs w:val="18"/>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hAnsi="Times New Roman" w:eastAsia="宋体" w:cs="等线 Light"/>
          <w:bCs/>
          <w:snapToGrid w:val="0"/>
          <w:kern w:val="0"/>
          <w:sz w:val="24"/>
          <w:szCs w:val="24"/>
        </w:rPr>
        <w:t>响应人</w:t>
      </w:r>
      <w:r>
        <w:rPr>
          <w:rFonts w:hint="eastAsia" w:ascii="宋体" w:hAnsi="Times New Roman" w:eastAsia="宋体" w:cs="Cambria Math"/>
          <w:bCs/>
          <w:sz w:val="24"/>
          <w:szCs w:val="18"/>
        </w:rPr>
        <w:t>资格条件；</w:t>
      </w:r>
      <w:r>
        <w:rPr>
          <w:rFonts w:hint="eastAsia" w:ascii="宋体" w:hAnsi="宋体" w:eastAsia="宋体" w:cs="Cambria"/>
          <w:bCs/>
          <w:sz w:val="24"/>
          <w:szCs w:val="24"/>
        </w:rPr>
        <w:t>我公司本次如若成交，成交后不会对项目进行转包</w:t>
      </w:r>
      <w:r>
        <w:rPr>
          <w:rFonts w:hint="eastAsia" w:ascii="宋体" w:hAnsi="Times New Roman" w:eastAsia="宋体" w:cs="Cambria Math"/>
          <w:bCs/>
          <w:sz w:val="24"/>
          <w:szCs w:val="18"/>
        </w:rPr>
        <w:t>。我方对以上声明负全部法律责任。</w:t>
      </w:r>
    </w:p>
    <w:p w14:paraId="4EBB9B28">
      <w:pPr>
        <w:tabs>
          <w:tab w:val="left" w:pos="6300"/>
        </w:tabs>
        <w:autoSpaceDE w:val="0"/>
        <w:autoSpaceDN w:val="0"/>
        <w:snapToGrid w:val="0"/>
        <w:spacing w:line="360" w:lineRule="auto"/>
        <w:ind w:firstLine="480" w:firstLineChars="200"/>
        <w:rPr>
          <w:rFonts w:ascii="宋体" w:hAnsi="Times New Roman" w:eastAsia="宋体" w:cs="Cambria Math"/>
          <w:bCs/>
          <w:sz w:val="24"/>
          <w:szCs w:val="18"/>
        </w:rPr>
      </w:pPr>
      <w:r>
        <w:rPr>
          <w:rFonts w:hint="eastAsia" w:ascii="宋体" w:hAnsi="Times New Roman" w:eastAsia="宋体" w:cs="Cambria Math"/>
          <w:bCs/>
          <w:sz w:val="24"/>
          <w:szCs w:val="18"/>
        </w:rPr>
        <w:t>特此声明。</w:t>
      </w:r>
    </w:p>
    <w:p w14:paraId="3E82CDDB">
      <w:pPr>
        <w:tabs>
          <w:tab w:val="left" w:pos="6300"/>
        </w:tabs>
        <w:autoSpaceDE w:val="0"/>
        <w:autoSpaceDN w:val="0"/>
        <w:snapToGrid w:val="0"/>
        <w:spacing w:line="360" w:lineRule="auto"/>
        <w:ind w:firstLine="480" w:firstLineChars="200"/>
        <w:rPr>
          <w:rFonts w:ascii="宋体" w:hAnsi="Times New Roman" w:eastAsia="宋体" w:cs="Cambria Math"/>
          <w:bCs/>
          <w:sz w:val="24"/>
          <w:szCs w:val="18"/>
        </w:rPr>
      </w:pPr>
    </w:p>
    <w:p w14:paraId="29E1BAC1">
      <w:pPr>
        <w:tabs>
          <w:tab w:val="left" w:pos="6300"/>
        </w:tabs>
        <w:autoSpaceDE w:val="0"/>
        <w:autoSpaceDN w:val="0"/>
        <w:snapToGrid w:val="0"/>
        <w:spacing w:line="360" w:lineRule="auto"/>
        <w:ind w:firstLine="480" w:firstLineChars="200"/>
        <w:rPr>
          <w:rFonts w:ascii="宋体" w:hAnsi="Times New Roman" w:eastAsia="宋体" w:cs="Cambria Math"/>
          <w:bCs/>
          <w:sz w:val="24"/>
          <w:szCs w:val="18"/>
        </w:rPr>
      </w:pPr>
    </w:p>
    <w:p w14:paraId="10B4F782">
      <w:pPr>
        <w:tabs>
          <w:tab w:val="left" w:pos="6300"/>
        </w:tabs>
        <w:autoSpaceDE w:val="0"/>
        <w:autoSpaceDN w:val="0"/>
        <w:snapToGrid w:val="0"/>
        <w:spacing w:line="360" w:lineRule="auto"/>
        <w:ind w:firstLine="480" w:firstLineChars="200"/>
        <w:rPr>
          <w:rFonts w:ascii="宋体" w:hAnsi="Times New Roman" w:eastAsia="宋体" w:cs="Cambria Math"/>
          <w:bCs/>
          <w:sz w:val="24"/>
          <w:szCs w:val="18"/>
        </w:rPr>
      </w:pPr>
    </w:p>
    <w:p w14:paraId="76592D63">
      <w:pPr>
        <w:tabs>
          <w:tab w:val="left" w:pos="6300"/>
        </w:tabs>
        <w:autoSpaceDE w:val="0"/>
        <w:autoSpaceDN w:val="0"/>
        <w:snapToGrid w:val="0"/>
        <w:spacing w:line="360" w:lineRule="auto"/>
        <w:ind w:right="424" w:firstLine="480" w:firstLineChars="200"/>
        <w:jc w:val="right"/>
        <w:rPr>
          <w:rFonts w:ascii="宋体" w:hAnsi="Times New Roman" w:eastAsia="宋体" w:cs="Cambria Math"/>
          <w:bCs/>
          <w:sz w:val="24"/>
          <w:szCs w:val="18"/>
        </w:rPr>
      </w:pPr>
      <w:r>
        <w:rPr>
          <w:rFonts w:hint="eastAsia" w:ascii="宋体" w:hAnsi="Times New Roman" w:eastAsia="宋体" w:cs="Cambria Math"/>
          <w:bCs/>
          <w:sz w:val="24"/>
          <w:szCs w:val="18"/>
        </w:rPr>
        <w:t>（</w:t>
      </w:r>
      <w:r>
        <w:rPr>
          <w:rFonts w:hint="eastAsia" w:ascii="宋体" w:hAnsi="Times New Roman" w:eastAsia="宋体" w:cs="等线 Light"/>
          <w:bCs/>
          <w:snapToGrid w:val="0"/>
          <w:kern w:val="0"/>
          <w:sz w:val="24"/>
          <w:szCs w:val="24"/>
        </w:rPr>
        <w:t>响应人</w:t>
      </w:r>
      <w:r>
        <w:rPr>
          <w:rFonts w:hint="eastAsia" w:ascii="宋体" w:hAnsi="Times New Roman" w:eastAsia="宋体" w:cs="Cambria Math"/>
          <w:bCs/>
          <w:sz w:val="24"/>
          <w:szCs w:val="18"/>
        </w:rPr>
        <w:t>公章）</w:t>
      </w:r>
    </w:p>
    <w:p w14:paraId="6026516C">
      <w:pPr>
        <w:tabs>
          <w:tab w:val="left" w:pos="6300"/>
        </w:tabs>
        <w:autoSpaceDE w:val="0"/>
        <w:autoSpaceDN w:val="0"/>
        <w:snapToGrid w:val="0"/>
        <w:spacing w:line="360" w:lineRule="auto"/>
        <w:ind w:right="480" w:firstLine="480" w:firstLineChars="200"/>
        <w:jc w:val="right"/>
        <w:rPr>
          <w:rFonts w:ascii="宋体" w:hAnsi="Times New Roman" w:eastAsia="宋体" w:cs="Cambria Math"/>
          <w:bCs/>
          <w:sz w:val="24"/>
          <w:szCs w:val="18"/>
        </w:rPr>
      </w:pPr>
      <w:r>
        <w:rPr>
          <w:rFonts w:hint="eastAsia" w:ascii="宋体" w:hAnsi="Times New Roman" w:eastAsia="宋体" w:cs="Cambria Math"/>
          <w:bCs/>
          <w:sz w:val="24"/>
          <w:szCs w:val="18"/>
        </w:rPr>
        <w:t>年   月   日</w:t>
      </w:r>
    </w:p>
    <w:p w14:paraId="7BADDBFF">
      <w:pPr>
        <w:autoSpaceDE w:val="0"/>
        <w:autoSpaceDN w:val="0"/>
        <w:spacing w:line="360" w:lineRule="auto"/>
        <w:ind w:firstLine="420" w:firstLineChars="200"/>
        <w:rPr>
          <w:rFonts w:ascii="Times New Roman" w:hAnsi="Times New Roman" w:eastAsia="宋体" w:cs="Cambria Math"/>
          <w:bCs/>
          <w:snapToGrid w:val="0"/>
          <w:kern w:val="0"/>
          <w:szCs w:val="18"/>
        </w:rPr>
      </w:pPr>
    </w:p>
    <w:p w14:paraId="4B8E52A5">
      <w:pPr>
        <w:autoSpaceDE w:val="0"/>
        <w:autoSpaceDN w:val="0"/>
        <w:spacing w:line="360" w:lineRule="auto"/>
        <w:ind w:firstLine="420" w:firstLineChars="200"/>
        <w:rPr>
          <w:rFonts w:ascii="Times New Roman" w:hAnsi="Times New Roman" w:eastAsia="宋体" w:cs="Cambria Math"/>
          <w:bCs/>
          <w:snapToGrid w:val="0"/>
          <w:kern w:val="0"/>
          <w:szCs w:val="18"/>
        </w:rPr>
      </w:pPr>
    </w:p>
    <w:p w14:paraId="67563E94">
      <w:pPr>
        <w:autoSpaceDE w:val="0"/>
        <w:autoSpaceDN w:val="0"/>
        <w:spacing w:line="360" w:lineRule="auto"/>
        <w:ind w:firstLine="420" w:firstLineChars="200"/>
        <w:rPr>
          <w:rFonts w:ascii="Times New Roman" w:hAnsi="Times New Roman" w:eastAsia="宋体" w:cs="Cambria Math"/>
          <w:bCs/>
          <w:snapToGrid w:val="0"/>
          <w:kern w:val="0"/>
          <w:szCs w:val="18"/>
        </w:rPr>
      </w:pPr>
    </w:p>
    <w:p w14:paraId="095AD6D3">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kern w:val="0"/>
          <w:szCs w:val="18"/>
        </w:rPr>
        <w:br w:type="page"/>
      </w:r>
    </w:p>
    <w:p w14:paraId="21ABB8A1">
      <w:pPr>
        <w:autoSpaceDE w:val="0"/>
        <w:autoSpaceDN w:val="0"/>
        <w:spacing w:line="360" w:lineRule="auto"/>
        <w:jc w:val="center"/>
        <w:outlineLvl w:val="2"/>
        <w:rPr>
          <w:rFonts w:ascii="Times New Roman" w:hAnsi="Times New Roman" w:eastAsia="宋体" w:cs="Cambria Math"/>
          <w:bCs/>
          <w:szCs w:val="32"/>
        </w:rPr>
      </w:pPr>
      <w:r>
        <w:rPr>
          <w:rFonts w:ascii="Times New Roman" w:hAnsi="Times New Roman" w:eastAsia="宋体" w:cs="Cambria Math"/>
          <w:bCs/>
          <w:szCs w:val="32"/>
        </w:rPr>
        <w:t>（</w:t>
      </w:r>
      <w:r>
        <w:rPr>
          <w:rFonts w:hint="eastAsia" w:ascii="Times New Roman" w:hAnsi="Times New Roman" w:eastAsia="宋体" w:cs="Cambria Math"/>
          <w:bCs/>
          <w:szCs w:val="32"/>
        </w:rPr>
        <w:t>四</w:t>
      </w:r>
      <w:r>
        <w:rPr>
          <w:rFonts w:ascii="Times New Roman" w:hAnsi="Times New Roman" w:eastAsia="宋体" w:cs="Cambria Math"/>
          <w:bCs/>
          <w:szCs w:val="32"/>
        </w:rPr>
        <w:t>）中国执行信息公开网截图</w:t>
      </w:r>
    </w:p>
    <w:p w14:paraId="00C1D8A4">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1.法人在</w:t>
      </w:r>
      <w:r>
        <w:rPr>
          <w:rFonts w:ascii="Times New Roman" w:hAnsi="Times New Roman" w:eastAsia="宋体" w:cs="Cambria Math"/>
          <w:bCs/>
          <w:szCs w:val="18"/>
        </w:rPr>
        <w:t>中国执行信息公开网</w:t>
      </w:r>
      <w:r>
        <w:rPr>
          <w:rFonts w:hint="eastAsia" w:ascii="Times New Roman" w:hAnsi="Times New Roman" w:eastAsia="宋体" w:cs="Cambria Math"/>
          <w:bCs/>
          <w:szCs w:val="18"/>
        </w:rPr>
        <w:t>的查询</w:t>
      </w:r>
      <w:r>
        <w:rPr>
          <w:rFonts w:ascii="Times New Roman" w:hAnsi="Times New Roman" w:eastAsia="宋体" w:cs="Cambria Math"/>
          <w:bCs/>
          <w:szCs w:val="18"/>
        </w:rPr>
        <w:t>截图</w:t>
      </w:r>
      <w:r>
        <w:rPr>
          <w:rFonts w:hint="eastAsia" w:ascii="Times New Roman" w:hAnsi="Times New Roman" w:eastAsia="宋体" w:cs="Cambria Math"/>
          <w:bCs/>
          <w:szCs w:val="18"/>
        </w:rPr>
        <w:t>并加盖单位鲜章</w:t>
      </w:r>
    </w:p>
    <w:p w14:paraId="7CE0B2C8">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2.法定代表人在</w:t>
      </w:r>
      <w:r>
        <w:rPr>
          <w:rFonts w:ascii="Times New Roman" w:hAnsi="Times New Roman" w:eastAsia="宋体" w:cs="Cambria Math"/>
          <w:bCs/>
          <w:szCs w:val="18"/>
        </w:rPr>
        <w:t>中国执行信息公开网</w:t>
      </w:r>
      <w:r>
        <w:rPr>
          <w:rFonts w:hint="eastAsia" w:ascii="Times New Roman" w:hAnsi="Times New Roman" w:eastAsia="宋体" w:cs="Cambria Math"/>
          <w:bCs/>
          <w:szCs w:val="18"/>
        </w:rPr>
        <w:t>的查询</w:t>
      </w:r>
      <w:r>
        <w:rPr>
          <w:rFonts w:ascii="Times New Roman" w:hAnsi="Times New Roman" w:eastAsia="宋体" w:cs="Cambria Math"/>
          <w:bCs/>
          <w:szCs w:val="18"/>
        </w:rPr>
        <w:t>截图</w:t>
      </w:r>
      <w:r>
        <w:rPr>
          <w:rFonts w:hint="eastAsia" w:ascii="Times New Roman" w:hAnsi="Times New Roman" w:eastAsia="宋体" w:cs="Cambria Math"/>
          <w:bCs/>
          <w:szCs w:val="18"/>
        </w:rPr>
        <w:t>并加盖单位鲜章</w:t>
      </w:r>
    </w:p>
    <w:p w14:paraId="6A5AEC0C">
      <w:pPr>
        <w:autoSpaceDE w:val="0"/>
        <w:autoSpaceDN w:val="0"/>
        <w:spacing w:line="360" w:lineRule="auto"/>
        <w:ind w:firstLine="420" w:firstLineChars="200"/>
        <w:rPr>
          <w:rFonts w:ascii="Times New Roman" w:hAnsi="Times New Roman" w:eastAsia="宋体" w:cs="Cambria Math"/>
          <w:bCs/>
          <w:szCs w:val="18"/>
        </w:rPr>
      </w:pPr>
    </w:p>
    <w:p w14:paraId="0C195639">
      <w:pPr>
        <w:autoSpaceDE w:val="0"/>
        <w:autoSpaceDN w:val="0"/>
        <w:spacing w:line="360" w:lineRule="auto"/>
        <w:ind w:firstLine="420" w:firstLineChars="200"/>
        <w:rPr>
          <w:rFonts w:ascii="Times New Roman" w:hAnsi="Times New Roman" w:eastAsia="宋体" w:cs="Cambria Math"/>
          <w:bCs/>
          <w:szCs w:val="18"/>
        </w:rPr>
      </w:pPr>
    </w:p>
    <w:p w14:paraId="552C3D92">
      <w:pPr>
        <w:autoSpaceDE w:val="0"/>
        <w:autoSpaceDN w:val="0"/>
        <w:spacing w:line="360" w:lineRule="auto"/>
        <w:ind w:firstLine="420" w:firstLineChars="200"/>
        <w:rPr>
          <w:rFonts w:ascii="Times New Roman" w:hAnsi="Times New Roman" w:eastAsia="宋体" w:cs="Cambria Math"/>
          <w:bCs/>
          <w:szCs w:val="18"/>
        </w:rPr>
      </w:pPr>
    </w:p>
    <w:p w14:paraId="7C16DA28">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br w:type="page"/>
      </w:r>
    </w:p>
    <w:p w14:paraId="69C308DE">
      <w:pPr>
        <w:autoSpaceDE w:val="0"/>
        <w:autoSpaceDN w:val="0"/>
        <w:spacing w:line="360" w:lineRule="auto"/>
        <w:jc w:val="center"/>
        <w:outlineLvl w:val="2"/>
        <w:rPr>
          <w:rFonts w:ascii="Times New Roman" w:hAnsi="Times New Roman" w:eastAsia="宋体" w:cs="Cambria Math"/>
          <w:bCs/>
          <w:szCs w:val="18"/>
          <w:lang w:val="zh-CN"/>
        </w:rPr>
      </w:pPr>
      <w:r>
        <w:rPr>
          <w:rFonts w:hint="eastAsia" w:ascii="Times New Roman" w:hAnsi="Times New Roman" w:eastAsia="宋体" w:cs="Cambria Math"/>
          <w:bCs/>
          <w:szCs w:val="18"/>
          <w:lang w:val="zh-CN"/>
        </w:rPr>
        <w:t>（</w:t>
      </w:r>
      <w:r>
        <w:rPr>
          <w:rFonts w:ascii="Times New Roman" w:hAnsi="Times New Roman" w:eastAsia="宋体" w:cs="Cambria Math"/>
          <w:bCs/>
          <w:szCs w:val="18"/>
          <w:lang w:val="zh-CN"/>
        </w:rPr>
        <w:t>五</w:t>
      </w:r>
      <w:r>
        <w:rPr>
          <w:rFonts w:hint="eastAsia" w:ascii="Times New Roman" w:hAnsi="Times New Roman" w:eastAsia="宋体" w:cs="Cambria Math"/>
          <w:bCs/>
          <w:szCs w:val="18"/>
          <w:lang w:val="zh-CN"/>
        </w:rPr>
        <w:t>）</w:t>
      </w:r>
      <w:r>
        <w:rPr>
          <w:rFonts w:hint="eastAsia" w:ascii="Times New Roman" w:hAnsi="Times New Roman" w:eastAsia="宋体" w:cs="Cambria Math"/>
          <w:bCs/>
          <w:szCs w:val="18"/>
        </w:rPr>
        <w:t>评级机构：评级结果可以在银行间债券市场使用</w:t>
      </w:r>
    </w:p>
    <w:p w14:paraId="3705D1A5">
      <w:pPr>
        <w:autoSpaceDE w:val="0"/>
        <w:autoSpaceDN w:val="0"/>
        <w:spacing w:line="360" w:lineRule="auto"/>
        <w:ind w:firstLine="420" w:firstLineChars="200"/>
        <w:rPr>
          <w:rFonts w:ascii="Times New Roman" w:hAnsi="Times New Roman" w:eastAsia="宋体" w:cs="Cambria Math"/>
          <w:bCs/>
          <w:szCs w:val="18"/>
          <w:lang w:val="zh-CN"/>
        </w:rPr>
      </w:pPr>
    </w:p>
    <w:p w14:paraId="43665814">
      <w:pPr>
        <w:autoSpaceDE w:val="0"/>
        <w:autoSpaceDN w:val="0"/>
        <w:spacing w:line="360" w:lineRule="auto"/>
        <w:ind w:firstLine="420" w:firstLineChars="200"/>
        <w:rPr>
          <w:rFonts w:ascii="Times New Roman" w:hAnsi="Times New Roman" w:eastAsia="宋体" w:cs="Cambria Math"/>
          <w:bCs/>
          <w:szCs w:val="18"/>
          <w:lang w:val="zh-CN"/>
        </w:rPr>
        <w:sectPr>
          <w:pgSz w:w="11906" w:h="16838"/>
          <w:pgMar w:top="1440" w:right="1800" w:bottom="1440" w:left="1800" w:header="851" w:footer="992" w:gutter="0"/>
          <w:cols w:space="720" w:num="1"/>
          <w:docGrid w:type="lines" w:linePitch="312" w:charSpace="0"/>
        </w:sectPr>
      </w:pPr>
    </w:p>
    <w:p w14:paraId="7501FEB3">
      <w:pPr>
        <w:autoSpaceDE w:val="0"/>
        <w:autoSpaceDN w:val="0"/>
        <w:spacing w:line="360" w:lineRule="auto"/>
        <w:jc w:val="center"/>
        <w:outlineLvl w:val="2"/>
        <w:rPr>
          <w:rFonts w:ascii="Times New Roman" w:hAnsi="Times New Roman" w:eastAsia="宋体" w:cs="Cambria Math"/>
          <w:bCs/>
          <w:szCs w:val="18"/>
          <w:lang w:val="zh-CN"/>
        </w:rPr>
      </w:pPr>
      <w:r>
        <w:rPr>
          <w:rFonts w:hint="eastAsia" w:ascii="Times New Roman" w:hAnsi="Times New Roman" w:eastAsia="宋体" w:cs="Cambria Math"/>
          <w:bCs/>
          <w:szCs w:val="18"/>
          <w:lang w:val="zh-CN"/>
        </w:rPr>
        <w:t>（</w:t>
      </w:r>
      <w:r>
        <w:rPr>
          <w:rFonts w:ascii="Times New Roman" w:hAnsi="Times New Roman" w:eastAsia="宋体" w:cs="Cambria Math"/>
          <w:bCs/>
          <w:szCs w:val="18"/>
          <w:lang w:val="zh-CN"/>
        </w:rPr>
        <w:t>六</w:t>
      </w:r>
      <w:r>
        <w:rPr>
          <w:rFonts w:hint="eastAsia" w:ascii="Times New Roman" w:hAnsi="Times New Roman" w:eastAsia="宋体" w:cs="Cambria Math"/>
          <w:bCs/>
          <w:szCs w:val="18"/>
          <w:lang w:val="zh-CN"/>
        </w:rPr>
        <w:t>）</w:t>
      </w:r>
      <w:r>
        <w:rPr>
          <w:rFonts w:hint="eastAsia" w:ascii="Times New Roman" w:hAnsi="Times New Roman" w:eastAsia="宋体" w:cs="Cambria Math"/>
          <w:bCs/>
          <w:szCs w:val="18"/>
        </w:rPr>
        <w:t>商业银行金融债信用评级案例</w:t>
      </w:r>
    </w:p>
    <w:p w14:paraId="35FDDC51">
      <w:pPr>
        <w:autoSpaceDE w:val="0"/>
        <w:autoSpaceDN w:val="0"/>
        <w:spacing w:line="360" w:lineRule="auto"/>
        <w:ind w:firstLine="420" w:firstLineChars="200"/>
        <w:rPr>
          <w:rFonts w:ascii="Times New Roman" w:hAnsi="Times New Roman" w:eastAsia="宋体" w:cs="Cambria Math"/>
          <w:bCs/>
          <w:szCs w:val="18"/>
          <w:lang w:val="zh-CN"/>
        </w:rPr>
      </w:pPr>
    </w:p>
    <w:p w14:paraId="563D7C30">
      <w:pPr>
        <w:autoSpaceDE w:val="0"/>
        <w:autoSpaceDN w:val="0"/>
        <w:spacing w:line="360" w:lineRule="auto"/>
        <w:ind w:firstLine="420" w:firstLineChars="200"/>
        <w:rPr>
          <w:rFonts w:ascii="Times New Roman" w:hAnsi="Times New Roman" w:eastAsia="宋体" w:cs="Cambria Math"/>
          <w:bCs/>
          <w:szCs w:val="18"/>
          <w:lang w:val="zh-CN"/>
        </w:rPr>
        <w:sectPr>
          <w:pgSz w:w="11906" w:h="16838"/>
          <w:pgMar w:top="1440" w:right="1800" w:bottom="1440" w:left="1800" w:header="851" w:footer="992" w:gutter="0"/>
          <w:cols w:space="720" w:num="1"/>
          <w:docGrid w:type="lines" w:linePitch="312" w:charSpace="0"/>
        </w:sectPr>
      </w:pPr>
    </w:p>
    <w:p w14:paraId="3CA773C8">
      <w:pPr>
        <w:autoSpaceDE w:val="0"/>
        <w:autoSpaceDN w:val="0"/>
        <w:spacing w:line="360" w:lineRule="auto"/>
        <w:jc w:val="center"/>
        <w:outlineLvl w:val="2"/>
        <w:rPr>
          <w:rFonts w:ascii="Times New Roman" w:hAnsi="Times New Roman" w:eastAsia="宋体" w:cs="Cambria Math"/>
          <w:bCs/>
          <w:szCs w:val="32"/>
          <w:lang w:val="zh-CN"/>
        </w:rPr>
      </w:pPr>
      <w:r>
        <w:rPr>
          <w:rFonts w:hint="eastAsia" w:ascii="Times New Roman" w:hAnsi="Times New Roman" w:eastAsia="宋体" w:cs="Cambria Math"/>
          <w:bCs/>
          <w:szCs w:val="32"/>
          <w:lang w:val="zh-CN"/>
        </w:rPr>
        <w:t>（七）</w:t>
      </w:r>
      <w:r>
        <w:rPr>
          <w:rFonts w:hint="eastAsia" w:ascii="Times New Roman" w:hAnsi="Times New Roman" w:eastAsia="宋体" w:cs="Cambria Math"/>
          <w:bCs/>
          <w:szCs w:val="32"/>
        </w:rPr>
        <w:t>其他</w:t>
      </w:r>
      <w:r>
        <w:rPr>
          <w:rFonts w:hint="eastAsia" w:ascii="Times New Roman" w:hAnsi="Times New Roman" w:eastAsia="宋体" w:cs="Cambria Math"/>
          <w:bCs/>
          <w:szCs w:val="32"/>
          <w:lang w:val="zh-CN"/>
        </w:rPr>
        <w:t>（</w:t>
      </w:r>
      <w:r>
        <w:rPr>
          <w:rFonts w:hint="eastAsia" w:ascii="Times New Roman" w:hAnsi="Times New Roman" w:eastAsia="宋体" w:cs="Cambria Math"/>
          <w:bCs/>
          <w:szCs w:val="32"/>
        </w:rPr>
        <w:t>如有</w:t>
      </w:r>
      <w:r>
        <w:rPr>
          <w:rFonts w:hint="eastAsia" w:ascii="Times New Roman" w:hAnsi="Times New Roman" w:eastAsia="宋体" w:cs="Cambria Math"/>
          <w:bCs/>
          <w:szCs w:val="32"/>
          <w:lang w:val="zh-CN"/>
        </w:rPr>
        <w:t>）</w:t>
      </w:r>
    </w:p>
    <w:p w14:paraId="3E75CBE4">
      <w:pPr>
        <w:autoSpaceDE w:val="0"/>
        <w:autoSpaceDN w:val="0"/>
        <w:spacing w:line="360" w:lineRule="auto"/>
        <w:ind w:firstLine="420" w:firstLineChars="200"/>
        <w:rPr>
          <w:rFonts w:ascii="Times New Roman" w:hAnsi="Times New Roman" w:eastAsia="宋体" w:cs="Cambria Math"/>
          <w:bCs/>
          <w:szCs w:val="18"/>
        </w:rPr>
        <w:sectPr>
          <w:pgSz w:w="11906" w:h="16838"/>
          <w:pgMar w:top="1440" w:right="1800" w:bottom="1440" w:left="1800" w:header="851" w:footer="992" w:gutter="0"/>
          <w:cols w:space="720" w:num="1"/>
          <w:docGrid w:type="lines" w:linePitch="312" w:charSpace="0"/>
        </w:sectPr>
      </w:pPr>
    </w:p>
    <w:p w14:paraId="7BFB86F1">
      <w:pPr>
        <w:autoSpaceDE w:val="0"/>
        <w:autoSpaceDN w:val="0"/>
        <w:spacing w:line="360" w:lineRule="auto"/>
        <w:jc w:val="center"/>
        <w:outlineLvl w:val="1"/>
        <w:rPr>
          <w:rFonts w:ascii="Times New Roman" w:hAnsi="Times New Roman" w:eastAsia="宋体" w:cs="Cambria Math"/>
          <w:b/>
          <w:bCs/>
          <w:sz w:val="28"/>
          <w:szCs w:val="18"/>
        </w:rPr>
      </w:pPr>
      <w:r>
        <w:rPr>
          <w:rFonts w:ascii="Times New Roman" w:hAnsi="Times New Roman" w:eastAsia="宋体" w:cs="Cambria Math"/>
          <w:b/>
          <w:bCs/>
          <w:sz w:val="28"/>
          <w:szCs w:val="18"/>
        </w:rPr>
        <w:t>四、响应性文件</w:t>
      </w:r>
    </w:p>
    <w:p w14:paraId="137FBA19">
      <w:pPr>
        <w:autoSpaceDE w:val="0"/>
        <w:autoSpaceDN w:val="0"/>
        <w:spacing w:line="360" w:lineRule="auto"/>
        <w:jc w:val="center"/>
        <w:outlineLvl w:val="2"/>
        <w:rPr>
          <w:rFonts w:ascii="Times New Roman" w:hAnsi="Times New Roman" w:eastAsia="宋体" w:cs="Cambria Math"/>
          <w:bCs/>
          <w:szCs w:val="32"/>
        </w:rPr>
      </w:pPr>
      <w:r>
        <w:rPr>
          <w:rFonts w:hint="eastAsia" w:ascii="Times New Roman" w:hAnsi="Times New Roman" w:eastAsia="宋体" w:cs="Cambria Math"/>
          <w:bCs/>
          <w:szCs w:val="32"/>
        </w:rPr>
        <w:t>（一）响应承诺函</w:t>
      </w:r>
    </w:p>
    <w:p w14:paraId="4547C421">
      <w:pPr>
        <w:autoSpaceDE w:val="0"/>
        <w:autoSpaceDN w:val="0"/>
        <w:spacing w:line="360" w:lineRule="auto"/>
        <w:ind w:firstLine="420" w:firstLineChars="200"/>
        <w:rPr>
          <w:rFonts w:ascii="Times New Roman" w:hAnsi="Times New Roman" w:eastAsia="宋体" w:cs="Cambria Math"/>
          <w:bCs/>
          <w:szCs w:val="18"/>
        </w:rPr>
      </w:pPr>
      <w:r>
        <w:rPr>
          <w:rFonts w:hint="eastAsia" w:ascii="Times New Roman" w:hAnsi="Times New Roman" w:eastAsia="宋体" w:cs="Cambria Math"/>
          <w:bCs/>
          <w:szCs w:val="18"/>
        </w:rPr>
        <w:t>根据第三章“项目要求”内容，做出整体承诺，格式自理。</w:t>
      </w:r>
    </w:p>
    <w:p w14:paraId="782C6E9B">
      <w:pPr>
        <w:autoSpaceDE w:val="0"/>
        <w:autoSpaceDN w:val="0"/>
        <w:spacing w:line="360" w:lineRule="auto"/>
        <w:ind w:firstLine="420" w:firstLineChars="200"/>
        <w:rPr>
          <w:rFonts w:ascii="Times New Roman" w:hAnsi="Times New Roman" w:eastAsia="宋体" w:cs="Cambria Math"/>
          <w:bCs/>
          <w:szCs w:val="18"/>
        </w:rPr>
      </w:pPr>
    </w:p>
    <w:p w14:paraId="511AEE00">
      <w:pPr>
        <w:autoSpaceDE w:val="0"/>
        <w:autoSpaceDN w:val="0"/>
        <w:spacing w:line="360" w:lineRule="auto"/>
        <w:ind w:firstLine="420" w:firstLineChars="200"/>
        <w:rPr>
          <w:rFonts w:ascii="Times New Roman" w:hAnsi="Times New Roman" w:eastAsia="宋体" w:cs="Cambria Math"/>
          <w:bCs/>
          <w:szCs w:val="18"/>
        </w:rPr>
        <w:sectPr>
          <w:pgSz w:w="11906" w:h="16838"/>
          <w:pgMar w:top="1440" w:right="1800" w:bottom="1440" w:left="1800" w:header="851" w:footer="992" w:gutter="0"/>
          <w:cols w:space="720" w:num="1"/>
          <w:docGrid w:type="lines" w:linePitch="312" w:charSpace="0"/>
        </w:sectPr>
      </w:pPr>
    </w:p>
    <w:p w14:paraId="0F4058FE">
      <w:pPr>
        <w:autoSpaceDE w:val="0"/>
        <w:autoSpaceDN w:val="0"/>
        <w:spacing w:line="360" w:lineRule="auto"/>
        <w:jc w:val="center"/>
        <w:outlineLvl w:val="2"/>
        <w:rPr>
          <w:rFonts w:ascii="Times New Roman" w:hAnsi="Times New Roman" w:eastAsia="宋体" w:cs="Cambria Math"/>
          <w:bCs/>
          <w:szCs w:val="32"/>
        </w:rPr>
      </w:pPr>
      <w:r>
        <w:rPr>
          <w:rFonts w:hint="eastAsia" w:ascii="Times New Roman" w:hAnsi="Times New Roman" w:eastAsia="宋体" w:cs="Cambria Math"/>
          <w:bCs/>
          <w:szCs w:val="32"/>
        </w:rPr>
        <w:t>（二）其他（如有）</w:t>
      </w:r>
    </w:p>
    <w:p w14:paraId="30209F14">
      <w:pPr>
        <w:autoSpaceDE w:val="0"/>
        <w:autoSpaceDN w:val="0"/>
        <w:spacing w:line="360" w:lineRule="auto"/>
        <w:jc w:val="center"/>
        <w:rPr>
          <w:rFonts w:ascii="Times New Roman" w:hAnsi="Times New Roman" w:eastAsia="宋体" w:cs="Cambria Math"/>
          <w:bCs/>
          <w:szCs w:val="18"/>
        </w:rPr>
      </w:pPr>
      <w:r>
        <w:rPr>
          <w:rFonts w:ascii="Times New Roman" w:hAnsi="Times New Roman" w:eastAsia="宋体" w:cs="Cambria Math"/>
          <w:bCs/>
          <w:szCs w:val="18"/>
        </w:rPr>
        <w:t>（如第三章中要求提供的文件、方案等材料）</w:t>
      </w:r>
    </w:p>
    <w:p w14:paraId="0C5FBF59">
      <w:pPr>
        <w:autoSpaceDE w:val="0"/>
        <w:autoSpaceDN w:val="0"/>
        <w:spacing w:line="360" w:lineRule="auto"/>
        <w:ind w:firstLine="420" w:firstLineChars="200"/>
        <w:rPr>
          <w:rFonts w:ascii="Times New Roman" w:hAnsi="Times New Roman" w:eastAsia="宋体" w:cs="Cambria Math"/>
          <w:bCs/>
          <w:szCs w:val="18"/>
        </w:rPr>
      </w:pPr>
    </w:p>
    <w:p w14:paraId="60A7520A">
      <w:pPr>
        <w:autoSpaceDE w:val="0"/>
        <w:autoSpaceDN w:val="0"/>
        <w:spacing w:line="360" w:lineRule="auto"/>
        <w:ind w:firstLine="420" w:firstLineChars="200"/>
        <w:rPr>
          <w:rFonts w:ascii="Times New Roman" w:hAnsi="Times New Roman" w:eastAsia="宋体" w:cs="Cambria Math"/>
          <w:bCs/>
          <w:szCs w:val="18"/>
        </w:rPr>
      </w:pPr>
    </w:p>
    <w:p w14:paraId="7A69ADB2">
      <w:pPr>
        <w:autoSpaceDE w:val="0"/>
        <w:autoSpaceDN w:val="0"/>
        <w:spacing w:line="360" w:lineRule="auto"/>
        <w:ind w:firstLine="420" w:firstLineChars="200"/>
        <w:rPr>
          <w:rFonts w:ascii="Times New Roman" w:hAnsi="Times New Roman" w:eastAsia="宋体" w:cs="Cambria Math"/>
          <w:bCs/>
          <w:szCs w:val="18"/>
        </w:rPr>
        <w:sectPr>
          <w:pgSz w:w="11906" w:h="16838"/>
          <w:pgMar w:top="1440" w:right="1800" w:bottom="1440" w:left="1800" w:header="851" w:footer="992" w:gutter="0"/>
          <w:cols w:space="425" w:num="1"/>
          <w:docGrid w:type="lines" w:linePitch="312" w:charSpace="0"/>
        </w:sectPr>
      </w:pPr>
    </w:p>
    <w:p w14:paraId="1681576D">
      <w:pPr>
        <w:autoSpaceDE w:val="0"/>
        <w:autoSpaceDN w:val="0"/>
        <w:spacing w:line="360" w:lineRule="auto"/>
        <w:jc w:val="center"/>
        <w:outlineLvl w:val="1"/>
        <w:rPr>
          <w:rFonts w:ascii="Times New Roman" w:hAnsi="Times New Roman" w:eastAsia="宋体" w:cs="Cambria Math"/>
          <w:b/>
          <w:bCs/>
          <w:sz w:val="28"/>
          <w:szCs w:val="18"/>
        </w:rPr>
      </w:pPr>
      <w:r>
        <w:rPr>
          <w:rFonts w:ascii="Times New Roman" w:hAnsi="Times New Roman" w:eastAsia="宋体" w:cs="Cambria Math"/>
          <w:b/>
          <w:bCs/>
          <w:sz w:val="28"/>
          <w:szCs w:val="18"/>
        </w:rPr>
        <w:t>五、商务文件（如有）</w:t>
      </w:r>
    </w:p>
    <w:p w14:paraId="3AAACF19">
      <w:pPr>
        <w:autoSpaceDE w:val="0"/>
        <w:autoSpaceDN w:val="0"/>
        <w:spacing w:line="360" w:lineRule="auto"/>
        <w:ind w:firstLine="420" w:firstLineChars="200"/>
        <w:rPr>
          <w:rFonts w:ascii="Times New Roman" w:hAnsi="Times New Roman" w:eastAsia="宋体" w:cs="Times New Roman"/>
          <w:b/>
          <w:bCs/>
          <w:szCs w:val="28"/>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Cambria Math"/>
          <w:bCs/>
          <w:szCs w:val="18"/>
        </w:rPr>
        <w:t>.</w:t>
      </w:r>
    </w:p>
    <w:p w14:paraId="06445261">
      <w:pPr>
        <w:autoSpaceDE w:val="0"/>
        <w:autoSpaceDN w:val="0"/>
        <w:spacing w:line="360" w:lineRule="auto"/>
        <w:jc w:val="center"/>
        <w:outlineLvl w:val="1"/>
        <w:rPr>
          <w:rFonts w:ascii="Times New Roman" w:hAnsi="Times New Roman" w:eastAsia="宋体" w:cs="Cambria Math"/>
          <w:b/>
          <w:bCs/>
          <w:sz w:val="28"/>
          <w:szCs w:val="18"/>
        </w:rPr>
      </w:pPr>
      <w:r>
        <w:rPr>
          <w:rFonts w:ascii="Times New Roman" w:hAnsi="Times New Roman" w:eastAsia="宋体" w:cs="Cambria Math"/>
          <w:b/>
          <w:bCs/>
          <w:sz w:val="28"/>
          <w:szCs w:val="18"/>
        </w:rPr>
        <w:t>六、其他（如有）</w:t>
      </w:r>
    </w:p>
    <w:p w14:paraId="7CCB1C4F">
      <w:pPr>
        <w:autoSpaceDE w:val="0"/>
        <w:autoSpaceDN w:val="0"/>
        <w:spacing w:line="360" w:lineRule="auto"/>
        <w:ind w:firstLine="420" w:firstLineChars="200"/>
        <w:rPr>
          <w:rFonts w:ascii="Times New Roman" w:hAnsi="Times New Roman" w:eastAsia="宋体" w:cs="Cambria Math"/>
          <w:bCs/>
          <w:szCs w:val="18"/>
        </w:rPr>
      </w:pPr>
    </w:p>
    <w:p w14:paraId="453F9C3E">
      <w:pPr>
        <w:autoSpaceDE w:val="0"/>
        <w:autoSpaceDN w:val="0"/>
        <w:spacing w:line="360" w:lineRule="auto"/>
        <w:ind w:firstLine="420" w:firstLineChars="200"/>
        <w:rPr>
          <w:rFonts w:ascii="Times New Roman" w:hAnsi="Times New Roman" w:eastAsia="宋体" w:cs="Cambria Math"/>
          <w:bCs/>
          <w:szCs w:val="18"/>
        </w:rPr>
      </w:pPr>
    </w:p>
    <w:p w14:paraId="22C8B485">
      <w:pPr>
        <w:spacing w:line="600" w:lineRule="exact"/>
        <w:jc w:val="left"/>
        <w:rPr>
          <w:rFonts w:ascii="Times New Roman" w:hAnsi="Times New Roman" w:eastAsia="方正仿宋_GBK" w:cs="Times New Roman"/>
          <w:sz w:val="32"/>
          <w:szCs w:val="32"/>
        </w:rPr>
      </w:pPr>
    </w:p>
    <w:sectPr>
      <w:footerReference r:id="rId4" w:type="default"/>
      <w:pgSz w:w="11906" w:h="16838"/>
      <w:pgMar w:top="1312" w:right="1800" w:bottom="1440" w:left="1800" w:header="779"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99ACD">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750FCC">
                          <w:pPr>
                            <w:pStyle w:val="17"/>
                            <w:ind w:firstLine="360"/>
                          </w:pPr>
                          <w:r>
                            <w:t>—</w:t>
                          </w:r>
                          <w:r>
                            <w:rPr>
                              <w:sz w:val="24"/>
                            </w:rPr>
                            <w:t>　</w:t>
                          </w:r>
                          <w:r>
                            <w:fldChar w:fldCharType="begin"/>
                          </w:r>
                          <w:r>
                            <w:instrText xml:space="preserve"> PAGE  \* MERGEFORMAT </w:instrText>
                          </w:r>
                          <w:r>
                            <w:fldChar w:fldCharType="separate"/>
                          </w:r>
                          <w:r>
                            <w:t>13</w:t>
                          </w:r>
                          <w:r>
                            <w:fldChar w:fldCharType="end"/>
                          </w:r>
                          <w:r>
                            <w:rPr>
                              <w:sz w:val="24"/>
                            </w:rPr>
                            <w:t>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2750FCC">
                    <w:pPr>
                      <w:pStyle w:val="17"/>
                      <w:ind w:firstLine="360"/>
                    </w:pPr>
                    <w:r>
                      <w:t>—</w:t>
                    </w:r>
                    <w:r>
                      <w:rPr>
                        <w:sz w:val="24"/>
                      </w:rPr>
                      <w:t>　</w:t>
                    </w:r>
                    <w:r>
                      <w:fldChar w:fldCharType="begin"/>
                    </w:r>
                    <w:r>
                      <w:instrText xml:space="preserve"> PAGE  \* MERGEFORMAT </w:instrText>
                    </w:r>
                    <w:r>
                      <w:fldChar w:fldCharType="separate"/>
                    </w:r>
                    <w:r>
                      <w:t>13</w:t>
                    </w:r>
                    <w:r>
                      <w:fldChar w:fldCharType="end"/>
                    </w:r>
                    <w:r>
                      <w:rPr>
                        <w:sz w:val="24"/>
                      </w:rPr>
                      <w:t>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8412"/>
    </w:sdtPr>
    <w:sdtContent>
      <w:p w14:paraId="071EA79C">
        <w:pPr>
          <w:pStyle w:val="17"/>
          <w:jc w:val="cente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32</w:t>
        </w:r>
        <w:r>
          <w:rPr>
            <w:rFonts w:ascii="Times New Roman" w:hAnsi="Times New Roman" w:cs="Times New Roman"/>
            <w:sz w:val="24"/>
          </w:rPr>
          <w:fldChar w:fldCharType="end"/>
        </w:r>
      </w:p>
    </w:sdtContent>
  </w:sdt>
  <w:p w14:paraId="41463BBF">
    <w:pPr>
      <w:pStyle w:val="1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F4"/>
    <w:rsid w:val="0000258C"/>
    <w:rsid w:val="00011612"/>
    <w:rsid w:val="0001271E"/>
    <w:rsid w:val="00015C7D"/>
    <w:rsid w:val="0002223D"/>
    <w:rsid w:val="00030A0D"/>
    <w:rsid w:val="0003630C"/>
    <w:rsid w:val="00041ADC"/>
    <w:rsid w:val="0004422A"/>
    <w:rsid w:val="00054AE6"/>
    <w:rsid w:val="00061017"/>
    <w:rsid w:val="00061E87"/>
    <w:rsid w:val="000623F7"/>
    <w:rsid w:val="00070C3F"/>
    <w:rsid w:val="000769C5"/>
    <w:rsid w:val="00085AAD"/>
    <w:rsid w:val="000A5E83"/>
    <w:rsid w:val="000B4286"/>
    <w:rsid w:val="000C0CB4"/>
    <w:rsid w:val="000C0CF0"/>
    <w:rsid w:val="000C248E"/>
    <w:rsid w:val="000C3A2D"/>
    <w:rsid w:val="000C7FCF"/>
    <w:rsid w:val="000D013B"/>
    <w:rsid w:val="000D24F6"/>
    <w:rsid w:val="000D2CC0"/>
    <w:rsid w:val="000D4325"/>
    <w:rsid w:val="000E1659"/>
    <w:rsid w:val="000E39D5"/>
    <w:rsid w:val="000F001A"/>
    <w:rsid w:val="000F0FA5"/>
    <w:rsid w:val="001003B8"/>
    <w:rsid w:val="00112274"/>
    <w:rsid w:val="00112E07"/>
    <w:rsid w:val="00113079"/>
    <w:rsid w:val="00115AB2"/>
    <w:rsid w:val="0011701D"/>
    <w:rsid w:val="001200B2"/>
    <w:rsid w:val="00120F3B"/>
    <w:rsid w:val="00124F5A"/>
    <w:rsid w:val="00130E94"/>
    <w:rsid w:val="00132B9F"/>
    <w:rsid w:val="00150302"/>
    <w:rsid w:val="001503F1"/>
    <w:rsid w:val="0016666B"/>
    <w:rsid w:val="0017454D"/>
    <w:rsid w:val="00176E90"/>
    <w:rsid w:val="0017735D"/>
    <w:rsid w:val="001843E4"/>
    <w:rsid w:val="0019107F"/>
    <w:rsid w:val="001915EE"/>
    <w:rsid w:val="001929B7"/>
    <w:rsid w:val="00196975"/>
    <w:rsid w:val="001A04F6"/>
    <w:rsid w:val="001A06CE"/>
    <w:rsid w:val="001A0A7C"/>
    <w:rsid w:val="001C79CF"/>
    <w:rsid w:val="001D276B"/>
    <w:rsid w:val="001D42DD"/>
    <w:rsid w:val="001E0D99"/>
    <w:rsid w:val="001E30D3"/>
    <w:rsid w:val="001E6E09"/>
    <w:rsid w:val="0020521E"/>
    <w:rsid w:val="00216638"/>
    <w:rsid w:val="00231DC0"/>
    <w:rsid w:val="002330D5"/>
    <w:rsid w:val="00234C0E"/>
    <w:rsid w:val="00241A9E"/>
    <w:rsid w:val="00242EFC"/>
    <w:rsid w:val="0024583D"/>
    <w:rsid w:val="00264507"/>
    <w:rsid w:val="002646BD"/>
    <w:rsid w:val="00266287"/>
    <w:rsid w:val="00282E80"/>
    <w:rsid w:val="00296E9B"/>
    <w:rsid w:val="002B0AB1"/>
    <w:rsid w:val="002B2F91"/>
    <w:rsid w:val="002B4A6F"/>
    <w:rsid w:val="002C13B4"/>
    <w:rsid w:val="002C4A05"/>
    <w:rsid w:val="002E1CCE"/>
    <w:rsid w:val="002E3816"/>
    <w:rsid w:val="0030056A"/>
    <w:rsid w:val="00300B8C"/>
    <w:rsid w:val="00303366"/>
    <w:rsid w:val="00312C19"/>
    <w:rsid w:val="00316007"/>
    <w:rsid w:val="003274A1"/>
    <w:rsid w:val="00347FB1"/>
    <w:rsid w:val="00350696"/>
    <w:rsid w:val="00361754"/>
    <w:rsid w:val="003677C3"/>
    <w:rsid w:val="00376DFF"/>
    <w:rsid w:val="00377CCD"/>
    <w:rsid w:val="00381044"/>
    <w:rsid w:val="003849B4"/>
    <w:rsid w:val="00384EEB"/>
    <w:rsid w:val="00396989"/>
    <w:rsid w:val="003A6E95"/>
    <w:rsid w:val="003C26D9"/>
    <w:rsid w:val="003C27A2"/>
    <w:rsid w:val="003C7B91"/>
    <w:rsid w:val="003D4D3B"/>
    <w:rsid w:val="003E2F55"/>
    <w:rsid w:val="003E5200"/>
    <w:rsid w:val="003E6A94"/>
    <w:rsid w:val="003E7FF1"/>
    <w:rsid w:val="004047E3"/>
    <w:rsid w:val="0040752C"/>
    <w:rsid w:val="00407D48"/>
    <w:rsid w:val="0041104A"/>
    <w:rsid w:val="00421088"/>
    <w:rsid w:val="00472B6F"/>
    <w:rsid w:val="004A3674"/>
    <w:rsid w:val="004A3C80"/>
    <w:rsid w:val="004A7765"/>
    <w:rsid w:val="004B4528"/>
    <w:rsid w:val="004D3B07"/>
    <w:rsid w:val="004E6916"/>
    <w:rsid w:val="004E72D8"/>
    <w:rsid w:val="004F15C1"/>
    <w:rsid w:val="004F4C55"/>
    <w:rsid w:val="004F51BD"/>
    <w:rsid w:val="004F60CC"/>
    <w:rsid w:val="0052664D"/>
    <w:rsid w:val="0052695D"/>
    <w:rsid w:val="00542AE5"/>
    <w:rsid w:val="00542E63"/>
    <w:rsid w:val="005439D2"/>
    <w:rsid w:val="005552A5"/>
    <w:rsid w:val="00562D49"/>
    <w:rsid w:val="00565E0E"/>
    <w:rsid w:val="0057236D"/>
    <w:rsid w:val="00572436"/>
    <w:rsid w:val="00581B13"/>
    <w:rsid w:val="005826A4"/>
    <w:rsid w:val="00587595"/>
    <w:rsid w:val="00594B26"/>
    <w:rsid w:val="005A7CEA"/>
    <w:rsid w:val="005C2550"/>
    <w:rsid w:val="005C67BA"/>
    <w:rsid w:val="005C71FC"/>
    <w:rsid w:val="005D0FB8"/>
    <w:rsid w:val="005D51A7"/>
    <w:rsid w:val="005D5AE8"/>
    <w:rsid w:val="005D7BCB"/>
    <w:rsid w:val="005E0A64"/>
    <w:rsid w:val="006004E9"/>
    <w:rsid w:val="00605B9C"/>
    <w:rsid w:val="00620090"/>
    <w:rsid w:val="00620B0A"/>
    <w:rsid w:val="006214A5"/>
    <w:rsid w:val="00625CB7"/>
    <w:rsid w:val="0063381E"/>
    <w:rsid w:val="00636640"/>
    <w:rsid w:val="006366AA"/>
    <w:rsid w:val="00642D74"/>
    <w:rsid w:val="00644644"/>
    <w:rsid w:val="00660750"/>
    <w:rsid w:val="00661BDD"/>
    <w:rsid w:val="00682D90"/>
    <w:rsid w:val="006A390C"/>
    <w:rsid w:val="006A3ADC"/>
    <w:rsid w:val="006A3D9E"/>
    <w:rsid w:val="006A445A"/>
    <w:rsid w:val="006C5B93"/>
    <w:rsid w:val="006D3537"/>
    <w:rsid w:val="006D4AE1"/>
    <w:rsid w:val="006E0423"/>
    <w:rsid w:val="006F057B"/>
    <w:rsid w:val="006F4E69"/>
    <w:rsid w:val="006F5D21"/>
    <w:rsid w:val="007043E1"/>
    <w:rsid w:val="00717F98"/>
    <w:rsid w:val="0072293D"/>
    <w:rsid w:val="00726A78"/>
    <w:rsid w:val="00732CBC"/>
    <w:rsid w:val="007363BF"/>
    <w:rsid w:val="00753E6B"/>
    <w:rsid w:val="00762387"/>
    <w:rsid w:val="00774D69"/>
    <w:rsid w:val="00777227"/>
    <w:rsid w:val="00795EC6"/>
    <w:rsid w:val="007A5BFB"/>
    <w:rsid w:val="007B0878"/>
    <w:rsid w:val="007C692A"/>
    <w:rsid w:val="007D78C2"/>
    <w:rsid w:val="007E19C1"/>
    <w:rsid w:val="007E53B1"/>
    <w:rsid w:val="007F175C"/>
    <w:rsid w:val="007F3534"/>
    <w:rsid w:val="00825D10"/>
    <w:rsid w:val="00831ECD"/>
    <w:rsid w:val="0085709F"/>
    <w:rsid w:val="00872C9F"/>
    <w:rsid w:val="0087317E"/>
    <w:rsid w:val="00877F59"/>
    <w:rsid w:val="008A745B"/>
    <w:rsid w:val="008B5F09"/>
    <w:rsid w:val="008B6E00"/>
    <w:rsid w:val="008C1F51"/>
    <w:rsid w:val="008D04EB"/>
    <w:rsid w:val="008D280B"/>
    <w:rsid w:val="008D6A06"/>
    <w:rsid w:val="008D744F"/>
    <w:rsid w:val="008E2FA7"/>
    <w:rsid w:val="008E38B2"/>
    <w:rsid w:val="008E7383"/>
    <w:rsid w:val="008F443A"/>
    <w:rsid w:val="008F4605"/>
    <w:rsid w:val="008F5AC6"/>
    <w:rsid w:val="008F6D2A"/>
    <w:rsid w:val="009042F4"/>
    <w:rsid w:val="00912741"/>
    <w:rsid w:val="009200D3"/>
    <w:rsid w:val="00950C79"/>
    <w:rsid w:val="009521D7"/>
    <w:rsid w:val="0096654C"/>
    <w:rsid w:val="00987C3B"/>
    <w:rsid w:val="00990086"/>
    <w:rsid w:val="00991488"/>
    <w:rsid w:val="009960FD"/>
    <w:rsid w:val="009A5B01"/>
    <w:rsid w:val="009B35E3"/>
    <w:rsid w:val="009B4EBC"/>
    <w:rsid w:val="009C46F6"/>
    <w:rsid w:val="009C7534"/>
    <w:rsid w:val="009E2F07"/>
    <w:rsid w:val="009E548D"/>
    <w:rsid w:val="009F1602"/>
    <w:rsid w:val="009F1AA1"/>
    <w:rsid w:val="00A01777"/>
    <w:rsid w:val="00A1041F"/>
    <w:rsid w:val="00A15024"/>
    <w:rsid w:val="00A22D6C"/>
    <w:rsid w:val="00A30994"/>
    <w:rsid w:val="00A32AC9"/>
    <w:rsid w:val="00A44957"/>
    <w:rsid w:val="00A528E9"/>
    <w:rsid w:val="00A71360"/>
    <w:rsid w:val="00A736B7"/>
    <w:rsid w:val="00A812F4"/>
    <w:rsid w:val="00AA25CF"/>
    <w:rsid w:val="00AA5231"/>
    <w:rsid w:val="00AB334D"/>
    <w:rsid w:val="00AB5779"/>
    <w:rsid w:val="00AB6C5F"/>
    <w:rsid w:val="00AD2490"/>
    <w:rsid w:val="00AF0C81"/>
    <w:rsid w:val="00AF7077"/>
    <w:rsid w:val="00B04016"/>
    <w:rsid w:val="00B14DE2"/>
    <w:rsid w:val="00B17375"/>
    <w:rsid w:val="00B25956"/>
    <w:rsid w:val="00B36150"/>
    <w:rsid w:val="00B53D49"/>
    <w:rsid w:val="00B57246"/>
    <w:rsid w:val="00B75B99"/>
    <w:rsid w:val="00B81A39"/>
    <w:rsid w:val="00B82E15"/>
    <w:rsid w:val="00B93276"/>
    <w:rsid w:val="00BA6ABE"/>
    <w:rsid w:val="00BA7674"/>
    <w:rsid w:val="00BD448A"/>
    <w:rsid w:val="00BE2FFF"/>
    <w:rsid w:val="00BE4AF9"/>
    <w:rsid w:val="00BF11C2"/>
    <w:rsid w:val="00BF221C"/>
    <w:rsid w:val="00C005D9"/>
    <w:rsid w:val="00C03E0A"/>
    <w:rsid w:val="00C24A12"/>
    <w:rsid w:val="00C26CDA"/>
    <w:rsid w:val="00C26D48"/>
    <w:rsid w:val="00C313C0"/>
    <w:rsid w:val="00C47F0C"/>
    <w:rsid w:val="00C51DA8"/>
    <w:rsid w:val="00C53A66"/>
    <w:rsid w:val="00C575E8"/>
    <w:rsid w:val="00C87FEA"/>
    <w:rsid w:val="00C93E76"/>
    <w:rsid w:val="00CA14FD"/>
    <w:rsid w:val="00CA7AA1"/>
    <w:rsid w:val="00CB2A68"/>
    <w:rsid w:val="00CB3BAF"/>
    <w:rsid w:val="00CB466A"/>
    <w:rsid w:val="00CC1F10"/>
    <w:rsid w:val="00CC2183"/>
    <w:rsid w:val="00CD31AC"/>
    <w:rsid w:val="00CE15B4"/>
    <w:rsid w:val="00CE3689"/>
    <w:rsid w:val="00D144FE"/>
    <w:rsid w:val="00D22AC4"/>
    <w:rsid w:val="00D45FCC"/>
    <w:rsid w:val="00D46BCB"/>
    <w:rsid w:val="00D81F74"/>
    <w:rsid w:val="00D832CE"/>
    <w:rsid w:val="00D85EE8"/>
    <w:rsid w:val="00D9082A"/>
    <w:rsid w:val="00D92A52"/>
    <w:rsid w:val="00D94783"/>
    <w:rsid w:val="00D97FED"/>
    <w:rsid w:val="00DA3730"/>
    <w:rsid w:val="00DA5EA2"/>
    <w:rsid w:val="00DC270C"/>
    <w:rsid w:val="00DC53C1"/>
    <w:rsid w:val="00DD796C"/>
    <w:rsid w:val="00DF6E5F"/>
    <w:rsid w:val="00DF72EE"/>
    <w:rsid w:val="00E0100E"/>
    <w:rsid w:val="00E043DE"/>
    <w:rsid w:val="00E44C07"/>
    <w:rsid w:val="00E5344D"/>
    <w:rsid w:val="00E53EFE"/>
    <w:rsid w:val="00E62B13"/>
    <w:rsid w:val="00E707C8"/>
    <w:rsid w:val="00E80F9F"/>
    <w:rsid w:val="00E82901"/>
    <w:rsid w:val="00E8606F"/>
    <w:rsid w:val="00E873D6"/>
    <w:rsid w:val="00E950EB"/>
    <w:rsid w:val="00EA4B66"/>
    <w:rsid w:val="00EB194C"/>
    <w:rsid w:val="00EC1685"/>
    <w:rsid w:val="00ED1EC9"/>
    <w:rsid w:val="00ED3931"/>
    <w:rsid w:val="00ED4CA5"/>
    <w:rsid w:val="00ED5A45"/>
    <w:rsid w:val="00EE3671"/>
    <w:rsid w:val="00EF3D97"/>
    <w:rsid w:val="00EF40B6"/>
    <w:rsid w:val="00F01C13"/>
    <w:rsid w:val="00F12DB2"/>
    <w:rsid w:val="00F15058"/>
    <w:rsid w:val="00F439BF"/>
    <w:rsid w:val="00F778EF"/>
    <w:rsid w:val="00F84F79"/>
    <w:rsid w:val="00F93C75"/>
    <w:rsid w:val="00FA0B17"/>
    <w:rsid w:val="00FA7EAC"/>
    <w:rsid w:val="00FC28C5"/>
    <w:rsid w:val="00FC4D1D"/>
    <w:rsid w:val="00FD4C10"/>
    <w:rsid w:val="00FD6294"/>
    <w:rsid w:val="00FE3921"/>
    <w:rsid w:val="00FE455A"/>
    <w:rsid w:val="00FF09E2"/>
    <w:rsid w:val="00FF1F52"/>
    <w:rsid w:val="00FF4B55"/>
    <w:rsid w:val="11470246"/>
    <w:rsid w:val="15B34F99"/>
    <w:rsid w:val="15ED2807"/>
    <w:rsid w:val="19E16F05"/>
    <w:rsid w:val="1CC754CF"/>
    <w:rsid w:val="2BA5442E"/>
    <w:rsid w:val="2BCD31B5"/>
    <w:rsid w:val="380A7980"/>
    <w:rsid w:val="3DCC1CEF"/>
    <w:rsid w:val="4C1738EE"/>
    <w:rsid w:val="4FB97988"/>
    <w:rsid w:val="61B30EE5"/>
    <w:rsid w:val="69A00868"/>
    <w:rsid w:val="6A2152D6"/>
    <w:rsid w:val="7B8C2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2"/>
    <w:semiHidden/>
    <w:unhideWhenUsed/>
    <w:qFormat/>
    <w:uiPriority w:val="0"/>
    <w:pPr>
      <w:keepNext/>
      <w:keepLines/>
      <w:spacing w:before="260" w:after="260" w:line="416" w:lineRule="auto"/>
      <w:outlineLvl w:val="1"/>
    </w:pPr>
    <w:rPr>
      <w:rFonts w:ascii="Times New Roman" w:hAnsi="Times New Roman" w:eastAsia="宋体" w:cs="Times New Roman"/>
      <w:b/>
      <w:bCs/>
      <w:snapToGrid w:val="0"/>
      <w:szCs w:val="24"/>
    </w:rPr>
  </w:style>
  <w:style w:type="paragraph" w:styleId="4">
    <w:name w:val="heading 3"/>
    <w:basedOn w:val="1"/>
    <w:next w:val="1"/>
    <w:link w:val="59"/>
    <w:autoRedefine/>
    <w:unhideWhenUsed/>
    <w:qFormat/>
    <w:uiPriority w:val="9"/>
    <w:pPr>
      <w:autoSpaceDE w:val="0"/>
      <w:autoSpaceDN w:val="0"/>
      <w:spacing w:line="360" w:lineRule="auto"/>
      <w:ind w:firstLine="420" w:firstLineChars="200"/>
      <w:outlineLvl w:val="2"/>
    </w:pPr>
    <w:rPr>
      <w:rFonts w:ascii="Times New Roman" w:hAnsi="Times New Roman" w:eastAsia="宋体" w:cs="Cambria Math"/>
      <w:b/>
      <w:bCs/>
      <w:szCs w:val="32"/>
    </w:rPr>
  </w:style>
  <w:style w:type="paragraph" w:styleId="5">
    <w:name w:val="heading 4"/>
    <w:basedOn w:val="1"/>
    <w:next w:val="1"/>
    <w:link w:val="60"/>
    <w:autoRedefine/>
    <w:qFormat/>
    <w:uiPriority w:val="0"/>
    <w:pPr>
      <w:autoSpaceDE w:val="0"/>
      <w:autoSpaceDN w:val="0"/>
      <w:spacing w:line="360" w:lineRule="auto"/>
      <w:ind w:firstLine="1044" w:firstLineChars="200"/>
      <w:outlineLvl w:val="3"/>
    </w:pPr>
    <w:rPr>
      <w:rFonts w:ascii="Times New Roman" w:hAnsi="Times New Roman" w:eastAsia="宋体" w:cs="Times New Roman"/>
      <w:bCs/>
      <w:szCs w:val="28"/>
    </w:rPr>
  </w:style>
  <w:style w:type="paragraph" w:styleId="6">
    <w:name w:val="heading 5"/>
    <w:basedOn w:val="1"/>
    <w:next w:val="1"/>
    <w:link w:val="61"/>
    <w:autoRedefine/>
    <w:unhideWhenUsed/>
    <w:qFormat/>
    <w:uiPriority w:val="0"/>
    <w:pPr>
      <w:autoSpaceDE w:val="0"/>
      <w:autoSpaceDN w:val="0"/>
      <w:spacing w:line="360" w:lineRule="auto"/>
      <w:jc w:val="center"/>
      <w:outlineLvl w:val="4"/>
    </w:pPr>
    <w:rPr>
      <w:rFonts w:ascii="Times New Roman" w:hAnsi="Times New Roman" w:eastAsia="宋体" w:cs="Cambria Math"/>
      <w:b/>
      <w:bCs/>
      <w:sz w:val="28"/>
      <w:szCs w:val="18"/>
    </w:rPr>
  </w:style>
  <w:style w:type="paragraph" w:styleId="7">
    <w:name w:val="heading 6"/>
    <w:basedOn w:val="1"/>
    <w:next w:val="1"/>
    <w:link w:val="37"/>
    <w:autoRedefine/>
    <w:unhideWhenUsed/>
    <w:qFormat/>
    <w:uiPriority w:val="0"/>
    <w:pPr>
      <w:keepNext/>
      <w:keepLines/>
      <w:autoSpaceDE w:val="0"/>
      <w:autoSpaceDN w:val="0"/>
      <w:spacing w:line="317" w:lineRule="auto"/>
      <w:ind w:firstLine="420" w:firstLineChars="200"/>
      <w:outlineLvl w:val="5"/>
    </w:pPr>
    <w:rPr>
      <w:rFonts w:ascii="Times New Roman" w:hAnsi="Times New Roman" w:eastAsia="黑体" w:cs="Cambria Math"/>
      <w:b/>
      <w:bCs/>
      <w:szCs w:val="18"/>
    </w:rPr>
  </w:style>
  <w:style w:type="paragraph" w:styleId="8">
    <w:name w:val="heading 7"/>
    <w:basedOn w:val="1"/>
    <w:next w:val="1"/>
    <w:link w:val="38"/>
    <w:semiHidden/>
    <w:unhideWhenUsed/>
    <w:qFormat/>
    <w:uiPriority w:val="0"/>
    <w:pPr>
      <w:keepNext/>
      <w:keepLines/>
      <w:autoSpaceDE w:val="0"/>
      <w:autoSpaceDN w:val="0"/>
      <w:spacing w:line="317" w:lineRule="auto"/>
      <w:ind w:firstLine="420" w:firstLineChars="200"/>
      <w:outlineLvl w:val="6"/>
    </w:pPr>
    <w:rPr>
      <w:rFonts w:ascii="Times New Roman" w:hAnsi="Times New Roman" w:eastAsia="宋体" w:cs="Cambria Math"/>
      <w:b/>
      <w:bCs/>
      <w:szCs w:val="1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9">
    <w:name w:val="Document Map"/>
    <w:basedOn w:val="1"/>
    <w:link w:val="29"/>
    <w:semiHidden/>
    <w:unhideWhenUsed/>
    <w:qFormat/>
    <w:uiPriority w:val="99"/>
    <w:rPr>
      <w:rFonts w:ascii="宋体" w:eastAsia="宋体"/>
      <w:sz w:val="18"/>
      <w:szCs w:val="18"/>
    </w:rPr>
  </w:style>
  <w:style w:type="paragraph" w:styleId="10">
    <w:name w:val="annotation text"/>
    <w:basedOn w:val="1"/>
    <w:link w:val="41"/>
    <w:qFormat/>
    <w:uiPriority w:val="0"/>
    <w:pPr>
      <w:autoSpaceDE w:val="0"/>
      <w:autoSpaceDN w:val="0"/>
      <w:spacing w:line="360" w:lineRule="auto"/>
      <w:ind w:firstLine="420" w:firstLineChars="200"/>
      <w:jc w:val="left"/>
    </w:pPr>
    <w:rPr>
      <w:rFonts w:ascii="Times New Roman" w:hAnsi="Times New Roman" w:eastAsia="宋体" w:cs="Cambria Math"/>
      <w:bCs/>
      <w:szCs w:val="18"/>
    </w:rPr>
  </w:style>
  <w:style w:type="paragraph" w:styleId="11">
    <w:name w:val="Body Text"/>
    <w:basedOn w:val="1"/>
    <w:next w:val="12"/>
    <w:link w:val="39"/>
    <w:qFormat/>
    <w:uiPriority w:val="0"/>
    <w:pPr>
      <w:autoSpaceDE w:val="0"/>
      <w:autoSpaceDN w:val="0"/>
      <w:spacing w:line="360" w:lineRule="auto"/>
      <w:ind w:firstLine="420" w:firstLineChars="200"/>
    </w:pPr>
    <w:rPr>
      <w:rFonts w:ascii="Times New Roman" w:hAnsi="Times New Roman" w:eastAsia="宋体" w:cs="Cambria Math"/>
      <w:bCs/>
      <w:szCs w:val="18"/>
    </w:rPr>
  </w:style>
  <w:style w:type="paragraph" w:styleId="12">
    <w:name w:val="Title"/>
    <w:basedOn w:val="1"/>
    <w:next w:val="1"/>
    <w:link w:val="40"/>
    <w:qFormat/>
    <w:uiPriority w:val="0"/>
    <w:pPr>
      <w:autoSpaceDE w:val="0"/>
      <w:autoSpaceDN w:val="0"/>
      <w:spacing w:before="240" w:after="60" w:line="360" w:lineRule="auto"/>
      <w:ind w:firstLine="420" w:firstLineChars="200"/>
      <w:jc w:val="center"/>
      <w:outlineLvl w:val="0"/>
    </w:pPr>
    <w:rPr>
      <w:rFonts w:ascii="Arial" w:hAnsi="Arial" w:eastAsia="宋体" w:cs="Cambria Math"/>
      <w:b/>
      <w:bCs/>
      <w:sz w:val="32"/>
      <w:szCs w:val="18"/>
    </w:rPr>
  </w:style>
  <w:style w:type="paragraph" w:styleId="13">
    <w:name w:val="Body Text Indent"/>
    <w:basedOn w:val="1"/>
    <w:next w:val="14"/>
    <w:link w:val="42"/>
    <w:qFormat/>
    <w:uiPriority w:val="0"/>
    <w:pPr>
      <w:autoSpaceDE w:val="0"/>
      <w:autoSpaceDN w:val="0"/>
      <w:spacing w:line="360" w:lineRule="auto"/>
      <w:ind w:firstLine="200" w:firstLineChars="200"/>
    </w:pPr>
    <w:rPr>
      <w:rFonts w:ascii="黑体" w:hAnsi="Times New Roman" w:eastAsia="黑体" w:cs="Cambria Math"/>
      <w:bCs/>
      <w:color w:val="000000"/>
      <w:kern w:val="0"/>
      <w:sz w:val="32"/>
      <w:szCs w:val="32"/>
    </w:rPr>
  </w:style>
  <w:style w:type="paragraph" w:styleId="14">
    <w:name w:val="annotation subject"/>
    <w:basedOn w:val="1"/>
    <w:next w:val="1"/>
    <w:link w:val="43"/>
    <w:qFormat/>
    <w:uiPriority w:val="0"/>
    <w:pPr>
      <w:autoSpaceDE w:val="0"/>
      <w:autoSpaceDN w:val="0"/>
      <w:spacing w:after="160" w:line="600" w:lineRule="exact"/>
      <w:ind w:firstLine="200" w:firstLineChars="200"/>
      <w:jc w:val="left"/>
    </w:pPr>
    <w:rPr>
      <w:rFonts w:ascii="Cambria Math" w:hAnsi="Cambria Math" w:eastAsia="宋体" w:cs="Cambria Math"/>
      <w:b/>
      <w:bCs/>
      <w:sz w:val="24"/>
      <w:szCs w:val="20"/>
    </w:rPr>
  </w:style>
  <w:style w:type="paragraph" w:styleId="15">
    <w:name w:val="Plain Text"/>
    <w:basedOn w:val="1"/>
    <w:next w:val="1"/>
    <w:link w:val="44"/>
    <w:qFormat/>
    <w:uiPriority w:val="0"/>
    <w:pPr>
      <w:autoSpaceDE w:val="0"/>
      <w:autoSpaceDN w:val="0"/>
      <w:spacing w:line="360" w:lineRule="auto"/>
      <w:ind w:firstLine="420" w:firstLineChars="200"/>
    </w:pPr>
    <w:rPr>
      <w:rFonts w:ascii="宋体" w:hAnsi="Times New Roman" w:eastAsia="宋体" w:cs="Cambria Math"/>
      <w:bCs/>
      <w:kern w:val="0"/>
      <w:sz w:val="28"/>
      <w:szCs w:val="28"/>
    </w:rPr>
  </w:style>
  <w:style w:type="paragraph" w:styleId="16">
    <w:name w:val="Balloon Text"/>
    <w:basedOn w:val="1"/>
    <w:link w:val="32"/>
    <w:unhideWhenUsed/>
    <w:qFormat/>
    <w:uiPriority w:val="0"/>
    <w:rPr>
      <w:sz w:val="18"/>
      <w:szCs w:val="18"/>
    </w:rPr>
  </w:style>
  <w:style w:type="paragraph" w:styleId="17">
    <w:name w:val="footer"/>
    <w:basedOn w:val="1"/>
    <w:link w:val="28"/>
    <w:unhideWhenUsed/>
    <w:qFormat/>
    <w:uiPriority w:val="0"/>
    <w:pPr>
      <w:tabs>
        <w:tab w:val="center" w:pos="4153"/>
        <w:tab w:val="right" w:pos="8306"/>
      </w:tabs>
      <w:snapToGrid w:val="0"/>
      <w:jc w:val="left"/>
    </w:pPr>
    <w:rPr>
      <w:sz w:val="18"/>
      <w:szCs w:val="18"/>
    </w:rPr>
  </w:style>
  <w:style w:type="paragraph" w:styleId="18">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0"/>
  </w:style>
  <w:style w:type="paragraph" w:styleId="20">
    <w:name w:val="Subtitle"/>
    <w:basedOn w:val="1"/>
    <w:link w:val="45"/>
    <w:autoRedefine/>
    <w:qFormat/>
    <w:uiPriority w:val="0"/>
    <w:pPr>
      <w:autoSpaceDE w:val="0"/>
      <w:autoSpaceDN w:val="0"/>
      <w:spacing w:line="312" w:lineRule="auto"/>
      <w:ind w:firstLine="420" w:firstLineChars="200"/>
      <w:jc w:val="center"/>
      <w:outlineLvl w:val="1"/>
    </w:pPr>
    <w:rPr>
      <w:rFonts w:ascii="Arial" w:hAnsi="Arial" w:eastAsia="宋体" w:cs="Cambria Math"/>
      <w:b/>
      <w:bCs/>
      <w:kern w:val="28"/>
      <w:sz w:val="32"/>
      <w:szCs w:val="18"/>
    </w:rPr>
  </w:style>
  <w:style w:type="paragraph" w:styleId="21">
    <w:name w:val="toc 2"/>
    <w:basedOn w:val="1"/>
    <w:next w:val="1"/>
    <w:autoRedefine/>
    <w:unhideWhenUsed/>
    <w:qFormat/>
    <w:uiPriority w:val="39"/>
    <w:pPr>
      <w:ind w:left="420" w:leftChars="200"/>
    </w:p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character" w:styleId="26">
    <w:name w:val="annotation reference"/>
    <w:basedOn w:val="24"/>
    <w:qFormat/>
    <w:uiPriority w:val="0"/>
    <w:rPr>
      <w:sz w:val="21"/>
      <w:szCs w:val="21"/>
    </w:rPr>
  </w:style>
  <w:style w:type="character" w:customStyle="1" w:styleId="27">
    <w:name w:val="页眉 Char"/>
    <w:basedOn w:val="24"/>
    <w:link w:val="18"/>
    <w:qFormat/>
    <w:uiPriority w:val="0"/>
    <w:rPr>
      <w:sz w:val="18"/>
      <w:szCs w:val="18"/>
    </w:rPr>
  </w:style>
  <w:style w:type="character" w:customStyle="1" w:styleId="28">
    <w:name w:val="页脚 Char"/>
    <w:basedOn w:val="24"/>
    <w:link w:val="17"/>
    <w:qFormat/>
    <w:uiPriority w:val="99"/>
    <w:rPr>
      <w:sz w:val="18"/>
      <w:szCs w:val="18"/>
    </w:rPr>
  </w:style>
  <w:style w:type="character" w:customStyle="1" w:styleId="29">
    <w:name w:val="文档结构图 Char"/>
    <w:basedOn w:val="24"/>
    <w:link w:val="9"/>
    <w:semiHidden/>
    <w:qFormat/>
    <w:uiPriority w:val="99"/>
    <w:rPr>
      <w:rFonts w:ascii="宋体" w:eastAsia="宋体"/>
      <w:sz w:val="18"/>
      <w:szCs w:val="18"/>
    </w:rPr>
  </w:style>
  <w:style w:type="character" w:customStyle="1" w:styleId="30">
    <w:name w:val="标题 1 Char"/>
    <w:basedOn w:val="24"/>
    <w:link w:val="2"/>
    <w:qFormat/>
    <w:uiPriority w:val="0"/>
    <w:rPr>
      <w:b/>
      <w:bCs/>
      <w:kern w:val="44"/>
      <w:sz w:val="44"/>
      <w:szCs w:val="44"/>
    </w:rPr>
  </w:style>
  <w:style w:type="paragraph" w:customStyle="1" w:styleId="31">
    <w:name w:val="标题前缀"/>
    <w:basedOn w:val="1"/>
    <w:qFormat/>
    <w:uiPriority w:val="0"/>
    <w:pPr>
      <w:spacing w:beforeLines="50" w:line="600" w:lineRule="exact"/>
      <w:ind w:right="25" w:rightChars="12"/>
      <w:jc w:val="center"/>
    </w:pPr>
    <w:rPr>
      <w:rFonts w:ascii="方正小标宋简体" w:hAnsi="宋体" w:eastAsia="方正小标宋简体" w:cs="Times New Roman"/>
      <w:sz w:val="44"/>
      <w:szCs w:val="44"/>
    </w:rPr>
  </w:style>
  <w:style w:type="character" w:customStyle="1" w:styleId="32">
    <w:name w:val="批注框文本 Char"/>
    <w:basedOn w:val="24"/>
    <w:link w:val="16"/>
    <w:qFormat/>
    <w:uiPriority w:val="0"/>
    <w:rPr>
      <w:sz w:val="18"/>
      <w:szCs w:val="18"/>
    </w:rPr>
  </w:style>
  <w:style w:type="paragraph" w:customStyle="1" w:styleId="33">
    <w:name w:val="标题 21"/>
    <w:basedOn w:val="1"/>
    <w:next w:val="1"/>
    <w:autoRedefine/>
    <w:unhideWhenUsed/>
    <w:qFormat/>
    <w:locked/>
    <w:uiPriority w:val="9"/>
    <w:pPr>
      <w:autoSpaceDE w:val="0"/>
      <w:autoSpaceDN w:val="0"/>
      <w:spacing w:line="600" w:lineRule="exact"/>
      <w:outlineLvl w:val="1"/>
    </w:pPr>
    <w:rPr>
      <w:rFonts w:ascii="Times New Roman" w:hAnsi="Times New Roman" w:eastAsia="宋体" w:cs="Times New Roman"/>
      <w:b/>
      <w:bCs/>
      <w:snapToGrid w:val="0"/>
      <w:szCs w:val="24"/>
    </w:rPr>
  </w:style>
  <w:style w:type="character" w:customStyle="1" w:styleId="34">
    <w:name w:val="标题 3 Char"/>
    <w:basedOn w:val="24"/>
    <w:qFormat/>
    <w:uiPriority w:val="9"/>
    <w:rPr>
      <w:b/>
      <w:bCs/>
      <w:sz w:val="32"/>
      <w:szCs w:val="32"/>
    </w:rPr>
  </w:style>
  <w:style w:type="character" w:customStyle="1" w:styleId="35">
    <w:name w:val="标题 4 Char"/>
    <w:basedOn w:val="24"/>
    <w:qFormat/>
    <w:uiPriority w:val="0"/>
    <w:rPr>
      <w:rFonts w:asciiTheme="majorHAnsi" w:hAnsiTheme="majorHAnsi" w:eastAsiaTheme="majorEastAsia" w:cstheme="majorBidi"/>
      <w:b/>
      <w:bCs/>
      <w:sz w:val="28"/>
      <w:szCs w:val="28"/>
    </w:rPr>
  </w:style>
  <w:style w:type="character" w:customStyle="1" w:styleId="36">
    <w:name w:val="标题 5 Char"/>
    <w:basedOn w:val="24"/>
    <w:qFormat/>
    <w:uiPriority w:val="0"/>
    <w:rPr>
      <w:b/>
      <w:bCs/>
      <w:sz w:val="28"/>
      <w:szCs w:val="28"/>
    </w:rPr>
  </w:style>
  <w:style w:type="character" w:customStyle="1" w:styleId="37">
    <w:name w:val="标题 6 Char"/>
    <w:basedOn w:val="24"/>
    <w:link w:val="7"/>
    <w:qFormat/>
    <w:uiPriority w:val="0"/>
    <w:rPr>
      <w:rFonts w:ascii="Times New Roman" w:hAnsi="Times New Roman" w:eastAsia="黑体" w:cs="Cambria Math"/>
      <w:b/>
      <w:bCs/>
      <w:szCs w:val="18"/>
    </w:rPr>
  </w:style>
  <w:style w:type="character" w:customStyle="1" w:styleId="38">
    <w:name w:val="标题 7 Char"/>
    <w:basedOn w:val="24"/>
    <w:link w:val="8"/>
    <w:semiHidden/>
    <w:qFormat/>
    <w:uiPriority w:val="0"/>
    <w:rPr>
      <w:rFonts w:ascii="Times New Roman" w:hAnsi="Times New Roman" w:eastAsia="宋体" w:cs="Cambria Math"/>
      <w:b/>
      <w:bCs/>
      <w:szCs w:val="18"/>
    </w:rPr>
  </w:style>
  <w:style w:type="character" w:customStyle="1" w:styleId="39">
    <w:name w:val="正文文本 Char"/>
    <w:basedOn w:val="24"/>
    <w:link w:val="11"/>
    <w:qFormat/>
    <w:uiPriority w:val="0"/>
    <w:rPr>
      <w:rFonts w:ascii="Times New Roman" w:hAnsi="Times New Roman" w:eastAsia="宋体" w:cs="Cambria Math"/>
      <w:bCs/>
      <w:szCs w:val="18"/>
    </w:rPr>
  </w:style>
  <w:style w:type="character" w:customStyle="1" w:styleId="40">
    <w:name w:val="标题 Char"/>
    <w:basedOn w:val="24"/>
    <w:link w:val="12"/>
    <w:qFormat/>
    <w:uiPriority w:val="0"/>
    <w:rPr>
      <w:rFonts w:ascii="Arial" w:hAnsi="Arial" w:eastAsia="宋体" w:cs="Cambria Math"/>
      <w:b/>
      <w:bCs/>
      <w:sz w:val="32"/>
      <w:szCs w:val="18"/>
    </w:rPr>
  </w:style>
  <w:style w:type="character" w:customStyle="1" w:styleId="41">
    <w:name w:val="批注文字 Char"/>
    <w:basedOn w:val="24"/>
    <w:link w:val="10"/>
    <w:qFormat/>
    <w:uiPriority w:val="0"/>
    <w:rPr>
      <w:rFonts w:ascii="Times New Roman" w:hAnsi="Times New Roman" w:eastAsia="宋体" w:cs="Cambria Math"/>
      <w:bCs/>
      <w:szCs w:val="18"/>
    </w:rPr>
  </w:style>
  <w:style w:type="character" w:customStyle="1" w:styleId="42">
    <w:name w:val="正文文本缩进 Char"/>
    <w:basedOn w:val="24"/>
    <w:link w:val="13"/>
    <w:qFormat/>
    <w:uiPriority w:val="0"/>
    <w:rPr>
      <w:rFonts w:ascii="黑体" w:hAnsi="Times New Roman" w:eastAsia="黑体" w:cs="Cambria Math"/>
      <w:bCs/>
      <w:color w:val="000000"/>
      <w:kern w:val="0"/>
      <w:sz w:val="32"/>
      <w:szCs w:val="32"/>
    </w:rPr>
  </w:style>
  <w:style w:type="character" w:customStyle="1" w:styleId="43">
    <w:name w:val="批注主题 Char"/>
    <w:basedOn w:val="41"/>
    <w:link w:val="14"/>
    <w:qFormat/>
    <w:uiPriority w:val="0"/>
    <w:rPr>
      <w:rFonts w:ascii="Cambria Math" w:hAnsi="Cambria Math" w:eastAsia="宋体" w:cs="Cambria Math"/>
      <w:b/>
      <w:sz w:val="24"/>
      <w:szCs w:val="20"/>
    </w:rPr>
  </w:style>
  <w:style w:type="character" w:customStyle="1" w:styleId="44">
    <w:name w:val="纯文本 Char"/>
    <w:basedOn w:val="24"/>
    <w:link w:val="15"/>
    <w:qFormat/>
    <w:uiPriority w:val="0"/>
    <w:rPr>
      <w:rFonts w:ascii="宋体" w:hAnsi="Times New Roman" w:eastAsia="宋体" w:cs="Cambria Math"/>
      <w:bCs/>
      <w:kern w:val="0"/>
      <w:sz w:val="28"/>
      <w:szCs w:val="28"/>
    </w:rPr>
  </w:style>
  <w:style w:type="character" w:customStyle="1" w:styleId="45">
    <w:name w:val="副标题 Char"/>
    <w:basedOn w:val="24"/>
    <w:link w:val="20"/>
    <w:qFormat/>
    <w:uiPriority w:val="0"/>
    <w:rPr>
      <w:rFonts w:ascii="Arial" w:hAnsi="Arial" w:eastAsia="宋体" w:cs="Cambria Math"/>
      <w:b/>
      <w:bCs/>
      <w:kern w:val="28"/>
      <w:sz w:val="32"/>
      <w:szCs w:val="18"/>
    </w:rPr>
  </w:style>
  <w:style w:type="table" w:customStyle="1" w:styleId="46">
    <w:name w:val="网格型1"/>
    <w:basedOn w:val="22"/>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7">
    <w:name w:val="标题 2 Char"/>
    <w:basedOn w:val="24"/>
    <w:autoRedefine/>
    <w:qFormat/>
    <w:uiPriority w:val="9"/>
    <w:rPr>
      <w:rFonts w:ascii="Times New Roman" w:hAnsi="Times New Roman" w:eastAsia="宋体" w:cs="Times New Roman"/>
      <w:b/>
      <w:bCs/>
      <w:snapToGrid w:val="0"/>
      <w:szCs w:val="24"/>
    </w:rPr>
  </w:style>
  <w:style w:type="table" w:customStyle="1" w:styleId="48">
    <w:name w:val="网格型5"/>
    <w:basedOn w:val="22"/>
    <w:autoRedefine/>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参选文件格式1"/>
    <w:basedOn w:val="1"/>
    <w:next w:val="1"/>
    <w:link w:val="53"/>
    <w:autoRedefine/>
    <w:qFormat/>
    <w:locked/>
    <w:uiPriority w:val="0"/>
    <w:pPr>
      <w:autoSpaceDE w:val="0"/>
      <w:autoSpaceDN w:val="0"/>
      <w:spacing w:line="360" w:lineRule="auto"/>
      <w:jc w:val="center"/>
      <w:outlineLvl w:val="1"/>
    </w:pPr>
    <w:rPr>
      <w:rFonts w:ascii="Times New Roman" w:hAnsi="Times New Roman" w:eastAsia="宋体" w:cs="Cambria Math"/>
      <w:b/>
      <w:bCs/>
      <w:sz w:val="28"/>
      <w:szCs w:val="18"/>
    </w:rPr>
  </w:style>
  <w:style w:type="paragraph" w:customStyle="1" w:styleId="50">
    <w:name w:val="参选文件格式2"/>
    <w:basedOn w:val="1"/>
    <w:next w:val="1"/>
    <w:link w:val="54"/>
    <w:autoRedefine/>
    <w:qFormat/>
    <w:locked/>
    <w:uiPriority w:val="0"/>
    <w:pPr>
      <w:autoSpaceDE w:val="0"/>
      <w:autoSpaceDN w:val="0"/>
      <w:spacing w:line="360" w:lineRule="auto"/>
      <w:jc w:val="center"/>
      <w:outlineLvl w:val="2"/>
    </w:pPr>
    <w:rPr>
      <w:rFonts w:ascii="Times New Roman" w:hAnsi="Times New Roman" w:eastAsia="宋体" w:cs="Cambria Math"/>
      <w:bCs/>
      <w:szCs w:val="32"/>
    </w:rPr>
  </w:style>
  <w:style w:type="paragraph" w:customStyle="1" w:styleId="51">
    <w:name w:val="参选文件格式3"/>
    <w:basedOn w:val="1"/>
    <w:link w:val="52"/>
    <w:autoRedefine/>
    <w:qFormat/>
    <w:locked/>
    <w:uiPriority w:val="0"/>
    <w:pPr>
      <w:tabs>
        <w:tab w:val="left" w:pos="6300"/>
      </w:tabs>
      <w:autoSpaceDE w:val="0"/>
      <w:autoSpaceDN w:val="0"/>
      <w:snapToGrid w:val="0"/>
      <w:spacing w:line="600" w:lineRule="exact"/>
      <w:jc w:val="center"/>
    </w:pPr>
    <w:rPr>
      <w:rFonts w:ascii="宋体" w:hAnsi="宋体" w:eastAsia="宋体" w:cs="Cambria Math"/>
      <w:b/>
      <w:bCs/>
      <w:snapToGrid w:val="0"/>
      <w:kern w:val="0"/>
      <w:szCs w:val="18"/>
    </w:rPr>
  </w:style>
  <w:style w:type="character" w:customStyle="1" w:styleId="52">
    <w:name w:val="参选文件格式3 Char"/>
    <w:link w:val="51"/>
    <w:autoRedefine/>
    <w:qFormat/>
    <w:uiPriority w:val="0"/>
    <w:rPr>
      <w:rFonts w:ascii="宋体" w:hAnsi="宋体" w:eastAsia="宋体" w:cs="Cambria Math"/>
      <w:b/>
      <w:bCs/>
      <w:snapToGrid w:val="0"/>
      <w:kern w:val="0"/>
      <w:szCs w:val="18"/>
    </w:rPr>
  </w:style>
  <w:style w:type="character" w:customStyle="1" w:styleId="53">
    <w:name w:val="参选文件格式1 Char"/>
    <w:link w:val="49"/>
    <w:autoRedefine/>
    <w:qFormat/>
    <w:uiPriority w:val="0"/>
    <w:rPr>
      <w:rFonts w:ascii="Times New Roman" w:hAnsi="Times New Roman" w:eastAsia="宋体" w:cs="Cambria Math"/>
      <w:b/>
      <w:bCs/>
      <w:sz w:val="28"/>
      <w:szCs w:val="18"/>
    </w:rPr>
  </w:style>
  <w:style w:type="character" w:customStyle="1" w:styleId="54">
    <w:name w:val="参选文件格式2 Char"/>
    <w:link w:val="50"/>
    <w:autoRedefine/>
    <w:qFormat/>
    <w:uiPriority w:val="0"/>
    <w:rPr>
      <w:rFonts w:ascii="Times New Roman" w:hAnsi="Times New Roman" w:eastAsia="宋体" w:cs="Cambria Math"/>
      <w:bCs/>
      <w:szCs w:val="32"/>
    </w:rPr>
  </w:style>
  <w:style w:type="character" w:customStyle="1" w:styleId="55">
    <w:name w:val="标题 4 字符"/>
    <w:autoRedefine/>
    <w:qFormat/>
    <w:uiPriority w:val="0"/>
    <w:rPr>
      <w:rFonts w:cs="Times New Roman"/>
      <w:bCs/>
      <w:szCs w:val="28"/>
    </w:rPr>
  </w:style>
  <w:style w:type="paragraph" w:customStyle="1" w:styleId="56">
    <w:name w:val="表格"/>
    <w:basedOn w:val="1"/>
    <w:qFormat/>
    <w:locked/>
    <w:uiPriority w:val="0"/>
    <w:pPr>
      <w:autoSpaceDE w:val="0"/>
      <w:autoSpaceDN w:val="0"/>
    </w:pPr>
    <w:rPr>
      <w:rFonts w:ascii="Times New Roman" w:hAnsi="Times New Roman" w:eastAsia="宋体" w:cs="Cambria Math"/>
      <w:bCs/>
      <w:szCs w:val="18"/>
    </w:rPr>
  </w:style>
  <w:style w:type="character" w:customStyle="1" w:styleId="57">
    <w:name w:val="标题 1 Char1"/>
    <w:autoRedefine/>
    <w:qFormat/>
    <w:uiPriority w:val="0"/>
    <w:rPr>
      <w:rFonts w:ascii="Times New Roman" w:hAnsi="Times New Roman" w:eastAsia="宋体" w:cs="等线 Light"/>
      <w:b/>
      <w:snapToGrid w:val="0"/>
      <w:kern w:val="0"/>
      <w:sz w:val="44"/>
      <w:szCs w:val="44"/>
    </w:rPr>
  </w:style>
  <w:style w:type="character" w:customStyle="1" w:styleId="58">
    <w:name w:val="标题 2 Char1"/>
    <w:autoRedefine/>
    <w:qFormat/>
    <w:uiPriority w:val="0"/>
    <w:rPr>
      <w:rFonts w:ascii="Times New Roman" w:hAnsi="Times New Roman" w:eastAsia="宋体" w:cs="Times New Roman"/>
      <w:b/>
      <w:bCs/>
      <w:snapToGrid w:val="0"/>
      <w:szCs w:val="24"/>
    </w:rPr>
  </w:style>
  <w:style w:type="character" w:customStyle="1" w:styleId="59">
    <w:name w:val="标题 3 Char1"/>
    <w:link w:val="4"/>
    <w:autoRedefine/>
    <w:qFormat/>
    <w:uiPriority w:val="9"/>
    <w:rPr>
      <w:rFonts w:ascii="Times New Roman" w:hAnsi="Times New Roman" w:eastAsia="宋体" w:cs="Cambria Math"/>
      <w:b/>
      <w:bCs/>
      <w:szCs w:val="32"/>
    </w:rPr>
  </w:style>
  <w:style w:type="character" w:customStyle="1" w:styleId="60">
    <w:name w:val="标题 4 Char1"/>
    <w:link w:val="5"/>
    <w:autoRedefine/>
    <w:qFormat/>
    <w:uiPriority w:val="0"/>
    <w:rPr>
      <w:rFonts w:ascii="Times New Roman" w:hAnsi="Times New Roman" w:eastAsia="宋体" w:cs="Times New Roman"/>
      <w:bCs/>
      <w:szCs w:val="28"/>
    </w:rPr>
  </w:style>
  <w:style w:type="character" w:customStyle="1" w:styleId="61">
    <w:name w:val="标题 5 Char1"/>
    <w:link w:val="6"/>
    <w:autoRedefine/>
    <w:qFormat/>
    <w:uiPriority w:val="0"/>
    <w:rPr>
      <w:rFonts w:ascii="Times New Roman" w:hAnsi="Times New Roman" w:eastAsia="宋体" w:cs="Cambria Math"/>
      <w:b/>
      <w:bCs/>
      <w:sz w:val="28"/>
      <w:szCs w:val="18"/>
    </w:rPr>
  </w:style>
  <w:style w:type="paragraph" w:customStyle="1" w:styleId="62">
    <w:name w:val="表格（标题）"/>
    <w:basedOn w:val="1"/>
    <w:qFormat/>
    <w:locked/>
    <w:uiPriority w:val="0"/>
    <w:pPr>
      <w:autoSpaceDE w:val="0"/>
      <w:autoSpaceDN w:val="0"/>
      <w:jc w:val="center"/>
    </w:pPr>
    <w:rPr>
      <w:rFonts w:ascii="Times New Roman" w:hAnsi="Times New Roman" w:eastAsia="宋体" w:cs="Cambria Math"/>
      <w:b/>
      <w:bCs/>
      <w:szCs w:val="18"/>
    </w:rPr>
  </w:style>
  <w:style w:type="paragraph" w:customStyle="1" w:styleId="63">
    <w:name w:val="标题2（无级别）"/>
    <w:basedOn w:val="1"/>
    <w:next w:val="1"/>
    <w:link w:val="65"/>
    <w:qFormat/>
    <w:locked/>
    <w:uiPriority w:val="0"/>
    <w:pPr>
      <w:autoSpaceDE w:val="0"/>
      <w:autoSpaceDN w:val="0"/>
      <w:spacing w:line="360" w:lineRule="auto"/>
    </w:pPr>
    <w:rPr>
      <w:rFonts w:ascii="Times New Roman" w:hAnsi="Times New Roman" w:eastAsia="宋体" w:cs="Times New Roman"/>
      <w:b/>
      <w:bCs/>
      <w:snapToGrid w:val="0"/>
      <w:szCs w:val="24"/>
    </w:rPr>
  </w:style>
  <w:style w:type="paragraph" w:customStyle="1" w:styleId="64">
    <w:name w:val="标题3（无级别）"/>
    <w:basedOn w:val="1"/>
    <w:next w:val="1"/>
    <w:qFormat/>
    <w:locked/>
    <w:uiPriority w:val="0"/>
    <w:pPr>
      <w:autoSpaceDE w:val="0"/>
      <w:autoSpaceDN w:val="0"/>
      <w:spacing w:line="360" w:lineRule="auto"/>
      <w:ind w:firstLine="420" w:firstLineChars="200"/>
    </w:pPr>
    <w:rPr>
      <w:rFonts w:hint="eastAsia" w:ascii="Times New Roman" w:hAnsi="Times New Roman" w:eastAsia="宋体" w:cs="Cambria Math"/>
      <w:b/>
      <w:bCs/>
      <w:szCs w:val="32"/>
    </w:rPr>
  </w:style>
  <w:style w:type="character" w:customStyle="1" w:styleId="65">
    <w:name w:val="标题2（无级别） Char"/>
    <w:link w:val="63"/>
    <w:qFormat/>
    <w:uiPriority w:val="0"/>
    <w:rPr>
      <w:rFonts w:ascii="Times New Roman" w:hAnsi="Times New Roman" w:eastAsia="宋体" w:cs="Times New Roman"/>
      <w:b/>
      <w:bCs/>
      <w:snapToGrid w:val="0"/>
      <w:szCs w:val="24"/>
    </w:rPr>
  </w:style>
  <w:style w:type="paragraph" w:customStyle="1" w:styleId="66">
    <w:name w:val="小五"/>
    <w:basedOn w:val="1"/>
    <w:next w:val="1"/>
    <w:qFormat/>
    <w:locked/>
    <w:uiPriority w:val="0"/>
    <w:pPr>
      <w:autoSpaceDE w:val="0"/>
      <w:autoSpaceDN w:val="0"/>
    </w:pPr>
    <w:rPr>
      <w:rFonts w:hint="eastAsia" w:ascii="Times New Roman" w:hAnsi="Times New Roman" w:eastAsia="宋体" w:cs="Times New Roman"/>
      <w:bCs/>
      <w:sz w:val="18"/>
      <w:szCs w:val="18"/>
    </w:rPr>
  </w:style>
  <w:style w:type="paragraph" w:customStyle="1" w:styleId="67">
    <w:name w:val="封面标题"/>
    <w:basedOn w:val="1"/>
    <w:qFormat/>
    <w:locked/>
    <w:uiPriority w:val="0"/>
    <w:pPr>
      <w:autoSpaceDE w:val="0"/>
      <w:autoSpaceDN w:val="0"/>
      <w:spacing w:line="360" w:lineRule="auto"/>
      <w:jc w:val="center"/>
    </w:pPr>
    <w:rPr>
      <w:rFonts w:hint="eastAsia" w:ascii="Times New Roman" w:hAnsi="Times New Roman" w:eastAsia="宋体" w:cs="Times New Roman"/>
      <w:b/>
      <w:bCs/>
      <w:snapToGrid w:val="0"/>
      <w:kern w:val="0"/>
      <w:sz w:val="48"/>
      <w:szCs w:val="84"/>
    </w:rPr>
  </w:style>
  <w:style w:type="paragraph" w:customStyle="1" w:styleId="68">
    <w:name w:val="封面文件名"/>
    <w:basedOn w:val="1"/>
    <w:qFormat/>
    <w:locked/>
    <w:uiPriority w:val="0"/>
    <w:pPr>
      <w:autoSpaceDE w:val="0"/>
      <w:autoSpaceDN w:val="0"/>
      <w:spacing w:line="360" w:lineRule="auto"/>
      <w:jc w:val="center"/>
    </w:pPr>
    <w:rPr>
      <w:rFonts w:hint="eastAsia" w:ascii="Times New Roman" w:hAnsi="Times New Roman" w:eastAsia="宋体" w:cs="Times New Roman"/>
      <w:b/>
      <w:bCs/>
      <w:snapToGrid w:val="0"/>
      <w:kern w:val="0"/>
      <w:sz w:val="96"/>
      <w:szCs w:val="96"/>
    </w:rPr>
  </w:style>
  <w:style w:type="paragraph" w:customStyle="1" w:styleId="69">
    <w:name w:val="正文居中"/>
    <w:basedOn w:val="1"/>
    <w:qFormat/>
    <w:locked/>
    <w:uiPriority w:val="0"/>
    <w:pPr>
      <w:autoSpaceDE w:val="0"/>
      <w:autoSpaceDN w:val="0"/>
      <w:spacing w:line="360" w:lineRule="auto"/>
      <w:jc w:val="center"/>
    </w:pPr>
    <w:rPr>
      <w:rFonts w:hint="eastAsia" w:ascii="Times New Roman" w:hAnsi="Times New Roman" w:eastAsia="宋体" w:cs="Cambria Math"/>
      <w:bCs/>
      <w:szCs w:val="18"/>
    </w:rPr>
  </w:style>
  <w:style w:type="paragraph" w:styleId="70">
    <w:name w:val="List Paragraph"/>
    <w:basedOn w:val="1"/>
    <w:unhideWhenUsed/>
    <w:qFormat/>
    <w:uiPriority w:val="99"/>
    <w:pPr>
      <w:autoSpaceDE w:val="0"/>
      <w:autoSpaceDN w:val="0"/>
      <w:spacing w:line="360" w:lineRule="auto"/>
      <w:ind w:firstLine="420" w:firstLineChars="200"/>
    </w:pPr>
    <w:rPr>
      <w:rFonts w:ascii="Times New Roman" w:hAnsi="Times New Roman" w:eastAsia="宋体" w:cs="Cambria Math"/>
      <w:bCs/>
      <w:szCs w:val="18"/>
    </w:rPr>
  </w:style>
  <w:style w:type="character" w:customStyle="1" w:styleId="71">
    <w:name w:val="font21"/>
    <w:basedOn w:val="24"/>
    <w:autoRedefine/>
    <w:qFormat/>
    <w:uiPriority w:val="0"/>
    <w:rPr>
      <w:rFonts w:ascii="宋体" w:eastAsia="宋体" w:cs="宋体"/>
      <w:color w:val="000000"/>
      <w:sz w:val="21"/>
      <w:szCs w:val="21"/>
      <w:u w:val="none"/>
    </w:rPr>
  </w:style>
  <w:style w:type="character" w:customStyle="1" w:styleId="72">
    <w:name w:val="标题 2 Char2"/>
    <w:basedOn w:val="24"/>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402CA-F6AF-4EFC-A8AE-37E4F9914A93}">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34</Pages>
  <Words>9658</Words>
  <Characters>10599</Characters>
  <Lines>97</Lines>
  <Paragraphs>27</Paragraphs>
  <TotalTime>1</TotalTime>
  <ScaleCrop>false</ScaleCrop>
  <LinksUpToDate>false</LinksUpToDate>
  <CharactersWithSpaces>10913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2024-04-12T10:26:00Z</dcterms:created>
  <dc:creator>沈滢艺</dc:creator>
  <cp:lastModifiedBy>交易中心-吴</cp:lastModifiedBy>
  <cp:lastPrinted>2025-03-21T01:01:00Z</cp:lastPrinted>
  <dcterms:modified xsi:type="dcterms:W3CDTF">2025-03-27T03:45:59Z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7BAECFF4F84142AEA2DCB24B074C9A9D_13</vt:lpwstr>
  </property>
  <property fmtid="{D5CDD505-2E9C-101B-9397-08002B2CF9AE}" pid="4" name="KSOTemplateDocerSaveRecord">
    <vt:lpwstr>eyJoZGlkIjoiNzM3ZGZmNTVkYzA0ZDhlMDY5YTk5N2ZkZjljODA2NDciLCJ1c2VySWQiOiIxNjMyMTcyNjY0In0=</vt:lpwstr>
  </property>
</Properties>
</file>