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44FED">
      <w:pPr>
        <w:ind w:left="0" w:leftChars="0" w:firstLine="0" w:firstLineChars="0"/>
        <w:rPr>
          <w:highlight w:val="none"/>
        </w:rPr>
      </w:pPr>
      <w:bookmarkStart w:id="138" w:name="_GoBack"/>
      <w:bookmarkEnd w:id="138"/>
    </w:p>
    <w:p w14:paraId="43418D96">
      <w:pPr>
        <w:rPr>
          <w:highlight w:val="none"/>
        </w:rPr>
      </w:pPr>
    </w:p>
    <w:p w14:paraId="626CCAC6">
      <w:pPr>
        <w:ind w:firstLine="0" w:firstLineChars="0"/>
        <w:jc w:val="center"/>
        <w:outlineLvl w:val="0"/>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2CB094FA">
      <w:pPr>
        <w:ind w:firstLine="0" w:firstLineChars="0"/>
        <w:jc w:val="center"/>
        <w:rPr>
          <w:rFonts w:cs="Times New Roman"/>
          <w:b/>
          <w:snapToGrid w:val="0"/>
          <w:kern w:val="0"/>
          <w:sz w:val="48"/>
          <w:szCs w:val="84"/>
          <w:highlight w:val="none"/>
          <w:u w:val="none"/>
        </w:rPr>
      </w:pPr>
      <w:r>
        <w:rPr>
          <w:rFonts w:hint="eastAsia" w:cs="Times New Roman"/>
          <w:b/>
          <w:snapToGrid w:val="0"/>
          <w:kern w:val="0"/>
          <w:sz w:val="48"/>
          <w:szCs w:val="84"/>
          <w:highlight w:val="none"/>
          <w:u w:val="none"/>
        </w:rPr>
        <w:t xml:space="preserve"> </w:t>
      </w:r>
      <w:r>
        <w:rPr>
          <w:rFonts w:cs="Times New Roman"/>
          <w:b/>
          <w:snapToGrid w:val="0"/>
          <w:kern w:val="0"/>
          <w:sz w:val="48"/>
          <w:szCs w:val="84"/>
          <w:highlight w:val="none"/>
          <w:u w:val="none"/>
        </w:rPr>
        <w:t>移动APP金融科技产品认证服务项目</w:t>
      </w:r>
      <w:r>
        <w:rPr>
          <w:rFonts w:hint="eastAsia" w:cs="Times New Roman"/>
          <w:b/>
          <w:snapToGrid w:val="0"/>
          <w:kern w:val="0"/>
          <w:sz w:val="48"/>
          <w:szCs w:val="84"/>
          <w:highlight w:val="none"/>
          <w:u w:val="none"/>
        </w:rPr>
        <w:t xml:space="preserve">                      </w:t>
      </w:r>
    </w:p>
    <w:p w14:paraId="1014FD96">
      <w:pPr>
        <w:rPr>
          <w:highlight w:val="none"/>
        </w:rPr>
      </w:pPr>
    </w:p>
    <w:p w14:paraId="56A9D2F2">
      <w:pPr>
        <w:rPr>
          <w:highlight w:val="none"/>
        </w:rPr>
      </w:pPr>
    </w:p>
    <w:p w14:paraId="236C7262">
      <w:pPr>
        <w:rPr>
          <w:highlight w:val="none"/>
        </w:rPr>
      </w:pPr>
    </w:p>
    <w:p w14:paraId="1D3F60DC">
      <w:pPr>
        <w:rPr>
          <w:highlight w:val="none"/>
        </w:rPr>
      </w:pPr>
    </w:p>
    <w:p w14:paraId="31F1584B">
      <w:pPr>
        <w:rPr>
          <w:highlight w:val="none"/>
        </w:rPr>
      </w:pPr>
    </w:p>
    <w:p w14:paraId="03E03C87">
      <w:pPr>
        <w:rPr>
          <w:highlight w:val="none"/>
        </w:rPr>
      </w:pPr>
    </w:p>
    <w:p w14:paraId="1A0B9509">
      <w:pPr>
        <w:rPr>
          <w:highlight w:val="none"/>
        </w:rPr>
      </w:pPr>
    </w:p>
    <w:p w14:paraId="7AED87CE">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591397EF">
      <w:pPr>
        <w:rPr>
          <w:highlight w:val="none"/>
        </w:rPr>
      </w:pPr>
    </w:p>
    <w:p w14:paraId="55737C87">
      <w:pPr>
        <w:rPr>
          <w:highlight w:val="none"/>
        </w:rPr>
      </w:pPr>
    </w:p>
    <w:p w14:paraId="15EEF9B4">
      <w:pPr>
        <w:rPr>
          <w:highlight w:val="none"/>
        </w:rPr>
      </w:pPr>
    </w:p>
    <w:p w14:paraId="4CF03424">
      <w:pPr>
        <w:rPr>
          <w:highlight w:val="none"/>
        </w:rPr>
      </w:pPr>
    </w:p>
    <w:p w14:paraId="4E9C9B71">
      <w:pPr>
        <w:rPr>
          <w:highlight w:val="none"/>
        </w:rPr>
      </w:pPr>
    </w:p>
    <w:p w14:paraId="69F8D2A2">
      <w:pPr>
        <w:rPr>
          <w:highlight w:val="none"/>
        </w:rPr>
      </w:pPr>
    </w:p>
    <w:p w14:paraId="5390AFE6">
      <w:pPr>
        <w:rPr>
          <w:highlight w:val="none"/>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454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23B97DD">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470341A6">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23BE161B">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4089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090C5A5">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194A3E1D">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lang w:val="en-US" w:eastAsia="zh-CN"/>
              </w:rPr>
              <w:t>2025</w:t>
            </w:r>
            <w:r>
              <w:rPr>
                <w:rFonts w:cs="Times New Roman"/>
                <w:b/>
                <w:snapToGrid w:val="0"/>
                <w:kern w:val="0"/>
                <w:sz w:val="30"/>
                <w:szCs w:val="30"/>
                <w:highlight w:val="none"/>
              </w:rPr>
              <w:t>年</w:t>
            </w:r>
            <w:r>
              <w:rPr>
                <w:rFonts w:hint="eastAsia" w:cs="Times New Roman"/>
                <w:b/>
                <w:snapToGrid w:val="0"/>
                <w:kern w:val="0"/>
                <w:sz w:val="30"/>
                <w:szCs w:val="30"/>
                <w:highlight w:val="none"/>
                <w:lang w:val="en-US" w:eastAsia="zh-CN"/>
              </w:rPr>
              <w:t>3</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7A196B22">
            <w:pPr>
              <w:rPr>
                <w:highlight w:val="none"/>
              </w:rPr>
            </w:pPr>
          </w:p>
        </w:tc>
      </w:tr>
    </w:tbl>
    <w:p w14:paraId="055317C4">
      <w:pPr>
        <w:rPr>
          <w:highlight w:val="none"/>
        </w:rPr>
      </w:pPr>
    </w:p>
    <w:p w14:paraId="2E54D1C0">
      <w:pPr>
        <w:rPr>
          <w:highlight w:val="none"/>
        </w:rPr>
        <w:sectPr>
          <w:pgSz w:w="11906" w:h="16838"/>
          <w:pgMar w:top="1440" w:right="1800" w:bottom="1440" w:left="1800" w:header="851" w:footer="992" w:gutter="0"/>
          <w:pgNumType w:start="1"/>
          <w:cols w:space="720" w:num="1"/>
          <w:docGrid w:type="lines" w:linePitch="312" w:charSpace="0"/>
        </w:sectPr>
      </w:pPr>
    </w:p>
    <w:p w14:paraId="3157CE07">
      <w:pPr>
        <w:pStyle w:val="47"/>
        <w:rPr>
          <w:highlight w:val="none"/>
        </w:rPr>
      </w:pPr>
      <w:r>
        <w:rPr>
          <w:highlight w:val="none"/>
        </w:rPr>
        <w:t>目录</w:t>
      </w:r>
    </w:p>
    <w:p w14:paraId="0620A133">
      <w:pPr>
        <w:pStyle w:val="20"/>
        <w:tabs>
          <w:tab w:val="right" w:leader="dot" w:pos="8306"/>
        </w:tabs>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_Toc10680 </w:instrText>
      </w:r>
      <w:r>
        <w:rPr>
          <w:rFonts w:ascii="宋体" w:hAnsi="宋体"/>
          <w:snapToGrid w:val="0"/>
          <w:kern w:val="0"/>
          <w:szCs w:val="24"/>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_Toc10680 \h </w:instrText>
      </w:r>
      <w:r>
        <w:rPr>
          <w:highlight w:val="none"/>
        </w:rPr>
        <w:fldChar w:fldCharType="separate"/>
      </w:r>
      <w:r>
        <w:rPr>
          <w:highlight w:val="none"/>
        </w:rPr>
        <w:t>1</w:t>
      </w:r>
      <w:r>
        <w:rPr>
          <w:highlight w:val="none"/>
        </w:rPr>
        <w:fldChar w:fldCharType="end"/>
      </w:r>
      <w:r>
        <w:rPr>
          <w:rFonts w:ascii="宋体" w:hAnsi="宋体"/>
          <w:snapToGrid w:val="0"/>
          <w:kern w:val="0"/>
          <w:szCs w:val="24"/>
          <w:highlight w:val="none"/>
        </w:rPr>
        <w:fldChar w:fldCharType="end"/>
      </w:r>
    </w:p>
    <w:p w14:paraId="324D2340">
      <w:pPr>
        <w:pStyle w:val="20"/>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_Toc25368 </w:instrText>
      </w:r>
      <w:r>
        <w:rPr>
          <w:rFonts w:ascii="宋体" w:hAnsi="宋体"/>
          <w:snapToGrid w:val="0"/>
          <w:kern w:val="0"/>
          <w:szCs w:val="24"/>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_Toc25368 \h </w:instrText>
      </w:r>
      <w:r>
        <w:rPr>
          <w:highlight w:val="none"/>
        </w:rPr>
        <w:fldChar w:fldCharType="separate"/>
      </w:r>
      <w:r>
        <w:rPr>
          <w:highlight w:val="none"/>
        </w:rPr>
        <w:t>5</w:t>
      </w:r>
      <w:r>
        <w:rPr>
          <w:highlight w:val="none"/>
        </w:rPr>
        <w:fldChar w:fldCharType="end"/>
      </w:r>
      <w:r>
        <w:rPr>
          <w:rFonts w:ascii="宋体" w:hAnsi="宋体"/>
          <w:snapToGrid w:val="0"/>
          <w:kern w:val="0"/>
          <w:szCs w:val="24"/>
          <w:highlight w:val="none"/>
        </w:rPr>
        <w:fldChar w:fldCharType="end"/>
      </w:r>
    </w:p>
    <w:p w14:paraId="76F8801A">
      <w:pPr>
        <w:pStyle w:val="20"/>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_Toc9602 </w:instrText>
      </w:r>
      <w:r>
        <w:rPr>
          <w:rFonts w:ascii="宋体" w:hAnsi="宋体"/>
          <w:snapToGrid w:val="0"/>
          <w:kern w:val="0"/>
          <w:szCs w:val="24"/>
          <w:highlight w:val="none"/>
        </w:rPr>
        <w:fldChar w:fldCharType="separate"/>
      </w:r>
      <w:r>
        <w:rPr>
          <w:rFonts w:hint="eastAsia"/>
          <w:highlight w:val="none"/>
        </w:rPr>
        <w:t>第三章 项目要求</w:t>
      </w:r>
      <w:r>
        <w:rPr>
          <w:highlight w:val="none"/>
        </w:rPr>
        <w:tab/>
      </w:r>
      <w:r>
        <w:rPr>
          <w:highlight w:val="none"/>
        </w:rPr>
        <w:fldChar w:fldCharType="begin"/>
      </w:r>
      <w:r>
        <w:rPr>
          <w:highlight w:val="none"/>
        </w:rPr>
        <w:instrText xml:space="preserve"> PAGEREF _Toc9602 \h </w:instrText>
      </w:r>
      <w:r>
        <w:rPr>
          <w:highlight w:val="none"/>
        </w:rPr>
        <w:fldChar w:fldCharType="separate"/>
      </w:r>
      <w:r>
        <w:rPr>
          <w:highlight w:val="none"/>
        </w:rPr>
        <w:t>12</w:t>
      </w:r>
      <w:r>
        <w:rPr>
          <w:highlight w:val="none"/>
        </w:rPr>
        <w:fldChar w:fldCharType="end"/>
      </w:r>
      <w:r>
        <w:rPr>
          <w:rFonts w:ascii="宋体" w:hAnsi="宋体"/>
          <w:snapToGrid w:val="0"/>
          <w:kern w:val="0"/>
          <w:szCs w:val="24"/>
          <w:highlight w:val="none"/>
        </w:rPr>
        <w:fldChar w:fldCharType="end"/>
      </w:r>
    </w:p>
    <w:p w14:paraId="5A8A8B77">
      <w:pPr>
        <w:pStyle w:val="20"/>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_Toc15055 </w:instrText>
      </w:r>
      <w:r>
        <w:rPr>
          <w:rFonts w:ascii="宋体" w:hAnsi="宋体"/>
          <w:snapToGrid w:val="0"/>
          <w:kern w:val="0"/>
          <w:szCs w:val="24"/>
          <w:highlight w:val="none"/>
        </w:rPr>
        <w:fldChar w:fldCharType="separate"/>
      </w:r>
      <w:r>
        <w:rPr>
          <w:rFonts w:hint="eastAsia"/>
          <w:highlight w:val="none"/>
        </w:rPr>
        <w:t>第四章 评审办法（经评审的最低价法）</w:t>
      </w:r>
      <w:r>
        <w:rPr>
          <w:highlight w:val="none"/>
        </w:rPr>
        <w:tab/>
      </w:r>
      <w:r>
        <w:rPr>
          <w:highlight w:val="none"/>
        </w:rPr>
        <w:fldChar w:fldCharType="begin"/>
      </w:r>
      <w:r>
        <w:rPr>
          <w:highlight w:val="none"/>
        </w:rPr>
        <w:instrText xml:space="preserve"> PAGEREF _Toc15055 \h </w:instrText>
      </w:r>
      <w:r>
        <w:rPr>
          <w:highlight w:val="none"/>
        </w:rPr>
        <w:fldChar w:fldCharType="separate"/>
      </w:r>
      <w:r>
        <w:rPr>
          <w:highlight w:val="none"/>
        </w:rPr>
        <w:t>16</w:t>
      </w:r>
      <w:r>
        <w:rPr>
          <w:highlight w:val="none"/>
        </w:rPr>
        <w:fldChar w:fldCharType="end"/>
      </w:r>
      <w:r>
        <w:rPr>
          <w:rFonts w:ascii="宋体" w:hAnsi="宋体"/>
          <w:snapToGrid w:val="0"/>
          <w:kern w:val="0"/>
          <w:szCs w:val="24"/>
          <w:highlight w:val="none"/>
        </w:rPr>
        <w:fldChar w:fldCharType="end"/>
      </w:r>
    </w:p>
    <w:p w14:paraId="2B2A54D7">
      <w:pPr>
        <w:pStyle w:val="20"/>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_Toc11447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_Toc11447 \h </w:instrText>
      </w:r>
      <w:r>
        <w:rPr>
          <w:highlight w:val="none"/>
        </w:rPr>
        <w:fldChar w:fldCharType="separate"/>
      </w:r>
      <w:r>
        <w:rPr>
          <w:highlight w:val="none"/>
        </w:rPr>
        <w:t>20</w:t>
      </w:r>
      <w:r>
        <w:rPr>
          <w:highlight w:val="none"/>
        </w:rPr>
        <w:fldChar w:fldCharType="end"/>
      </w:r>
      <w:r>
        <w:rPr>
          <w:rFonts w:ascii="宋体" w:hAnsi="宋体"/>
          <w:snapToGrid w:val="0"/>
          <w:kern w:val="0"/>
          <w:szCs w:val="24"/>
          <w:highlight w:val="none"/>
        </w:rPr>
        <w:fldChar w:fldCharType="end"/>
      </w:r>
    </w:p>
    <w:p w14:paraId="53F441C9">
      <w:pPr>
        <w:pStyle w:val="20"/>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_Toc15923 </w:instrText>
      </w:r>
      <w:r>
        <w:rPr>
          <w:rFonts w:ascii="宋体" w:hAnsi="宋体"/>
          <w:snapToGrid w:val="0"/>
          <w:kern w:val="0"/>
          <w:szCs w:val="24"/>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_Toc15923 \h </w:instrText>
      </w:r>
      <w:r>
        <w:rPr>
          <w:highlight w:val="none"/>
        </w:rPr>
        <w:fldChar w:fldCharType="separate"/>
      </w:r>
      <w:r>
        <w:rPr>
          <w:highlight w:val="none"/>
        </w:rPr>
        <w:t>48</w:t>
      </w:r>
      <w:r>
        <w:rPr>
          <w:highlight w:val="none"/>
        </w:rPr>
        <w:fldChar w:fldCharType="end"/>
      </w:r>
      <w:r>
        <w:rPr>
          <w:rFonts w:ascii="宋体" w:hAnsi="宋体"/>
          <w:snapToGrid w:val="0"/>
          <w:kern w:val="0"/>
          <w:szCs w:val="24"/>
          <w:highlight w:val="none"/>
        </w:rPr>
        <w:fldChar w:fldCharType="end"/>
      </w:r>
    </w:p>
    <w:p w14:paraId="14F6977C">
      <w:pPr>
        <w:widowControl/>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52B630E8">
      <w:pPr>
        <w:widowControl/>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0BBADEA5">
      <w:pPr>
        <w:rPr>
          <w:highlight w:val="none"/>
        </w:rPr>
      </w:pPr>
      <w:bookmarkStart w:id="0" w:name="_Toc440628903"/>
      <w:bookmarkStart w:id="1" w:name="_Toc6745"/>
      <w:bookmarkStart w:id="2" w:name="_Toc469574661"/>
    </w:p>
    <w:p w14:paraId="62BE1AA0">
      <w:pPr>
        <w:pStyle w:val="2"/>
        <w:rPr>
          <w:highlight w:val="none"/>
        </w:rPr>
      </w:pPr>
      <w:bookmarkStart w:id="3" w:name="_Toc25883"/>
      <w:bookmarkStart w:id="4" w:name="_Toc10680"/>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p>
    <w:p w14:paraId="47C79239">
      <w:pPr>
        <w:spacing w:beforeAutospacing="0" w:afterAutospacing="0" w:line="360" w:lineRule="auto"/>
        <w:rPr>
          <w:highlight w:val="none"/>
          <w:u w:val="none"/>
        </w:rPr>
      </w:pPr>
      <w:bookmarkStart w:id="5" w:name="_Toc89675127"/>
      <w:bookmarkStart w:id="6" w:name="_Toc55379218"/>
      <w:r>
        <w:rPr>
          <w:rFonts w:hint="eastAsia"/>
          <w:highlight w:val="none"/>
        </w:rPr>
        <w:t>为规范移动金融客户端应用软件备案管理，满足监管要求，保障移动金融客户端应用软件的安全合规性，提升移动金融客户端应用软件的安全防护能力</w:t>
      </w:r>
      <w:r>
        <w:rPr>
          <w:highlight w:val="none"/>
        </w:rPr>
        <w:t>，需针对移动金融客户端应用软件采购金融科技产品认证服务。</w:t>
      </w:r>
      <w:r>
        <w:rPr>
          <w:rFonts w:hint="eastAsia"/>
          <w:highlight w:val="none"/>
        </w:rPr>
        <w:t>现对</w:t>
      </w:r>
      <w:r>
        <w:rPr>
          <w:rFonts w:hint="eastAsia"/>
          <w:highlight w:val="none"/>
          <w:u w:val="none"/>
        </w:rPr>
        <w:t>重庆三峡银行</w:t>
      </w:r>
      <w:r>
        <w:rPr>
          <w:highlight w:val="none"/>
          <w:u w:val="none"/>
        </w:rPr>
        <w:t>移动APP金融科技产品认证服务</w:t>
      </w:r>
      <w:r>
        <w:rPr>
          <w:rFonts w:hint="eastAsia"/>
          <w:highlight w:val="none"/>
          <w:u w:val="none"/>
        </w:rPr>
        <w:t>项目进行公开询比，</w:t>
      </w:r>
      <w:r>
        <w:rPr>
          <w:highlight w:val="none"/>
          <w:u w:val="none"/>
        </w:rPr>
        <w:t>特邀请有</w:t>
      </w:r>
      <w:bookmarkStart w:id="7" w:name="_Hlk59455120"/>
      <w:r>
        <w:rPr>
          <w:highlight w:val="none"/>
          <w:u w:val="none"/>
        </w:rPr>
        <w:t>意向</w:t>
      </w:r>
      <w:bookmarkEnd w:id="7"/>
      <w:r>
        <w:rPr>
          <w:highlight w:val="none"/>
          <w:u w:val="none"/>
        </w:rPr>
        <w:t>的潜在</w:t>
      </w:r>
      <w:r>
        <w:rPr>
          <w:rFonts w:hint="eastAsia"/>
          <w:highlight w:val="none"/>
          <w:u w:val="none"/>
        </w:rPr>
        <w:t>响应人参与响应</w:t>
      </w:r>
      <w:r>
        <w:rPr>
          <w:highlight w:val="none"/>
          <w:u w:val="none"/>
        </w:rPr>
        <w:t>。</w:t>
      </w:r>
    </w:p>
    <w:p w14:paraId="25CD8F74">
      <w:pPr>
        <w:pStyle w:val="3"/>
        <w:rPr>
          <w:highlight w:val="none"/>
          <w:u w:val="none"/>
        </w:rPr>
      </w:pPr>
      <w:r>
        <w:rPr>
          <w:rFonts w:hint="eastAsia"/>
          <w:highlight w:val="none"/>
          <w:u w:val="none"/>
        </w:rPr>
        <w:t>1. 询比项目内容</w:t>
      </w:r>
      <w:bookmarkEnd w:id="5"/>
      <w:bookmarkEnd w:id="6"/>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08E1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47" w:type="dxa"/>
            <w:vAlign w:val="center"/>
          </w:tcPr>
          <w:p w14:paraId="3D2CD519">
            <w:pPr>
              <w:pStyle w:val="44"/>
              <w:rPr>
                <w:highlight w:val="none"/>
              </w:rPr>
            </w:pPr>
            <w:r>
              <w:rPr>
                <w:rFonts w:hint="eastAsia"/>
                <w:highlight w:val="none"/>
              </w:rPr>
              <w:t>序号</w:t>
            </w:r>
          </w:p>
        </w:tc>
        <w:tc>
          <w:tcPr>
            <w:tcW w:w="3063" w:type="dxa"/>
            <w:vAlign w:val="center"/>
          </w:tcPr>
          <w:p w14:paraId="4D995810">
            <w:pPr>
              <w:pStyle w:val="44"/>
              <w:rPr>
                <w:highlight w:val="none"/>
              </w:rPr>
            </w:pPr>
            <w:r>
              <w:rPr>
                <w:rFonts w:hint="eastAsia"/>
                <w:highlight w:val="none"/>
              </w:rPr>
              <w:t>项目名称</w:t>
            </w:r>
          </w:p>
        </w:tc>
        <w:tc>
          <w:tcPr>
            <w:tcW w:w="2075" w:type="dxa"/>
            <w:vAlign w:val="center"/>
          </w:tcPr>
          <w:p w14:paraId="068ABBFA">
            <w:pPr>
              <w:pStyle w:val="44"/>
              <w:rPr>
                <w:highlight w:val="none"/>
              </w:rPr>
            </w:pPr>
            <w:r>
              <w:rPr>
                <w:rFonts w:hint="eastAsia"/>
                <w:highlight w:val="none"/>
              </w:rPr>
              <w:t>最高限价</w:t>
            </w:r>
          </w:p>
        </w:tc>
        <w:tc>
          <w:tcPr>
            <w:tcW w:w="1563" w:type="dxa"/>
            <w:vAlign w:val="center"/>
          </w:tcPr>
          <w:p w14:paraId="6958FB65">
            <w:pPr>
              <w:pStyle w:val="44"/>
              <w:rPr>
                <w:highlight w:val="none"/>
              </w:rPr>
            </w:pPr>
            <w:r>
              <w:rPr>
                <w:rFonts w:hint="eastAsia"/>
                <w:highlight w:val="none"/>
              </w:rPr>
              <w:t>成交供应商</w:t>
            </w:r>
          </w:p>
          <w:p w14:paraId="2E8D353A">
            <w:pPr>
              <w:pStyle w:val="44"/>
              <w:rPr>
                <w:highlight w:val="none"/>
              </w:rPr>
            </w:pPr>
            <w:r>
              <w:rPr>
                <w:rFonts w:hint="eastAsia"/>
                <w:highlight w:val="none"/>
              </w:rPr>
              <w:t>数量</w:t>
            </w:r>
          </w:p>
        </w:tc>
        <w:tc>
          <w:tcPr>
            <w:tcW w:w="1367" w:type="dxa"/>
            <w:vAlign w:val="center"/>
          </w:tcPr>
          <w:p w14:paraId="439AA79A">
            <w:pPr>
              <w:pStyle w:val="44"/>
              <w:rPr>
                <w:highlight w:val="none"/>
              </w:rPr>
            </w:pPr>
            <w:r>
              <w:rPr>
                <w:rFonts w:hint="eastAsia"/>
                <w:highlight w:val="none"/>
              </w:rPr>
              <w:t>备注</w:t>
            </w:r>
          </w:p>
        </w:tc>
      </w:tr>
      <w:tr w14:paraId="3C3E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79F5F71D">
            <w:pPr>
              <w:pStyle w:val="43"/>
              <w:rPr>
                <w:highlight w:val="none"/>
              </w:rPr>
            </w:pPr>
            <w:r>
              <w:rPr>
                <w:rFonts w:hint="eastAsia"/>
                <w:highlight w:val="none"/>
              </w:rPr>
              <w:t>1</w:t>
            </w:r>
          </w:p>
        </w:tc>
        <w:tc>
          <w:tcPr>
            <w:tcW w:w="3063" w:type="dxa"/>
            <w:tcBorders>
              <w:left w:val="single" w:color="auto" w:sz="4" w:space="0"/>
            </w:tcBorders>
            <w:vAlign w:val="center"/>
          </w:tcPr>
          <w:p w14:paraId="2F3BBD54">
            <w:pPr>
              <w:pStyle w:val="43"/>
              <w:rPr>
                <w:highlight w:val="none"/>
              </w:rPr>
            </w:pPr>
            <w:r>
              <w:rPr>
                <w:highlight w:val="none"/>
              </w:rPr>
              <w:t>重庆三峡银行移动APP金融科技产品认证服务项目</w:t>
            </w:r>
          </w:p>
        </w:tc>
        <w:tc>
          <w:tcPr>
            <w:tcW w:w="2075" w:type="dxa"/>
            <w:tcBorders>
              <w:left w:val="single" w:color="auto" w:sz="4" w:space="0"/>
            </w:tcBorders>
            <w:vAlign w:val="center"/>
          </w:tcPr>
          <w:p w14:paraId="0CFD2993">
            <w:pPr>
              <w:pStyle w:val="43"/>
              <w:jc w:val="center"/>
              <w:rPr>
                <w:highlight w:val="none"/>
              </w:rPr>
            </w:pPr>
            <w:r>
              <w:rPr>
                <w:highlight w:val="none"/>
              </w:rPr>
              <w:t>12.5万元/版本</w:t>
            </w:r>
          </w:p>
        </w:tc>
        <w:tc>
          <w:tcPr>
            <w:tcW w:w="1563" w:type="dxa"/>
            <w:tcBorders>
              <w:left w:val="single" w:color="auto" w:sz="4" w:space="0"/>
            </w:tcBorders>
            <w:vAlign w:val="center"/>
          </w:tcPr>
          <w:p w14:paraId="40767224">
            <w:pPr>
              <w:pStyle w:val="43"/>
              <w:jc w:val="center"/>
              <w:rPr>
                <w:highlight w:val="none"/>
              </w:rPr>
            </w:pPr>
            <w:r>
              <w:rPr>
                <w:highlight w:val="none"/>
              </w:rPr>
              <w:t>1</w:t>
            </w:r>
          </w:p>
        </w:tc>
        <w:tc>
          <w:tcPr>
            <w:tcW w:w="1367" w:type="dxa"/>
            <w:tcBorders>
              <w:left w:val="single" w:color="auto" w:sz="4" w:space="0"/>
            </w:tcBorders>
            <w:vAlign w:val="center"/>
          </w:tcPr>
          <w:p w14:paraId="0A9F3A0D">
            <w:pPr>
              <w:pStyle w:val="43"/>
              <w:jc w:val="center"/>
              <w:rPr>
                <w:highlight w:val="none"/>
              </w:rPr>
            </w:pPr>
            <w:r>
              <w:rPr>
                <w:rFonts w:hint="eastAsia"/>
                <w:highlight w:val="none"/>
              </w:rPr>
              <w:t>（含税）</w:t>
            </w:r>
          </w:p>
        </w:tc>
      </w:tr>
    </w:tbl>
    <w:p w14:paraId="5D3C780C">
      <w:pPr>
        <w:pStyle w:val="3"/>
        <w:rPr>
          <w:highlight w:val="none"/>
        </w:rPr>
      </w:pPr>
      <w:bookmarkStart w:id="8" w:name="_Toc297817088"/>
      <w:bookmarkStart w:id="9" w:name="_Toc55379219"/>
      <w:bookmarkStart w:id="10" w:name="_Toc89675128"/>
      <w:bookmarkStart w:id="11" w:name="_Toc469574664"/>
      <w:bookmarkStart w:id="12" w:name="_Toc288224935"/>
      <w:r>
        <w:rPr>
          <w:rFonts w:hint="eastAsia"/>
          <w:highlight w:val="none"/>
        </w:rPr>
        <w:t>2. 响应人资格要求</w:t>
      </w:r>
      <w:bookmarkEnd w:id="8"/>
      <w:bookmarkEnd w:id="9"/>
      <w:bookmarkEnd w:id="10"/>
      <w:bookmarkEnd w:id="11"/>
      <w:bookmarkEnd w:id="12"/>
    </w:p>
    <w:p w14:paraId="772981D7">
      <w:pPr>
        <w:outlineLvl w:val="2"/>
        <w:rPr>
          <w:highlight w:val="none"/>
        </w:rPr>
      </w:pPr>
      <w:bookmarkStart w:id="13" w:name="_Hlk55488870"/>
      <w:r>
        <w:rPr>
          <w:rFonts w:hint="eastAsia"/>
          <w:highlight w:val="none"/>
        </w:rPr>
        <w:t>2.1 具有独立承担民事责任的能力</w:t>
      </w:r>
    </w:p>
    <w:p w14:paraId="65380127">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34935EDD">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17816CC">
      <w:pPr>
        <w:rPr>
          <w:highlight w:val="none"/>
        </w:rPr>
      </w:pPr>
      <w:r>
        <w:rPr>
          <w:rFonts w:hint="eastAsia"/>
          <w:highlight w:val="none"/>
        </w:rPr>
        <w:t>2.</w:t>
      </w:r>
      <w:r>
        <w:rPr>
          <w:rFonts w:hint="eastAsia"/>
          <w:highlight w:val="none"/>
          <w:lang w:val="en-US" w:eastAsia="zh-CN"/>
        </w:rPr>
        <w:t>3</w:t>
      </w:r>
      <w:r>
        <w:rPr>
          <w:rFonts w:hint="eastAsia"/>
          <w:highlight w:val="none"/>
        </w:rPr>
        <w:t xml:space="preserve"> 法人及法定代表人没有被人民法院列为失信被执行人名单【提供：1、法人在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1DB43171">
      <w:pPr>
        <w:outlineLvl w:val="2"/>
        <w:rPr>
          <w:highlight w:val="none"/>
        </w:rPr>
      </w:pPr>
      <w:r>
        <w:rPr>
          <w:rFonts w:hint="eastAsia"/>
          <w:highlight w:val="none"/>
        </w:rPr>
        <w:t>2.</w:t>
      </w:r>
      <w:r>
        <w:rPr>
          <w:rFonts w:hint="eastAsia"/>
          <w:highlight w:val="none"/>
          <w:lang w:val="en-US" w:eastAsia="zh-CN"/>
        </w:rPr>
        <w:t>4</w:t>
      </w:r>
      <w:r>
        <w:rPr>
          <w:rFonts w:hint="eastAsia"/>
          <w:highlight w:val="none"/>
        </w:rPr>
        <w:t xml:space="preserve"> 本次询比不接受联合体响应。</w:t>
      </w:r>
    </w:p>
    <w:p w14:paraId="628626EE">
      <w:pPr>
        <w:rPr>
          <w:highlight w:val="none"/>
        </w:rPr>
      </w:pPr>
      <w:r>
        <w:rPr>
          <w:rFonts w:hint="eastAsia"/>
          <w:highlight w:val="none"/>
        </w:rPr>
        <w:t>2.</w:t>
      </w:r>
      <w:r>
        <w:rPr>
          <w:rFonts w:hint="eastAsia"/>
          <w:highlight w:val="none"/>
          <w:lang w:val="en-US" w:eastAsia="zh-CN"/>
        </w:rPr>
        <w:t>5</w:t>
      </w:r>
      <w:r>
        <w:rPr>
          <w:rFonts w:hint="eastAsia"/>
          <w:highlight w:val="none"/>
        </w:rPr>
        <w:t xml:space="preserve"> </w:t>
      </w:r>
      <w:r>
        <w:rPr>
          <w:rFonts w:hint="eastAsia"/>
          <w:highlight w:val="none"/>
          <w:lang w:val="en-US" w:eastAsia="zh-CN"/>
        </w:rPr>
        <w:t xml:space="preserve"> </w:t>
      </w:r>
      <w:r>
        <w:rPr>
          <w:highlight w:val="none"/>
        </w:rPr>
        <w:t>2022</w:t>
      </w:r>
      <w:r>
        <w:rPr>
          <w:rFonts w:hint="eastAsia"/>
          <w:highlight w:val="none"/>
        </w:rPr>
        <w:t>年</w:t>
      </w:r>
      <w:r>
        <w:rPr>
          <w:highlight w:val="none"/>
        </w:rPr>
        <w:t>1</w:t>
      </w:r>
      <w:r>
        <w:rPr>
          <w:rFonts w:hint="eastAsia"/>
          <w:highlight w:val="none"/>
        </w:rPr>
        <w:t>月</w:t>
      </w:r>
      <w:r>
        <w:rPr>
          <w:highlight w:val="none"/>
        </w:rPr>
        <w:t>1</w:t>
      </w:r>
      <w:r>
        <w:rPr>
          <w:rFonts w:hint="eastAsia"/>
          <w:highlight w:val="none"/>
        </w:rPr>
        <w:t>日至</w:t>
      </w:r>
      <w:r>
        <w:rPr>
          <w:highlight w:val="none"/>
        </w:rPr>
        <w:t>今</w:t>
      </w:r>
      <w:r>
        <w:rPr>
          <w:rFonts w:hint="eastAsia"/>
          <w:highlight w:val="none"/>
        </w:rPr>
        <w:t>（以合同签订时间为准），具有</w:t>
      </w:r>
      <w:r>
        <w:rPr>
          <w:highlight w:val="none"/>
        </w:rPr>
        <w:t>金融科技产品认证</w:t>
      </w:r>
      <w:r>
        <w:rPr>
          <w:rFonts w:hint="eastAsia"/>
          <w:highlight w:val="none"/>
        </w:rPr>
        <w:t>相关实施案例不少于</w:t>
      </w:r>
      <w:r>
        <w:rPr>
          <w:highlight w:val="none"/>
        </w:rPr>
        <w:t>1</w:t>
      </w:r>
      <w:r>
        <w:rPr>
          <w:rFonts w:hint="eastAsia"/>
          <w:highlight w:val="none"/>
        </w:rPr>
        <w:t>个，低于</w:t>
      </w:r>
      <w:r>
        <w:rPr>
          <w:highlight w:val="none"/>
        </w:rPr>
        <w:t>1</w:t>
      </w:r>
      <w:r>
        <w:rPr>
          <w:rFonts w:hint="eastAsia"/>
          <w:highlight w:val="none"/>
        </w:rPr>
        <w:t>个案例（不含</w:t>
      </w:r>
      <w:r>
        <w:rPr>
          <w:highlight w:val="none"/>
        </w:rPr>
        <w:t>1</w:t>
      </w:r>
      <w:r>
        <w:rPr>
          <w:rFonts w:hint="eastAsia"/>
          <w:highlight w:val="none"/>
        </w:rPr>
        <w:t>个）取消响应资质【提供：1、合同关键页（合同关键页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59BAE227">
      <w:pPr>
        <w:outlineLvl w:val="2"/>
        <w:rPr>
          <w:highlight w:val="none"/>
        </w:rPr>
      </w:pPr>
      <w:r>
        <w:rPr>
          <w:rFonts w:hint="eastAsia"/>
          <w:highlight w:val="none"/>
        </w:rPr>
        <w:t>2.</w:t>
      </w:r>
      <w:r>
        <w:rPr>
          <w:rFonts w:hint="eastAsia"/>
          <w:highlight w:val="none"/>
          <w:lang w:val="en-US" w:eastAsia="zh-CN"/>
        </w:rPr>
        <w:t>6</w:t>
      </w:r>
      <w:r>
        <w:rPr>
          <w:rFonts w:hint="eastAsia"/>
          <w:highlight w:val="none"/>
        </w:rPr>
        <w:t xml:space="preserve"> </w:t>
      </w:r>
      <w:r>
        <w:rPr>
          <w:highlight w:val="none"/>
        </w:rPr>
        <w:t>响应人需具备金融科技产品认证资质。</w:t>
      </w:r>
      <w:r>
        <w:rPr>
          <w:rFonts w:hint="eastAsia"/>
          <w:highlight w:val="none"/>
        </w:rPr>
        <w:t>【提供金融科技产品认证批准书】</w:t>
      </w:r>
    </w:p>
    <w:p w14:paraId="6954EA7F">
      <w:pPr>
        <w:rPr>
          <w:highlight w:val="none"/>
        </w:rPr>
      </w:pPr>
      <w:r>
        <w:rPr>
          <w:rFonts w:hint="eastAsia"/>
          <w:highlight w:val="none"/>
        </w:rPr>
        <w:t>注:以上证明文件若采购人存疑，响应人需提供原件备查，响应文件中须附相关证明文件复印件并逐页加盖公章。</w:t>
      </w:r>
    </w:p>
    <w:p w14:paraId="758745D8">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3"/>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991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4FEB4FF">
            <w:pPr>
              <w:pStyle w:val="44"/>
              <w:rPr>
                <w:highlight w:val="none"/>
              </w:rPr>
            </w:pPr>
            <w:r>
              <w:rPr>
                <w:rFonts w:hint="eastAsia"/>
                <w:highlight w:val="none"/>
              </w:rPr>
              <w:t>序号</w:t>
            </w:r>
          </w:p>
        </w:tc>
        <w:tc>
          <w:tcPr>
            <w:tcW w:w="4933" w:type="dxa"/>
          </w:tcPr>
          <w:p w14:paraId="61C00A69">
            <w:pPr>
              <w:pStyle w:val="44"/>
              <w:jc w:val="center"/>
              <w:rPr>
                <w:highlight w:val="none"/>
              </w:rPr>
            </w:pPr>
            <w:r>
              <w:rPr>
                <w:rFonts w:hint="eastAsia"/>
                <w:highlight w:val="none"/>
              </w:rPr>
              <w:t>公司</w:t>
            </w:r>
          </w:p>
        </w:tc>
      </w:tr>
      <w:tr w14:paraId="6B8D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6E59423">
            <w:pPr>
              <w:pStyle w:val="43"/>
              <w:jc w:val="center"/>
              <w:rPr>
                <w:highlight w:val="none"/>
              </w:rPr>
            </w:pPr>
            <w:r>
              <w:rPr>
                <w:rFonts w:hint="eastAsia" w:cs="宋体"/>
                <w:szCs w:val="21"/>
                <w:highlight w:val="none"/>
              </w:rPr>
              <w:t>1</w:t>
            </w:r>
          </w:p>
        </w:tc>
        <w:tc>
          <w:tcPr>
            <w:tcW w:w="4933" w:type="dxa"/>
            <w:tcBorders>
              <w:left w:val="single" w:color="auto" w:sz="4" w:space="0"/>
            </w:tcBorders>
          </w:tcPr>
          <w:p w14:paraId="0069A9E5">
            <w:pPr>
              <w:pStyle w:val="43"/>
              <w:jc w:val="center"/>
              <w:rPr>
                <w:highlight w:val="none"/>
              </w:rPr>
            </w:pPr>
            <w:r>
              <w:rPr>
                <w:rFonts w:hint="eastAsia" w:cs="宋体"/>
                <w:szCs w:val="21"/>
                <w:highlight w:val="none"/>
              </w:rPr>
              <w:t>依米康软件技术（深圳）有限责任公司</w:t>
            </w:r>
          </w:p>
        </w:tc>
      </w:tr>
    </w:tbl>
    <w:p w14:paraId="2AEB62C9">
      <w:pPr>
        <w:rPr>
          <w:highlight w:val="none"/>
        </w:rPr>
      </w:pPr>
    </w:p>
    <w:bookmarkEnd w:id="13"/>
    <w:p w14:paraId="328937D4">
      <w:pPr>
        <w:pStyle w:val="3"/>
        <w:rPr>
          <w:highlight w:val="none"/>
        </w:rPr>
      </w:pPr>
      <w:bookmarkStart w:id="14" w:name="_Toc55379220"/>
      <w:bookmarkStart w:id="15" w:name="_Toc89675130"/>
      <w:bookmarkStart w:id="16" w:name="_Toc297817090"/>
      <w:bookmarkStart w:id="17" w:name="_Toc469574667"/>
      <w:r>
        <w:rPr>
          <w:rFonts w:hint="eastAsia"/>
          <w:highlight w:val="none"/>
        </w:rPr>
        <w:t>3. 询比文件的获取</w:t>
      </w:r>
      <w:bookmarkEnd w:id="14"/>
    </w:p>
    <w:p w14:paraId="66B2D667">
      <w:pPr>
        <w:rPr>
          <w:highlight w:val="none"/>
        </w:rPr>
      </w:pPr>
      <w:r>
        <w:rPr>
          <w:rFonts w:hint="eastAsia"/>
          <w:highlight w:val="none"/>
        </w:rPr>
        <w:t>3.1 响应截止时间：</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15</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w:t>
      </w:r>
      <w:r>
        <w:rPr>
          <w:rFonts w:hint="eastAsia"/>
          <w:highlight w:val="none"/>
        </w:rPr>
        <w:t>（北京时间）</w:t>
      </w:r>
    </w:p>
    <w:p w14:paraId="019FE5F5">
      <w:pPr>
        <w:rPr>
          <w:highlight w:val="none"/>
        </w:rPr>
      </w:pPr>
      <w:r>
        <w:rPr>
          <w:rFonts w:hint="eastAsia"/>
          <w:highlight w:val="none"/>
        </w:rPr>
        <w:t>3.2 获取时间和方式：从</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31</w:t>
      </w:r>
      <w:r>
        <w:rPr>
          <w:rFonts w:hint="eastAsia"/>
        </w:rPr>
        <w:t>日</w:t>
      </w:r>
      <w:r>
        <w:rPr>
          <w:rFonts w:hint="eastAsia"/>
          <w:highlight w:val="none"/>
        </w:rPr>
        <w:t>到响应截止时间，在重庆市公共资源交易网（www.cqggzy.com）下载询比文件。</w:t>
      </w:r>
    </w:p>
    <w:p w14:paraId="72D8337F">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3</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w:t>
      </w:r>
      <w:r>
        <w:rPr>
          <w:rFonts w:hint="eastAsia"/>
          <w:highlight w:val="none"/>
        </w:rPr>
        <w:t>（北京时间）前自行在重庆市公共资源交易网（http://www.cqggzy.com/）询比公告的“我要提问”栏目匿名提出。响应人未提出，则视为响应人已全面确认询比文件内容。</w:t>
      </w:r>
    </w:p>
    <w:p w14:paraId="33D8E753">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086DAB84">
      <w:pPr>
        <w:pStyle w:val="3"/>
        <w:rPr>
          <w:highlight w:val="none"/>
        </w:rPr>
      </w:pPr>
      <w:bookmarkStart w:id="18" w:name="_Toc55379221"/>
      <w:r>
        <w:rPr>
          <w:rFonts w:hint="eastAsia"/>
          <w:highlight w:val="none"/>
        </w:rPr>
        <w:t>4. 响应保证金的递交</w:t>
      </w:r>
      <w:bookmarkEnd w:id="15"/>
      <w:bookmarkEnd w:id="16"/>
      <w:bookmarkEnd w:id="17"/>
      <w:bookmarkEnd w:id="18"/>
    </w:p>
    <w:p w14:paraId="23142C91">
      <w:pPr>
        <w:rPr>
          <w:highlight w:val="none"/>
        </w:rPr>
      </w:pPr>
      <w:bookmarkStart w:id="19" w:name="_Toc469574668"/>
      <w:bookmarkStart w:id="20" w:name="_Toc55379222"/>
      <w:bookmarkStart w:id="21" w:name="_Toc297817091"/>
      <w:bookmarkStart w:id="22" w:name="_Toc89675131"/>
      <w:r>
        <w:rPr>
          <w:rFonts w:hint="eastAsia"/>
          <w:highlight w:val="none"/>
        </w:rPr>
        <w:t>4.1 响应保证金的金额：</w:t>
      </w:r>
      <w:r>
        <w:rPr>
          <w:rFonts w:hint="eastAsia"/>
          <w:b/>
          <w:bCs/>
          <w:highlight w:val="none"/>
          <w:u w:val="single"/>
        </w:rPr>
        <w:t xml:space="preserve">      </w:t>
      </w:r>
      <w:r>
        <w:rPr>
          <w:b/>
          <w:bCs/>
          <w:highlight w:val="none"/>
          <w:u w:val="single"/>
        </w:rPr>
        <w:t>2500</w:t>
      </w:r>
      <w:r>
        <w:rPr>
          <w:rFonts w:hint="eastAsia"/>
          <w:b/>
          <w:bCs/>
          <w:highlight w:val="none"/>
          <w:u w:val="single"/>
        </w:rPr>
        <w:t>元整（大写：</w:t>
      </w:r>
      <w:r>
        <w:rPr>
          <w:b/>
          <w:bCs/>
          <w:highlight w:val="none"/>
          <w:u w:val="single"/>
        </w:rPr>
        <w:t>贰仟伍佰元整</w:t>
      </w:r>
      <w:r>
        <w:rPr>
          <w:rFonts w:hint="eastAsia"/>
          <w:b/>
          <w:bCs/>
          <w:highlight w:val="none"/>
          <w:u w:val="single"/>
        </w:rPr>
        <w:t xml:space="preserve">  ）</w:t>
      </w:r>
      <w:r>
        <w:rPr>
          <w:rFonts w:hint="eastAsia"/>
          <w:highlight w:val="none"/>
        </w:rPr>
        <w:t>。</w:t>
      </w:r>
    </w:p>
    <w:p w14:paraId="057FA900">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9C0E3A9">
      <w:pPr>
        <w:rPr>
          <w:b/>
          <w:bCs/>
          <w:highlight w:val="none"/>
        </w:rPr>
      </w:pPr>
      <w:r>
        <w:rPr>
          <w:rFonts w:hint="eastAsia"/>
          <w:b/>
          <w:bCs/>
          <w:highlight w:val="none"/>
        </w:rPr>
        <w:t>响应人必须在付款凭证备注栏中注明项目简称。可简写成：</w:t>
      </w:r>
      <w:r>
        <w:rPr>
          <w:b/>
          <w:bCs/>
          <w:highlight w:val="none"/>
          <w:u w:val="single"/>
        </w:rPr>
        <w:t>金融科技产品认证</w:t>
      </w:r>
      <w:r>
        <w:rPr>
          <w:rFonts w:hint="eastAsia"/>
          <w:b/>
          <w:bCs/>
          <w:highlight w:val="none"/>
          <w:u w:val="single"/>
        </w:rPr>
        <w:t>项目</w:t>
      </w:r>
      <w:r>
        <w:rPr>
          <w:rFonts w:hint="eastAsia"/>
          <w:b/>
          <w:bCs/>
          <w:highlight w:val="none"/>
        </w:rPr>
        <w:t>。</w:t>
      </w:r>
    </w:p>
    <w:p w14:paraId="551BCA27">
      <w:pPr>
        <w:rPr>
          <w:highlight w:val="none"/>
        </w:rPr>
      </w:pPr>
      <w:r>
        <w:rPr>
          <w:rFonts w:hint="eastAsia"/>
          <w:highlight w:val="none"/>
        </w:rPr>
        <w:t>4.3 响应保证金递交的截止时间同响应截止时间。响应保证金以重庆市公共资源交易中心询比现场展示的保证金交纳情况为准。</w:t>
      </w:r>
    </w:p>
    <w:p w14:paraId="4D35FEDC">
      <w:pPr>
        <w:outlineLvl w:val="2"/>
        <w:rPr>
          <w:highlight w:val="none"/>
        </w:rPr>
      </w:pPr>
      <w:r>
        <w:rPr>
          <w:rFonts w:hint="eastAsia"/>
          <w:highlight w:val="none"/>
        </w:rPr>
        <w:t>4.</w:t>
      </w:r>
      <w:r>
        <w:rPr>
          <w:highlight w:val="none"/>
        </w:rPr>
        <w:t>4</w:t>
      </w:r>
      <w:r>
        <w:rPr>
          <w:rFonts w:hint="eastAsia"/>
          <w:highlight w:val="none"/>
        </w:rPr>
        <w:t xml:space="preserve"> 响应保证金专用账户如下：</w:t>
      </w:r>
    </w:p>
    <w:p w14:paraId="209B7A00">
      <w:pPr>
        <w:rPr>
          <w:highlight w:val="none"/>
        </w:rPr>
      </w:pPr>
      <w:r>
        <w:rPr>
          <w:rFonts w:hint="eastAsia"/>
          <w:highlight w:val="none"/>
        </w:rPr>
        <w:t>详见重庆市公共资源交易网（www.cqggzy.com）对应本项目询比公告信息栏中的保证金信息。</w:t>
      </w:r>
    </w:p>
    <w:p w14:paraId="66D9B933">
      <w:pPr>
        <w:pStyle w:val="3"/>
        <w:rPr>
          <w:highlight w:val="none"/>
        </w:rPr>
      </w:pPr>
      <w:r>
        <w:rPr>
          <w:rFonts w:hint="eastAsia"/>
          <w:highlight w:val="none"/>
        </w:rPr>
        <w:t>5. 市场主体信息登记</w:t>
      </w:r>
    </w:p>
    <w:p w14:paraId="6F46719D">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2B8B64B3">
      <w:pPr>
        <w:pStyle w:val="3"/>
        <w:rPr>
          <w:highlight w:val="none"/>
        </w:rPr>
      </w:pPr>
      <w:r>
        <w:rPr>
          <w:rFonts w:hint="eastAsia"/>
          <w:highlight w:val="none"/>
        </w:rPr>
        <w:t>6. 响应文件的递交</w:t>
      </w:r>
    </w:p>
    <w:p w14:paraId="07FD0E87">
      <w:pPr>
        <w:rPr>
          <w:highlight w:val="none"/>
        </w:rPr>
      </w:pPr>
      <w:bookmarkStart w:id="23" w:name="_Toc469574669"/>
      <w:bookmarkStart w:id="24" w:name="_Toc89675132"/>
      <w:bookmarkStart w:id="25" w:name="_Toc55379223"/>
      <w:r>
        <w:rPr>
          <w:rFonts w:hint="eastAsia"/>
          <w:highlight w:val="none"/>
        </w:rPr>
        <w:t>6.1 响应文件现场递交时间为</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15</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w:t>
      </w:r>
      <w:r>
        <w:rPr>
          <w:rFonts w:hint="eastAsia"/>
          <w:highlight w:val="none"/>
        </w:rPr>
        <w:t>(北京时间)至响应截止时间。</w:t>
      </w:r>
    </w:p>
    <w:p w14:paraId="16A87CF8">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9CA2018">
      <w:pPr>
        <w:outlineLvl w:val="2"/>
        <w:rPr>
          <w:rFonts w:hint="eastAsia"/>
          <w:highlight w:val="none"/>
        </w:rPr>
      </w:pPr>
      <w:r>
        <w:rPr>
          <w:rFonts w:hint="eastAsia"/>
          <w:highlight w:val="none"/>
        </w:rPr>
        <w:t>6.3 逾期送达的响应文件，不予接收。</w:t>
      </w:r>
    </w:p>
    <w:p w14:paraId="6B218AE0">
      <w:pPr>
        <w:pStyle w:val="3"/>
        <w:rPr>
          <w:highlight w:val="none"/>
        </w:rPr>
      </w:pPr>
      <w:r>
        <w:rPr>
          <w:rFonts w:hint="eastAsia"/>
          <w:highlight w:val="none"/>
        </w:rPr>
        <w:t>7. 发布公告的媒介</w:t>
      </w:r>
    </w:p>
    <w:p w14:paraId="08CCF57F">
      <w:pPr>
        <w:rPr>
          <w:rFonts w:hint="eastAsia"/>
          <w:highlight w:val="none"/>
        </w:rPr>
      </w:pPr>
      <w:r>
        <w:rPr>
          <w:rFonts w:hint="eastAsia"/>
          <w:highlight w:val="none"/>
        </w:rPr>
        <w:t>本次询比公告同时在《重庆市公共资源交易网（www.cqggzy.com）》《重庆三峡银行官网（https://www.ccqtgb.com）》和《中国招标投标公共服务平台（http://www.cebpubservice.com）》上发布。</w:t>
      </w:r>
    </w:p>
    <w:bookmarkEnd w:id="23"/>
    <w:bookmarkEnd w:id="24"/>
    <w:bookmarkEnd w:id="25"/>
    <w:p w14:paraId="78DC7072">
      <w:pPr>
        <w:pStyle w:val="3"/>
        <w:rPr>
          <w:highlight w:val="none"/>
        </w:rPr>
      </w:pPr>
      <w:bookmarkStart w:id="26" w:name="_Toc250565211"/>
      <w:bookmarkStart w:id="27" w:name="_Toc89675133"/>
      <w:bookmarkStart w:id="28" w:name="_Toc469574670"/>
      <w:bookmarkStart w:id="29" w:name="_Toc55379224"/>
      <w:r>
        <w:rPr>
          <w:rFonts w:hint="eastAsia"/>
          <w:highlight w:val="none"/>
        </w:rPr>
        <w:t>8. 联系方式</w:t>
      </w:r>
      <w:bookmarkEnd w:id="26"/>
      <w:bookmarkEnd w:id="27"/>
      <w:bookmarkEnd w:id="28"/>
      <w:bookmarkEnd w:id="29"/>
    </w:p>
    <w:p w14:paraId="5CBFCBFC">
      <w:pPr>
        <w:rPr>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5170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single" w:color="auto" w:sz="4" w:space="0"/>
              <w:left w:val="single" w:color="auto" w:sz="4" w:space="0"/>
              <w:bottom w:val="nil"/>
              <w:right w:val="single" w:color="auto" w:sz="4" w:space="0"/>
            </w:tcBorders>
          </w:tcPr>
          <w:p w14:paraId="5F790ED2">
            <w:pPr>
              <w:ind w:firstLine="0" w:firstLineChars="0"/>
              <w:jc w:val="left"/>
              <w:rPr>
                <w:highlight w:val="none"/>
              </w:rPr>
            </w:pPr>
            <w:r>
              <w:rPr>
                <w:rFonts w:hint="eastAsia"/>
                <w:highlight w:val="none"/>
              </w:rPr>
              <w:t>8.1 项目需求咨询</w:t>
            </w:r>
          </w:p>
        </w:tc>
      </w:tr>
      <w:tr w14:paraId="5935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60B5DF4">
            <w:pPr>
              <w:ind w:firstLine="0" w:firstLineChars="0"/>
              <w:jc w:val="left"/>
              <w:rPr>
                <w:rFonts w:cs="宋体"/>
                <w:szCs w:val="21"/>
                <w:highlight w:val="none"/>
              </w:rPr>
            </w:pPr>
            <w:r>
              <w:rPr>
                <w:rFonts w:hint="eastAsia"/>
                <w:highlight w:val="none"/>
              </w:rPr>
              <w:t>项目联系人：</w:t>
            </w:r>
            <w:r>
              <w:rPr>
                <w:highlight w:val="none"/>
              </w:rPr>
              <w:t>朱丽娇</w:t>
            </w:r>
          </w:p>
        </w:tc>
        <w:tc>
          <w:tcPr>
            <w:tcW w:w="4480" w:type="dxa"/>
            <w:tcBorders>
              <w:top w:val="nil"/>
              <w:left w:val="nil"/>
              <w:bottom w:val="nil"/>
              <w:right w:val="single" w:color="auto" w:sz="4" w:space="0"/>
            </w:tcBorders>
          </w:tcPr>
          <w:p w14:paraId="68D186E1">
            <w:pPr>
              <w:ind w:firstLine="0" w:firstLineChars="0"/>
              <w:jc w:val="left"/>
              <w:rPr>
                <w:rFonts w:cs="宋体"/>
                <w:szCs w:val="21"/>
                <w:highlight w:val="none"/>
              </w:rPr>
            </w:pPr>
            <w:r>
              <w:rPr>
                <w:rFonts w:hint="eastAsia"/>
                <w:highlight w:val="none"/>
              </w:rPr>
              <w:t>联系方式：</w:t>
            </w:r>
            <w:r>
              <w:rPr>
                <w:highlight w:val="none"/>
              </w:rPr>
              <w:t>023-88170832</w:t>
            </w:r>
          </w:p>
        </w:tc>
      </w:tr>
      <w:tr w14:paraId="4030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BE5B601">
            <w:pPr>
              <w:ind w:firstLine="0" w:firstLineChars="0"/>
              <w:jc w:val="left"/>
              <w:rPr>
                <w:highlight w:val="none"/>
              </w:rPr>
            </w:pPr>
          </w:p>
        </w:tc>
      </w:tr>
      <w:tr w14:paraId="722F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848804">
            <w:pPr>
              <w:ind w:firstLine="0" w:firstLineChars="0"/>
              <w:jc w:val="left"/>
              <w:rPr>
                <w:highlight w:val="none"/>
              </w:rPr>
            </w:pPr>
            <w:r>
              <w:rPr>
                <w:rFonts w:hint="eastAsia"/>
                <w:highlight w:val="none"/>
              </w:rPr>
              <w:t>8.2 项目流程咨询</w:t>
            </w:r>
          </w:p>
        </w:tc>
      </w:tr>
      <w:tr w14:paraId="48EF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F0A4F59">
            <w:pPr>
              <w:ind w:firstLine="0" w:firstLineChars="0"/>
              <w:jc w:val="left"/>
              <w:rPr>
                <w:highlight w:val="none"/>
              </w:rPr>
            </w:pPr>
            <w:r>
              <w:rPr>
                <w:rFonts w:hint="eastAsia"/>
                <w:highlight w:val="none"/>
              </w:rPr>
              <w:t>平台服务机构：重庆联合产权交易所集团股份有限公司</w:t>
            </w:r>
          </w:p>
        </w:tc>
      </w:tr>
      <w:tr w14:paraId="0B8D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26EC043">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张老师</w:t>
            </w:r>
          </w:p>
        </w:tc>
        <w:tc>
          <w:tcPr>
            <w:tcW w:w="4480" w:type="dxa"/>
            <w:tcBorders>
              <w:top w:val="nil"/>
              <w:left w:val="nil"/>
              <w:bottom w:val="nil"/>
              <w:right w:val="single" w:color="auto" w:sz="4" w:space="0"/>
            </w:tcBorders>
          </w:tcPr>
          <w:p w14:paraId="287EE9DF">
            <w:pPr>
              <w:ind w:firstLine="0" w:firstLineChars="0"/>
              <w:jc w:val="left"/>
              <w:rPr>
                <w:rFonts w:cs="宋体"/>
                <w:szCs w:val="21"/>
                <w:highlight w:val="none"/>
              </w:rPr>
            </w:pPr>
            <w:r>
              <w:rPr>
                <w:rFonts w:hint="eastAsia"/>
                <w:highlight w:val="none"/>
              </w:rPr>
              <w:t>联系方式：023-63621694</w:t>
            </w:r>
          </w:p>
        </w:tc>
      </w:tr>
      <w:tr w14:paraId="18628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7633CB8">
            <w:pPr>
              <w:ind w:firstLine="0" w:firstLineChars="0"/>
              <w:jc w:val="left"/>
              <w:rPr>
                <w:highlight w:val="none"/>
              </w:rPr>
            </w:pPr>
          </w:p>
        </w:tc>
      </w:tr>
      <w:tr w14:paraId="10FC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68155DA">
            <w:pPr>
              <w:ind w:firstLine="0" w:firstLineChars="0"/>
              <w:jc w:val="left"/>
              <w:rPr>
                <w:highlight w:val="none"/>
              </w:rPr>
            </w:pPr>
            <w:r>
              <w:rPr>
                <w:rFonts w:hint="eastAsia"/>
                <w:highlight w:val="none"/>
              </w:rPr>
              <w:t>8.3 采购人联系方式</w:t>
            </w:r>
          </w:p>
        </w:tc>
      </w:tr>
      <w:tr w14:paraId="5312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ECD8FB9">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796A0FB7">
            <w:pPr>
              <w:ind w:firstLine="0" w:firstLineChars="0"/>
              <w:jc w:val="left"/>
              <w:rPr>
                <w:rFonts w:cs="宋体"/>
                <w:szCs w:val="21"/>
                <w:highlight w:val="none"/>
              </w:rPr>
            </w:pPr>
            <w:r>
              <w:rPr>
                <w:rFonts w:hint="eastAsia"/>
                <w:highlight w:val="none"/>
              </w:rPr>
              <w:t>联系方式：023-88890395</w:t>
            </w:r>
          </w:p>
        </w:tc>
      </w:tr>
      <w:tr w14:paraId="66CB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DDDC9E2">
            <w:pPr>
              <w:ind w:firstLine="0" w:firstLineChars="0"/>
              <w:jc w:val="left"/>
              <w:rPr>
                <w:highlight w:val="none"/>
              </w:rPr>
            </w:pPr>
            <w:r>
              <w:rPr>
                <w:rFonts w:hint="eastAsia"/>
                <w:highlight w:val="none"/>
              </w:rPr>
              <w:t>采购人地址：重庆市渝北区嘉州路88号中渝国际都会4号写字楼21层</w:t>
            </w:r>
          </w:p>
        </w:tc>
      </w:tr>
    </w:tbl>
    <w:p w14:paraId="0597BAD6">
      <w:pPr>
        <w:rPr>
          <w:highlight w:val="none"/>
        </w:rPr>
      </w:pPr>
    </w:p>
    <w:p w14:paraId="4834F572">
      <w:pPr>
        <w:spacing w:line="240" w:lineRule="auto"/>
        <w:ind w:firstLine="0" w:firstLineChars="0"/>
        <w:jc w:val="right"/>
        <w:rPr>
          <w:highlight w:val="none"/>
        </w:rPr>
      </w:pPr>
      <w:r>
        <w:rPr>
          <w:rFonts w:hint="eastAsia"/>
          <w:highlight w:val="none"/>
        </w:rPr>
        <w:t>重庆三峡银行股份有限公司</w:t>
      </w:r>
    </w:p>
    <w:p w14:paraId="5BEFB697">
      <w:pPr>
        <w:jc w:val="right"/>
        <w:rPr>
          <w:highlight w:val="none"/>
        </w:rPr>
      </w:pP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31</w:t>
      </w:r>
      <w:r>
        <w:rPr>
          <w:rFonts w:hint="eastAsia"/>
          <w:color w:val="auto"/>
        </w:rPr>
        <w:t>日</w:t>
      </w:r>
      <w:r>
        <w:rPr>
          <w:highlight w:val="none"/>
        </w:rPr>
        <w:br w:type="page"/>
      </w:r>
      <w:bookmarkStart w:id="30" w:name="_Toc303066033"/>
      <w:bookmarkStart w:id="31" w:name="_Toc89675159"/>
    </w:p>
    <w:p w14:paraId="4D2CE715">
      <w:pPr>
        <w:ind w:firstLine="0" w:firstLineChars="0"/>
        <w:rPr>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706A973D">
      <w:pPr>
        <w:pStyle w:val="2"/>
        <w:rPr>
          <w:highlight w:val="none"/>
        </w:rPr>
      </w:pPr>
      <w:bookmarkStart w:id="32" w:name="_Toc25368"/>
      <w:bookmarkStart w:id="33" w:name="_Toc10417"/>
      <w:r>
        <w:rPr>
          <w:rFonts w:hint="eastAsia"/>
          <w:highlight w:val="none"/>
        </w:rPr>
        <w:t>第二章 响应人须知</w:t>
      </w:r>
      <w:bookmarkEnd w:id="30"/>
      <w:bookmarkEnd w:id="31"/>
      <w:bookmarkEnd w:id="32"/>
      <w:bookmarkEnd w:id="33"/>
    </w:p>
    <w:p w14:paraId="53A43A58">
      <w:pPr>
        <w:pStyle w:val="3"/>
        <w:rPr>
          <w:highlight w:val="none"/>
        </w:rPr>
      </w:pPr>
      <w:bookmarkStart w:id="34" w:name="_Toc89675160"/>
      <w:r>
        <w:rPr>
          <w:rFonts w:hint="eastAsia"/>
          <w:highlight w:val="none"/>
        </w:rPr>
        <w:t>1. 采购人</w:t>
      </w:r>
    </w:p>
    <w:p w14:paraId="78739574">
      <w:pPr>
        <w:rPr>
          <w:highlight w:val="none"/>
        </w:rPr>
      </w:pPr>
      <w:r>
        <w:rPr>
          <w:highlight w:val="none"/>
        </w:rPr>
        <w:t>重庆三峡银行股份有限公司</w:t>
      </w:r>
      <w:r>
        <w:rPr>
          <w:rFonts w:hint="eastAsia"/>
          <w:highlight w:val="none"/>
        </w:rPr>
        <w:t>。</w:t>
      </w:r>
    </w:p>
    <w:bookmarkEnd w:id="34"/>
    <w:p w14:paraId="379CDE29">
      <w:pPr>
        <w:pStyle w:val="3"/>
        <w:rPr>
          <w:highlight w:val="none"/>
        </w:rPr>
      </w:pPr>
      <w:bookmarkStart w:id="35" w:name="_Toc89675161"/>
      <w:r>
        <w:rPr>
          <w:rFonts w:hint="eastAsia"/>
          <w:highlight w:val="none"/>
        </w:rPr>
        <w:t xml:space="preserve">2. </w:t>
      </w:r>
      <w:bookmarkEnd w:id="35"/>
      <w:r>
        <w:rPr>
          <w:rFonts w:hint="eastAsia"/>
          <w:highlight w:val="none"/>
        </w:rPr>
        <w:t>响应人</w:t>
      </w:r>
    </w:p>
    <w:p w14:paraId="7EB1B9E1">
      <w:pPr>
        <w:rPr>
          <w:highlight w:val="none"/>
        </w:rPr>
      </w:pPr>
      <w:r>
        <w:rPr>
          <w:rFonts w:hint="eastAsia"/>
          <w:highlight w:val="none"/>
        </w:rPr>
        <w:t>为采购人提供工程、货物和服务的承包商、供货商和服务商。</w:t>
      </w:r>
    </w:p>
    <w:p w14:paraId="003F901D">
      <w:pPr>
        <w:pStyle w:val="4"/>
        <w:rPr>
          <w:highlight w:val="none"/>
        </w:rPr>
      </w:pPr>
      <w:r>
        <w:rPr>
          <w:rFonts w:hint="eastAsia"/>
          <w:highlight w:val="none"/>
        </w:rPr>
        <w:t>2.1 合格响应人条件</w:t>
      </w:r>
    </w:p>
    <w:p w14:paraId="324DC730">
      <w:pPr>
        <w:rPr>
          <w:highlight w:val="none"/>
        </w:rPr>
      </w:pPr>
      <w:r>
        <w:rPr>
          <w:rFonts w:hint="eastAsia"/>
          <w:highlight w:val="none"/>
        </w:rPr>
        <w:t>合格响应人应完全符合询比文件第一章中规定的响应人资格条件，并对询比文件作出实质性响应。</w:t>
      </w:r>
    </w:p>
    <w:p w14:paraId="61993D56">
      <w:pPr>
        <w:pStyle w:val="4"/>
        <w:rPr>
          <w:highlight w:val="none"/>
        </w:rPr>
      </w:pPr>
      <w:r>
        <w:rPr>
          <w:rFonts w:hint="eastAsia"/>
          <w:highlight w:val="none"/>
        </w:rPr>
        <w:t>2.2 响应人的风险</w:t>
      </w:r>
    </w:p>
    <w:p w14:paraId="1F3FB797">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12FF4F7F">
      <w:pPr>
        <w:pStyle w:val="3"/>
        <w:rPr>
          <w:highlight w:val="none"/>
        </w:rPr>
      </w:pPr>
      <w:bookmarkStart w:id="36" w:name="_Toc89675162"/>
      <w:r>
        <w:rPr>
          <w:rFonts w:hint="eastAsia"/>
          <w:highlight w:val="none"/>
        </w:rPr>
        <w:t xml:space="preserve">3. </w:t>
      </w:r>
      <w:bookmarkEnd w:id="36"/>
      <w:r>
        <w:rPr>
          <w:rFonts w:hint="eastAsia"/>
          <w:highlight w:val="none"/>
        </w:rPr>
        <w:t>询比文件</w:t>
      </w:r>
    </w:p>
    <w:p w14:paraId="2DA2C0FA">
      <w:pPr>
        <w:rPr>
          <w:highlight w:val="none"/>
        </w:rPr>
      </w:pPr>
      <w:r>
        <w:rPr>
          <w:rFonts w:hint="eastAsia"/>
          <w:highlight w:val="none"/>
        </w:rPr>
        <w:t>采购人根据自身采购方案或需求编制的采购文件。</w:t>
      </w:r>
    </w:p>
    <w:p w14:paraId="5B8B200E">
      <w:pPr>
        <w:rPr>
          <w:highlight w:val="none"/>
        </w:rPr>
      </w:pPr>
      <w:r>
        <w:rPr>
          <w:rFonts w:hint="eastAsia"/>
          <w:highlight w:val="none"/>
        </w:rPr>
        <w:t>询比文件是响应人编制响应文件的依据，是评审委员会评判依据和标准。询比文件也是采购人与成交供应商签订合同的基础。</w:t>
      </w:r>
    </w:p>
    <w:p w14:paraId="7B4E975F">
      <w:pPr>
        <w:rPr>
          <w:highlight w:val="none"/>
        </w:rPr>
      </w:pPr>
      <w:r>
        <w:rPr>
          <w:rFonts w:hint="eastAsia"/>
          <w:highlight w:val="none"/>
        </w:rPr>
        <w:t>采购人对询比文件所作的一切有效的书面通知、修改及补充，都是询比文件不可分割的部分。</w:t>
      </w:r>
    </w:p>
    <w:p w14:paraId="4B4B8243">
      <w:pPr>
        <w:pStyle w:val="3"/>
        <w:rPr>
          <w:highlight w:val="none"/>
        </w:rPr>
      </w:pPr>
      <w:bookmarkStart w:id="37" w:name="_Toc89675163"/>
      <w:r>
        <w:rPr>
          <w:rFonts w:hint="eastAsia"/>
          <w:highlight w:val="none"/>
        </w:rPr>
        <w:t xml:space="preserve">4. </w:t>
      </w:r>
      <w:bookmarkEnd w:id="37"/>
      <w:r>
        <w:rPr>
          <w:rFonts w:hint="eastAsia"/>
          <w:highlight w:val="none"/>
        </w:rPr>
        <w:t>响应</w:t>
      </w:r>
    </w:p>
    <w:p w14:paraId="6EDA2A52">
      <w:pPr>
        <w:rPr>
          <w:highlight w:val="none"/>
        </w:rPr>
      </w:pPr>
      <w:r>
        <w:rPr>
          <w:rFonts w:hint="eastAsia"/>
          <w:highlight w:val="none"/>
        </w:rPr>
        <w:t>响应人应当按照询比文件的要求编制响应文件，并对询比文件提出的要求和条件作出实质性响应。</w:t>
      </w:r>
    </w:p>
    <w:p w14:paraId="6553B625">
      <w:pPr>
        <w:pStyle w:val="4"/>
        <w:rPr>
          <w:highlight w:val="none"/>
        </w:rPr>
      </w:pPr>
      <w:r>
        <w:rPr>
          <w:rFonts w:hint="eastAsia"/>
          <w:highlight w:val="none"/>
        </w:rPr>
        <w:t>4.1 响应文件</w:t>
      </w:r>
    </w:p>
    <w:p w14:paraId="70E07DF0">
      <w:pPr>
        <w:rPr>
          <w:highlight w:val="none"/>
        </w:rPr>
      </w:pPr>
      <w:r>
        <w:rPr>
          <w:rFonts w:hint="eastAsia"/>
          <w:highlight w:val="none"/>
        </w:rPr>
        <w:t>参与询比活动的响应人按照询比文件的要求编制提交的要约文件的统称。</w:t>
      </w:r>
    </w:p>
    <w:p w14:paraId="7A87E38B">
      <w:pPr>
        <w:pStyle w:val="4"/>
        <w:rPr>
          <w:highlight w:val="none"/>
        </w:rPr>
      </w:pPr>
      <w:r>
        <w:rPr>
          <w:rFonts w:hint="eastAsia"/>
          <w:highlight w:val="none"/>
        </w:rPr>
        <w:t>4.2 响应文件组成</w:t>
      </w:r>
    </w:p>
    <w:p w14:paraId="4511E888">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1AFEB5DA">
      <w:pPr>
        <w:pStyle w:val="4"/>
        <w:rPr>
          <w:highlight w:val="none"/>
        </w:rPr>
      </w:pPr>
      <w:r>
        <w:rPr>
          <w:rFonts w:hint="eastAsia"/>
          <w:highlight w:val="none"/>
        </w:rPr>
        <w:t>4.3 联合响应</w:t>
      </w:r>
    </w:p>
    <w:p w14:paraId="7C325F5D">
      <w:pPr>
        <w:rPr>
          <w:highlight w:val="none"/>
        </w:rPr>
      </w:pPr>
      <w:r>
        <w:rPr>
          <w:rFonts w:hint="eastAsia"/>
          <w:highlight w:val="none"/>
        </w:rPr>
        <w:t>本询比项目不接受联合响应</w:t>
      </w:r>
    </w:p>
    <w:p w14:paraId="5C2770D0">
      <w:pPr>
        <w:pStyle w:val="4"/>
        <w:rPr>
          <w:highlight w:val="none"/>
        </w:rPr>
      </w:pPr>
      <w:r>
        <w:rPr>
          <w:rFonts w:hint="eastAsia"/>
          <w:highlight w:val="none"/>
        </w:rPr>
        <w:t>4.4 响应有效期</w:t>
      </w:r>
    </w:p>
    <w:p w14:paraId="37F9EDB6">
      <w:pPr>
        <w:rPr>
          <w:highlight w:val="none"/>
        </w:rPr>
      </w:pPr>
      <w:r>
        <w:rPr>
          <w:rFonts w:hint="eastAsia"/>
          <w:highlight w:val="none"/>
        </w:rPr>
        <w:t>响应有效期为响应截止时间后90天内。</w:t>
      </w:r>
    </w:p>
    <w:p w14:paraId="340B466D">
      <w:pPr>
        <w:pStyle w:val="4"/>
        <w:rPr>
          <w:highlight w:val="none"/>
        </w:rPr>
      </w:pPr>
      <w:r>
        <w:rPr>
          <w:rFonts w:hint="eastAsia"/>
          <w:highlight w:val="none"/>
        </w:rPr>
        <w:t>4.5 响应保证金</w:t>
      </w:r>
    </w:p>
    <w:p w14:paraId="03DC7DC9">
      <w:pPr>
        <w:rPr>
          <w:highlight w:val="none"/>
        </w:rPr>
      </w:pPr>
      <w:r>
        <w:rPr>
          <w:rFonts w:hint="eastAsia"/>
          <w:highlight w:val="none"/>
        </w:rPr>
        <w:t>4.5.1 响应人应在响应截止时间前，按询比文件第一章规定向采购人缴纳响应保证金。</w:t>
      </w:r>
    </w:p>
    <w:p w14:paraId="6923BCC4">
      <w:pPr>
        <w:rPr>
          <w:highlight w:val="none"/>
        </w:rPr>
      </w:pPr>
      <w:r>
        <w:rPr>
          <w:rFonts w:hint="eastAsia"/>
          <w:highlight w:val="none"/>
        </w:rPr>
        <w:t>4.5.2 响应保证金为响应的有效约束条件。</w:t>
      </w:r>
    </w:p>
    <w:p w14:paraId="0113ECB6">
      <w:pPr>
        <w:rPr>
          <w:highlight w:val="none"/>
        </w:rPr>
      </w:pPr>
      <w:r>
        <w:rPr>
          <w:rFonts w:hint="eastAsia"/>
          <w:highlight w:val="none"/>
        </w:rPr>
        <w:t>4.5.3 响应保证金有效期与响应文件有效期一致。</w:t>
      </w:r>
    </w:p>
    <w:p w14:paraId="41460C52">
      <w:pPr>
        <w:rPr>
          <w:highlight w:val="none"/>
        </w:rPr>
      </w:pPr>
      <w:r>
        <w:rPr>
          <w:rFonts w:hint="eastAsia"/>
          <w:highlight w:val="none"/>
        </w:rPr>
        <w:t>4.5.4 响应保证金币种应与响应报价币种相同。</w:t>
      </w:r>
    </w:p>
    <w:p w14:paraId="2BFC8AA5">
      <w:pPr>
        <w:rPr>
          <w:highlight w:val="none"/>
        </w:rPr>
      </w:pPr>
      <w:r>
        <w:rPr>
          <w:rFonts w:hint="eastAsia"/>
          <w:highlight w:val="none"/>
        </w:rPr>
        <w:t>4.5.5 响应保证金的退还：</w:t>
      </w:r>
    </w:p>
    <w:p w14:paraId="51DA0E6C">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01C273DE">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51E53970">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36753212">
      <w:pPr>
        <w:outlineLvl w:val="3"/>
        <w:rPr>
          <w:highlight w:val="none"/>
        </w:rPr>
      </w:pPr>
      <w:r>
        <w:rPr>
          <w:rFonts w:hint="eastAsia"/>
          <w:highlight w:val="none"/>
        </w:rPr>
        <w:t>4.5.6 响应人有下列情形之一的，响应保证金将不予退还：</w:t>
      </w:r>
    </w:p>
    <w:p w14:paraId="1BA51118">
      <w:pPr>
        <w:rPr>
          <w:highlight w:val="none"/>
        </w:rPr>
      </w:pPr>
      <w:r>
        <w:rPr>
          <w:rFonts w:hint="eastAsia"/>
          <w:highlight w:val="none"/>
        </w:rPr>
        <w:t>4.5.6.1 响应人在响应有效期内撤销响应文件的；</w:t>
      </w:r>
    </w:p>
    <w:p w14:paraId="3473D264">
      <w:pPr>
        <w:rPr>
          <w:highlight w:val="none"/>
        </w:rPr>
      </w:pPr>
      <w:r>
        <w:rPr>
          <w:rFonts w:hint="eastAsia"/>
          <w:highlight w:val="none"/>
        </w:rPr>
        <w:t>4.5.6.2 响应人在响应过程中弄虚作假，提供虚假材料的；</w:t>
      </w:r>
    </w:p>
    <w:p w14:paraId="37254B49">
      <w:pPr>
        <w:rPr>
          <w:highlight w:val="none"/>
        </w:rPr>
      </w:pPr>
      <w:r>
        <w:rPr>
          <w:rFonts w:hint="eastAsia"/>
          <w:highlight w:val="none"/>
        </w:rPr>
        <w:t>4.5.6.3 成交供应商无故弃选或无正当理由不与采购人签订合同的；</w:t>
      </w:r>
    </w:p>
    <w:p w14:paraId="7124DCD3">
      <w:pPr>
        <w:rPr>
          <w:highlight w:val="none"/>
        </w:rPr>
      </w:pPr>
      <w:r>
        <w:rPr>
          <w:rFonts w:hint="eastAsia"/>
          <w:highlight w:val="none"/>
        </w:rPr>
        <w:t>4.5.6.4 成交供应商将成交项目转让给他人或者在响应文件中未说明且未经询比单位同意，将成交项目分包给他人的；</w:t>
      </w:r>
    </w:p>
    <w:p w14:paraId="6488D2B3">
      <w:pPr>
        <w:rPr>
          <w:highlight w:val="none"/>
        </w:rPr>
      </w:pPr>
      <w:r>
        <w:rPr>
          <w:rFonts w:hint="eastAsia"/>
          <w:highlight w:val="none"/>
        </w:rPr>
        <w:t>4.5.6.5 成交供应商拒绝履行合同义务的；</w:t>
      </w:r>
    </w:p>
    <w:p w14:paraId="61980A75">
      <w:pPr>
        <w:rPr>
          <w:highlight w:val="none"/>
        </w:rPr>
      </w:pPr>
      <w:r>
        <w:rPr>
          <w:rFonts w:hint="eastAsia"/>
          <w:highlight w:val="none"/>
        </w:rPr>
        <w:t>4.5.6.6 其他严重扰乱询比程序的；</w:t>
      </w:r>
    </w:p>
    <w:p w14:paraId="7090D487">
      <w:pPr>
        <w:pStyle w:val="4"/>
        <w:rPr>
          <w:highlight w:val="none"/>
        </w:rPr>
      </w:pPr>
      <w:r>
        <w:rPr>
          <w:rFonts w:hint="eastAsia"/>
          <w:highlight w:val="none"/>
        </w:rPr>
        <w:t>4.6 响应文件的份数和签署</w:t>
      </w:r>
    </w:p>
    <w:p w14:paraId="48D23DAD">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2D595A48">
      <w:pPr>
        <w:rPr>
          <w:highlight w:val="none"/>
        </w:rPr>
      </w:pPr>
      <w:r>
        <w:rPr>
          <w:rFonts w:hint="eastAsia"/>
          <w:highlight w:val="none"/>
        </w:rPr>
        <w:t>4.6.2 响应文件正本中，每一页均应由响应人加盖公章，其中规定格式的文件应当按要求签名和加盖响应人公章。</w:t>
      </w:r>
    </w:p>
    <w:p w14:paraId="045D05A5">
      <w:pPr>
        <w:rPr>
          <w:highlight w:val="none"/>
        </w:rPr>
      </w:pPr>
      <w:r>
        <w:rPr>
          <w:rFonts w:hint="eastAsia"/>
          <w:highlight w:val="none"/>
        </w:rPr>
        <w:t>4.6.3 若响应人对响应文件的错处作必要修改，则应在修改处加盖响应人公章或由法人或委托代理人签字确认。</w:t>
      </w:r>
    </w:p>
    <w:p w14:paraId="62570464">
      <w:pPr>
        <w:outlineLvl w:val="3"/>
        <w:rPr>
          <w:highlight w:val="none"/>
        </w:rPr>
      </w:pPr>
      <w:r>
        <w:rPr>
          <w:rFonts w:hint="eastAsia"/>
          <w:highlight w:val="none"/>
        </w:rPr>
        <w:t>4.6.4 电报、电话、邮寄、传真形式的响应文件概不接受。</w:t>
      </w:r>
    </w:p>
    <w:p w14:paraId="00905D62">
      <w:pPr>
        <w:pStyle w:val="4"/>
        <w:rPr>
          <w:highlight w:val="none"/>
        </w:rPr>
      </w:pPr>
      <w:r>
        <w:rPr>
          <w:rFonts w:hint="eastAsia"/>
          <w:highlight w:val="none"/>
        </w:rPr>
        <w:t>4.7 响应文件的密封与标记</w:t>
      </w:r>
    </w:p>
    <w:p w14:paraId="77B4F2D6">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7635AE05">
      <w:pPr>
        <w:rPr>
          <w:highlight w:val="none"/>
        </w:rPr>
      </w:pPr>
      <w:r>
        <w:rPr>
          <w:rFonts w:hint="eastAsia"/>
          <w:highlight w:val="none"/>
        </w:rPr>
        <w:t>如果未按上述规定进行密封和标记，则其响应将作为无效响应处理。</w:t>
      </w:r>
    </w:p>
    <w:p w14:paraId="18072FE6">
      <w:pPr>
        <w:pStyle w:val="4"/>
        <w:rPr>
          <w:highlight w:val="none"/>
        </w:rPr>
      </w:pPr>
      <w:r>
        <w:rPr>
          <w:rFonts w:hint="eastAsia"/>
          <w:highlight w:val="none"/>
        </w:rPr>
        <w:t>4.8 响应报价</w:t>
      </w:r>
    </w:p>
    <w:p w14:paraId="722DC12C">
      <w:pPr>
        <w:outlineLvl w:val="3"/>
        <w:rPr>
          <w:highlight w:val="none"/>
        </w:rPr>
      </w:pPr>
      <w:r>
        <w:rPr>
          <w:rFonts w:hint="eastAsia"/>
          <w:highlight w:val="none"/>
        </w:rPr>
        <w:t>4.8.1 响应人应严格按照“响应文件格式”填写报价。</w:t>
      </w:r>
    </w:p>
    <w:p w14:paraId="4724F781">
      <w:pPr>
        <w:rPr>
          <w:highlight w:val="none"/>
        </w:rPr>
      </w:pPr>
      <w:r>
        <w:rPr>
          <w:rFonts w:hint="eastAsia"/>
          <w:highlight w:val="none"/>
        </w:rPr>
        <w:t>4.8.2 响应人的报价为一次性报价，即在响应有效期内响应价格固定不变。</w:t>
      </w:r>
    </w:p>
    <w:p w14:paraId="12EB3EA9">
      <w:pPr>
        <w:rPr>
          <w:highlight w:val="none"/>
        </w:rPr>
      </w:pPr>
      <w:r>
        <w:rPr>
          <w:rFonts w:hint="eastAsia"/>
          <w:highlight w:val="none"/>
        </w:rPr>
        <w:t>4.8.3 本项目只接受一个响应报价，有选择的或有条件的响应将不予接受。</w:t>
      </w:r>
    </w:p>
    <w:p w14:paraId="577989FF">
      <w:pPr>
        <w:outlineLvl w:val="3"/>
        <w:rPr>
          <w:highlight w:val="none"/>
        </w:rPr>
      </w:pPr>
      <w:r>
        <w:rPr>
          <w:rFonts w:hint="eastAsia"/>
          <w:highlight w:val="none"/>
        </w:rPr>
        <w:t>4.8.4 响应报价不得高于最高限价。</w:t>
      </w:r>
    </w:p>
    <w:p w14:paraId="6D52C5D2">
      <w:pPr>
        <w:pStyle w:val="4"/>
        <w:rPr>
          <w:highlight w:val="none"/>
        </w:rPr>
      </w:pPr>
      <w:r>
        <w:rPr>
          <w:rFonts w:hint="eastAsia"/>
          <w:highlight w:val="none"/>
        </w:rPr>
        <w:t>4.9 修正错误</w:t>
      </w:r>
    </w:p>
    <w:p w14:paraId="683BCB3D">
      <w:pPr>
        <w:rPr>
          <w:highlight w:val="none"/>
        </w:rPr>
      </w:pPr>
      <w:r>
        <w:rPr>
          <w:rFonts w:hint="eastAsia"/>
          <w:highlight w:val="none"/>
        </w:rPr>
        <w:t>若响应文件出现计算或表达上的错误，修正错误的原则如下：</w:t>
      </w:r>
    </w:p>
    <w:p w14:paraId="47D90C7A">
      <w:pPr>
        <w:rPr>
          <w:highlight w:val="none"/>
        </w:rPr>
      </w:pPr>
      <w:r>
        <w:rPr>
          <w:rFonts w:hint="eastAsia"/>
          <w:highlight w:val="none"/>
        </w:rPr>
        <w:t>4.9.1 响应文件的大写金额和小写金额不一致的，以大写金额为准；</w:t>
      </w:r>
    </w:p>
    <w:p w14:paraId="5A701EA6">
      <w:pPr>
        <w:rPr>
          <w:highlight w:val="none"/>
        </w:rPr>
      </w:pPr>
      <w:r>
        <w:rPr>
          <w:rFonts w:hint="eastAsia"/>
          <w:highlight w:val="none"/>
        </w:rPr>
        <w:t>4.9.2 总价金额与按单价汇总金额不一致的，以单价金额计算结果为准；</w:t>
      </w:r>
    </w:p>
    <w:p w14:paraId="16A3BD7B">
      <w:pPr>
        <w:rPr>
          <w:highlight w:val="none"/>
        </w:rPr>
      </w:pPr>
      <w:r>
        <w:rPr>
          <w:rFonts w:hint="eastAsia"/>
          <w:highlight w:val="none"/>
        </w:rPr>
        <w:t>4.9.3 单价金额小数点有明显错位的，应以总价为准，并修正单价；</w:t>
      </w:r>
    </w:p>
    <w:p w14:paraId="000F7242">
      <w:pPr>
        <w:rPr>
          <w:highlight w:val="none"/>
        </w:rPr>
      </w:pPr>
      <w:r>
        <w:rPr>
          <w:rFonts w:hint="eastAsia"/>
          <w:highlight w:val="none"/>
        </w:rPr>
        <w:t>4.9.4 对不同文字文本响应文件的解释发生异议的，以中文文本为准。</w:t>
      </w:r>
    </w:p>
    <w:p w14:paraId="414AA7D5">
      <w:pPr>
        <w:outlineLvl w:val="3"/>
        <w:rPr>
          <w:highlight w:val="none"/>
        </w:rPr>
      </w:pPr>
      <w:r>
        <w:rPr>
          <w:rFonts w:hint="eastAsia"/>
          <w:highlight w:val="none"/>
        </w:rPr>
        <w:t>4.9.5 含税金额与不含税金额不一致的，以含税金额为准。</w:t>
      </w:r>
    </w:p>
    <w:p w14:paraId="6B2B8FC4">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30382690">
      <w:pPr>
        <w:pStyle w:val="3"/>
        <w:rPr>
          <w:highlight w:val="none"/>
        </w:rPr>
      </w:pPr>
      <w:bookmarkStart w:id="38" w:name="_Toc89675166"/>
      <w:r>
        <w:rPr>
          <w:rFonts w:hint="eastAsia"/>
          <w:highlight w:val="none"/>
        </w:rPr>
        <w:t>5. 询比程序</w:t>
      </w:r>
    </w:p>
    <w:p w14:paraId="64889679">
      <w:pPr>
        <w:rPr>
          <w:highlight w:val="none"/>
        </w:rPr>
      </w:pPr>
      <w:r>
        <w:rPr>
          <w:rFonts w:hint="eastAsia"/>
          <w:highlight w:val="none"/>
        </w:rPr>
        <w:t>主持人按下列程序进行询比：</w:t>
      </w:r>
    </w:p>
    <w:p w14:paraId="47116A9E">
      <w:pPr>
        <w:rPr>
          <w:highlight w:val="none"/>
        </w:rPr>
      </w:pPr>
      <w:r>
        <w:rPr>
          <w:rFonts w:hint="eastAsia"/>
          <w:highlight w:val="none"/>
        </w:rPr>
        <w:t>5.1 宣布询比纪律；</w:t>
      </w:r>
    </w:p>
    <w:p w14:paraId="62484117">
      <w:pPr>
        <w:rPr>
          <w:highlight w:val="none"/>
        </w:rPr>
      </w:pPr>
      <w:r>
        <w:rPr>
          <w:rFonts w:hint="eastAsia"/>
          <w:highlight w:val="none"/>
        </w:rPr>
        <w:t>5.2 宣布采购人、唱标人、记录人、监督人等有关人员姓名；</w:t>
      </w:r>
    </w:p>
    <w:p w14:paraId="3E539FFC">
      <w:pPr>
        <w:rPr>
          <w:highlight w:val="none"/>
        </w:rPr>
      </w:pPr>
      <w:r>
        <w:rPr>
          <w:rFonts w:hint="eastAsia"/>
          <w:highlight w:val="none"/>
        </w:rPr>
        <w:t>5.3 公布在响应截止时间前递交响应文件的响应人名称，并点名确认响应人是否派人到场；</w:t>
      </w:r>
    </w:p>
    <w:p w14:paraId="17F48093">
      <w:pPr>
        <w:rPr>
          <w:highlight w:val="none"/>
        </w:rPr>
      </w:pPr>
      <w:r>
        <w:rPr>
          <w:rFonts w:hint="eastAsia"/>
          <w:highlight w:val="none"/>
        </w:rPr>
        <w:t>5.4 展示响应保证金，响应保证金缴款不全或有误的，则记录在案交由评审委员会评审；</w:t>
      </w:r>
    </w:p>
    <w:p w14:paraId="76678C97">
      <w:pPr>
        <w:rPr>
          <w:highlight w:val="none"/>
        </w:rPr>
      </w:pPr>
      <w:r>
        <w:rPr>
          <w:rFonts w:hint="eastAsia"/>
          <w:highlight w:val="none"/>
        </w:rPr>
        <w:t>5.5 封装情况检查：响应人或者其推选的代表检查各响应文件的封装情况并确认；</w:t>
      </w:r>
    </w:p>
    <w:p w14:paraId="19778F2F">
      <w:pPr>
        <w:rPr>
          <w:highlight w:val="none"/>
        </w:rPr>
      </w:pPr>
      <w:r>
        <w:rPr>
          <w:rFonts w:hint="eastAsia"/>
          <w:highlight w:val="none"/>
        </w:rPr>
        <w:t>5.6 设有最高限价的，公布最高限价；</w:t>
      </w:r>
    </w:p>
    <w:p w14:paraId="4E85545D">
      <w:pPr>
        <w:rPr>
          <w:highlight w:val="none"/>
        </w:rPr>
      </w:pPr>
      <w:r>
        <w:rPr>
          <w:rFonts w:hint="eastAsia"/>
          <w:highlight w:val="none"/>
        </w:rPr>
        <w:t>5.7 开启响应文件；</w:t>
      </w:r>
    </w:p>
    <w:p w14:paraId="4C24A3F3">
      <w:pPr>
        <w:rPr>
          <w:highlight w:val="none"/>
        </w:rPr>
      </w:pPr>
      <w:r>
        <w:rPr>
          <w:rFonts w:hint="eastAsia"/>
          <w:highlight w:val="none"/>
        </w:rPr>
        <w:t>5.8 采购人代表、响应人代表、监督人、记录人等有关人员在询比记录上签字确认；</w:t>
      </w:r>
    </w:p>
    <w:p w14:paraId="13AC203D">
      <w:pPr>
        <w:outlineLvl w:val="2"/>
        <w:rPr>
          <w:highlight w:val="none"/>
        </w:rPr>
      </w:pPr>
      <w:r>
        <w:rPr>
          <w:rFonts w:hint="eastAsia"/>
          <w:highlight w:val="none"/>
        </w:rPr>
        <w:t>5.9 询比结束。</w:t>
      </w:r>
    </w:p>
    <w:p w14:paraId="29C75230">
      <w:pPr>
        <w:pStyle w:val="3"/>
        <w:rPr>
          <w:highlight w:val="none"/>
        </w:rPr>
      </w:pPr>
      <w:r>
        <w:rPr>
          <w:rFonts w:hint="eastAsia"/>
          <w:highlight w:val="none"/>
        </w:rPr>
        <w:t>6. 评审</w:t>
      </w:r>
    </w:p>
    <w:p w14:paraId="6F787BFA">
      <w:pPr>
        <w:rPr>
          <w:highlight w:val="none"/>
        </w:rPr>
      </w:pPr>
      <w:r>
        <w:rPr>
          <w:rFonts w:hint="eastAsia"/>
          <w:highlight w:val="none"/>
        </w:rPr>
        <w:t>见第四章内容。</w:t>
      </w:r>
    </w:p>
    <w:p w14:paraId="4836AF90">
      <w:pPr>
        <w:pStyle w:val="3"/>
        <w:rPr>
          <w:highlight w:val="none"/>
        </w:rPr>
      </w:pPr>
      <w:r>
        <w:rPr>
          <w:rFonts w:hint="eastAsia"/>
          <w:highlight w:val="none"/>
        </w:rPr>
        <w:t xml:space="preserve">7. </w:t>
      </w:r>
      <w:bookmarkEnd w:id="38"/>
      <w:r>
        <w:rPr>
          <w:rFonts w:hint="eastAsia"/>
          <w:highlight w:val="none"/>
        </w:rPr>
        <w:t>确定成交供应商</w:t>
      </w:r>
    </w:p>
    <w:p w14:paraId="22DCE4F4">
      <w:pPr>
        <w:outlineLvl w:val="2"/>
        <w:rPr>
          <w:highlight w:val="none"/>
        </w:rPr>
      </w:pPr>
      <w:r>
        <w:rPr>
          <w:rFonts w:hint="eastAsia"/>
          <w:highlight w:val="none"/>
        </w:rPr>
        <w:t>7.1 确定成交供应商原则</w:t>
      </w:r>
    </w:p>
    <w:p w14:paraId="245B9A82">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754248C9">
      <w:pPr>
        <w:outlineLvl w:val="2"/>
        <w:rPr>
          <w:highlight w:val="none"/>
        </w:rPr>
      </w:pPr>
      <w:r>
        <w:rPr>
          <w:rFonts w:hint="eastAsia"/>
          <w:highlight w:val="none"/>
        </w:rPr>
        <w:t>7.2 不承诺最低价格成交。</w:t>
      </w:r>
    </w:p>
    <w:p w14:paraId="62E1930F">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36BD6808">
      <w:pPr>
        <w:pStyle w:val="3"/>
        <w:rPr>
          <w:highlight w:val="none"/>
        </w:rPr>
      </w:pPr>
      <w:bookmarkStart w:id="39" w:name="_Toc12245"/>
      <w:bookmarkStart w:id="40" w:name="_Toc89675168"/>
      <w:r>
        <w:rPr>
          <w:rFonts w:hint="eastAsia"/>
          <w:highlight w:val="none"/>
        </w:rPr>
        <w:t>8. 签订合同</w:t>
      </w:r>
      <w:bookmarkEnd w:id="39"/>
      <w:bookmarkEnd w:id="40"/>
    </w:p>
    <w:p w14:paraId="63E123CB">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78E1AC97">
      <w:pPr>
        <w:rPr>
          <w:highlight w:val="none"/>
        </w:rPr>
      </w:pPr>
      <w:r>
        <w:rPr>
          <w:rFonts w:hint="eastAsia"/>
          <w:highlight w:val="none"/>
        </w:rPr>
        <w:t>8.2 成交供应商在领取成交通知书后，应根据第一章中“联系方式”内容，及时与项目联系人对接，并按采购人要求在规定</w:t>
      </w:r>
      <w:r>
        <w:rPr>
          <w:highlight w:val="none"/>
        </w:rPr>
        <w:t>时间内</w:t>
      </w:r>
      <w:r>
        <w:rPr>
          <w:rFonts w:hint="eastAsia"/>
          <w:highlight w:val="none"/>
        </w:rPr>
        <w:t>完成合同的签订。如未在规定时间内签订合同，且经采购人书面通知后仍不按照通知要求签订合同的，可视为成交供应商无故弃选。</w:t>
      </w:r>
    </w:p>
    <w:p w14:paraId="701A4CDC">
      <w:pPr>
        <w:rPr>
          <w:highlight w:val="none"/>
        </w:rPr>
      </w:pPr>
      <w:r>
        <w:rPr>
          <w:rFonts w:hint="eastAsia"/>
          <w:highlight w:val="none"/>
        </w:rPr>
        <w:t>8.3 询比文件、成交供应商的响应文件及澄清文件等，均为签订合同的依据。</w:t>
      </w:r>
    </w:p>
    <w:p w14:paraId="254F2D84">
      <w:pPr>
        <w:rPr>
          <w:highlight w:val="none"/>
        </w:rPr>
      </w:pPr>
      <w:r>
        <w:rPr>
          <w:rFonts w:hint="eastAsia"/>
          <w:highlight w:val="none"/>
        </w:rPr>
        <w:t>8.4 合同生效条款由供需双方约定，法律、行政法规规定应当办理批准、登记等手续后生效的合同，依照其规定。</w:t>
      </w:r>
    </w:p>
    <w:p w14:paraId="7D22350E">
      <w:pPr>
        <w:rPr>
          <w:highlight w:val="none"/>
        </w:rPr>
      </w:pPr>
      <w:r>
        <w:rPr>
          <w:rFonts w:hint="eastAsia"/>
          <w:highlight w:val="none"/>
        </w:rPr>
        <w:t>8.5 签订合同前后，若成交供应商无法按要求履约，采购人可以废除成交供应商资格，并可重新采购或选择按照成交候选人顺位与下一候选人签订合同。</w:t>
      </w:r>
    </w:p>
    <w:p w14:paraId="096D3260">
      <w:pPr>
        <w:pStyle w:val="3"/>
        <w:rPr>
          <w:highlight w:val="none"/>
        </w:rPr>
      </w:pPr>
      <w:r>
        <w:rPr>
          <w:rFonts w:hint="eastAsia"/>
          <w:highlight w:val="none"/>
        </w:rPr>
        <w:t>9. 纪律与要求</w:t>
      </w:r>
    </w:p>
    <w:p w14:paraId="71823D43">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16D7F517">
      <w:pPr>
        <w:outlineLvl w:val="2"/>
        <w:rPr>
          <w:highlight w:val="none"/>
        </w:rPr>
      </w:pPr>
      <w:r>
        <w:rPr>
          <w:rFonts w:hint="eastAsia"/>
          <w:highlight w:val="none"/>
        </w:rPr>
        <w:t>9.1 有下列情形之一的，属于响应人相互串通响应：</w:t>
      </w:r>
    </w:p>
    <w:p w14:paraId="4D1E60DA">
      <w:pPr>
        <w:rPr>
          <w:highlight w:val="none"/>
        </w:rPr>
      </w:pPr>
      <w:r>
        <w:rPr>
          <w:rFonts w:hint="eastAsia"/>
          <w:highlight w:val="none"/>
        </w:rPr>
        <w:t>9.1.1 响应人之间协商响应报价等响应文件的实质性内容；</w:t>
      </w:r>
    </w:p>
    <w:p w14:paraId="7EA69C2D">
      <w:pPr>
        <w:rPr>
          <w:highlight w:val="none"/>
        </w:rPr>
      </w:pPr>
      <w:r>
        <w:rPr>
          <w:rFonts w:hint="eastAsia"/>
          <w:highlight w:val="none"/>
        </w:rPr>
        <w:t>9.1.2 响应人之间约定成交供应商；</w:t>
      </w:r>
    </w:p>
    <w:p w14:paraId="09FEE462">
      <w:pPr>
        <w:rPr>
          <w:highlight w:val="none"/>
        </w:rPr>
      </w:pPr>
      <w:r>
        <w:rPr>
          <w:rFonts w:hint="eastAsia"/>
          <w:highlight w:val="none"/>
        </w:rPr>
        <w:t>9.1.3 响应人之间约定部分响应人放弃响应或者成交；</w:t>
      </w:r>
    </w:p>
    <w:p w14:paraId="7FD7C0FB">
      <w:pPr>
        <w:rPr>
          <w:highlight w:val="none"/>
        </w:rPr>
      </w:pPr>
      <w:r>
        <w:rPr>
          <w:rFonts w:hint="eastAsia"/>
          <w:highlight w:val="none"/>
        </w:rPr>
        <w:t>9.1.4 属于同一集团、协会、商会等组织成员的响应人按照该组织要求协同响应；</w:t>
      </w:r>
    </w:p>
    <w:p w14:paraId="2A2E3813">
      <w:pPr>
        <w:rPr>
          <w:highlight w:val="none"/>
        </w:rPr>
      </w:pPr>
      <w:r>
        <w:rPr>
          <w:rFonts w:hint="eastAsia"/>
          <w:highlight w:val="none"/>
        </w:rPr>
        <w:t>9.1.5 响应人之间为谋取成交或者排斥特定响应人而采取的其他联合行动。</w:t>
      </w:r>
    </w:p>
    <w:p w14:paraId="6549ED48">
      <w:pPr>
        <w:outlineLvl w:val="2"/>
        <w:rPr>
          <w:highlight w:val="none"/>
        </w:rPr>
      </w:pPr>
      <w:r>
        <w:rPr>
          <w:rFonts w:hint="eastAsia"/>
          <w:highlight w:val="none"/>
        </w:rPr>
        <w:t>9.2 有下列情形之一的，视为响应人相互串通响应：</w:t>
      </w:r>
    </w:p>
    <w:p w14:paraId="654A5C28">
      <w:pPr>
        <w:rPr>
          <w:highlight w:val="none"/>
        </w:rPr>
      </w:pPr>
      <w:r>
        <w:rPr>
          <w:rFonts w:hint="eastAsia"/>
          <w:highlight w:val="none"/>
        </w:rPr>
        <w:t>9.2.1 不同响应人的响应文件由同一单位或者个人编制；</w:t>
      </w:r>
    </w:p>
    <w:p w14:paraId="04672732">
      <w:pPr>
        <w:rPr>
          <w:highlight w:val="none"/>
        </w:rPr>
      </w:pPr>
      <w:r>
        <w:rPr>
          <w:rFonts w:hint="eastAsia"/>
          <w:highlight w:val="none"/>
        </w:rPr>
        <w:t>9.2.2 不同响应人委托同一单位或者个人办理响应事宜；</w:t>
      </w:r>
    </w:p>
    <w:p w14:paraId="7141484B">
      <w:pPr>
        <w:rPr>
          <w:highlight w:val="none"/>
        </w:rPr>
      </w:pPr>
      <w:r>
        <w:rPr>
          <w:rFonts w:hint="eastAsia"/>
          <w:highlight w:val="none"/>
        </w:rPr>
        <w:t>9.2.3 不同响应人的响应文件载明的项目管理成员为同一人；</w:t>
      </w:r>
    </w:p>
    <w:p w14:paraId="11A402A5">
      <w:pPr>
        <w:rPr>
          <w:highlight w:val="none"/>
        </w:rPr>
      </w:pPr>
      <w:r>
        <w:rPr>
          <w:rFonts w:hint="eastAsia"/>
          <w:highlight w:val="none"/>
        </w:rPr>
        <w:t>9.2.4 不同响应人的响应文件相互混装；</w:t>
      </w:r>
    </w:p>
    <w:p w14:paraId="0649E608">
      <w:pPr>
        <w:rPr>
          <w:highlight w:val="none"/>
        </w:rPr>
      </w:pPr>
      <w:r>
        <w:rPr>
          <w:rFonts w:hint="eastAsia"/>
          <w:highlight w:val="none"/>
        </w:rPr>
        <w:t>9.2.5 不同响应人的响应保证金从同一单位或者个人的账户转出。</w:t>
      </w:r>
    </w:p>
    <w:p w14:paraId="031C0FBD">
      <w:pPr>
        <w:rPr>
          <w:highlight w:val="none"/>
        </w:rPr>
      </w:pPr>
      <w:r>
        <w:rPr>
          <w:rFonts w:hint="eastAsia"/>
          <w:highlight w:val="none"/>
        </w:rPr>
        <w:t>9.3 使用通过受让或者租借等方式获取的资格、资质证书响应的，属于以他人名义响应。</w:t>
      </w:r>
    </w:p>
    <w:p w14:paraId="78029A1D">
      <w:pPr>
        <w:outlineLvl w:val="2"/>
        <w:rPr>
          <w:highlight w:val="none"/>
        </w:rPr>
      </w:pPr>
      <w:r>
        <w:rPr>
          <w:rFonts w:hint="eastAsia"/>
          <w:highlight w:val="none"/>
        </w:rPr>
        <w:t>9.4 响应人有下列情形之一的，属于弄虚作假的行为：</w:t>
      </w:r>
    </w:p>
    <w:p w14:paraId="4F6A9488">
      <w:pPr>
        <w:rPr>
          <w:highlight w:val="none"/>
        </w:rPr>
      </w:pPr>
      <w:r>
        <w:rPr>
          <w:rFonts w:hint="eastAsia"/>
          <w:highlight w:val="none"/>
        </w:rPr>
        <w:t>9.4.1 使用伪造、变造的许可证件；</w:t>
      </w:r>
    </w:p>
    <w:p w14:paraId="542194F1">
      <w:pPr>
        <w:rPr>
          <w:highlight w:val="none"/>
        </w:rPr>
      </w:pPr>
      <w:r>
        <w:rPr>
          <w:rFonts w:hint="eastAsia"/>
          <w:highlight w:val="none"/>
        </w:rPr>
        <w:t>9.4.2 提供虚假的财务状况或者虚假业绩；</w:t>
      </w:r>
    </w:p>
    <w:p w14:paraId="7820DFF4">
      <w:pPr>
        <w:rPr>
          <w:highlight w:val="none"/>
        </w:rPr>
      </w:pPr>
      <w:r>
        <w:rPr>
          <w:rFonts w:hint="eastAsia"/>
          <w:highlight w:val="none"/>
        </w:rPr>
        <w:t>9.4.3 提供虚假的项目负责人或者主要技术人员简历、劳动关系证明；</w:t>
      </w:r>
    </w:p>
    <w:p w14:paraId="2FF57EEB">
      <w:pPr>
        <w:rPr>
          <w:highlight w:val="none"/>
        </w:rPr>
      </w:pPr>
      <w:r>
        <w:rPr>
          <w:rFonts w:hint="eastAsia"/>
          <w:highlight w:val="none"/>
        </w:rPr>
        <w:t>9.4.4 提供虚假的信用状况；</w:t>
      </w:r>
    </w:p>
    <w:p w14:paraId="64870326">
      <w:pPr>
        <w:rPr>
          <w:highlight w:val="none"/>
        </w:rPr>
      </w:pPr>
      <w:r>
        <w:rPr>
          <w:rFonts w:hint="eastAsia"/>
          <w:highlight w:val="none"/>
        </w:rPr>
        <w:t>9.4.5 其它弄虚作假的行为。</w:t>
      </w:r>
    </w:p>
    <w:p w14:paraId="3EE6D089">
      <w:pPr>
        <w:rPr>
          <w:highlight w:val="none"/>
        </w:rPr>
      </w:pPr>
      <w:r>
        <w:rPr>
          <w:rFonts w:hint="eastAsia"/>
          <w:highlight w:val="none"/>
        </w:rPr>
        <w:t>针对以上情况，采购人有权没收响应人的响应保证金，并保留进一步追究由此带来损失的权利。</w:t>
      </w:r>
    </w:p>
    <w:p w14:paraId="12BA54A2">
      <w:pPr>
        <w:pStyle w:val="3"/>
        <w:rPr>
          <w:highlight w:val="none"/>
        </w:rPr>
      </w:pPr>
      <w:bookmarkStart w:id="41" w:name="_Toc89675169"/>
      <w:r>
        <w:rPr>
          <w:rFonts w:hint="eastAsia"/>
          <w:highlight w:val="none"/>
        </w:rPr>
        <w:t>10. 提问、质疑、投诉</w:t>
      </w:r>
    </w:p>
    <w:p w14:paraId="23F9615C">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3A92EBCC">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474522B7">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06AC7A80">
      <w:pPr>
        <w:rPr>
          <w:highlight w:val="none"/>
        </w:rPr>
      </w:pPr>
      <w:r>
        <w:rPr>
          <w:rFonts w:hint="eastAsia"/>
          <w:highlight w:val="none"/>
        </w:rPr>
        <w:t>10.4 响应人对采购人的答复不满意或者有质疑，可向采购人纪检监察部投诉。</w:t>
      </w:r>
    </w:p>
    <w:p w14:paraId="1D674B84">
      <w:pPr>
        <w:rPr>
          <w:highlight w:val="none"/>
        </w:rPr>
      </w:pPr>
      <w:r>
        <w:rPr>
          <w:rFonts w:hint="eastAsia"/>
          <w:highlight w:val="none"/>
        </w:rPr>
        <w:t>采购质疑邮箱：</w:t>
      </w:r>
      <w:r>
        <w:rPr>
          <w:highlight w:val="none"/>
        </w:rPr>
        <w:t>sx.jcb@ccqtgb.com</w:t>
      </w:r>
    </w:p>
    <w:p w14:paraId="112287FB">
      <w:pPr>
        <w:rPr>
          <w:highlight w:val="none"/>
        </w:rPr>
      </w:pPr>
      <w:r>
        <w:rPr>
          <w:rFonts w:hint="eastAsia"/>
          <w:highlight w:val="none"/>
        </w:rPr>
        <w:t>采购投诉邮箱：</w:t>
      </w:r>
      <w:bookmarkStart w:id="42" w:name="_Hlk74215856"/>
      <w:r>
        <w:rPr>
          <w:rFonts w:hint="eastAsia"/>
          <w:highlight w:val="none"/>
        </w:rPr>
        <w:t>sxyhjjz@</w:t>
      </w:r>
      <w:r>
        <w:rPr>
          <w:highlight w:val="none"/>
        </w:rPr>
        <w:t>ccqtgb</w:t>
      </w:r>
      <w:r>
        <w:rPr>
          <w:rFonts w:hint="eastAsia"/>
          <w:highlight w:val="none"/>
        </w:rPr>
        <w:t>.com</w:t>
      </w:r>
      <w:bookmarkEnd w:id="42"/>
    </w:p>
    <w:p w14:paraId="0364BA5A">
      <w:pPr>
        <w:pStyle w:val="3"/>
        <w:rPr>
          <w:highlight w:val="none"/>
        </w:rPr>
      </w:pPr>
      <w:bookmarkStart w:id="43" w:name="_Toc89675157"/>
      <w:bookmarkStart w:id="44" w:name="_Toc15059431"/>
      <w:bookmarkStart w:id="45" w:name="_Toc440628924"/>
      <w:bookmarkStart w:id="46" w:name="_Toc275199618"/>
      <w:bookmarkStart w:id="47" w:name="_Toc11439"/>
      <w:r>
        <w:rPr>
          <w:rFonts w:hint="eastAsia"/>
          <w:highlight w:val="none"/>
        </w:rPr>
        <w:t>11. 无效响应条款</w:t>
      </w:r>
      <w:bookmarkEnd w:id="43"/>
      <w:bookmarkEnd w:id="44"/>
      <w:bookmarkEnd w:id="45"/>
      <w:bookmarkEnd w:id="46"/>
      <w:bookmarkEnd w:id="47"/>
    </w:p>
    <w:p w14:paraId="0CD94BB4">
      <w:pPr>
        <w:rPr>
          <w:highlight w:val="none"/>
        </w:rPr>
      </w:pPr>
      <w:r>
        <w:rPr>
          <w:rFonts w:hint="eastAsia"/>
          <w:highlight w:val="none"/>
        </w:rPr>
        <w:t>响应人或其响应文件出现下列情况之一者，应为无效响应：</w:t>
      </w:r>
    </w:p>
    <w:p w14:paraId="1A688505">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4F22DFE0">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635737FB">
      <w:pPr>
        <w:rPr>
          <w:highlight w:val="none"/>
        </w:rPr>
      </w:pPr>
      <w:r>
        <w:rPr>
          <w:rFonts w:hint="eastAsia"/>
          <w:highlight w:val="none"/>
        </w:rPr>
        <w:t>11.3 响应人超出其营业执照或事业单位法人证书上经营范围（业务范围）响应的。</w:t>
      </w:r>
    </w:p>
    <w:p w14:paraId="3FB35569">
      <w:pPr>
        <w:rPr>
          <w:highlight w:val="none"/>
        </w:rPr>
      </w:pPr>
      <w:r>
        <w:rPr>
          <w:rFonts w:hint="eastAsia"/>
          <w:highlight w:val="none"/>
        </w:rPr>
        <w:t>11.4 单位负责人为同一人或者存在直接控股、管理关系的不同响应人，不得参加同一合同项下的采购活动。</w:t>
      </w:r>
    </w:p>
    <w:p w14:paraId="741C7267">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1A80A19E">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0DBE056A">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230A2D10">
      <w:pPr>
        <w:rPr>
          <w:highlight w:val="none"/>
        </w:rPr>
      </w:pPr>
      <w:r>
        <w:rPr>
          <w:rFonts w:hint="eastAsia"/>
          <w:highlight w:val="none"/>
        </w:rPr>
        <w:t>11.8 响应报价</w:t>
      </w:r>
      <w:r>
        <w:rPr>
          <w:highlight w:val="none"/>
        </w:rPr>
        <w:t>超出最高限价的</w:t>
      </w:r>
      <w:r>
        <w:rPr>
          <w:rFonts w:hint="eastAsia"/>
          <w:highlight w:val="none"/>
        </w:rPr>
        <w:t>。</w:t>
      </w:r>
    </w:p>
    <w:p w14:paraId="3C4BD223">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66C898BB">
      <w:pPr>
        <w:rPr>
          <w:highlight w:val="none"/>
        </w:rPr>
      </w:pPr>
      <w:r>
        <w:rPr>
          <w:rFonts w:hint="eastAsia"/>
          <w:highlight w:val="none"/>
        </w:rPr>
        <w:t>11.10 出现影响询比公正的违法、违规行为的。</w:t>
      </w:r>
    </w:p>
    <w:p w14:paraId="0AD44F80">
      <w:pPr>
        <w:rPr>
          <w:highlight w:val="none"/>
        </w:rPr>
      </w:pPr>
      <w:r>
        <w:rPr>
          <w:rFonts w:hint="eastAsia"/>
          <w:highlight w:val="none"/>
        </w:rPr>
        <w:t>11.11 与采购人、评审专家、其他响应人恶意串通。</w:t>
      </w:r>
    </w:p>
    <w:p w14:paraId="0AECC7AE">
      <w:pPr>
        <w:rPr>
          <w:highlight w:val="none"/>
        </w:rPr>
      </w:pPr>
      <w:r>
        <w:rPr>
          <w:rFonts w:hint="eastAsia"/>
          <w:highlight w:val="none"/>
        </w:rPr>
        <w:t>11.12 参与响应的法人发生合并、分立、破产等重大变化后，不再具备询比要求的资格条件的。</w:t>
      </w:r>
    </w:p>
    <w:p w14:paraId="39ABB80F">
      <w:pPr>
        <w:rPr>
          <w:highlight w:val="none"/>
        </w:rPr>
      </w:pPr>
      <w:r>
        <w:rPr>
          <w:rFonts w:hint="eastAsia"/>
          <w:highlight w:val="none"/>
        </w:rPr>
        <w:t>11.13 提供虚假材料谋取成交资格的。</w:t>
      </w:r>
    </w:p>
    <w:p w14:paraId="2D915FE9">
      <w:pPr>
        <w:rPr>
          <w:highlight w:val="none"/>
        </w:rPr>
      </w:pPr>
      <w:r>
        <w:rPr>
          <w:rFonts w:hint="eastAsia"/>
          <w:highlight w:val="none"/>
        </w:rPr>
        <w:t>11.14 响应文件含有采购人不能接受的附件条件的。</w:t>
      </w:r>
    </w:p>
    <w:p w14:paraId="3CAEB8A4">
      <w:pPr>
        <w:pStyle w:val="3"/>
        <w:rPr>
          <w:highlight w:val="none"/>
        </w:rPr>
      </w:pPr>
      <w:r>
        <w:rPr>
          <w:rFonts w:hint="eastAsia"/>
          <w:highlight w:val="none"/>
        </w:rPr>
        <w:t>12. 询比失败情形</w:t>
      </w:r>
    </w:p>
    <w:p w14:paraId="4FE597E4">
      <w:pPr>
        <w:outlineLvl w:val="2"/>
        <w:rPr>
          <w:highlight w:val="none"/>
        </w:rPr>
      </w:pPr>
      <w:r>
        <w:rPr>
          <w:rFonts w:hint="eastAsia"/>
          <w:highlight w:val="none"/>
        </w:rPr>
        <w:t>12.1 出现以下情形本次询比失败：</w:t>
      </w:r>
    </w:p>
    <w:p w14:paraId="0D040F7E">
      <w:pPr>
        <w:rPr>
          <w:highlight w:val="none"/>
        </w:rPr>
      </w:pPr>
      <w:r>
        <w:rPr>
          <w:rFonts w:hint="eastAsia"/>
          <w:highlight w:val="none"/>
        </w:rPr>
        <w:t>12.1.1 首次询比的项目，截至响应截止时间，响应人少于3个的。</w:t>
      </w:r>
    </w:p>
    <w:p w14:paraId="0993F5AA">
      <w:pPr>
        <w:rPr>
          <w:highlight w:val="none"/>
        </w:rPr>
      </w:pPr>
      <w:r>
        <w:rPr>
          <w:rFonts w:hint="eastAsia"/>
          <w:highlight w:val="none"/>
        </w:rPr>
        <w:t>12.1.2 经评审委员会评审后否决所有响应的。</w:t>
      </w:r>
    </w:p>
    <w:p w14:paraId="5A590969">
      <w:pPr>
        <w:rPr>
          <w:highlight w:val="none"/>
        </w:rPr>
      </w:pPr>
      <w:r>
        <w:rPr>
          <w:rFonts w:hint="eastAsia"/>
          <w:highlight w:val="none"/>
        </w:rPr>
        <w:t>12.1.3 法律法规规定的其他情形。</w:t>
      </w:r>
    </w:p>
    <w:p w14:paraId="379A05AA">
      <w:pPr>
        <w:outlineLvl w:val="2"/>
        <w:rPr>
          <w:highlight w:val="none"/>
        </w:rPr>
      </w:pPr>
      <w:r>
        <w:rPr>
          <w:rFonts w:hint="eastAsia"/>
          <w:highlight w:val="none"/>
        </w:rPr>
        <w:t>12.2 重新询比和不再询比</w:t>
      </w:r>
    </w:p>
    <w:p w14:paraId="66BCEA5B">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225B1326">
      <w:pPr>
        <w:pStyle w:val="3"/>
        <w:rPr>
          <w:highlight w:val="none"/>
        </w:rPr>
      </w:pPr>
      <w:r>
        <w:rPr>
          <w:rFonts w:hint="eastAsia"/>
          <w:highlight w:val="none"/>
        </w:rPr>
        <w:t>13. 终止</w:t>
      </w:r>
      <w:bookmarkEnd w:id="41"/>
      <w:r>
        <w:rPr>
          <w:rFonts w:hint="eastAsia"/>
          <w:highlight w:val="none"/>
        </w:rPr>
        <w:t>询比</w:t>
      </w:r>
    </w:p>
    <w:p w14:paraId="04E350CF">
      <w:pPr>
        <w:rPr>
          <w:highlight w:val="none"/>
        </w:rPr>
      </w:pPr>
      <w:r>
        <w:rPr>
          <w:rFonts w:hint="eastAsia"/>
          <w:highlight w:val="none"/>
        </w:rPr>
        <w:t>13.1 因情况发生变化或其他原因造成该项目取消的，本次询比自动终止，双方互不承担责任，采购人有息退还响应保证金。</w:t>
      </w:r>
    </w:p>
    <w:p w14:paraId="26DEF409">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3249593F">
      <w:pPr>
        <w:pStyle w:val="3"/>
        <w:rPr>
          <w:highlight w:val="none"/>
        </w:rPr>
      </w:pPr>
      <w:r>
        <w:rPr>
          <w:rFonts w:hint="eastAsia"/>
          <w:highlight w:val="none"/>
        </w:rPr>
        <w:t>14. 参与项目费用</w:t>
      </w:r>
    </w:p>
    <w:p w14:paraId="321D6DC3">
      <w:pPr>
        <w:rPr>
          <w:highlight w:val="none"/>
        </w:rPr>
      </w:pPr>
      <w:r>
        <w:rPr>
          <w:rFonts w:hint="eastAsia"/>
          <w:highlight w:val="none"/>
        </w:rPr>
        <w:t>响应人参与本询比项目时，一切与响应有关的费用均由响应人自理。</w:t>
      </w:r>
    </w:p>
    <w:p w14:paraId="7AD8D6F6">
      <w:pPr>
        <w:rPr>
          <w:highlight w:val="none"/>
        </w:rPr>
      </w:pPr>
      <w:r>
        <w:rPr>
          <w:rFonts w:hint="eastAsia"/>
          <w:highlight w:val="none"/>
        </w:rPr>
        <w:t>本项目平台服务费为</w:t>
      </w:r>
      <w:r>
        <w:rPr>
          <w:rFonts w:hint="eastAsia"/>
          <w:highlight w:val="none"/>
          <w:lang w:val="en-US" w:eastAsia="zh-CN"/>
        </w:rPr>
        <w:t>15000.00</w:t>
      </w:r>
      <w:r>
        <w:rPr>
          <w:rFonts w:hint="eastAsia"/>
          <w:highlight w:val="none"/>
        </w:rPr>
        <w:t>元，由成交供应商向重庆联合产权交易所集团股份有限公司支付。成交供应商应在领取成交通知书时一次性缴纳，请各响应人综合考虑进行报价。</w:t>
      </w:r>
    </w:p>
    <w:p w14:paraId="7A026F3D">
      <w:pPr>
        <w:rPr>
          <w:highlight w:val="none"/>
        </w:rPr>
      </w:pPr>
      <w:r>
        <w:rPr>
          <w:highlight w:val="none"/>
        </w:rPr>
        <w:br w:type="page"/>
      </w:r>
    </w:p>
    <w:p w14:paraId="7BE58091">
      <w:pPr>
        <w:pStyle w:val="2"/>
        <w:rPr>
          <w:highlight w:val="none"/>
        </w:rPr>
      </w:pPr>
      <w:bookmarkStart w:id="48" w:name="_Toc9602"/>
      <w:bookmarkStart w:id="49" w:name="_Toc30519"/>
      <w:r>
        <w:rPr>
          <w:rFonts w:hint="eastAsia"/>
          <w:highlight w:val="none"/>
        </w:rPr>
        <w:t>第三章 项目要求</w:t>
      </w:r>
      <w:bookmarkEnd w:id="48"/>
      <w:bookmarkEnd w:id="49"/>
    </w:p>
    <w:p w14:paraId="27D39674">
      <w:pPr>
        <w:pStyle w:val="3"/>
        <w:numPr>
          <w:ilvl w:val="0"/>
          <w:numId w:val="1"/>
        </w:numPr>
        <w:rPr>
          <w:highlight w:val="none"/>
        </w:rPr>
      </w:pPr>
      <w:r>
        <w:rPr>
          <w:rFonts w:hint="eastAsia"/>
          <w:highlight w:val="none"/>
        </w:rPr>
        <w:t>总体要求</w:t>
      </w:r>
    </w:p>
    <w:p w14:paraId="76F6DEC5">
      <w:pPr>
        <w:rPr>
          <w:highlight w:val="none"/>
        </w:rPr>
      </w:pPr>
      <w:r>
        <w:rPr>
          <w:highlight w:val="none"/>
        </w:rPr>
        <w:t>服务应满足采购人要求，完成采购人移动APP的金融科技产品认证、备案工作，协助采购人顺利获取金融科技产品认证证书和备案证明，并且完成证书有效期内的年度监督审查服务。</w:t>
      </w:r>
    </w:p>
    <w:p w14:paraId="25DBE188">
      <w:pPr>
        <w:pStyle w:val="3"/>
        <w:numPr>
          <w:ilvl w:val="0"/>
          <w:numId w:val="1"/>
        </w:numPr>
        <w:rPr>
          <w:highlight w:val="none"/>
        </w:rPr>
      </w:pPr>
      <w:r>
        <w:rPr>
          <w:rFonts w:cs="Times New Roman"/>
          <w:kern w:val="0"/>
          <w:highlight w:val="none"/>
        </w:rPr>
        <w:t>服务内容</w:t>
      </w:r>
    </w:p>
    <w:p w14:paraId="277A136B">
      <w:pPr>
        <w:pStyle w:val="4"/>
        <w:rPr>
          <w:rStyle w:val="26"/>
          <w:b w:val="0"/>
          <w:bCs w:val="0"/>
          <w:highlight w:val="none"/>
        </w:rPr>
      </w:pPr>
      <w:r>
        <w:rPr>
          <w:rFonts w:hint="eastAsia"/>
          <w:highlight w:val="none"/>
        </w:rPr>
        <w:t>2</w:t>
      </w:r>
      <w:r>
        <w:rPr>
          <w:highlight w:val="none"/>
        </w:rPr>
        <w:t xml:space="preserve">.1 </w:t>
      </w:r>
      <w:r>
        <w:rPr>
          <w:rFonts w:hint="eastAsia"/>
          <w:highlight w:val="none"/>
        </w:rPr>
        <w:t>服务范围</w:t>
      </w:r>
    </w:p>
    <w:p w14:paraId="76CFD93F">
      <w:pPr>
        <w:rPr>
          <w:highlight w:val="none"/>
        </w:rPr>
      </w:pPr>
      <w:r>
        <w:rPr>
          <w:highlight w:val="none"/>
        </w:rPr>
        <w:t>一是协助采购人完成移动APP的金融科技产品认证、备案工作，顺利获取金融科技产品认证证书和备案证明；二是完成证书有效期内的年度监督审查，维持证书的有效性。</w:t>
      </w:r>
    </w:p>
    <w:p w14:paraId="4AE4E9D5">
      <w:pPr>
        <w:pStyle w:val="4"/>
        <w:rPr>
          <w:highlight w:val="none"/>
        </w:rPr>
      </w:pPr>
      <w:r>
        <w:rPr>
          <w:rFonts w:hint="eastAsia"/>
          <w:highlight w:val="none"/>
        </w:rPr>
        <w:t>2</w:t>
      </w:r>
      <w:r>
        <w:rPr>
          <w:highlight w:val="none"/>
        </w:rPr>
        <w:t xml:space="preserve">.2 </w:t>
      </w:r>
      <w:r>
        <w:rPr>
          <w:rFonts w:hint="eastAsia"/>
          <w:highlight w:val="none"/>
        </w:rPr>
        <w:t>服务时间</w:t>
      </w:r>
    </w:p>
    <w:p w14:paraId="731FF60E">
      <w:pPr>
        <w:rPr>
          <w:rFonts w:hint="eastAsia"/>
          <w:highlight w:val="none"/>
        </w:rPr>
      </w:pPr>
      <w:r>
        <w:rPr>
          <w:rFonts w:hint="eastAsia"/>
          <w:highlight w:val="none"/>
        </w:rPr>
        <w:t>自合同签订之日起，服务期至完成采购人三年内移动APP金融科技产品认证工作，顺利获取认证证书及备案证明，且协助完成采购人三年内认证的移动APP证书有效期内的年度监督审查。</w:t>
      </w:r>
    </w:p>
    <w:p w14:paraId="46A4D904">
      <w:pPr>
        <w:pStyle w:val="3"/>
        <w:numPr>
          <w:ilvl w:val="0"/>
          <w:numId w:val="1"/>
        </w:numPr>
        <w:rPr>
          <w:highlight w:val="none"/>
        </w:rPr>
      </w:pPr>
      <w:r>
        <w:rPr>
          <w:rFonts w:cs="Times New Roman"/>
          <w:kern w:val="0"/>
          <w:highlight w:val="none"/>
        </w:rPr>
        <w:t>实施要求</w:t>
      </w:r>
    </w:p>
    <w:p w14:paraId="57726479">
      <w:pPr>
        <w:rPr>
          <w:highlight w:val="none"/>
        </w:rPr>
      </w:pPr>
      <w:r>
        <w:rPr>
          <w:highlight w:val="none"/>
        </w:rPr>
        <w:t>1</w:t>
      </w:r>
      <w:r>
        <w:rPr>
          <w:rFonts w:hint="eastAsia"/>
          <w:highlight w:val="none"/>
        </w:rPr>
        <w:t>）响应人需按照服务内容和范围，制定详细的实施方案，实施方案中至少应包含实施人员表（需明确项目经理和</w:t>
      </w:r>
      <w:r>
        <w:rPr>
          <w:highlight w:val="none"/>
        </w:rPr>
        <w:t>认证</w:t>
      </w:r>
      <w:r>
        <w:rPr>
          <w:rFonts w:hint="eastAsia"/>
          <w:highlight w:val="none"/>
        </w:rPr>
        <w:t>人员）、项目交付物清单等。</w:t>
      </w:r>
    </w:p>
    <w:p w14:paraId="45DAE3D2">
      <w:pPr>
        <w:rPr>
          <w:highlight w:val="none"/>
        </w:rPr>
      </w:pPr>
      <w:r>
        <w:rPr>
          <w:highlight w:val="none"/>
        </w:rPr>
        <w:t>2</w:t>
      </w:r>
      <w:r>
        <w:rPr>
          <w:rFonts w:hint="eastAsia"/>
          <w:highlight w:val="none"/>
        </w:rPr>
        <w:t>）在本项目实施周期内，如遇到任何可能影响系统安全的事件，需要及时通告采购人，提出相应处理方案，并在采购人认可后方可执行处理方案。</w:t>
      </w:r>
    </w:p>
    <w:p w14:paraId="1BB0FD18">
      <w:pPr>
        <w:rPr>
          <w:highlight w:val="none"/>
        </w:rPr>
      </w:pPr>
      <w:r>
        <w:rPr>
          <w:highlight w:val="none"/>
        </w:rPr>
        <w:t>3</w:t>
      </w:r>
      <w:r>
        <w:rPr>
          <w:rFonts w:hint="eastAsia"/>
          <w:highlight w:val="none"/>
        </w:rPr>
        <w:t>）响应人项目组在作业现场必须严格遵守采购人外包人员行为管理要求和规范。</w:t>
      </w:r>
    </w:p>
    <w:p w14:paraId="602A7B60">
      <w:pPr>
        <w:pStyle w:val="3"/>
        <w:numPr>
          <w:ilvl w:val="0"/>
          <w:numId w:val="1"/>
        </w:numPr>
        <w:rPr>
          <w:highlight w:val="none"/>
        </w:rPr>
      </w:pPr>
      <w:r>
        <w:rPr>
          <w:rFonts w:cs="Times New Roman"/>
          <w:kern w:val="0"/>
          <w:highlight w:val="none"/>
        </w:rPr>
        <w:t>人员要求</w:t>
      </w:r>
    </w:p>
    <w:p w14:paraId="69E50D13">
      <w:pPr>
        <w:rPr>
          <w:highlight w:val="none"/>
        </w:rPr>
      </w:pPr>
      <w:r>
        <w:rPr>
          <w:rFonts w:hint="eastAsia"/>
          <w:highlight w:val="none"/>
        </w:rPr>
        <w:t>响应人项目成员应具备如下资质，采购人有权对项目人员资质进行审核，响应人应提供项目成员的相关资质材料（如劳动合同、参与过相关项目证明材料等）。</w:t>
      </w:r>
    </w:p>
    <w:p w14:paraId="1AA07DD2">
      <w:pPr>
        <w:rPr>
          <w:rFonts w:hint="eastAsia" w:eastAsia="宋体"/>
          <w:highlight w:val="none"/>
          <w:lang w:eastAsia="zh-CN"/>
        </w:rPr>
      </w:pPr>
      <w:r>
        <w:rPr>
          <w:rFonts w:hint="eastAsia"/>
          <w:highlight w:val="none"/>
        </w:rPr>
        <w:t>1）响应人应承诺未征得采购人同意的情况下不得更换项目成员。</w:t>
      </w:r>
      <w:r>
        <w:rPr>
          <w:rFonts w:hint="eastAsia"/>
          <w:highlight w:val="none"/>
          <w:lang w:eastAsia="zh-CN"/>
        </w:rPr>
        <w:t>【</w:t>
      </w:r>
      <w:r>
        <w:rPr>
          <w:rFonts w:hint="eastAsia"/>
          <w:highlight w:val="none"/>
          <w:lang w:val="en-US" w:eastAsia="zh-CN"/>
        </w:rPr>
        <w:t>提供承诺函</w:t>
      </w:r>
      <w:r>
        <w:rPr>
          <w:rFonts w:hint="eastAsia"/>
          <w:highlight w:val="none"/>
          <w:lang w:eastAsia="zh-CN"/>
        </w:rPr>
        <w:t>】</w:t>
      </w:r>
    </w:p>
    <w:p w14:paraId="713CC80A">
      <w:pPr>
        <w:jc w:val="both"/>
        <w:rPr>
          <w:rFonts w:hint="eastAsia" w:ascii="Times New Roman" w:hAnsi="Times New Roman" w:eastAsia="宋体"/>
          <w:color w:val="auto"/>
          <w:highlight w:val="none"/>
          <w:lang w:eastAsia="zh-CN"/>
        </w:rPr>
      </w:pPr>
      <w:r>
        <w:rPr>
          <w:rFonts w:hint="eastAsia"/>
          <w:highlight w:val="none"/>
        </w:rPr>
        <w:t>2）</w:t>
      </w:r>
      <w:r>
        <w:rPr>
          <w:highlight w:val="none"/>
        </w:rPr>
        <w:t>金融科技产品认证人员</w:t>
      </w:r>
      <w:r>
        <w:rPr>
          <w:rFonts w:hint="eastAsia"/>
          <w:highlight w:val="none"/>
        </w:rPr>
        <w:t>必须为响应人单位员工，</w:t>
      </w:r>
      <w:r>
        <w:rPr>
          <w:highlight w:val="none"/>
        </w:rPr>
        <w:t>金融科技产品认证人员</w:t>
      </w:r>
      <w:r>
        <w:rPr>
          <w:rFonts w:ascii="Times New Roman" w:hAnsi="Times New Roman"/>
          <w:color w:val="auto"/>
          <w:highlight w:val="none"/>
        </w:rPr>
        <w:t>须提供近三个月公司为其缴纳社保的证明材料，不得外包其他单位员工。（</w:t>
      </w:r>
      <w:r>
        <w:rPr>
          <w:highlight w:val="none"/>
        </w:rPr>
        <w:t>金融科技产品认证人员</w:t>
      </w:r>
      <w:r>
        <w:rPr>
          <w:rFonts w:ascii="Times New Roman" w:hAnsi="Times New Roman"/>
          <w:color w:val="auto"/>
          <w:highlight w:val="none"/>
        </w:rPr>
        <w:t>参保单位为</w:t>
      </w:r>
      <w:r>
        <w:rPr>
          <w:rFonts w:hint="eastAsia" w:ascii="Times New Roman" w:hAnsi="Times New Roman"/>
          <w:color w:val="auto"/>
          <w:highlight w:val="none"/>
          <w:lang w:val="en-US" w:eastAsia="zh-CN"/>
        </w:rPr>
        <w:t>响应人</w:t>
      </w:r>
      <w:r>
        <w:rPr>
          <w:rFonts w:ascii="Times New Roman" w:hAnsi="Times New Roman"/>
          <w:color w:val="auto"/>
          <w:highlight w:val="none"/>
        </w:rPr>
        <w:t>或委托第三方公司代缴，均认定有效；</w:t>
      </w:r>
      <w:r>
        <w:rPr>
          <w:highlight w:val="none"/>
        </w:rPr>
        <w:t>金融科技产品认证人员</w:t>
      </w:r>
      <w:r>
        <w:rPr>
          <w:rFonts w:ascii="Times New Roman" w:hAnsi="Times New Roman"/>
          <w:color w:val="auto"/>
          <w:highlight w:val="none"/>
        </w:rPr>
        <w:t>社保委托第三方公司代缴，需提供代缴材料证明。）</w:t>
      </w:r>
      <w:r>
        <w:rPr>
          <w:rFonts w:hint="eastAsia"/>
          <w:highlight w:val="none"/>
          <w:lang w:eastAsia="zh-CN"/>
        </w:rPr>
        <w:t>【</w:t>
      </w:r>
      <w:r>
        <w:rPr>
          <w:rFonts w:hint="eastAsia"/>
          <w:highlight w:val="none"/>
          <w:lang w:val="en-US" w:eastAsia="zh-CN"/>
        </w:rPr>
        <w:t>提供社保缴纳证明及相关材料</w:t>
      </w:r>
      <w:r>
        <w:rPr>
          <w:rFonts w:hint="eastAsia"/>
          <w:highlight w:val="none"/>
          <w:lang w:eastAsia="zh-CN"/>
        </w:rPr>
        <w:t>】</w:t>
      </w:r>
    </w:p>
    <w:p w14:paraId="7317E599">
      <w:pPr>
        <w:rPr>
          <w:rFonts w:hint="eastAsia" w:eastAsia="宋体"/>
          <w:highlight w:val="none"/>
          <w:lang w:eastAsia="zh-CN"/>
        </w:rPr>
      </w:pPr>
      <w:r>
        <w:rPr>
          <w:rFonts w:hint="eastAsia"/>
          <w:highlight w:val="none"/>
        </w:rPr>
        <w:t>3）项目经理须具有</w:t>
      </w:r>
      <w:r>
        <w:rPr>
          <w:highlight w:val="none"/>
        </w:rPr>
        <w:t>2</w:t>
      </w:r>
      <w:r>
        <w:rPr>
          <w:rFonts w:hint="eastAsia"/>
          <w:highlight w:val="none"/>
        </w:rPr>
        <w:t>年及以上相关工作经历，且担任过至少1个</w:t>
      </w:r>
      <w:r>
        <w:rPr>
          <w:highlight w:val="none"/>
        </w:rPr>
        <w:t>相关项目的项目经理。</w:t>
      </w:r>
      <w:r>
        <w:rPr>
          <w:rFonts w:hint="eastAsia"/>
          <w:highlight w:val="none"/>
        </w:rPr>
        <w:t>，同时，采购人将对所提供的人员进行审核，达不到采购人要求的将要求替换。</w:t>
      </w:r>
    </w:p>
    <w:p w14:paraId="41DD839D">
      <w:pPr>
        <w:rPr>
          <w:rFonts w:hint="eastAsia" w:eastAsia="宋体"/>
          <w:highlight w:val="none"/>
          <w:lang w:eastAsia="zh-CN"/>
        </w:rPr>
      </w:pPr>
      <w:r>
        <w:rPr>
          <w:rFonts w:hint="eastAsia"/>
          <w:highlight w:val="none"/>
          <w:lang w:eastAsia="zh-CN"/>
        </w:rPr>
        <w:t>【</w:t>
      </w:r>
      <w:r>
        <w:rPr>
          <w:rFonts w:hint="eastAsia"/>
          <w:highlight w:val="none"/>
          <w:lang w:val="en-US" w:eastAsia="zh-CN"/>
        </w:rPr>
        <w:t>提供项目经理个人简历</w:t>
      </w:r>
      <w:r>
        <w:rPr>
          <w:rFonts w:hint="eastAsia"/>
          <w:highlight w:val="none"/>
          <w:lang w:eastAsia="zh-CN"/>
        </w:rPr>
        <w:t>】</w:t>
      </w:r>
    </w:p>
    <w:p w14:paraId="67859078">
      <w:pPr>
        <w:outlineLvl w:val="2"/>
        <w:rPr>
          <w:highlight w:val="none"/>
        </w:rPr>
      </w:pPr>
      <w:r>
        <w:rPr>
          <w:rFonts w:hint="eastAsia"/>
          <w:highlight w:val="none"/>
          <w:lang w:val="en-US" w:eastAsia="zh-CN"/>
        </w:rPr>
        <w:t>4</w:t>
      </w:r>
      <w:r>
        <w:rPr>
          <w:rFonts w:hint="eastAsia"/>
          <w:highlight w:val="none"/>
        </w:rPr>
        <w:t>）项目组成员若有违约违规行为将由响应人承担责任。</w:t>
      </w:r>
    </w:p>
    <w:p w14:paraId="738C733C">
      <w:pPr>
        <w:pStyle w:val="3"/>
        <w:numPr>
          <w:ilvl w:val="0"/>
          <w:numId w:val="1"/>
        </w:numPr>
        <w:rPr>
          <w:highlight w:val="none"/>
        </w:rPr>
      </w:pPr>
      <w:bookmarkStart w:id="50" w:name="_Toc89675144"/>
      <w:bookmarkStart w:id="51" w:name="_Toc15059418"/>
      <w:r>
        <w:rPr>
          <w:rFonts w:hint="eastAsia"/>
          <w:highlight w:val="none"/>
        </w:rPr>
        <w:t>交付周期、地点</w:t>
      </w:r>
      <w:bookmarkEnd w:id="50"/>
      <w:bookmarkEnd w:id="51"/>
    </w:p>
    <w:p w14:paraId="7D676F49">
      <w:pPr>
        <w:pStyle w:val="4"/>
        <w:rPr>
          <w:rStyle w:val="26"/>
          <w:b w:val="0"/>
          <w:bCs w:val="0"/>
          <w:highlight w:val="none"/>
        </w:rPr>
      </w:pPr>
      <w:bookmarkStart w:id="52" w:name="_Toc89675146"/>
      <w:bookmarkStart w:id="53" w:name="_Toc15059420"/>
      <w:bookmarkStart w:id="54" w:name="_Toc440628915"/>
      <w:bookmarkStart w:id="55" w:name="_Toc387826347"/>
      <w:bookmarkStart w:id="56" w:name="_Toc432254881"/>
      <w:bookmarkStart w:id="57" w:name="_Toc1125"/>
      <w:r>
        <w:rPr>
          <w:highlight w:val="none"/>
        </w:rPr>
        <w:t>5</w:t>
      </w:r>
      <w:r>
        <w:rPr>
          <w:rFonts w:hint="eastAsia"/>
          <w:highlight w:val="none"/>
        </w:rPr>
        <w:t xml:space="preserve">.1 </w:t>
      </w:r>
      <w:r>
        <w:rPr>
          <w:highlight w:val="none"/>
        </w:rPr>
        <w:t>服务</w:t>
      </w:r>
      <w:r>
        <w:rPr>
          <w:rFonts w:hint="eastAsia"/>
          <w:highlight w:val="none"/>
        </w:rPr>
        <w:t>时间</w:t>
      </w:r>
    </w:p>
    <w:p w14:paraId="47C912D2">
      <w:pPr>
        <w:rPr>
          <w:rFonts w:hint="eastAsia"/>
          <w:highlight w:val="none"/>
        </w:rPr>
      </w:pPr>
      <w:r>
        <w:rPr>
          <w:rFonts w:hint="eastAsia"/>
          <w:highlight w:val="none"/>
        </w:rPr>
        <w:t>自合同签订之日起，服务期至完成</w:t>
      </w:r>
      <w:r>
        <w:rPr>
          <w:highlight w:val="none"/>
        </w:rPr>
        <w:t>采购人</w:t>
      </w:r>
      <w:r>
        <w:rPr>
          <w:rFonts w:hint="eastAsia"/>
          <w:highlight w:val="none"/>
        </w:rPr>
        <w:t>三年内移动APP金融科技产品认证工作，顺利获取认证证书及备案证明，且协助</w:t>
      </w:r>
      <w:r>
        <w:rPr>
          <w:highlight w:val="none"/>
        </w:rPr>
        <w:t>采购人</w:t>
      </w:r>
      <w:r>
        <w:rPr>
          <w:rFonts w:hint="eastAsia"/>
          <w:highlight w:val="none"/>
        </w:rPr>
        <w:t>三年内认证的移动APP完成证书有效期内的年度监督审查。</w:t>
      </w:r>
    </w:p>
    <w:p w14:paraId="6F361201">
      <w:pPr>
        <w:pStyle w:val="4"/>
        <w:rPr>
          <w:highlight w:val="none"/>
        </w:rPr>
      </w:pPr>
      <w:r>
        <w:rPr>
          <w:highlight w:val="none"/>
        </w:rPr>
        <w:t>5</w:t>
      </w:r>
      <w:r>
        <w:rPr>
          <w:rFonts w:hint="eastAsia"/>
          <w:highlight w:val="none"/>
        </w:rPr>
        <w:t>.2 实施及交付地点</w:t>
      </w:r>
    </w:p>
    <w:p w14:paraId="208EE1D6">
      <w:pPr>
        <w:rPr>
          <w:highlight w:val="none"/>
        </w:rPr>
      </w:pPr>
      <w:r>
        <w:rPr>
          <w:rFonts w:hint="eastAsia"/>
          <w:highlight w:val="none"/>
        </w:rPr>
        <w:t>重庆市。</w:t>
      </w:r>
    </w:p>
    <w:p w14:paraId="0EC892F4">
      <w:pPr>
        <w:pStyle w:val="3"/>
        <w:numPr>
          <w:ilvl w:val="0"/>
          <w:numId w:val="1"/>
        </w:numPr>
        <w:rPr>
          <w:highlight w:val="none"/>
        </w:rPr>
      </w:pPr>
      <w:r>
        <w:rPr>
          <w:rFonts w:hint="eastAsia"/>
          <w:highlight w:val="none"/>
        </w:rPr>
        <w:t>验收</w:t>
      </w:r>
    </w:p>
    <w:p w14:paraId="1FB7580E">
      <w:pPr>
        <w:rPr>
          <w:highlight w:val="none"/>
        </w:rPr>
      </w:pPr>
      <w:r>
        <w:rPr>
          <w:rFonts w:hint="eastAsia"/>
          <w:highlight w:val="none"/>
        </w:rPr>
        <w:t>成交供应商按合同约定完成各项服务工作，向采购人提交各项交付物并通过采购人审核。</w:t>
      </w:r>
    </w:p>
    <w:p w14:paraId="2B1DB543">
      <w:pPr>
        <w:pStyle w:val="3"/>
        <w:numPr>
          <w:ilvl w:val="0"/>
          <w:numId w:val="1"/>
        </w:numPr>
        <w:rPr>
          <w:highlight w:val="none"/>
        </w:rPr>
      </w:pPr>
      <w:r>
        <w:rPr>
          <w:rFonts w:hint="eastAsia"/>
          <w:highlight w:val="none"/>
        </w:rPr>
        <w:t>服务连续性预案</w:t>
      </w:r>
    </w:p>
    <w:p w14:paraId="7B5FEE6F">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58E46A49">
      <w:pPr>
        <w:pStyle w:val="3"/>
        <w:numPr>
          <w:ilvl w:val="0"/>
          <w:numId w:val="1"/>
        </w:numPr>
        <w:rPr>
          <w:highlight w:val="none"/>
        </w:rPr>
      </w:pPr>
      <w:r>
        <w:rPr>
          <w:rFonts w:hint="eastAsia"/>
          <w:highlight w:val="none"/>
        </w:rPr>
        <w:t>项目实施方案</w:t>
      </w:r>
    </w:p>
    <w:p w14:paraId="5DCE8424">
      <w:pPr>
        <w:rPr>
          <w:highlight w:val="none"/>
        </w:rPr>
      </w:pPr>
      <w:r>
        <w:rPr>
          <w:rFonts w:hint="eastAsia"/>
          <w:highlight w:val="none"/>
        </w:rPr>
        <w:t>在本次询比中，响应人应在响应文件中提供项目实施方案供采购人查看，方案应包含实施人员表（需明确项目经理和</w:t>
      </w:r>
      <w:r>
        <w:rPr>
          <w:highlight w:val="none"/>
        </w:rPr>
        <w:t>认证</w:t>
      </w:r>
      <w:r>
        <w:rPr>
          <w:rFonts w:hint="eastAsia"/>
          <w:highlight w:val="none"/>
        </w:rPr>
        <w:t>人员）、项目交付物清单等。【提供项目实施方案】</w:t>
      </w:r>
    </w:p>
    <w:bookmarkEnd w:id="52"/>
    <w:bookmarkEnd w:id="53"/>
    <w:p w14:paraId="166E5610">
      <w:pPr>
        <w:pStyle w:val="3"/>
        <w:numPr>
          <w:ilvl w:val="0"/>
          <w:numId w:val="1"/>
        </w:numPr>
        <w:rPr>
          <w:highlight w:val="none"/>
        </w:rPr>
      </w:pPr>
      <w:bookmarkStart w:id="58" w:name="_Toc15059422"/>
      <w:bookmarkStart w:id="59" w:name="_Toc89675148"/>
      <w:r>
        <w:rPr>
          <w:rFonts w:hint="eastAsia"/>
          <w:highlight w:val="none"/>
        </w:rPr>
        <w:t>付款方式</w:t>
      </w:r>
      <w:bookmarkEnd w:id="58"/>
      <w:bookmarkEnd w:id="59"/>
    </w:p>
    <w:p w14:paraId="30B45338">
      <w:pPr>
        <w:rPr>
          <w:rFonts w:hint="eastAsia"/>
          <w:highlight w:val="none"/>
        </w:rPr>
      </w:pPr>
      <w:r>
        <w:rPr>
          <w:rFonts w:hint="eastAsia"/>
          <w:highlight w:val="none"/>
        </w:rPr>
        <w:t>本项目实施款项采用分期付款。</w:t>
      </w:r>
    </w:p>
    <w:p w14:paraId="43B64EA6">
      <w:pPr>
        <w:rPr>
          <w:rFonts w:hint="eastAsia"/>
          <w:highlight w:val="none"/>
        </w:rPr>
      </w:pPr>
      <w:r>
        <w:rPr>
          <w:rFonts w:hint="eastAsia"/>
          <w:highlight w:val="none"/>
        </w:rPr>
        <w:t xml:space="preserve">9.1 </w:t>
      </w:r>
      <w:r>
        <w:rPr>
          <w:highlight w:val="none"/>
        </w:rPr>
        <w:t>成交供应商</w:t>
      </w:r>
      <w:r>
        <w:rPr>
          <w:rFonts w:hint="eastAsia"/>
          <w:highlight w:val="none"/>
        </w:rPr>
        <w:t>协助</w:t>
      </w:r>
      <w:r>
        <w:rPr>
          <w:highlight w:val="none"/>
        </w:rPr>
        <w:t>采购人</w:t>
      </w:r>
      <w:r>
        <w:rPr>
          <w:rFonts w:hint="eastAsia"/>
          <w:highlight w:val="none"/>
        </w:rPr>
        <w:t>每完成一个移动APP单版本的金融科技产品认证和备案工作，并提供认证证书和备案通过证明后30个工作日内，</w:t>
      </w:r>
      <w:r>
        <w:rPr>
          <w:highlight w:val="none"/>
        </w:rPr>
        <w:t>成交供应商</w:t>
      </w:r>
      <w:r>
        <w:rPr>
          <w:rFonts w:hint="eastAsia"/>
          <w:highlight w:val="none"/>
        </w:rPr>
        <w:t>向</w:t>
      </w:r>
      <w:r>
        <w:rPr>
          <w:highlight w:val="none"/>
        </w:rPr>
        <w:t>采购人</w:t>
      </w:r>
      <w:r>
        <w:rPr>
          <w:rFonts w:hint="eastAsia"/>
          <w:highlight w:val="none"/>
        </w:rPr>
        <w:t>提供合法足额的增值税专用发票，</w:t>
      </w:r>
      <w:r>
        <w:rPr>
          <w:highlight w:val="none"/>
        </w:rPr>
        <w:t>采购人</w:t>
      </w:r>
      <w:r>
        <w:rPr>
          <w:rFonts w:hint="eastAsia"/>
          <w:highlight w:val="none"/>
        </w:rPr>
        <w:t>支付每个移动APP单版本服务费用的40%。</w:t>
      </w:r>
    </w:p>
    <w:p w14:paraId="7399D506">
      <w:pPr>
        <w:rPr>
          <w:rFonts w:hint="eastAsia"/>
          <w:highlight w:val="none"/>
        </w:rPr>
      </w:pPr>
      <w:r>
        <w:rPr>
          <w:rFonts w:hint="eastAsia"/>
          <w:highlight w:val="none"/>
        </w:rPr>
        <w:t xml:space="preserve">9.2 </w:t>
      </w:r>
      <w:r>
        <w:rPr>
          <w:highlight w:val="none"/>
        </w:rPr>
        <w:t>成交供应商</w:t>
      </w:r>
      <w:r>
        <w:rPr>
          <w:rFonts w:hint="eastAsia"/>
          <w:highlight w:val="none"/>
        </w:rPr>
        <w:t>协助</w:t>
      </w:r>
      <w:r>
        <w:rPr>
          <w:highlight w:val="none"/>
        </w:rPr>
        <w:t>采购人</w:t>
      </w:r>
      <w:r>
        <w:rPr>
          <w:rFonts w:hint="eastAsia"/>
          <w:highlight w:val="none"/>
        </w:rPr>
        <w:t>每完成一个移动APP单版本的金融科技产品认证第一次年度监督审查工作，并提供认证证书和备案通过证明后30个工作日内，</w:t>
      </w:r>
      <w:r>
        <w:rPr>
          <w:highlight w:val="none"/>
        </w:rPr>
        <w:t>成交供应商</w:t>
      </w:r>
      <w:r>
        <w:rPr>
          <w:rFonts w:hint="eastAsia"/>
          <w:highlight w:val="none"/>
        </w:rPr>
        <w:t>向</w:t>
      </w:r>
      <w:r>
        <w:rPr>
          <w:highlight w:val="none"/>
        </w:rPr>
        <w:t>采购人</w:t>
      </w:r>
      <w:r>
        <w:rPr>
          <w:rFonts w:hint="eastAsia"/>
          <w:highlight w:val="none"/>
        </w:rPr>
        <w:t>提供合法足额的增值税专用发票，</w:t>
      </w:r>
      <w:r>
        <w:rPr>
          <w:highlight w:val="none"/>
        </w:rPr>
        <w:t>采购人</w:t>
      </w:r>
      <w:r>
        <w:rPr>
          <w:rFonts w:hint="eastAsia"/>
          <w:highlight w:val="none"/>
        </w:rPr>
        <w:t>支付每个移动APP单版本服务费用的30%。</w:t>
      </w:r>
    </w:p>
    <w:p w14:paraId="005BC8B1">
      <w:pPr>
        <w:rPr>
          <w:highlight w:val="none"/>
        </w:rPr>
      </w:pPr>
      <w:r>
        <w:rPr>
          <w:rFonts w:hint="eastAsia"/>
          <w:highlight w:val="none"/>
        </w:rPr>
        <w:t xml:space="preserve">9.3 </w:t>
      </w:r>
      <w:r>
        <w:rPr>
          <w:highlight w:val="none"/>
        </w:rPr>
        <w:t>成交供应商</w:t>
      </w:r>
      <w:r>
        <w:rPr>
          <w:rFonts w:hint="eastAsia"/>
          <w:highlight w:val="none"/>
        </w:rPr>
        <w:t>协助</w:t>
      </w:r>
      <w:r>
        <w:rPr>
          <w:highlight w:val="none"/>
        </w:rPr>
        <w:t>采购人</w:t>
      </w:r>
      <w:r>
        <w:rPr>
          <w:rFonts w:hint="eastAsia"/>
          <w:highlight w:val="none"/>
        </w:rPr>
        <w:t>每完成一个移动APP单版本的金融科技产品认证第二次年度监督审查工作，并提供认证证书和备案通过证明后30个工作日内，</w:t>
      </w:r>
      <w:r>
        <w:rPr>
          <w:highlight w:val="none"/>
        </w:rPr>
        <w:t>成交供应商</w:t>
      </w:r>
      <w:r>
        <w:rPr>
          <w:rFonts w:hint="eastAsia"/>
          <w:highlight w:val="none"/>
        </w:rPr>
        <w:t>向</w:t>
      </w:r>
      <w:r>
        <w:rPr>
          <w:highlight w:val="none"/>
        </w:rPr>
        <w:t>采购人</w:t>
      </w:r>
      <w:r>
        <w:rPr>
          <w:rFonts w:hint="eastAsia"/>
          <w:highlight w:val="none"/>
        </w:rPr>
        <w:t>提供合法足额的增值税专用发票，</w:t>
      </w:r>
      <w:r>
        <w:rPr>
          <w:highlight w:val="none"/>
        </w:rPr>
        <w:t>采购人</w:t>
      </w:r>
      <w:r>
        <w:rPr>
          <w:rFonts w:hint="eastAsia"/>
          <w:highlight w:val="none"/>
        </w:rPr>
        <w:t>支付每个移动APP单版本服务费用的30%。否则按《服务水平协议》进行相应金额扣除。</w:t>
      </w:r>
    </w:p>
    <w:p w14:paraId="6839247A">
      <w:pPr>
        <w:pStyle w:val="3"/>
        <w:numPr>
          <w:ilvl w:val="0"/>
          <w:numId w:val="1"/>
        </w:numPr>
        <w:rPr>
          <w:highlight w:val="none"/>
        </w:rPr>
      </w:pPr>
      <w:bookmarkStart w:id="60" w:name="_Toc15059424"/>
      <w:bookmarkStart w:id="61" w:name="_Toc89675150"/>
      <w:r>
        <w:rPr>
          <w:rFonts w:hint="eastAsia"/>
          <w:highlight w:val="none"/>
        </w:rPr>
        <w:t>保密条款</w:t>
      </w:r>
      <w:bookmarkEnd w:id="54"/>
      <w:bookmarkEnd w:id="55"/>
      <w:bookmarkEnd w:id="56"/>
      <w:bookmarkEnd w:id="57"/>
      <w:bookmarkEnd w:id="60"/>
      <w:bookmarkEnd w:id="61"/>
    </w:p>
    <w:p w14:paraId="7055807B">
      <w:pPr>
        <w:pStyle w:val="4"/>
        <w:rPr>
          <w:highlight w:val="none"/>
        </w:rPr>
      </w:pPr>
      <w:r>
        <w:rPr>
          <w:rFonts w:hint="eastAsia"/>
          <w:highlight w:val="none"/>
        </w:rPr>
        <w:t>1</w:t>
      </w:r>
      <w:r>
        <w:rPr>
          <w:highlight w:val="none"/>
        </w:rPr>
        <w:t>0</w:t>
      </w:r>
      <w:r>
        <w:rPr>
          <w:rFonts w:hint="eastAsia"/>
          <w:highlight w:val="none"/>
        </w:rPr>
        <w:t>.1 保密范围</w:t>
      </w:r>
    </w:p>
    <w:p w14:paraId="12966202">
      <w:pPr>
        <w:rPr>
          <w:highlight w:val="none"/>
        </w:rPr>
      </w:pPr>
      <w:r>
        <w:rPr>
          <w:rFonts w:hint="eastAsia"/>
          <w:highlight w:val="none"/>
        </w:rPr>
        <w:t>成交供应商在实施过程中接触到的采购人知识产权、经营信息等。</w:t>
      </w:r>
    </w:p>
    <w:p w14:paraId="6501D0B0">
      <w:pPr>
        <w:pStyle w:val="4"/>
        <w:rPr>
          <w:highlight w:val="none"/>
        </w:rPr>
      </w:pPr>
      <w:r>
        <w:rPr>
          <w:highlight w:val="none"/>
        </w:rPr>
        <w:t>10</w:t>
      </w:r>
      <w:r>
        <w:rPr>
          <w:rFonts w:hint="eastAsia"/>
          <w:highlight w:val="none"/>
        </w:rPr>
        <w:t>.2 保密责任</w:t>
      </w:r>
    </w:p>
    <w:p w14:paraId="47D4D021">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123FBCE4">
      <w:pPr>
        <w:pStyle w:val="3"/>
        <w:numPr>
          <w:ilvl w:val="0"/>
          <w:numId w:val="1"/>
        </w:numPr>
        <w:rPr>
          <w:highlight w:val="none"/>
        </w:rPr>
      </w:pPr>
      <w:r>
        <w:rPr>
          <w:rFonts w:hint="eastAsia"/>
          <w:highlight w:val="none"/>
        </w:rPr>
        <w:t>报价要求</w:t>
      </w:r>
    </w:p>
    <w:p w14:paraId="62A66B25">
      <w:pPr>
        <w:rPr>
          <w:highlight w:val="none"/>
        </w:rPr>
      </w:pPr>
      <w:r>
        <w:rPr>
          <w:rFonts w:hint="eastAsia"/>
          <w:highlight w:val="none"/>
        </w:rPr>
        <w:t>响应人应严格按照《响应文件格式》的“报价一览表”的格式认真填写。</w:t>
      </w:r>
    </w:p>
    <w:p w14:paraId="3745FDBE">
      <w:pPr>
        <w:pStyle w:val="3"/>
        <w:numPr>
          <w:ilvl w:val="0"/>
          <w:numId w:val="1"/>
        </w:numPr>
        <w:rPr>
          <w:highlight w:val="none"/>
        </w:rPr>
      </w:pPr>
      <w:bookmarkStart w:id="62" w:name="_Toc89675152"/>
      <w:bookmarkStart w:id="63" w:name="_Toc15059426"/>
      <w:r>
        <w:rPr>
          <w:rFonts w:hint="eastAsia"/>
          <w:highlight w:val="none"/>
        </w:rPr>
        <w:t>知识产权</w:t>
      </w:r>
      <w:bookmarkEnd w:id="62"/>
      <w:bookmarkEnd w:id="63"/>
    </w:p>
    <w:p w14:paraId="6E758BC2">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75B97E3B">
      <w:pPr>
        <w:rPr>
          <w:highlight w:val="none"/>
        </w:rPr>
      </w:pPr>
      <w:r>
        <w:rPr>
          <w:rFonts w:hint="eastAsia"/>
          <w:highlight w:val="none"/>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3D0DB58B">
      <w:pPr>
        <w:pStyle w:val="3"/>
        <w:numPr>
          <w:ilvl w:val="0"/>
          <w:numId w:val="1"/>
        </w:numPr>
        <w:rPr>
          <w:highlight w:val="none"/>
        </w:rPr>
      </w:pPr>
      <w:bookmarkStart w:id="64" w:name="_Toc89675153"/>
      <w:bookmarkStart w:id="65" w:name="_Toc15059427"/>
      <w:r>
        <w:rPr>
          <w:rFonts w:hint="eastAsia"/>
          <w:highlight w:val="none"/>
        </w:rPr>
        <w:t>其他</w:t>
      </w:r>
      <w:bookmarkEnd w:id="64"/>
      <w:bookmarkEnd w:id="65"/>
    </w:p>
    <w:p w14:paraId="42059A0E">
      <w:pPr>
        <w:spacing w:line="600" w:lineRule="exact"/>
        <w:rPr>
          <w:highlight w:val="none"/>
        </w:rPr>
      </w:pPr>
      <w:r>
        <w:rPr>
          <w:rFonts w:hint="eastAsia"/>
          <w:highlight w:val="none"/>
        </w:rPr>
        <w:t>1）响应人必须在响应承诺函中对本章内容做出整体性响应和承诺，承诺内容必须达到本章及询比文件其他条款的要求。</w:t>
      </w:r>
    </w:p>
    <w:p w14:paraId="36ECCBB5">
      <w:pPr>
        <w:spacing w:line="600" w:lineRule="exact"/>
        <w:rPr>
          <w:highlight w:val="none"/>
        </w:rPr>
      </w:pPr>
      <w:r>
        <w:rPr>
          <w:rFonts w:hint="eastAsia"/>
          <w:highlight w:val="none"/>
        </w:rPr>
        <w:t>2）响应人应根据本章内容和要求，提供对应资料，无遗漏。</w:t>
      </w:r>
    </w:p>
    <w:p w14:paraId="3FAD0E39">
      <w:pPr>
        <w:spacing w:line="600" w:lineRule="exact"/>
        <w:rPr>
          <w:highlight w:val="none"/>
        </w:rPr>
      </w:pPr>
      <w:r>
        <w:rPr>
          <w:rFonts w:hint="eastAsia"/>
          <w:highlight w:val="none"/>
        </w:rPr>
        <w:t>3）其他未尽事宜由供需双方在合同中详细约定。</w:t>
      </w:r>
    </w:p>
    <w:p w14:paraId="5F9805F1">
      <w:pPr>
        <w:rPr>
          <w:highlight w:val="none"/>
        </w:rPr>
      </w:pPr>
    </w:p>
    <w:p w14:paraId="7499D333">
      <w:pPr>
        <w:rPr>
          <w:highlight w:val="none"/>
        </w:rPr>
      </w:pPr>
      <w:r>
        <w:rPr>
          <w:rFonts w:hint="eastAsia"/>
          <w:highlight w:val="none"/>
        </w:rPr>
        <w:br w:type="page"/>
      </w:r>
    </w:p>
    <w:p w14:paraId="613D7AB0">
      <w:pPr>
        <w:pStyle w:val="2"/>
        <w:rPr>
          <w:highlight w:val="none"/>
        </w:rPr>
      </w:pPr>
      <w:bookmarkStart w:id="66" w:name="_Toc15055"/>
      <w:bookmarkStart w:id="67" w:name="_Toc21427"/>
      <w:bookmarkStart w:id="68" w:name="_Toc29189"/>
      <w:r>
        <w:rPr>
          <w:rFonts w:hint="eastAsia"/>
          <w:highlight w:val="none"/>
        </w:rPr>
        <w:t>第四章 评审办法（经评审的最低价法）</w:t>
      </w:r>
      <w:bookmarkEnd w:id="66"/>
      <w:bookmarkEnd w:id="67"/>
    </w:p>
    <w:p w14:paraId="4C62E567">
      <w:pPr>
        <w:pStyle w:val="3"/>
        <w:rPr>
          <w:highlight w:val="none"/>
        </w:rPr>
      </w:pPr>
      <w:r>
        <w:rPr>
          <w:rFonts w:hint="eastAsia"/>
          <w:highlight w:val="none"/>
        </w:rPr>
        <w:t>评审办法前附表</w:t>
      </w:r>
    </w:p>
    <w:p w14:paraId="71341F7E">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0644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3514B5C">
            <w:pPr>
              <w:pStyle w:val="44"/>
              <w:rPr>
                <w:highlight w:val="none"/>
              </w:rPr>
            </w:pPr>
            <w:r>
              <w:rPr>
                <w:rFonts w:hint="eastAsia"/>
                <w:highlight w:val="none"/>
              </w:rPr>
              <w:t>条款号</w:t>
            </w:r>
          </w:p>
        </w:tc>
        <w:tc>
          <w:tcPr>
            <w:tcW w:w="1253" w:type="dxa"/>
            <w:vAlign w:val="center"/>
          </w:tcPr>
          <w:p w14:paraId="45DEA6FA">
            <w:pPr>
              <w:pStyle w:val="44"/>
              <w:rPr>
                <w:highlight w:val="none"/>
              </w:rPr>
            </w:pPr>
            <w:r>
              <w:rPr>
                <w:rFonts w:hint="eastAsia"/>
                <w:highlight w:val="none"/>
              </w:rPr>
              <w:t>评审因素</w:t>
            </w:r>
          </w:p>
        </w:tc>
        <w:tc>
          <w:tcPr>
            <w:tcW w:w="7229" w:type="dxa"/>
            <w:gridSpan w:val="2"/>
            <w:vAlign w:val="center"/>
          </w:tcPr>
          <w:p w14:paraId="1C0F0867">
            <w:pPr>
              <w:pStyle w:val="44"/>
              <w:rPr>
                <w:highlight w:val="none"/>
              </w:rPr>
            </w:pPr>
            <w:r>
              <w:rPr>
                <w:rFonts w:hint="eastAsia"/>
                <w:highlight w:val="none"/>
              </w:rPr>
              <w:t>评审标准</w:t>
            </w:r>
          </w:p>
        </w:tc>
      </w:tr>
      <w:tr w14:paraId="6C7E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AD6D726">
            <w:pPr>
              <w:pStyle w:val="43"/>
              <w:rPr>
                <w:highlight w:val="none"/>
              </w:rPr>
            </w:pPr>
            <w:r>
              <w:rPr>
                <w:rFonts w:hint="eastAsia"/>
                <w:highlight w:val="none"/>
              </w:rPr>
              <w:t>1</w:t>
            </w:r>
          </w:p>
        </w:tc>
        <w:tc>
          <w:tcPr>
            <w:tcW w:w="1253" w:type="dxa"/>
            <w:tcBorders>
              <w:left w:val="single" w:color="auto" w:sz="4" w:space="0"/>
            </w:tcBorders>
            <w:vAlign w:val="center"/>
          </w:tcPr>
          <w:p w14:paraId="78A9E889">
            <w:pPr>
              <w:pStyle w:val="43"/>
              <w:rPr>
                <w:highlight w:val="none"/>
              </w:rPr>
            </w:pPr>
            <w:r>
              <w:rPr>
                <w:rFonts w:hint="eastAsia"/>
                <w:highlight w:val="none"/>
              </w:rPr>
              <w:t>评审方法</w:t>
            </w:r>
          </w:p>
        </w:tc>
        <w:tc>
          <w:tcPr>
            <w:tcW w:w="7229" w:type="dxa"/>
            <w:gridSpan w:val="2"/>
            <w:tcBorders>
              <w:left w:val="single" w:color="auto" w:sz="4" w:space="0"/>
            </w:tcBorders>
            <w:vAlign w:val="center"/>
          </w:tcPr>
          <w:p w14:paraId="12AE3BCD">
            <w:pPr>
              <w:pStyle w:val="43"/>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条进行报价排序，符合性审查合格的响应人中按报价由低到高推荐1-3名成交候选人。若出现响应人响应报价相同的，由评审委员会按照</w:t>
            </w:r>
            <w:r>
              <w:rPr>
                <w:highlight w:val="none"/>
              </w:rPr>
              <w:t>服务案例最多的优先</w:t>
            </w:r>
            <w:r>
              <w:rPr>
                <w:rFonts w:hint="eastAsia"/>
                <w:highlight w:val="none"/>
              </w:rPr>
              <w:t>原则排序。</w:t>
            </w:r>
          </w:p>
        </w:tc>
      </w:tr>
      <w:tr w14:paraId="436C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CCEB153">
            <w:pPr>
              <w:pStyle w:val="43"/>
              <w:rPr>
                <w:highlight w:val="none"/>
              </w:rPr>
            </w:pPr>
            <w:r>
              <w:rPr>
                <w:rFonts w:hint="eastAsia"/>
                <w:highlight w:val="none"/>
              </w:rPr>
              <w:t>2.1</w:t>
            </w:r>
          </w:p>
        </w:tc>
        <w:tc>
          <w:tcPr>
            <w:tcW w:w="1253" w:type="dxa"/>
            <w:tcBorders>
              <w:left w:val="single" w:color="auto" w:sz="4" w:space="0"/>
            </w:tcBorders>
            <w:vAlign w:val="center"/>
          </w:tcPr>
          <w:p w14:paraId="7DC51EDC">
            <w:pPr>
              <w:pStyle w:val="43"/>
              <w:rPr>
                <w:highlight w:val="none"/>
              </w:rPr>
            </w:pPr>
            <w:r>
              <w:rPr>
                <w:rFonts w:hint="eastAsia"/>
                <w:highlight w:val="none"/>
              </w:rPr>
              <w:t>符合性审查标准</w:t>
            </w:r>
          </w:p>
        </w:tc>
        <w:tc>
          <w:tcPr>
            <w:tcW w:w="7229" w:type="dxa"/>
            <w:gridSpan w:val="2"/>
            <w:tcBorders>
              <w:left w:val="single" w:color="auto" w:sz="4" w:space="0"/>
            </w:tcBorders>
            <w:vAlign w:val="center"/>
          </w:tcPr>
          <w:p w14:paraId="5CBEB9AD">
            <w:pPr>
              <w:pStyle w:val="43"/>
              <w:rPr>
                <w:highlight w:val="none"/>
              </w:rPr>
            </w:pPr>
            <w:r>
              <w:rPr>
                <w:rFonts w:hint="eastAsia"/>
                <w:highlight w:val="none"/>
              </w:rPr>
              <w:t>所有响应人进行符合性审查。符合性审查内容：资格评审、形式评审、响应性评审。</w:t>
            </w:r>
          </w:p>
        </w:tc>
      </w:tr>
      <w:tr w14:paraId="7C1B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21D64AC">
            <w:pPr>
              <w:pStyle w:val="43"/>
              <w:rPr>
                <w:highlight w:val="none"/>
              </w:rPr>
            </w:pPr>
            <w:r>
              <w:rPr>
                <w:rFonts w:hint="eastAsia"/>
                <w:highlight w:val="none"/>
              </w:rPr>
              <w:t>2.2</w:t>
            </w:r>
          </w:p>
        </w:tc>
        <w:tc>
          <w:tcPr>
            <w:tcW w:w="1253" w:type="dxa"/>
            <w:tcBorders>
              <w:left w:val="single" w:color="auto" w:sz="4" w:space="0"/>
            </w:tcBorders>
            <w:vAlign w:val="center"/>
          </w:tcPr>
          <w:p w14:paraId="2C597A3C">
            <w:pPr>
              <w:pStyle w:val="43"/>
              <w:rPr>
                <w:highlight w:val="none"/>
              </w:rPr>
            </w:pPr>
            <w:r>
              <w:rPr>
                <w:rFonts w:hint="eastAsia"/>
                <w:highlight w:val="none"/>
              </w:rPr>
              <w:t>报价排序</w:t>
            </w:r>
          </w:p>
        </w:tc>
        <w:tc>
          <w:tcPr>
            <w:tcW w:w="7229" w:type="dxa"/>
            <w:gridSpan w:val="2"/>
            <w:tcBorders>
              <w:left w:val="single" w:color="auto" w:sz="4" w:space="0"/>
            </w:tcBorders>
            <w:vAlign w:val="center"/>
          </w:tcPr>
          <w:p w14:paraId="12726386">
            <w:pPr>
              <w:pStyle w:val="43"/>
              <w:rPr>
                <w:highlight w:val="none"/>
              </w:rPr>
            </w:pPr>
            <w:r>
              <w:rPr>
                <w:rFonts w:hint="eastAsia"/>
                <w:highlight w:val="none"/>
              </w:rPr>
              <w:t>对报价不高于最高限价的所有响应人的响应文件，符合性审查合格的按照含税报价</w:t>
            </w:r>
            <w:r>
              <w:rPr>
                <w:highlight w:val="none"/>
              </w:rPr>
              <w:t>由</w:t>
            </w:r>
            <w:r>
              <w:rPr>
                <w:rFonts w:hint="eastAsia"/>
                <w:highlight w:val="none"/>
              </w:rPr>
              <w:t>低到高的顺序排序。</w:t>
            </w:r>
          </w:p>
        </w:tc>
      </w:tr>
      <w:tr w14:paraId="1889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8E0924F">
            <w:pPr>
              <w:pStyle w:val="43"/>
              <w:rPr>
                <w:highlight w:val="none"/>
              </w:rPr>
            </w:pPr>
            <w:r>
              <w:rPr>
                <w:rFonts w:hint="eastAsia"/>
                <w:highlight w:val="none"/>
              </w:rPr>
              <w:t>2.2.1</w:t>
            </w:r>
          </w:p>
        </w:tc>
        <w:tc>
          <w:tcPr>
            <w:tcW w:w="1253" w:type="dxa"/>
            <w:tcBorders>
              <w:left w:val="single" w:color="auto" w:sz="4" w:space="0"/>
            </w:tcBorders>
            <w:vAlign w:val="center"/>
          </w:tcPr>
          <w:p w14:paraId="7E8945EB">
            <w:pPr>
              <w:pStyle w:val="43"/>
              <w:rPr>
                <w:highlight w:val="none"/>
              </w:rPr>
            </w:pPr>
            <w:r>
              <w:rPr>
                <w:rFonts w:hint="eastAsia"/>
                <w:highlight w:val="none"/>
              </w:rPr>
              <w:t>资格评审标准</w:t>
            </w:r>
          </w:p>
        </w:tc>
        <w:tc>
          <w:tcPr>
            <w:tcW w:w="1753" w:type="dxa"/>
            <w:tcBorders>
              <w:left w:val="single" w:color="auto" w:sz="4" w:space="0"/>
            </w:tcBorders>
            <w:vAlign w:val="center"/>
          </w:tcPr>
          <w:p w14:paraId="651B6620">
            <w:pPr>
              <w:pStyle w:val="43"/>
              <w:rPr>
                <w:highlight w:val="none"/>
              </w:rPr>
            </w:pPr>
            <w:r>
              <w:rPr>
                <w:rFonts w:hint="eastAsia"/>
                <w:highlight w:val="none"/>
              </w:rPr>
              <w:t>资格条件要求</w:t>
            </w:r>
          </w:p>
        </w:tc>
        <w:tc>
          <w:tcPr>
            <w:tcW w:w="5476" w:type="dxa"/>
            <w:tcBorders>
              <w:left w:val="single" w:color="auto" w:sz="4" w:space="0"/>
            </w:tcBorders>
            <w:vAlign w:val="center"/>
          </w:tcPr>
          <w:p w14:paraId="6ADA4086">
            <w:pPr>
              <w:pStyle w:val="43"/>
              <w:rPr>
                <w:highlight w:val="none"/>
              </w:rPr>
            </w:pPr>
            <w:r>
              <w:rPr>
                <w:rFonts w:hint="eastAsia"/>
                <w:highlight w:val="none"/>
              </w:rPr>
              <w:t>符合第一章“2. 响应人资格要求”规定</w:t>
            </w:r>
          </w:p>
        </w:tc>
      </w:tr>
      <w:tr w14:paraId="33CF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180A0E37">
            <w:pPr>
              <w:pStyle w:val="43"/>
              <w:rPr>
                <w:highlight w:val="none"/>
              </w:rPr>
            </w:pPr>
            <w:r>
              <w:rPr>
                <w:rFonts w:hint="eastAsia"/>
                <w:highlight w:val="none"/>
              </w:rPr>
              <w:t>2.2.2</w:t>
            </w:r>
          </w:p>
        </w:tc>
        <w:tc>
          <w:tcPr>
            <w:tcW w:w="1253" w:type="dxa"/>
            <w:vMerge w:val="restart"/>
            <w:tcBorders>
              <w:left w:val="single" w:color="auto" w:sz="4" w:space="0"/>
            </w:tcBorders>
            <w:vAlign w:val="center"/>
          </w:tcPr>
          <w:p w14:paraId="67D75BEB">
            <w:pPr>
              <w:pStyle w:val="43"/>
              <w:rPr>
                <w:highlight w:val="none"/>
              </w:rPr>
            </w:pPr>
            <w:r>
              <w:rPr>
                <w:rFonts w:hint="eastAsia"/>
                <w:highlight w:val="none"/>
              </w:rPr>
              <w:t>形式评审标准</w:t>
            </w:r>
          </w:p>
        </w:tc>
        <w:tc>
          <w:tcPr>
            <w:tcW w:w="1753" w:type="dxa"/>
            <w:tcBorders>
              <w:left w:val="single" w:color="auto" w:sz="4" w:space="0"/>
            </w:tcBorders>
            <w:vAlign w:val="center"/>
          </w:tcPr>
          <w:p w14:paraId="075BF824">
            <w:pPr>
              <w:pStyle w:val="43"/>
              <w:rPr>
                <w:highlight w:val="none"/>
              </w:rPr>
            </w:pPr>
            <w:r>
              <w:rPr>
                <w:rFonts w:hint="eastAsia"/>
                <w:highlight w:val="none"/>
              </w:rPr>
              <w:t>响应人名称</w:t>
            </w:r>
          </w:p>
        </w:tc>
        <w:tc>
          <w:tcPr>
            <w:tcW w:w="5476" w:type="dxa"/>
            <w:tcBorders>
              <w:left w:val="single" w:color="auto" w:sz="4" w:space="0"/>
            </w:tcBorders>
            <w:vAlign w:val="center"/>
          </w:tcPr>
          <w:p w14:paraId="66373FF6">
            <w:pPr>
              <w:pStyle w:val="43"/>
              <w:rPr>
                <w:highlight w:val="none"/>
              </w:rPr>
            </w:pPr>
            <w:r>
              <w:rPr>
                <w:rFonts w:hint="eastAsia"/>
                <w:highlight w:val="none"/>
              </w:rPr>
              <w:t>与营业执照、资格证明材料一致</w:t>
            </w:r>
          </w:p>
        </w:tc>
      </w:tr>
      <w:tr w14:paraId="6B9A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621A677D">
            <w:pPr>
              <w:rPr>
                <w:highlight w:val="none"/>
              </w:rPr>
            </w:pPr>
          </w:p>
        </w:tc>
        <w:tc>
          <w:tcPr>
            <w:tcW w:w="1253" w:type="dxa"/>
            <w:vMerge w:val="continue"/>
            <w:tcBorders>
              <w:left w:val="single" w:color="auto" w:sz="4" w:space="0"/>
            </w:tcBorders>
            <w:vAlign w:val="center"/>
          </w:tcPr>
          <w:p w14:paraId="18F4CE68">
            <w:pPr>
              <w:rPr>
                <w:highlight w:val="none"/>
              </w:rPr>
            </w:pPr>
          </w:p>
        </w:tc>
        <w:tc>
          <w:tcPr>
            <w:tcW w:w="1753" w:type="dxa"/>
            <w:tcBorders>
              <w:left w:val="single" w:color="auto" w:sz="4" w:space="0"/>
            </w:tcBorders>
            <w:vAlign w:val="center"/>
          </w:tcPr>
          <w:p w14:paraId="6753962F">
            <w:pPr>
              <w:pStyle w:val="43"/>
              <w:rPr>
                <w:highlight w:val="none"/>
              </w:rPr>
            </w:pPr>
            <w:r>
              <w:rPr>
                <w:rFonts w:hint="eastAsia"/>
                <w:highlight w:val="none"/>
              </w:rPr>
              <w:t>响应文件的签字盖章</w:t>
            </w:r>
          </w:p>
        </w:tc>
        <w:tc>
          <w:tcPr>
            <w:tcW w:w="5476" w:type="dxa"/>
            <w:tcBorders>
              <w:left w:val="single" w:color="auto" w:sz="4" w:space="0"/>
            </w:tcBorders>
            <w:vAlign w:val="center"/>
          </w:tcPr>
          <w:p w14:paraId="0054A03D">
            <w:pPr>
              <w:pStyle w:val="43"/>
              <w:rPr>
                <w:highlight w:val="none"/>
              </w:rPr>
            </w:pPr>
            <w:r>
              <w:rPr>
                <w:rFonts w:hint="eastAsia"/>
                <w:highlight w:val="none"/>
              </w:rPr>
              <w:t>符合第二章“响应人须知”4.6 条规定</w:t>
            </w:r>
          </w:p>
        </w:tc>
      </w:tr>
      <w:tr w14:paraId="52C4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4D4B539">
            <w:pPr>
              <w:rPr>
                <w:highlight w:val="none"/>
              </w:rPr>
            </w:pPr>
          </w:p>
        </w:tc>
        <w:tc>
          <w:tcPr>
            <w:tcW w:w="1253" w:type="dxa"/>
            <w:vMerge w:val="continue"/>
            <w:tcBorders>
              <w:left w:val="single" w:color="auto" w:sz="4" w:space="0"/>
            </w:tcBorders>
            <w:vAlign w:val="center"/>
          </w:tcPr>
          <w:p w14:paraId="4D4F39FB">
            <w:pPr>
              <w:rPr>
                <w:highlight w:val="none"/>
              </w:rPr>
            </w:pPr>
          </w:p>
        </w:tc>
        <w:tc>
          <w:tcPr>
            <w:tcW w:w="1753" w:type="dxa"/>
            <w:tcBorders>
              <w:left w:val="single" w:color="auto" w:sz="4" w:space="0"/>
            </w:tcBorders>
            <w:vAlign w:val="center"/>
          </w:tcPr>
          <w:p w14:paraId="6CD9D9D2">
            <w:pPr>
              <w:pStyle w:val="43"/>
              <w:rPr>
                <w:highlight w:val="none"/>
              </w:rPr>
            </w:pPr>
            <w:r>
              <w:rPr>
                <w:rFonts w:hint="eastAsia"/>
                <w:highlight w:val="none"/>
              </w:rPr>
              <w:t>响应文件的密封</w:t>
            </w:r>
          </w:p>
        </w:tc>
        <w:tc>
          <w:tcPr>
            <w:tcW w:w="5476" w:type="dxa"/>
            <w:tcBorders>
              <w:left w:val="single" w:color="auto" w:sz="4" w:space="0"/>
            </w:tcBorders>
            <w:vAlign w:val="center"/>
          </w:tcPr>
          <w:p w14:paraId="2F45D9ED">
            <w:pPr>
              <w:pStyle w:val="43"/>
              <w:rPr>
                <w:highlight w:val="none"/>
              </w:rPr>
            </w:pPr>
            <w:r>
              <w:rPr>
                <w:rFonts w:hint="eastAsia"/>
                <w:highlight w:val="none"/>
              </w:rPr>
              <w:t>符合第二章“响应人须知”4.7 条规定</w:t>
            </w:r>
          </w:p>
        </w:tc>
      </w:tr>
      <w:tr w14:paraId="4032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803FDFC">
            <w:pPr>
              <w:rPr>
                <w:highlight w:val="none"/>
              </w:rPr>
            </w:pPr>
          </w:p>
        </w:tc>
        <w:tc>
          <w:tcPr>
            <w:tcW w:w="1253" w:type="dxa"/>
            <w:vMerge w:val="continue"/>
            <w:tcBorders>
              <w:left w:val="single" w:color="auto" w:sz="4" w:space="0"/>
            </w:tcBorders>
            <w:vAlign w:val="center"/>
          </w:tcPr>
          <w:p w14:paraId="29C1758F">
            <w:pPr>
              <w:rPr>
                <w:highlight w:val="none"/>
              </w:rPr>
            </w:pPr>
          </w:p>
        </w:tc>
        <w:tc>
          <w:tcPr>
            <w:tcW w:w="1753" w:type="dxa"/>
            <w:tcBorders>
              <w:left w:val="single" w:color="auto" w:sz="4" w:space="0"/>
            </w:tcBorders>
            <w:vAlign w:val="center"/>
          </w:tcPr>
          <w:p w14:paraId="3682AA0F">
            <w:pPr>
              <w:pStyle w:val="43"/>
              <w:rPr>
                <w:highlight w:val="none"/>
              </w:rPr>
            </w:pPr>
            <w:r>
              <w:rPr>
                <w:rFonts w:hint="eastAsia"/>
                <w:highlight w:val="none"/>
              </w:rPr>
              <w:t>响应文件格式</w:t>
            </w:r>
          </w:p>
        </w:tc>
        <w:tc>
          <w:tcPr>
            <w:tcW w:w="5476" w:type="dxa"/>
            <w:tcBorders>
              <w:left w:val="single" w:color="auto" w:sz="4" w:space="0"/>
            </w:tcBorders>
            <w:vAlign w:val="center"/>
          </w:tcPr>
          <w:p w14:paraId="740F6037">
            <w:pPr>
              <w:pStyle w:val="43"/>
              <w:rPr>
                <w:highlight w:val="none"/>
              </w:rPr>
            </w:pPr>
            <w:r>
              <w:rPr>
                <w:rFonts w:hint="eastAsia"/>
                <w:highlight w:val="none"/>
              </w:rPr>
              <w:t>符合第六章“响应文件格式”的要求</w:t>
            </w:r>
          </w:p>
        </w:tc>
      </w:tr>
      <w:tr w14:paraId="5126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3B7BBB1">
            <w:pPr>
              <w:rPr>
                <w:highlight w:val="none"/>
              </w:rPr>
            </w:pPr>
          </w:p>
        </w:tc>
        <w:tc>
          <w:tcPr>
            <w:tcW w:w="1253" w:type="dxa"/>
            <w:vMerge w:val="continue"/>
            <w:tcBorders>
              <w:left w:val="single" w:color="auto" w:sz="4" w:space="0"/>
            </w:tcBorders>
            <w:vAlign w:val="center"/>
          </w:tcPr>
          <w:p w14:paraId="01A1BA53">
            <w:pPr>
              <w:rPr>
                <w:highlight w:val="none"/>
              </w:rPr>
            </w:pPr>
          </w:p>
        </w:tc>
        <w:tc>
          <w:tcPr>
            <w:tcW w:w="1753" w:type="dxa"/>
            <w:tcBorders>
              <w:left w:val="single" w:color="auto" w:sz="4" w:space="0"/>
            </w:tcBorders>
            <w:vAlign w:val="center"/>
          </w:tcPr>
          <w:p w14:paraId="4F52CC05">
            <w:pPr>
              <w:pStyle w:val="43"/>
              <w:rPr>
                <w:highlight w:val="none"/>
              </w:rPr>
            </w:pPr>
            <w:r>
              <w:rPr>
                <w:rFonts w:hint="eastAsia"/>
                <w:highlight w:val="none"/>
              </w:rPr>
              <w:t>响应文件组成</w:t>
            </w:r>
          </w:p>
        </w:tc>
        <w:tc>
          <w:tcPr>
            <w:tcW w:w="5476" w:type="dxa"/>
            <w:tcBorders>
              <w:left w:val="single" w:color="auto" w:sz="4" w:space="0"/>
            </w:tcBorders>
            <w:vAlign w:val="center"/>
          </w:tcPr>
          <w:p w14:paraId="331D2BFE">
            <w:pPr>
              <w:pStyle w:val="43"/>
              <w:rPr>
                <w:highlight w:val="none"/>
              </w:rPr>
            </w:pPr>
            <w:r>
              <w:rPr>
                <w:rFonts w:hint="eastAsia"/>
                <w:highlight w:val="none"/>
              </w:rPr>
              <w:t>符合第二章“响应人须知”4.2 条规定，内容齐全、无遗漏</w:t>
            </w:r>
          </w:p>
        </w:tc>
      </w:tr>
      <w:tr w14:paraId="5234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DBD218E">
            <w:pPr>
              <w:rPr>
                <w:highlight w:val="none"/>
              </w:rPr>
            </w:pPr>
          </w:p>
        </w:tc>
        <w:tc>
          <w:tcPr>
            <w:tcW w:w="1253" w:type="dxa"/>
            <w:vMerge w:val="continue"/>
            <w:tcBorders>
              <w:left w:val="single" w:color="auto" w:sz="4" w:space="0"/>
            </w:tcBorders>
            <w:vAlign w:val="center"/>
          </w:tcPr>
          <w:p w14:paraId="19AC1D21">
            <w:pPr>
              <w:rPr>
                <w:highlight w:val="none"/>
              </w:rPr>
            </w:pPr>
          </w:p>
        </w:tc>
        <w:tc>
          <w:tcPr>
            <w:tcW w:w="1753" w:type="dxa"/>
            <w:tcBorders>
              <w:left w:val="single" w:color="auto" w:sz="4" w:space="0"/>
            </w:tcBorders>
            <w:vAlign w:val="center"/>
          </w:tcPr>
          <w:p w14:paraId="6615B10A">
            <w:pPr>
              <w:pStyle w:val="43"/>
              <w:rPr>
                <w:highlight w:val="none"/>
              </w:rPr>
            </w:pPr>
            <w:r>
              <w:rPr>
                <w:rFonts w:hint="eastAsia"/>
                <w:highlight w:val="none"/>
              </w:rPr>
              <w:t>联合体响应</w:t>
            </w:r>
          </w:p>
        </w:tc>
        <w:tc>
          <w:tcPr>
            <w:tcW w:w="5476" w:type="dxa"/>
            <w:tcBorders>
              <w:left w:val="single" w:color="auto" w:sz="4" w:space="0"/>
            </w:tcBorders>
            <w:vAlign w:val="center"/>
          </w:tcPr>
          <w:p w14:paraId="5AC4B13A">
            <w:pPr>
              <w:pStyle w:val="43"/>
              <w:rPr>
                <w:highlight w:val="none"/>
              </w:rPr>
            </w:pPr>
            <w:r>
              <w:rPr>
                <w:rFonts w:hint="eastAsia"/>
                <w:highlight w:val="none"/>
              </w:rPr>
              <w:t>符合第一章“2. 响应人资格要求”2.5 条的要求</w:t>
            </w:r>
          </w:p>
        </w:tc>
      </w:tr>
      <w:tr w14:paraId="4E65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7CCFD872">
            <w:pPr>
              <w:pStyle w:val="43"/>
              <w:rPr>
                <w:highlight w:val="none"/>
              </w:rPr>
            </w:pPr>
            <w:r>
              <w:rPr>
                <w:rFonts w:hint="eastAsia"/>
                <w:highlight w:val="none"/>
              </w:rPr>
              <w:t>2.2.3</w:t>
            </w:r>
          </w:p>
        </w:tc>
        <w:tc>
          <w:tcPr>
            <w:tcW w:w="1253" w:type="dxa"/>
            <w:vMerge w:val="restart"/>
            <w:tcBorders>
              <w:left w:val="single" w:color="auto" w:sz="4" w:space="0"/>
            </w:tcBorders>
            <w:vAlign w:val="center"/>
          </w:tcPr>
          <w:p w14:paraId="10716F26">
            <w:pPr>
              <w:pStyle w:val="43"/>
              <w:rPr>
                <w:highlight w:val="none"/>
              </w:rPr>
            </w:pPr>
            <w:r>
              <w:rPr>
                <w:rFonts w:hint="eastAsia"/>
                <w:highlight w:val="none"/>
              </w:rPr>
              <w:t>响应性评审标准</w:t>
            </w:r>
          </w:p>
        </w:tc>
        <w:tc>
          <w:tcPr>
            <w:tcW w:w="1753" w:type="dxa"/>
            <w:tcBorders>
              <w:left w:val="single" w:color="auto" w:sz="4" w:space="0"/>
            </w:tcBorders>
            <w:vAlign w:val="center"/>
          </w:tcPr>
          <w:p w14:paraId="785E9833">
            <w:pPr>
              <w:pStyle w:val="43"/>
              <w:rPr>
                <w:highlight w:val="none"/>
              </w:rPr>
            </w:pPr>
            <w:r>
              <w:rPr>
                <w:rFonts w:hint="eastAsia"/>
                <w:highlight w:val="none"/>
              </w:rPr>
              <w:t>响应内容</w:t>
            </w:r>
          </w:p>
        </w:tc>
        <w:tc>
          <w:tcPr>
            <w:tcW w:w="5476" w:type="dxa"/>
            <w:tcBorders>
              <w:left w:val="single" w:color="auto" w:sz="4" w:space="0"/>
            </w:tcBorders>
            <w:vAlign w:val="center"/>
          </w:tcPr>
          <w:p w14:paraId="0806316A">
            <w:pPr>
              <w:pStyle w:val="43"/>
              <w:rPr>
                <w:highlight w:val="none"/>
              </w:rPr>
            </w:pPr>
            <w:r>
              <w:rPr>
                <w:rFonts w:hint="eastAsia"/>
                <w:highlight w:val="none"/>
              </w:rPr>
              <w:t>1. 在响应承诺函中对第三章“项目要求”内容做出整体承诺；</w:t>
            </w:r>
          </w:p>
          <w:p w14:paraId="63C3DFB2">
            <w:pPr>
              <w:pStyle w:val="43"/>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14:paraId="483B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909D069">
            <w:pPr>
              <w:rPr>
                <w:highlight w:val="none"/>
              </w:rPr>
            </w:pPr>
          </w:p>
        </w:tc>
        <w:tc>
          <w:tcPr>
            <w:tcW w:w="1253" w:type="dxa"/>
            <w:vMerge w:val="continue"/>
            <w:tcBorders>
              <w:left w:val="single" w:color="auto" w:sz="4" w:space="0"/>
            </w:tcBorders>
          </w:tcPr>
          <w:p w14:paraId="12DBBEC5">
            <w:pPr>
              <w:rPr>
                <w:highlight w:val="none"/>
              </w:rPr>
            </w:pPr>
          </w:p>
        </w:tc>
        <w:tc>
          <w:tcPr>
            <w:tcW w:w="1753" w:type="dxa"/>
            <w:tcBorders>
              <w:left w:val="single" w:color="auto" w:sz="4" w:space="0"/>
            </w:tcBorders>
            <w:vAlign w:val="center"/>
          </w:tcPr>
          <w:p w14:paraId="5CAC35AC">
            <w:pPr>
              <w:pStyle w:val="43"/>
              <w:rPr>
                <w:highlight w:val="none"/>
              </w:rPr>
            </w:pPr>
            <w:r>
              <w:rPr>
                <w:rFonts w:hint="eastAsia"/>
                <w:highlight w:val="none"/>
              </w:rPr>
              <w:t>响应文件份数</w:t>
            </w:r>
          </w:p>
        </w:tc>
        <w:tc>
          <w:tcPr>
            <w:tcW w:w="5476" w:type="dxa"/>
            <w:tcBorders>
              <w:left w:val="single" w:color="auto" w:sz="4" w:space="0"/>
            </w:tcBorders>
            <w:vAlign w:val="center"/>
          </w:tcPr>
          <w:p w14:paraId="39438E52">
            <w:pPr>
              <w:pStyle w:val="43"/>
              <w:rPr>
                <w:highlight w:val="none"/>
              </w:rPr>
            </w:pPr>
            <w:r>
              <w:rPr>
                <w:rFonts w:hint="eastAsia"/>
                <w:highlight w:val="none"/>
              </w:rPr>
              <w:t>符合第二章“响应人须知”4.6 条规定</w:t>
            </w:r>
          </w:p>
        </w:tc>
      </w:tr>
      <w:tr w14:paraId="1393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57D677E">
            <w:pPr>
              <w:rPr>
                <w:highlight w:val="none"/>
              </w:rPr>
            </w:pPr>
          </w:p>
        </w:tc>
        <w:tc>
          <w:tcPr>
            <w:tcW w:w="1253" w:type="dxa"/>
            <w:vMerge w:val="continue"/>
            <w:tcBorders>
              <w:left w:val="single" w:color="auto" w:sz="4" w:space="0"/>
            </w:tcBorders>
          </w:tcPr>
          <w:p w14:paraId="47975B17">
            <w:pPr>
              <w:rPr>
                <w:highlight w:val="none"/>
              </w:rPr>
            </w:pPr>
          </w:p>
        </w:tc>
        <w:tc>
          <w:tcPr>
            <w:tcW w:w="1753" w:type="dxa"/>
            <w:tcBorders>
              <w:left w:val="single" w:color="auto" w:sz="4" w:space="0"/>
            </w:tcBorders>
            <w:vAlign w:val="center"/>
          </w:tcPr>
          <w:p w14:paraId="5B9D3560">
            <w:pPr>
              <w:pStyle w:val="43"/>
              <w:rPr>
                <w:highlight w:val="none"/>
              </w:rPr>
            </w:pPr>
            <w:r>
              <w:rPr>
                <w:rFonts w:hint="eastAsia"/>
                <w:highlight w:val="none"/>
              </w:rPr>
              <w:t>响应方案唯一</w:t>
            </w:r>
          </w:p>
        </w:tc>
        <w:tc>
          <w:tcPr>
            <w:tcW w:w="5476" w:type="dxa"/>
            <w:tcBorders>
              <w:left w:val="single" w:color="auto" w:sz="4" w:space="0"/>
            </w:tcBorders>
            <w:vAlign w:val="center"/>
          </w:tcPr>
          <w:p w14:paraId="53533527">
            <w:pPr>
              <w:pStyle w:val="43"/>
              <w:rPr>
                <w:highlight w:val="none"/>
              </w:rPr>
            </w:pPr>
            <w:r>
              <w:rPr>
                <w:rFonts w:hint="eastAsia"/>
                <w:highlight w:val="none"/>
              </w:rPr>
              <w:t>只能有一个方案响应。</w:t>
            </w:r>
          </w:p>
        </w:tc>
      </w:tr>
      <w:tr w14:paraId="4CE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40BF574">
            <w:pPr>
              <w:rPr>
                <w:highlight w:val="none"/>
              </w:rPr>
            </w:pPr>
          </w:p>
        </w:tc>
        <w:tc>
          <w:tcPr>
            <w:tcW w:w="1253" w:type="dxa"/>
            <w:vMerge w:val="continue"/>
            <w:tcBorders>
              <w:left w:val="single" w:color="auto" w:sz="4" w:space="0"/>
            </w:tcBorders>
          </w:tcPr>
          <w:p w14:paraId="2FE87963">
            <w:pPr>
              <w:rPr>
                <w:highlight w:val="none"/>
              </w:rPr>
            </w:pPr>
          </w:p>
        </w:tc>
        <w:tc>
          <w:tcPr>
            <w:tcW w:w="1753" w:type="dxa"/>
            <w:tcBorders>
              <w:left w:val="single" w:color="auto" w:sz="4" w:space="0"/>
            </w:tcBorders>
            <w:vAlign w:val="center"/>
          </w:tcPr>
          <w:p w14:paraId="15B2E597">
            <w:pPr>
              <w:pStyle w:val="43"/>
              <w:rPr>
                <w:highlight w:val="none"/>
              </w:rPr>
            </w:pPr>
            <w:r>
              <w:rPr>
                <w:rFonts w:hint="eastAsia"/>
                <w:highlight w:val="none"/>
              </w:rPr>
              <w:t>响应报价</w:t>
            </w:r>
          </w:p>
        </w:tc>
        <w:tc>
          <w:tcPr>
            <w:tcW w:w="5476" w:type="dxa"/>
            <w:tcBorders>
              <w:left w:val="single" w:color="auto" w:sz="4" w:space="0"/>
            </w:tcBorders>
            <w:vAlign w:val="center"/>
          </w:tcPr>
          <w:p w14:paraId="6332EB90">
            <w:pPr>
              <w:pStyle w:val="43"/>
              <w:rPr>
                <w:highlight w:val="none"/>
              </w:rPr>
            </w:pPr>
            <w:r>
              <w:rPr>
                <w:rFonts w:hint="eastAsia"/>
                <w:highlight w:val="none"/>
              </w:rPr>
              <w:t>符合第二章“响应人须知”4.8 条规定</w:t>
            </w:r>
          </w:p>
        </w:tc>
      </w:tr>
      <w:tr w14:paraId="353C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B82F375">
            <w:pPr>
              <w:rPr>
                <w:highlight w:val="none"/>
              </w:rPr>
            </w:pPr>
          </w:p>
        </w:tc>
        <w:tc>
          <w:tcPr>
            <w:tcW w:w="1253" w:type="dxa"/>
            <w:vMerge w:val="continue"/>
            <w:tcBorders>
              <w:left w:val="single" w:color="auto" w:sz="4" w:space="0"/>
            </w:tcBorders>
          </w:tcPr>
          <w:p w14:paraId="126C1F15">
            <w:pPr>
              <w:rPr>
                <w:highlight w:val="none"/>
              </w:rPr>
            </w:pPr>
          </w:p>
        </w:tc>
        <w:tc>
          <w:tcPr>
            <w:tcW w:w="1753" w:type="dxa"/>
            <w:tcBorders>
              <w:left w:val="single" w:color="auto" w:sz="4" w:space="0"/>
            </w:tcBorders>
            <w:vAlign w:val="center"/>
          </w:tcPr>
          <w:p w14:paraId="2679F73D">
            <w:pPr>
              <w:pStyle w:val="43"/>
              <w:rPr>
                <w:highlight w:val="none"/>
              </w:rPr>
            </w:pPr>
            <w:r>
              <w:rPr>
                <w:rFonts w:hint="eastAsia"/>
                <w:highlight w:val="none"/>
              </w:rPr>
              <w:t>响应有效期</w:t>
            </w:r>
          </w:p>
        </w:tc>
        <w:tc>
          <w:tcPr>
            <w:tcW w:w="5476" w:type="dxa"/>
            <w:tcBorders>
              <w:left w:val="single" w:color="auto" w:sz="4" w:space="0"/>
            </w:tcBorders>
          </w:tcPr>
          <w:p w14:paraId="3BF5E33C">
            <w:pPr>
              <w:pStyle w:val="43"/>
              <w:rPr>
                <w:highlight w:val="none"/>
              </w:rPr>
            </w:pPr>
            <w:r>
              <w:rPr>
                <w:rFonts w:hint="eastAsia"/>
                <w:highlight w:val="none"/>
              </w:rPr>
              <w:t>符合第二章“响应人须知”4.4 条规定</w:t>
            </w:r>
          </w:p>
        </w:tc>
      </w:tr>
      <w:tr w14:paraId="4A7B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04CF58B">
            <w:pPr>
              <w:rPr>
                <w:highlight w:val="none"/>
              </w:rPr>
            </w:pPr>
          </w:p>
        </w:tc>
        <w:tc>
          <w:tcPr>
            <w:tcW w:w="1253" w:type="dxa"/>
            <w:vMerge w:val="continue"/>
            <w:tcBorders>
              <w:left w:val="single" w:color="auto" w:sz="4" w:space="0"/>
            </w:tcBorders>
          </w:tcPr>
          <w:p w14:paraId="1DD890AE">
            <w:pPr>
              <w:rPr>
                <w:highlight w:val="none"/>
              </w:rPr>
            </w:pPr>
          </w:p>
        </w:tc>
        <w:tc>
          <w:tcPr>
            <w:tcW w:w="1753" w:type="dxa"/>
            <w:tcBorders>
              <w:left w:val="single" w:color="auto" w:sz="4" w:space="0"/>
            </w:tcBorders>
            <w:vAlign w:val="center"/>
          </w:tcPr>
          <w:p w14:paraId="664B7FF6">
            <w:pPr>
              <w:pStyle w:val="43"/>
              <w:rPr>
                <w:highlight w:val="none"/>
              </w:rPr>
            </w:pPr>
            <w:r>
              <w:rPr>
                <w:rFonts w:hint="eastAsia"/>
                <w:highlight w:val="none"/>
              </w:rPr>
              <w:t>响应保证金</w:t>
            </w:r>
          </w:p>
        </w:tc>
        <w:tc>
          <w:tcPr>
            <w:tcW w:w="5476" w:type="dxa"/>
            <w:tcBorders>
              <w:left w:val="single" w:color="auto" w:sz="4" w:space="0"/>
            </w:tcBorders>
          </w:tcPr>
          <w:p w14:paraId="21293DFC">
            <w:pPr>
              <w:pStyle w:val="43"/>
              <w:rPr>
                <w:highlight w:val="none"/>
              </w:rPr>
            </w:pPr>
            <w:r>
              <w:rPr>
                <w:rFonts w:hint="eastAsia"/>
                <w:highlight w:val="none"/>
              </w:rPr>
              <w:t>符合第二章“响应人须知”4.5 条规定</w:t>
            </w:r>
          </w:p>
        </w:tc>
      </w:tr>
      <w:tr w14:paraId="51E5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982" w:type="dxa"/>
            <w:vAlign w:val="center"/>
          </w:tcPr>
          <w:p w14:paraId="18303B67">
            <w:pPr>
              <w:pStyle w:val="43"/>
              <w:rPr>
                <w:highlight w:val="none"/>
              </w:rPr>
            </w:pPr>
            <w:r>
              <w:rPr>
                <w:rFonts w:hint="eastAsia"/>
                <w:highlight w:val="none"/>
              </w:rPr>
              <w:t>3</w:t>
            </w:r>
          </w:p>
        </w:tc>
        <w:tc>
          <w:tcPr>
            <w:tcW w:w="1253" w:type="dxa"/>
            <w:tcBorders>
              <w:left w:val="single" w:color="auto" w:sz="4" w:space="0"/>
            </w:tcBorders>
            <w:vAlign w:val="center"/>
          </w:tcPr>
          <w:p w14:paraId="228F0832">
            <w:pPr>
              <w:pStyle w:val="43"/>
              <w:rPr>
                <w:highlight w:val="none"/>
              </w:rPr>
            </w:pPr>
            <w:r>
              <w:rPr>
                <w:rFonts w:hint="eastAsia"/>
                <w:highlight w:val="none"/>
              </w:rPr>
              <w:t>评审程序</w:t>
            </w:r>
          </w:p>
        </w:tc>
        <w:tc>
          <w:tcPr>
            <w:tcW w:w="7229" w:type="dxa"/>
            <w:gridSpan w:val="2"/>
            <w:tcBorders>
              <w:left w:val="single" w:color="auto" w:sz="4" w:space="0"/>
            </w:tcBorders>
          </w:tcPr>
          <w:p w14:paraId="1B9F2070">
            <w:pPr>
              <w:pStyle w:val="43"/>
              <w:rPr>
                <w:highlight w:val="none"/>
              </w:rPr>
            </w:pPr>
            <w:r>
              <w:rPr>
                <w:rFonts w:hint="eastAsia"/>
                <w:highlight w:val="none"/>
              </w:rPr>
              <w:t>1.评审委员会所有响应文件进行符合性审查</w:t>
            </w:r>
          </w:p>
          <w:p w14:paraId="3A63534D">
            <w:pPr>
              <w:pStyle w:val="43"/>
              <w:rPr>
                <w:highlight w:val="none"/>
              </w:rPr>
            </w:pPr>
            <w:r>
              <w:rPr>
                <w:rFonts w:hint="eastAsia"/>
                <w:highlight w:val="none"/>
              </w:rPr>
              <w:t>2.评审委员会对通过符合性审查的响应文件进行报价排序，按含税报价由低到高推荐1-3名成交候选人。报价最低的成为第一成交候选人，报价次低的成为第二成交候选人，依次类推，共推荐1-3名成交候选人。</w:t>
            </w:r>
          </w:p>
        </w:tc>
      </w:tr>
      <w:tr w14:paraId="7999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4E4CE9EF">
            <w:pPr>
              <w:pStyle w:val="43"/>
              <w:rPr>
                <w:highlight w:val="none"/>
              </w:rPr>
            </w:pPr>
            <w:r>
              <w:rPr>
                <w:rFonts w:hint="eastAsia"/>
                <w:highlight w:val="none"/>
              </w:rPr>
              <w:t>3.4</w:t>
            </w:r>
          </w:p>
        </w:tc>
        <w:tc>
          <w:tcPr>
            <w:tcW w:w="1253" w:type="dxa"/>
            <w:tcBorders>
              <w:left w:val="single" w:color="auto" w:sz="4" w:space="0"/>
            </w:tcBorders>
            <w:vAlign w:val="center"/>
          </w:tcPr>
          <w:p w14:paraId="47347BDE">
            <w:pPr>
              <w:pStyle w:val="43"/>
              <w:rPr>
                <w:highlight w:val="none"/>
              </w:rPr>
            </w:pPr>
            <w:r>
              <w:rPr>
                <w:rFonts w:hint="eastAsia"/>
                <w:highlight w:val="none"/>
              </w:rPr>
              <w:t>评审结果</w:t>
            </w:r>
          </w:p>
        </w:tc>
        <w:tc>
          <w:tcPr>
            <w:tcW w:w="7229" w:type="dxa"/>
            <w:gridSpan w:val="2"/>
            <w:tcBorders>
              <w:left w:val="single" w:color="auto" w:sz="4" w:space="0"/>
            </w:tcBorders>
            <w:vAlign w:val="center"/>
          </w:tcPr>
          <w:p w14:paraId="55E6ACFE">
            <w:pPr>
              <w:pStyle w:val="43"/>
              <w:rPr>
                <w:highlight w:val="none"/>
              </w:rPr>
            </w:pPr>
            <w:r>
              <w:rPr>
                <w:rFonts w:hint="eastAsia"/>
                <w:highlight w:val="none"/>
              </w:rPr>
              <w:t>3.4.1 评审委员会按经评审的最低价法推荐成交候选人。</w:t>
            </w:r>
          </w:p>
          <w:p w14:paraId="4C2C08B1">
            <w:pPr>
              <w:pStyle w:val="43"/>
              <w:rPr>
                <w:highlight w:val="none"/>
              </w:rPr>
            </w:pPr>
            <w:r>
              <w:rPr>
                <w:rFonts w:hint="eastAsia"/>
                <w:highlight w:val="none"/>
              </w:rPr>
              <w:t>3.4.2 评审委员会完成评审后，应当向采购人提交书面评审报告。</w:t>
            </w:r>
          </w:p>
        </w:tc>
      </w:tr>
    </w:tbl>
    <w:p w14:paraId="145B953A">
      <w:pPr>
        <w:rPr>
          <w:rFonts w:ascii="宋体" w:hAnsi="宋体" w:cs="宋体"/>
          <w:snapToGrid w:val="0"/>
          <w:szCs w:val="21"/>
          <w:highlight w:val="none"/>
        </w:rPr>
      </w:pPr>
      <w:r>
        <w:rPr>
          <w:rFonts w:hint="eastAsia" w:ascii="宋体" w:hAnsi="宋体" w:cs="宋体"/>
          <w:snapToGrid w:val="0"/>
          <w:szCs w:val="21"/>
          <w:highlight w:val="none"/>
        </w:rPr>
        <w:br w:type="page"/>
      </w:r>
    </w:p>
    <w:p w14:paraId="694CA940">
      <w:pPr>
        <w:pStyle w:val="3"/>
        <w:rPr>
          <w:highlight w:val="none"/>
        </w:rPr>
      </w:pPr>
      <w:bookmarkStart w:id="69" w:name="_Toc32646"/>
      <w:bookmarkStart w:id="70" w:name="_Toc25275"/>
      <w:bookmarkStart w:id="71" w:name="_Toc2724"/>
      <w:r>
        <w:rPr>
          <w:highlight w:val="none"/>
        </w:rPr>
        <w:t>1.</w:t>
      </w:r>
      <w:r>
        <w:rPr>
          <w:rFonts w:hint="eastAsia"/>
          <w:highlight w:val="none"/>
        </w:rPr>
        <w:t xml:space="preserve"> 评审</w:t>
      </w:r>
      <w:r>
        <w:rPr>
          <w:highlight w:val="none"/>
        </w:rPr>
        <w:t>方法</w:t>
      </w:r>
      <w:bookmarkEnd w:id="69"/>
      <w:bookmarkEnd w:id="70"/>
      <w:bookmarkEnd w:id="71"/>
    </w:p>
    <w:p w14:paraId="76BF24BD">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条进行报价排序，符合性审查合格的响应人中按报价由低到高推荐成交候选人。若出现响应人响应报价相同的，以评审办法前附表约定的原则确定排序。</w:t>
      </w:r>
    </w:p>
    <w:p w14:paraId="6B5A98DA">
      <w:pPr>
        <w:pStyle w:val="3"/>
        <w:rPr>
          <w:highlight w:val="none"/>
        </w:rPr>
      </w:pPr>
      <w:bookmarkStart w:id="72" w:name="_Toc10761"/>
      <w:bookmarkStart w:id="73" w:name="_Toc2555"/>
      <w:bookmarkStart w:id="74" w:name="_Toc15579"/>
      <w:r>
        <w:rPr>
          <w:highlight w:val="none"/>
        </w:rPr>
        <w:t>2.</w:t>
      </w:r>
      <w:r>
        <w:rPr>
          <w:rFonts w:hint="eastAsia"/>
          <w:highlight w:val="none"/>
        </w:rPr>
        <w:t xml:space="preserve"> </w:t>
      </w:r>
      <w:r>
        <w:rPr>
          <w:highlight w:val="none"/>
        </w:rPr>
        <w:t>评审标准</w:t>
      </w:r>
      <w:bookmarkEnd w:id="72"/>
      <w:bookmarkEnd w:id="73"/>
      <w:bookmarkEnd w:id="74"/>
    </w:p>
    <w:p w14:paraId="5B8FBAF9">
      <w:pPr>
        <w:pStyle w:val="4"/>
        <w:rPr>
          <w:highlight w:val="none"/>
        </w:rPr>
      </w:pPr>
      <w:bookmarkStart w:id="75" w:name="_Toc15271"/>
      <w:r>
        <w:rPr>
          <w:highlight w:val="none"/>
        </w:rPr>
        <w:t>2.</w:t>
      </w:r>
      <w:r>
        <w:rPr>
          <w:rFonts w:hint="eastAsia"/>
          <w:highlight w:val="none"/>
        </w:rPr>
        <w:t>1 符合性审查标准</w:t>
      </w:r>
      <w:bookmarkEnd w:id="75"/>
    </w:p>
    <w:p w14:paraId="7209B8A3">
      <w:pPr>
        <w:rPr>
          <w:highlight w:val="none"/>
        </w:rPr>
      </w:pPr>
      <w:r>
        <w:rPr>
          <w:rFonts w:hint="eastAsia"/>
          <w:highlight w:val="none"/>
        </w:rPr>
        <w:t>按评审办法前附表约定的审查标准进行符合性审查。符合性审查内容：资格评审、形式评审、响应性评审。</w:t>
      </w:r>
    </w:p>
    <w:p w14:paraId="2B98CEBF">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01436C23">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5B74D3D6">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43C20E79">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399DE8D8">
      <w:pPr>
        <w:rPr>
          <w:highlight w:val="none"/>
        </w:rPr>
      </w:pPr>
      <w:r>
        <w:rPr>
          <w:rFonts w:hint="eastAsia"/>
          <w:highlight w:val="none"/>
        </w:rPr>
        <w:t>见评审办法前附表。</w:t>
      </w:r>
    </w:p>
    <w:p w14:paraId="4952613A">
      <w:pPr>
        <w:pStyle w:val="3"/>
        <w:rPr>
          <w:highlight w:val="none"/>
        </w:rPr>
      </w:pPr>
      <w:bookmarkStart w:id="76" w:name="_Toc7105"/>
      <w:bookmarkStart w:id="77" w:name="_Toc26445"/>
      <w:bookmarkStart w:id="78" w:name="_Toc26015"/>
      <w:r>
        <w:rPr>
          <w:highlight w:val="none"/>
        </w:rPr>
        <w:t>3.</w:t>
      </w:r>
      <w:r>
        <w:rPr>
          <w:rFonts w:hint="eastAsia"/>
          <w:highlight w:val="none"/>
        </w:rPr>
        <w:t xml:space="preserve"> 评审</w:t>
      </w:r>
      <w:r>
        <w:rPr>
          <w:highlight w:val="none"/>
        </w:rPr>
        <w:t>程序</w:t>
      </w:r>
      <w:bookmarkEnd w:id="76"/>
      <w:bookmarkEnd w:id="77"/>
      <w:bookmarkEnd w:id="78"/>
    </w:p>
    <w:p w14:paraId="15333A88">
      <w:pPr>
        <w:pStyle w:val="4"/>
        <w:rPr>
          <w:highlight w:val="none"/>
        </w:rPr>
      </w:pPr>
      <w:bookmarkStart w:id="79" w:name="_Toc19164"/>
      <w:r>
        <w:rPr>
          <w:highlight w:val="none"/>
        </w:rPr>
        <w:t>3.</w:t>
      </w:r>
      <w:r>
        <w:rPr>
          <w:rFonts w:hint="eastAsia"/>
          <w:highlight w:val="none"/>
        </w:rPr>
        <w:t>1 符合性审查</w:t>
      </w:r>
      <w:bookmarkEnd w:id="79"/>
    </w:p>
    <w:p w14:paraId="6ECE7B5E">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14:paraId="61287D55">
      <w:pPr>
        <w:rPr>
          <w:highlight w:val="none"/>
        </w:rPr>
      </w:pPr>
      <w:r>
        <w:rPr>
          <w:rFonts w:hint="eastAsia"/>
          <w:highlight w:val="none"/>
        </w:rPr>
        <w:t>有一项不符合评审标准的，作否决响应处理。</w:t>
      </w:r>
    </w:p>
    <w:p w14:paraId="1E710552">
      <w:pPr>
        <w:outlineLvl w:val="3"/>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45BFFDE1">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14:paraId="53BB6FA2">
      <w:pPr>
        <w:rPr>
          <w:highlight w:val="none"/>
        </w:rPr>
      </w:pPr>
      <w:r>
        <w:rPr>
          <w:rFonts w:hint="eastAsia"/>
          <w:highlight w:val="none"/>
        </w:rPr>
        <w:t>3.1.2.2 有串通响应、弄虚作假等其他违反相关法律、法规行为的；</w:t>
      </w:r>
    </w:p>
    <w:p w14:paraId="1DD7D0A9">
      <w:pPr>
        <w:outlineLvl w:val="4"/>
        <w:rPr>
          <w:highlight w:val="none"/>
        </w:rPr>
      </w:pPr>
      <w:r>
        <w:rPr>
          <w:rFonts w:hint="eastAsia"/>
          <w:highlight w:val="none"/>
        </w:rPr>
        <w:t>3.1.2.3 不按评审委员会要求澄清、说明或补正的。</w:t>
      </w:r>
    </w:p>
    <w:p w14:paraId="390EC939">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7CD55388">
      <w:pPr>
        <w:pStyle w:val="4"/>
        <w:rPr>
          <w:highlight w:val="none"/>
        </w:rPr>
      </w:pPr>
      <w:bookmarkStart w:id="80" w:name="_Toc14647"/>
      <w:r>
        <w:rPr>
          <w:highlight w:val="none"/>
        </w:rPr>
        <w:t>3.</w:t>
      </w:r>
      <w:r>
        <w:rPr>
          <w:rFonts w:hint="eastAsia"/>
          <w:highlight w:val="none"/>
        </w:rPr>
        <w:t>2 报价排序</w:t>
      </w:r>
    </w:p>
    <w:p w14:paraId="23B1A8E3">
      <w:pPr>
        <w:rPr>
          <w:highlight w:val="none"/>
        </w:rPr>
      </w:pPr>
      <w:r>
        <w:rPr>
          <w:rFonts w:hint="eastAsia"/>
          <w:highlight w:val="none"/>
        </w:rPr>
        <w:t>对报价不高于最高限价的所有响应人的响应文件，按照报价由低到高的顺序排序。</w:t>
      </w:r>
    </w:p>
    <w:p w14:paraId="4220D5DA">
      <w:pPr>
        <w:pStyle w:val="4"/>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80"/>
    </w:p>
    <w:p w14:paraId="47CA0654">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3181D440">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0C6ED43F">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0B837639">
      <w:pPr>
        <w:pStyle w:val="4"/>
        <w:rPr>
          <w:highlight w:val="none"/>
        </w:rPr>
      </w:pPr>
      <w:bookmarkStart w:id="81" w:name="_Toc479262406"/>
      <w:bookmarkStart w:id="82" w:name="_Toc25249"/>
      <w:bookmarkStart w:id="83" w:name="_Toc484465184"/>
      <w:r>
        <w:rPr>
          <w:highlight w:val="none"/>
        </w:rPr>
        <w:t>3.</w:t>
      </w:r>
      <w:r>
        <w:rPr>
          <w:rFonts w:hint="eastAsia"/>
          <w:highlight w:val="none"/>
        </w:rPr>
        <w:t>4</w:t>
      </w:r>
      <w:r>
        <w:rPr>
          <w:highlight w:val="none"/>
        </w:rPr>
        <w:t xml:space="preserve"> </w:t>
      </w:r>
      <w:r>
        <w:rPr>
          <w:rFonts w:hint="eastAsia"/>
          <w:highlight w:val="none"/>
        </w:rPr>
        <w:t>评审结果</w:t>
      </w:r>
      <w:bookmarkEnd w:id="81"/>
      <w:bookmarkEnd w:id="82"/>
      <w:bookmarkEnd w:id="83"/>
    </w:p>
    <w:p w14:paraId="7C5EF460">
      <w:pPr>
        <w:outlineLvl w:val="3"/>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评审委员会按经评审的最低价法推荐成交候选人。</w:t>
      </w:r>
    </w:p>
    <w:p w14:paraId="710D9769">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评审委员会完成评审后，应当向采购人提交书面评审报告和成交候选人名单。</w:t>
      </w:r>
    </w:p>
    <w:p w14:paraId="73AC613F">
      <w:pPr>
        <w:rPr>
          <w:highlight w:val="none"/>
        </w:rPr>
      </w:pPr>
      <w:r>
        <w:rPr>
          <w:rFonts w:hint="eastAsia"/>
          <w:highlight w:val="none"/>
        </w:rPr>
        <w:t>3.4.3 有效响应不足三个的，经评审委员会判定，响应人具有相对行业竞争力的，可继续进行评审并确定成交候选人。</w:t>
      </w:r>
    </w:p>
    <w:p w14:paraId="27F575A6">
      <w:pPr>
        <w:pStyle w:val="4"/>
        <w:rPr>
          <w:highlight w:val="none"/>
        </w:rPr>
      </w:pPr>
      <w:r>
        <w:rPr>
          <w:rFonts w:hint="eastAsia"/>
          <w:highlight w:val="none"/>
        </w:rPr>
        <w:t>3.5 对评审委员会成员的纪律要求</w:t>
      </w:r>
    </w:p>
    <w:p w14:paraId="3C00D287">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3D2D0E3">
      <w:pPr>
        <w:pStyle w:val="4"/>
        <w:rPr>
          <w:highlight w:val="none"/>
        </w:rPr>
      </w:pPr>
      <w:r>
        <w:rPr>
          <w:rFonts w:hint="eastAsia"/>
          <w:highlight w:val="none"/>
        </w:rPr>
        <w:t>3.6 对与评审活动有关的工作人员的纪律要求</w:t>
      </w:r>
    </w:p>
    <w:p w14:paraId="2B98D08E">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6A59234A">
      <w:pPr>
        <w:rPr>
          <w:highlight w:val="none"/>
        </w:rPr>
      </w:pPr>
      <w:r>
        <w:rPr>
          <w:rFonts w:hint="eastAsia"/>
          <w:highlight w:val="none"/>
        </w:rPr>
        <w:br w:type="page"/>
      </w:r>
      <w:bookmarkEnd w:id="68"/>
    </w:p>
    <w:p w14:paraId="6C3BB316">
      <w:pPr>
        <w:rPr>
          <w:highlight w:val="none"/>
        </w:rPr>
        <w:sectPr>
          <w:pgSz w:w="11906" w:h="16838"/>
          <w:pgMar w:top="1440" w:right="1800" w:bottom="1440" w:left="1800" w:header="851" w:footer="992" w:gutter="0"/>
          <w:cols w:space="720" w:num="1"/>
          <w:docGrid w:type="lines" w:linePitch="312" w:charSpace="0"/>
        </w:sectPr>
      </w:pPr>
    </w:p>
    <w:p w14:paraId="31998CEB">
      <w:pPr>
        <w:pStyle w:val="2"/>
        <w:rPr>
          <w:highlight w:val="none"/>
        </w:rPr>
      </w:pPr>
      <w:bookmarkStart w:id="84" w:name="_Toc11447"/>
      <w:bookmarkStart w:id="85" w:name="_Toc27619"/>
      <w:bookmarkStart w:id="86" w:name="_Toc150953074"/>
      <w:bookmarkStart w:id="87" w:name="_Toc303066034"/>
      <w:bookmarkStart w:id="88" w:name="_Toc89675170"/>
      <w:r>
        <w:rPr>
          <w:rFonts w:hint="eastAsia"/>
          <w:highlight w:val="none"/>
        </w:rPr>
        <w:t>第五章 合同</w:t>
      </w:r>
      <w:r>
        <w:rPr>
          <w:highlight w:val="none"/>
        </w:rPr>
        <w:t>模板</w:t>
      </w:r>
      <w:bookmarkEnd w:id="84"/>
      <w:bookmarkEnd w:id="85"/>
      <w:bookmarkEnd w:id="86"/>
    </w:p>
    <w:p w14:paraId="1FE74433">
      <w:pPr>
        <w:ind w:firstLine="0" w:firstLineChars="0"/>
        <w:jc w:val="center"/>
        <w:rPr>
          <w:highlight w:val="none"/>
        </w:rPr>
      </w:pPr>
      <w:r>
        <w:rPr>
          <w:rFonts w:hint="eastAsia"/>
          <w:highlight w:val="none"/>
        </w:rPr>
        <w:t>（本章节的合同条款及格式仅供参考，具体以合同签订时为准）</w:t>
      </w:r>
    </w:p>
    <w:p w14:paraId="7B871311">
      <w:pPr>
        <w:pStyle w:val="51"/>
        <w:snapToGrid w:val="0"/>
        <w:spacing w:before="0" w:beforeLines="0" w:beforeAutospacing="0" w:after="0" w:afterAutospacing="0" w:line="520" w:lineRule="exact"/>
        <w:ind w:firstLine="0" w:firstLineChars="0"/>
        <w:jc w:val="right"/>
        <w:rPr>
          <w:rFonts w:hint="eastAsia"/>
          <w:sz w:val="44"/>
          <w:highlight w:val="none"/>
        </w:rPr>
      </w:pPr>
      <w:r>
        <w:rPr>
          <w:highlight w:val="none"/>
        </w:rPr>
        <w:br w:type="textWrapping"/>
      </w:r>
      <w:r>
        <w:rPr>
          <w:rFonts w:hint="eastAsia"/>
          <w:sz w:val="28"/>
          <w:highlight w:val="none"/>
        </w:rPr>
        <w:t>编号：</w:t>
      </w:r>
      <w:r>
        <w:rPr>
          <w:sz w:val="28"/>
          <w:highlight w:val="none"/>
        </w:rPr>
        <w:t>SXYHXXKJ202_____</w:t>
      </w:r>
    </w:p>
    <w:p w14:paraId="25B28852">
      <w:pPr>
        <w:pStyle w:val="51"/>
        <w:snapToGrid w:val="0"/>
        <w:spacing w:before="0" w:beforeLines="0" w:beforeAutospacing="0" w:after="0" w:afterAutospacing="0" w:line="520" w:lineRule="exact"/>
        <w:ind w:firstLine="0" w:firstLineChars="0"/>
        <w:jc w:val="center"/>
        <w:rPr>
          <w:rFonts w:hint="eastAsia"/>
          <w:b/>
          <w:sz w:val="44"/>
          <w:highlight w:val="none"/>
        </w:rPr>
      </w:pPr>
    </w:p>
    <w:p w14:paraId="33115581">
      <w:pPr>
        <w:pStyle w:val="51"/>
        <w:snapToGrid w:val="0"/>
        <w:spacing w:before="0" w:beforeLines="0" w:beforeAutospacing="0" w:after="0" w:afterAutospacing="0" w:line="520" w:lineRule="exact"/>
        <w:ind w:firstLine="0" w:firstLineChars="0"/>
        <w:jc w:val="center"/>
        <w:rPr>
          <w:rFonts w:hint="eastAsia"/>
          <w:b/>
          <w:sz w:val="44"/>
          <w:highlight w:val="none"/>
        </w:rPr>
      </w:pPr>
    </w:p>
    <w:p w14:paraId="6E65B00C">
      <w:pPr>
        <w:pStyle w:val="51"/>
        <w:snapToGrid w:val="0"/>
        <w:spacing w:before="0" w:beforeLines="0" w:beforeAutospacing="0" w:after="0" w:afterAutospacing="0" w:line="520" w:lineRule="exact"/>
        <w:ind w:firstLine="0" w:firstLineChars="0"/>
        <w:jc w:val="center"/>
        <w:rPr>
          <w:rFonts w:hint="eastAsia"/>
          <w:b/>
          <w:sz w:val="44"/>
          <w:highlight w:val="none"/>
        </w:rPr>
      </w:pPr>
    </w:p>
    <w:p w14:paraId="09FD7E9B">
      <w:pPr>
        <w:pStyle w:val="51"/>
        <w:snapToGrid w:val="0"/>
        <w:spacing w:before="0" w:beforeLines="0" w:beforeAutospacing="0" w:after="0" w:afterAutospacing="0" w:line="520" w:lineRule="exact"/>
        <w:ind w:firstLine="0" w:firstLineChars="0"/>
        <w:jc w:val="center"/>
        <w:outlineLvl w:val="1"/>
        <w:rPr>
          <w:b/>
          <w:sz w:val="44"/>
          <w:highlight w:val="none"/>
        </w:rPr>
      </w:pPr>
      <w:r>
        <w:rPr>
          <w:rFonts w:hint="eastAsia"/>
          <w:b/>
          <w:sz w:val="44"/>
          <w:highlight w:val="none"/>
        </w:rPr>
        <w:t>重庆三峡银行</w:t>
      </w:r>
    </w:p>
    <w:p w14:paraId="03EA4C76">
      <w:pPr>
        <w:pStyle w:val="51"/>
        <w:snapToGrid w:val="0"/>
        <w:spacing w:before="0" w:beforeLines="0" w:beforeAutospacing="0" w:after="0" w:afterAutospacing="0" w:line="520" w:lineRule="exact"/>
        <w:ind w:firstLine="0" w:firstLineChars="0"/>
        <w:jc w:val="center"/>
        <w:rPr>
          <w:b/>
          <w:sz w:val="44"/>
          <w:highlight w:val="none"/>
        </w:rPr>
      </w:pPr>
      <w:bookmarkStart w:id="89" w:name="_Hlk363564034"/>
      <w:r>
        <w:rPr>
          <w:rFonts w:hint="eastAsia"/>
          <w:b/>
          <w:sz w:val="44"/>
          <w:highlight w:val="none"/>
        </w:rPr>
        <w:t>移动APP金融科技产品认证</w:t>
      </w:r>
      <w:r>
        <w:rPr>
          <w:b/>
          <w:sz w:val="44"/>
          <w:highlight w:val="none"/>
        </w:rPr>
        <w:t>服务</w:t>
      </w:r>
      <w:bookmarkEnd w:id="89"/>
      <w:r>
        <w:rPr>
          <w:rFonts w:hint="eastAsia"/>
          <w:b/>
          <w:sz w:val="44"/>
          <w:highlight w:val="none"/>
        </w:rPr>
        <w:t>合同</w:t>
      </w:r>
    </w:p>
    <w:p w14:paraId="7DA6BE91">
      <w:pPr>
        <w:snapToGrid w:val="0"/>
        <w:spacing w:line="520" w:lineRule="exact"/>
        <w:jc w:val="center"/>
        <w:rPr>
          <w:rFonts w:hint="eastAsia" w:ascii="宋体"/>
          <w:b/>
          <w:sz w:val="44"/>
          <w:highlight w:val="none"/>
        </w:rPr>
      </w:pPr>
    </w:p>
    <w:p w14:paraId="3EE1B43F">
      <w:pPr>
        <w:snapToGrid w:val="0"/>
        <w:spacing w:line="520" w:lineRule="exact"/>
        <w:rPr>
          <w:rFonts w:hint="eastAsia" w:ascii="宋体"/>
          <w:b/>
          <w:sz w:val="44"/>
          <w:highlight w:val="none"/>
        </w:rPr>
      </w:pPr>
    </w:p>
    <w:p w14:paraId="75246E11">
      <w:pPr>
        <w:pStyle w:val="51"/>
        <w:snapToGrid w:val="0"/>
        <w:spacing w:before="0" w:beforeLines="0" w:beforeAutospacing="0" w:after="0" w:afterAutospacing="0" w:line="520" w:lineRule="exact"/>
        <w:ind w:firstLine="0" w:firstLineChars="0"/>
        <w:jc w:val="center"/>
        <w:rPr>
          <w:b/>
          <w:sz w:val="32"/>
          <w:szCs w:val="32"/>
          <w:highlight w:val="none"/>
        </w:rPr>
      </w:pPr>
    </w:p>
    <w:p w14:paraId="3DFFB57D">
      <w:pPr>
        <w:pStyle w:val="51"/>
        <w:snapToGrid w:val="0"/>
        <w:spacing w:before="0" w:beforeLines="0" w:beforeAutospacing="0" w:after="0" w:afterAutospacing="0" w:line="520" w:lineRule="exact"/>
        <w:ind w:firstLine="0" w:firstLineChars="0"/>
        <w:jc w:val="center"/>
        <w:rPr>
          <w:b/>
          <w:sz w:val="32"/>
          <w:szCs w:val="32"/>
          <w:highlight w:val="none"/>
        </w:rPr>
      </w:pPr>
    </w:p>
    <w:p w14:paraId="6073114C">
      <w:pPr>
        <w:pStyle w:val="51"/>
        <w:snapToGrid w:val="0"/>
        <w:spacing w:before="0" w:beforeLines="0" w:beforeAutospacing="0" w:after="0" w:afterAutospacing="0" w:line="520" w:lineRule="exact"/>
        <w:ind w:firstLine="0" w:firstLineChars="0"/>
        <w:jc w:val="center"/>
        <w:rPr>
          <w:b/>
          <w:sz w:val="32"/>
          <w:szCs w:val="32"/>
          <w:highlight w:val="none"/>
        </w:rPr>
      </w:pPr>
    </w:p>
    <w:p w14:paraId="349AC0DF">
      <w:pPr>
        <w:pStyle w:val="51"/>
        <w:snapToGrid w:val="0"/>
        <w:spacing w:before="0" w:beforeLines="0" w:beforeAutospacing="0" w:after="0" w:afterAutospacing="0" w:line="520" w:lineRule="exact"/>
        <w:ind w:firstLine="0" w:firstLineChars="0"/>
        <w:jc w:val="center"/>
        <w:rPr>
          <w:rFonts w:hint="eastAsia"/>
          <w:b/>
          <w:sz w:val="32"/>
          <w:szCs w:val="32"/>
          <w:highlight w:val="none"/>
        </w:rPr>
      </w:pPr>
    </w:p>
    <w:p w14:paraId="0F279129">
      <w:pPr>
        <w:pStyle w:val="51"/>
        <w:snapToGrid w:val="0"/>
        <w:spacing w:before="0" w:beforeLines="0" w:beforeAutospacing="0" w:after="0" w:afterAutospacing="0" w:line="520" w:lineRule="exact"/>
        <w:ind w:firstLine="0" w:firstLineChars="0"/>
        <w:jc w:val="center"/>
        <w:rPr>
          <w:rFonts w:hint="eastAsia"/>
          <w:b/>
          <w:sz w:val="32"/>
          <w:szCs w:val="32"/>
          <w:highlight w:val="none"/>
        </w:rPr>
      </w:pPr>
    </w:p>
    <w:p w14:paraId="05594D0F">
      <w:pPr>
        <w:pStyle w:val="51"/>
        <w:snapToGrid w:val="0"/>
        <w:spacing w:before="0" w:beforeLines="0" w:beforeAutospacing="0" w:after="0" w:afterAutospacing="0" w:line="520" w:lineRule="exact"/>
        <w:ind w:left="1418" w:leftChars="675" w:firstLine="0" w:firstLineChars="0"/>
        <w:rPr>
          <w:rFonts w:hint="eastAsia"/>
          <w:b/>
          <w:szCs w:val="24"/>
          <w:highlight w:val="none"/>
        </w:rPr>
      </w:pPr>
      <w:r>
        <w:rPr>
          <w:rFonts w:hint="eastAsia"/>
          <w:b/>
          <w:szCs w:val="24"/>
          <w:highlight w:val="none"/>
        </w:rPr>
        <w:t>委托方：重庆三峡银行股份有限公司</w:t>
      </w:r>
    </w:p>
    <w:p w14:paraId="47929385">
      <w:pPr>
        <w:pStyle w:val="51"/>
        <w:snapToGrid w:val="0"/>
        <w:spacing w:before="0" w:beforeLines="0" w:beforeAutospacing="0" w:after="0" w:afterAutospacing="0" w:line="520" w:lineRule="exact"/>
        <w:ind w:left="1418" w:leftChars="675" w:firstLine="0" w:firstLineChars="0"/>
        <w:rPr>
          <w:rFonts w:hint="eastAsia"/>
          <w:b/>
          <w:szCs w:val="24"/>
          <w:highlight w:val="none"/>
        </w:rPr>
      </w:pPr>
      <w:r>
        <w:rPr>
          <w:rFonts w:hint="eastAsia"/>
          <w:b/>
          <w:szCs w:val="24"/>
          <w:highlight w:val="none"/>
        </w:rPr>
        <w:t>受托方：X</w:t>
      </w:r>
      <w:r>
        <w:rPr>
          <w:b/>
          <w:szCs w:val="24"/>
          <w:highlight w:val="none"/>
        </w:rPr>
        <w:t>XXXXXXXXXXXXXXXXXXXXXXX</w:t>
      </w:r>
    </w:p>
    <w:p w14:paraId="6F648508">
      <w:pPr>
        <w:pStyle w:val="51"/>
        <w:snapToGrid w:val="0"/>
        <w:spacing w:before="0" w:beforeLines="0" w:beforeAutospacing="0" w:after="0" w:afterAutospacing="0" w:line="520" w:lineRule="exact"/>
        <w:ind w:left="1418" w:leftChars="675" w:firstLine="0" w:firstLineChars="0"/>
        <w:rPr>
          <w:szCs w:val="24"/>
          <w:highlight w:val="none"/>
        </w:rPr>
      </w:pPr>
      <w:r>
        <w:rPr>
          <w:rFonts w:hint="eastAsia"/>
          <w:b/>
          <w:szCs w:val="24"/>
          <w:highlight w:val="none"/>
        </w:rPr>
        <w:t>签订地点：</w:t>
      </w:r>
    </w:p>
    <w:p w14:paraId="4DFD4DC1">
      <w:pPr>
        <w:pStyle w:val="13"/>
        <w:tabs>
          <w:tab w:val="right" w:pos="0"/>
          <w:tab w:val="clear" w:pos="630"/>
          <w:tab w:val="clear" w:pos="8730"/>
        </w:tabs>
        <w:adjustRightInd w:val="0"/>
        <w:snapToGrid w:val="0"/>
        <w:spacing w:line="520" w:lineRule="exact"/>
        <w:ind w:right="16" w:firstLine="0"/>
        <w:rPr>
          <w:rFonts w:hint="eastAsia" w:ascii="宋体" w:eastAsia="宋体"/>
          <w:sz w:val="28"/>
          <w:highlight w:val="none"/>
          <w:lang w:eastAsia="zh-CN"/>
        </w:rPr>
      </w:pPr>
    </w:p>
    <w:p w14:paraId="58685B51">
      <w:pPr>
        <w:rPr>
          <w:rFonts w:ascii="宋体"/>
          <w:b/>
          <w:sz w:val="24"/>
          <w:highlight w:val="none"/>
        </w:rPr>
      </w:pPr>
      <w:r>
        <w:rPr>
          <w:rFonts w:hint="eastAsia" w:ascii="宋体"/>
          <w:b/>
          <w:sz w:val="24"/>
          <w:highlight w:val="none"/>
        </w:rPr>
        <w:br w:type="page"/>
      </w:r>
    </w:p>
    <w:p w14:paraId="430441EF">
      <w:pPr>
        <w:snapToGrid w:val="0"/>
        <w:spacing w:line="520" w:lineRule="exact"/>
        <w:rPr>
          <w:rFonts w:hint="eastAsia" w:ascii="宋体"/>
          <w:b/>
          <w:sz w:val="24"/>
          <w:highlight w:val="none"/>
          <w:u w:val="single"/>
        </w:rPr>
      </w:pPr>
      <w:r>
        <w:rPr>
          <w:rFonts w:hint="eastAsia" w:ascii="宋体"/>
          <w:b/>
          <w:sz w:val="24"/>
          <w:highlight w:val="none"/>
        </w:rPr>
        <w:t>甲方: 重庆三峡银行股份有限公司（以下简称“甲方”）</w:t>
      </w:r>
    </w:p>
    <w:p w14:paraId="23ADCCD6">
      <w:pPr>
        <w:snapToGrid w:val="0"/>
        <w:spacing w:line="520" w:lineRule="exact"/>
        <w:rPr>
          <w:rFonts w:hint="eastAsia" w:ascii="宋体"/>
          <w:sz w:val="24"/>
          <w:highlight w:val="none"/>
        </w:rPr>
      </w:pPr>
      <w:r>
        <w:rPr>
          <w:rFonts w:hint="eastAsia" w:ascii="宋体"/>
          <w:sz w:val="24"/>
          <w:highlight w:val="none"/>
        </w:rPr>
        <w:t>地址：</w:t>
      </w:r>
      <w:r>
        <w:rPr>
          <w:rFonts w:ascii="宋体"/>
          <w:sz w:val="24"/>
          <w:szCs w:val="20"/>
          <w:highlight w:val="none"/>
        </w:rPr>
        <w:t>重庆市渝北区嘉州路88号中渝国际都会4号写字楼</w:t>
      </w:r>
    </w:p>
    <w:p w14:paraId="174E3132">
      <w:pPr>
        <w:snapToGrid w:val="0"/>
        <w:spacing w:line="520" w:lineRule="exact"/>
        <w:rPr>
          <w:rFonts w:hint="eastAsia" w:ascii="宋体"/>
          <w:sz w:val="24"/>
          <w:highlight w:val="none"/>
        </w:rPr>
      </w:pPr>
      <w:r>
        <w:rPr>
          <w:rFonts w:hint="eastAsia" w:ascii="宋体"/>
          <w:sz w:val="24"/>
          <w:highlight w:val="none"/>
        </w:rPr>
        <w:t>法定代表人：刘江桥</w:t>
      </w:r>
    </w:p>
    <w:p w14:paraId="3F6B7013">
      <w:pPr>
        <w:snapToGrid w:val="0"/>
        <w:spacing w:line="520" w:lineRule="exact"/>
        <w:rPr>
          <w:rFonts w:hint="eastAsia" w:ascii="宋体"/>
          <w:sz w:val="24"/>
          <w:highlight w:val="none"/>
        </w:rPr>
      </w:pPr>
      <w:r>
        <w:rPr>
          <w:rFonts w:hint="eastAsia" w:ascii="宋体"/>
          <w:sz w:val="24"/>
          <w:highlight w:val="none"/>
        </w:rPr>
        <w:t>邮政编码：</w:t>
      </w:r>
    </w:p>
    <w:p w14:paraId="08D5FCE7">
      <w:pPr>
        <w:snapToGrid w:val="0"/>
        <w:spacing w:line="520" w:lineRule="exact"/>
        <w:rPr>
          <w:rFonts w:hint="eastAsia" w:ascii="宋体"/>
          <w:sz w:val="24"/>
          <w:highlight w:val="none"/>
        </w:rPr>
      </w:pPr>
      <w:r>
        <w:rPr>
          <w:rFonts w:hint="eastAsia" w:ascii="宋体"/>
          <w:sz w:val="24"/>
          <w:highlight w:val="none"/>
        </w:rPr>
        <w:t xml:space="preserve">联系人： </w:t>
      </w:r>
    </w:p>
    <w:p w14:paraId="3C0C3012">
      <w:pPr>
        <w:snapToGrid w:val="0"/>
        <w:spacing w:line="520" w:lineRule="exact"/>
        <w:rPr>
          <w:rFonts w:hint="eastAsia" w:ascii="宋体"/>
          <w:sz w:val="24"/>
          <w:highlight w:val="none"/>
        </w:rPr>
      </w:pPr>
      <w:r>
        <w:rPr>
          <w:rFonts w:hint="eastAsia" w:ascii="宋体"/>
          <w:sz w:val="24"/>
          <w:highlight w:val="none"/>
        </w:rPr>
        <w:t>电话：</w:t>
      </w:r>
    </w:p>
    <w:p w14:paraId="53CD668F">
      <w:pPr>
        <w:snapToGrid w:val="0"/>
        <w:spacing w:line="520" w:lineRule="exact"/>
        <w:rPr>
          <w:rFonts w:hint="eastAsia" w:ascii="宋体"/>
          <w:sz w:val="24"/>
          <w:highlight w:val="none"/>
        </w:rPr>
      </w:pPr>
      <w:r>
        <w:rPr>
          <w:rFonts w:hint="eastAsia" w:ascii="宋体"/>
          <w:sz w:val="24"/>
          <w:highlight w:val="none"/>
        </w:rPr>
        <w:t>传真：</w:t>
      </w:r>
    </w:p>
    <w:p w14:paraId="7839B07C">
      <w:pPr>
        <w:snapToGrid w:val="0"/>
        <w:spacing w:line="520" w:lineRule="exact"/>
        <w:rPr>
          <w:rFonts w:hint="eastAsia" w:ascii="宋体"/>
          <w:sz w:val="24"/>
          <w:highlight w:val="none"/>
        </w:rPr>
      </w:pPr>
      <w:r>
        <w:rPr>
          <w:rFonts w:hint="eastAsia" w:ascii="宋体"/>
          <w:sz w:val="24"/>
          <w:highlight w:val="none"/>
        </w:rPr>
        <w:t>电子邮箱：</w:t>
      </w:r>
    </w:p>
    <w:p w14:paraId="3994A636">
      <w:pPr>
        <w:snapToGrid w:val="0"/>
        <w:spacing w:line="520" w:lineRule="exact"/>
        <w:rPr>
          <w:rFonts w:hint="eastAsia" w:ascii="宋体"/>
          <w:sz w:val="24"/>
          <w:highlight w:val="none"/>
        </w:rPr>
      </w:pPr>
    </w:p>
    <w:p w14:paraId="773FC854">
      <w:pPr>
        <w:snapToGrid w:val="0"/>
        <w:spacing w:line="520" w:lineRule="exact"/>
        <w:rPr>
          <w:rFonts w:hint="eastAsia" w:ascii="宋体"/>
          <w:sz w:val="24"/>
          <w:highlight w:val="none"/>
        </w:rPr>
      </w:pPr>
    </w:p>
    <w:p w14:paraId="10A70AC8">
      <w:pPr>
        <w:snapToGrid w:val="0"/>
        <w:spacing w:line="520" w:lineRule="exact"/>
        <w:rPr>
          <w:rFonts w:hint="eastAsia" w:ascii="宋体"/>
          <w:sz w:val="24"/>
          <w:highlight w:val="none"/>
        </w:rPr>
      </w:pPr>
    </w:p>
    <w:p w14:paraId="42CBF221">
      <w:pPr>
        <w:snapToGrid w:val="0"/>
        <w:spacing w:line="520" w:lineRule="exact"/>
        <w:rPr>
          <w:rFonts w:hint="eastAsia" w:ascii="宋体"/>
          <w:sz w:val="24"/>
          <w:highlight w:val="none"/>
        </w:rPr>
      </w:pPr>
    </w:p>
    <w:p w14:paraId="0CCD26E6">
      <w:pPr>
        <w:snapToGrid w:val="0"/>
        <w:spacing w:line="520" w:lineRule="exact"/>
        <w:rPr>
          <w:rFonts w:hint="eastAsia" w:ascii="宋体"/>
          <w:sz w:val="24"/>
          <w:highlight w:val="none"/>
        </w:rPr>
      </w:pPr>
    </w:p>
    <w:p w14:paraId="55C0C16A">
      <w:pPr>
        <w:snapToGrid w:val="0"/>
        <w:spacing w:line="520" w:lineRule="exact"/>
        <w:rPr>
          <w:rFonts w:hint="eastAsia" w:ascii="宋体"/>
          <w:b/>
          <w:sz w:val="24"/>
          <w:highlight w:val="none"/>
        </w:rPr>
      </w:pPr>
      <w:r>
        <w:rPr>
          <w:rFonts w:hint="eastAsia" w:ascii="宋体"/>
          <w:b/>
          <w:sz w:val="24"/>
          <w:highlight w:val="none"/>
        </w:rPr>
        <w:t>乙方: XXXXXXXXXXXXXXXXXXXXX（以下简称“乙方”）</w:t>
      </w:r>
    </w:p>
    <w:p w14:paraId="45DDCD21">
      <w:pPr>
        <w:snapToGrid w:val="0"/>
        <w:spacing w:line="520" w:lineRule="exact"/>
        <w:rPr>
          <w:rFonts w:hint="eastAsia" w:ascii="宋体"/>
          <w:sz w:val="24"/>
          <w:highlight w:val="none"/>
        </w:rPr>
      </w:pPr>
      <w:r>
        <w:rPr>
          <w:rFonts w:hint="eastAsia" w:ascii="宋体"/>
          <w:sz w:val="24"/>
          <w:highlight w:val="none"/>
        </w:rPr>
        <w:t xml:space="preserve">法定代表人： </w:t>
      </w:r>
    </w:p>
    <w:p w14:paraId="7D692A75">
      <w:pPr>
        <w:snapToGrid w:val="0"/>
        <w:spacing w:line="520" w:lineRule="exact"/>
        <w:rPr>
          <w:rFonts w:hint="eastAsia" w:ascii="宋体"/>
          <w:sz w:val="24"/>
          <w:highlight w:val="none"/>
        </w:rPr>
      </w:pPr>
      <w:r>
        <w:rPr>
          <w:rFonts w:hint="eastAsia" w:ascii="宋体"/>
          <w:sz w:val="24"/>
          <w:highlight w:val="none"/>
        </w:rPr>
        <w:t>地址：</w:t>
      </w:r>
    </w:p>
    <w:p w14:paraId="39112E91">
      <w:pPr>
        <w:snapToGrid w:val="0"/>
        <w:spacing w:line="520" w:lineRule="exact"/>
        <w:rPr>
          <w:rFonts w:hint="eastAsia" w:ascii="宋体"/>
          <w:sz w:val="24"/>
          <w:highlight w:val="none"/>
        </w:rPr>
      </w:pPr>
      <w:r>
        <w:rPr>
          <w:rFonts w:hint="eastAsia" w:ascii="宋体"/>
          <w:sz w:val="24"/>
          <w:highlight w:val="none"/>
        </w:rPr>
        <w:t>邮政编码：</w:t>
      </w:r>
    </w:p>
    <w:p w14:paraId="0CE9C9E5">
      <w:pPr>
        <w:snapToGrid w:val="0"/>
        <w:spacing w:line="520" w:lineRule="exact"/>
        <w:rPr>
          <w:rFonts w:hint="eastAsia" w:ascii="宋体"/>
          <w:sz w:val="24"/>
          <w:highlight w:val="none"/>
        </w:rPr>
      </w:pPr>
      <w:r>
        <w:rPr>
          <w:rFonts w:hint="eastAsia" w:ascii="宋体"/>
          <w:sz w:val="24"/>
          <w:highlight w:val="none"/>
        </w:rPr>
        <w:t xml:space="preserve">开户银行： </w:t>
      </w:r>
    </w:p>
    <w:p w14:paraId="0EB84D55">
      <w:pPr>
        <w:snapToGrid w:val="0"/>
        <w:spacing w:line="520" w:lineRule="exact"/>
        <w:rPr>
          <w:rFonts w:hint="eastAsia" w:ascii="宋体"/>
          <w:sz w:val="24"/>
          <w:highlight w:val="none"/>
        </w:rPr>
      </w:pPr>
      <w:r>
        <w:rPr>
          <w:rFonts w:hint="eastAsia" w:ascii="宋体"/>
          <w:sz w:val="24"/>
          <w:highlight w:val="none"/>
        </w:rPr>
        <w:t xml:space="preserve">账号：  </w:t>
      </w:r>
    </w:p>
    <w:p w14:paraId="199988B4">
      <w:pPr>
        <w:snapToGrid w:val="0"/>
        <w:spacing w:line="520" w:lineRule="exact"/>
        <w:rPr>
          <w:rFonts w:hint="eastAsia" w:ascii="宋体"/>
          <w:sz w:val="24"/>
          <w:highlight w:val="none"/>
        </w:rPr>
      </w:pPr>
      <w:r>
        <w:rPr>
          <w:rFonts w:hint="eastAsia" w:ascii="宋体"/>
          <w:sz w:val="24"/>
          <w:highlight w:val="none"/>
        </w:rPr>
        <w:t>税号：</w:t>
      </w:r>
    </w:p>
    <w:p w14:paraId="32B0ADD8">
      <w:pPr>
        <w:snapToGrid w:val="0"/>
        <w:spacing w:line="520" w:lineRule="exact"/>
        <w:rPr>
          <w:rFonts w:hint="eastAsia" w:ascii="宋体"/>
          <w:sz w:val="24"/>
          <w:highlight w:val="none"/>
        </w:rPr>
      </w:pPr>
      <w:r>
        <w:rPr>
          <w:rFonts w:hint="eastAsia" w:ascii="宋体"/>
          <w:sz w:val="24"/>
          <w:highlight w:val="none"/>
        </w:rPr>
        <w:t xml:space="preserve">联系人： </w:t>
      </w:r>
    </w:p>
    <w:p w14:paraId="5D875F01">
      <w:pPr>
        <w:snapToGrid w:val="0"/>
        <w:spacing w:line="520" w:lineRule="exact"/>
        <w:rPr>
          <w:rFonts w:hint="eastAsia" w:ascii="宋体"/>
          <w:sz w:val="24"/>
          <w:highlight w:val="none"/>
        </w:rPr>
      </w:pPr>
      <w:r>
        <w:rPr>
          <w:rFonts w:hint="eastAsia" w:ascii="宋体"/>
          <w:sz w:val="24"/>
          <w:highlight w:val="none"/>
        </w:rPr>
        <w:t>电话：</w:t>
      </w:r>
    </w:p>
    <w:p w14:paraId="607890CB">
      <w:pPr>
        <w:snapToGrid w:val="0"/>
        <w:spacing w:line="520" w:lineRule="exact"/>
        <w:rPr>
          <w:rFonts w:hint="eastAsia" w:ascii="宋体"/>
          <w:sz w:val="24"/>
          <w:highlight w:val="none"/>
        </w:rPr>
      </w:pPr>
      <w:r>
        <w:rPr>
          <w:rFonts w:hint="eastAsia" w:ascii="宋体"/>
          <w:sz w:val="24"/>
          <w:highlight w:val="none"/>
        </w:rPr>
        <w:t>手机：</w:t>
      </w:r>
    </w:p>
    <w:p w14:paraId="331035DA">
      <w:pPr>
        <w:snapToGrid w:val="0"/>
        <w:spacing w:line="520" w:lineRule="exact"/>
        <w:rPr>
          <w:rFonts w:hint="eastAsia" w:ascii="宋体"/>
          <w:sz w:val="24"/>
          <w:highlight w:val="none"/>
        </w:rPr>
      </w:pPr>
      <w:r>
        <w:rPr>
          <w:rFonts w:hint="eastAsia" w:ascii="宋体"/>
          <w:sz w:val="24"/>
          <w:highlight w:val="none"/>
        </w:rPr>
        <w:t>传真：</w:t>
      </w:r>
    </w:p>
    <w:p w14:paraId="1F46BD9F">
      <w:pPr>
        <w:snapToGrid w:val="0"/>
        <w:spacing w:line="520" w:lineRule="exact"/>
        <w:rPr>
          <w:rFonts w:hint="eastAsia" w:ascii="宋体"/>
          <w:sz w:val="24"/>
          <w:highlight w:val="none"/>
          <w:lang w:val="en-GB"/>
        </w:rPr>
      </w:pPr>
      <w:r>
        <w:rPr>
          <w:rFonts w:hint="eastAsia" w:ascii="宋体"/>
          <w:sz w:val="24"/>
          <w:highlight w:val="none"/>
        </w:rPr>
        <w:t>电子邮箱：</w:t>
      </w:r>
    </w:p>
    <w:p w14:paraId="7ECBCB61">
      <w:pPr>
        <w:pStyle w:val="13"/>
        <w:tabs>
          <w:tab w:val="right" w:pos="0"/>
          <w:tab w:val="clear" w:pos="630"/>
          <w:tab w:val="clear" w:pos="8730"/>
        </w:tabs>
        <w:adjustRightInd w:val="0"/>
        <w:snapToGrid w:val="0"/>
        <w:spacing w:line="520" w:lineRule="exact"/>
        <w:ind w:right="17" w:firstLine="0"/>
        <w:rPr>
          <w:rFonts w:hint="eastAsia" w:ascii="宋体" w:eastAsia="宋体"/>
          <w:sz w:val="24"/>
          <w:highlight w:val="none"/>
          <w:lang w:eastAsia="zh-CN"/>
        </w:rPr>
      </w:pPr>
      <w:r>
        <w:rPr>
          <w:rFonts w:hint="eastAsia" w:ascii="宋体" w:eastAsia="宋体"/>
          <w:sz w:val="32"/>
          <w:highlight w:val="none"/>
          <w:lang w:eastAsia="zh-CN"/>
        </w:rPr>
        <w:t xml:space="preserve">               </w:t>
      </w:r>
      <w:r>
        <w:rPr>
          <w:rFonts w:hint="eastAsia" w:ascii="宋体" w:eastAsia="宋体"/>
          <w:sz w:val="24"/>
          <w:highlight w:val="none"/>
          <w:lang w:eastAsia="zh-CN"/>
        </w:rPr>
        <w:t xml:space="preserve">      </w:t>
      </w:r>
    </w:p>
    <w:p w14:paraId="46E4207E">
      <w:pPr>
        <w:rPr>
          <w:highlight w:val="none"/>
        </w:rPr>
      </w:pPr>
    </w:p>
    <w:p w14:paraId="482A79A0">
      <w:pPr>
        <w:pStyle w:val="15"/>
        <w:snapToGrid w:val="0"/>
        <w:spacing w:line="520" w:lineRule="exact"/>
        <w:ind w:firstLine="480" w:firstLineChars="200"/>
        <w:rPr>
          <w:rFonts w:hint="eastAsia" w:ascii="宋体" w:eastAsia="宋体"/>
          <w:szCs w:val="20"/>
          <w:highlight w:val="none"/>
        </w:rPr>
      </w:pPr>
      <w:r>
        <w:rPr>
          <w:rFonts w:hint="eastAsia" w:ascii="宋体" w:eastAsia="宋体"/>
          <w:szCs w:val="20"/>
          <w:highlight w:val="none"/>
        </w:rPr>
        <w:t>甲方与乙方本着自愿、平等、互利、诚实信用的原则，通过友好协商，</w:t>
      </w:r>
      <w:r>
        <w:rPr>
          <w:rFonts w:hint="eastAsia" w:ascii="宋体"/>
          <w:sz w:val="24"/>
          <w:highlight w:val="none"/>
        </w:rPr>
        <w:t>依据相关法律、法规的规定</w:t>
      </w:r>
      <w:r>
        <w:rPr>
          <w:rFonts w:hint="eastAsia" w:ascii="宋体" w:eastAsia="宋体"/>
          <w:szCs w:val="20"/>
          <w:highlight w:val="none"/>
        </w:rPr>
        <w:t>，就“重庆三峡银行移动APP金融科技产品认证服务项目”（下称“本项目”）服务内容达成一致，签订本协议：</w:t>
      </w:r>
    </w:p>
    <w:p w14:paraId="18BEBFB1">
      <w:pPr>
        <w:pStyle w:val="13"/>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highlight w:val="none"/>
          <w:lang w:val="en-US" w:eastAsia="zh-CN"/>
        </w:rPr>
      </w:pPr>
    </w:p>
    <w:p w14:paraId="559C4FDC">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highlight w:val="none"/>
          <w:lang w:eastAsia="zh-CN"/>
        </w:rPr>
      </w:pPr>
      <w:bookmarkStart w:id="90" w:name="_Toc11075"/>
      <w:r>
        <w:rPr>
          <w:rFonts w:hint="eastAsia" w:ascii="宋体" w:eastAsia="宋体"/>
          <w:b/>
          <w:sz w:val="24"/>
          <w:highlight w:val="none"/>
          <w:lang w:eastAsia="zh-CN"/>
        </w:rPr>
        <w:t>第一条  服务范围</w:t>
      </w:r>
      <w:bookmarkEnd w:id="90"/>
    </w:p>
    <w:p w14:paraId="4FFC4288">
      <w:pPr>
        <w:pStyle w:val="15"/>
        <w:snapToGrid w:val="0"/>
        <w:spacing w:line="520" w:lineRule="exact"/>
        <w:outlineLvl w:val="2"/>
        <w:rPr>
          <w:rFonts w:hint="eastAsia" w:ascii="宋体" w:eastAsia="宋体"/>
          <w:highlight w:val="none"/>
        </w:rPr>
      </w:pPr>
      <w:r>
        <w:rPr>
          <w:rFonts w:hint="eastAsia" w:ascii="宋体" w:eastAsia="宋体"/>
          <w:highlight w:val="none"/>
        </w:rPr>
        <w:t>1.1 服务事项：</w:t>
      </w:r>
    </w:p>
    <w:p w14:paraId="452E96FC">
      <w:pPr>
        <w:snapToGrid w:val="0"/>
        <w:spacing w:line="520" w:lineRule="exact"/>
        <w:ind w:firstLine="480" w:firstLineChars="200"/>
        <w:rPr>
          <w:rFonts w:hint="eastAsia" w:ascii="宋体"/>
          <w:sz w:val="24"/>
          <w:highlight w:val="none"/>
        </w:rPr>
      </w:pPr>
      <w:r>
        <w:rPr>
          <w:rFonts w:hint="eastAsia" w:ascii="宋体"/>
          <w:sz w:val="24"/>
          <w:highlight w:val="none"/>
        </w:rPr>
        <w:t>乙方向甲方提供</w:t>
      </w:r>
      <w:r>
        <w:rPr>
          <w:rFonts w:hint="eastAsia" w:ascii="宋体"/>
          <w:color w:val="FF0000"/>
          <w:sz w:val="24"/>
          <w:highlight w:val="none"/>
        </w:rPr>
        <w:t>移动APP金融科技产品认证</w:t>
      </w:r>
      <w:r>
        <w:rPr>
          <w:rFonts w:hint="eastAsia" w:ascii="宋体"/>
          <w:sz w:val="24"/>
          <w:highlight w:val="none"/>
        </w:rPr>
        <w:t>服务，服务的具体内容详见本合同附件1。</w:t>
      </w:r>
    </w:p>
    <w:p w14:paraId="074DDEB7">
      <w:pPr>
        <w:pStyle w:val="15"/>
        <w:snapToGrid w:val="0"/>
        <w:spacing w:line="520" w:lineRule="exact"/>
        <w:outlineLvl w:val="2"/>
        <w:rPr>
          <w:rFonts w:hint="eastAsia" w:ascii="宋体" w:eastAsia="宋体"/>
          <w:highlight w:val="none"/>
        </w:rPr>
      </w:pPr>
      <w:r>
        <w:rPr>
          <w:rFonts w:hint="eastAsia" w:ascii="宋体" w:eastAsia="宋体"/>
          <w:highlight w:val="none"/>
        </w:rPr>
        <w:t>1.2 服务履行方式：</w:t>
      </w:r>
    </w:p>
    <w:p w14:paraId="5817B88D">
      <w:pPr>
        <w:pStyle w:val="15"/>
        <w:snapToGrid w:val="0"/>
        <w:spacing w:line="520" w:lineRule="exact"/>
        <w:rPr>
          <w:rFonts w:hint="eastAsia" w:ascii="宋体" w:eastAsia="宋体"/>
          <w:kern w:val="0"/>
          <w:szCs w:val="20"/>
          <w:highlight w:val="none"/>
        </w:rPr>
      </w:pPr>
      <w:r>
        <w:rPr>
          <w:rFonts w:hint="eastAsia" w:ascii="宋体" w:eastAsia="宋体"/>
          <w:kern w:val="0"/>
          <w:szCs w:val="20"/>
          <w:highlight w:val="none"/>
        </w:rPr>
        <w:t xml:space="preserve">服务的履行方式详见本合同附件1。   </w:t>
      </w:r>
    </w:p>
    <w:p w14:paraId="6E7B6869">
      <w:pPr>
        <w:spacing w:beforeAutospacing="0" w:afterAutospacing="0" w:line="520" w:lineRule="exact"/>
        <w:rPr>
          <w:rFonts w:hint="eastAsia" w:ascii="宋体"/>
          <w:kern w:val="0"/>
          <w:sz w:val="24"/>
          <w:highlight w:val="none"/>
        </w:rPr>
      </w:pPr>
      <w:r>
        <w:rPr>
          <w:rFonts w:hint="eastAsia" w:ascii="宋体"/>
          <w:kern w:val="0"/>
          <w:sz w:val="24"/>
          <w:highlight w:val="none"/>
        </w:rPr>
        <w:t>1.3</w:t>
      </w:r>
      <w:r>
        <w:rPr>
          <w:rFonts w:ascii="宋体"/>
          <w:kern w:val="0"/>
          <w:sz w:val="24"/>
          <w:highlight w:val="none"/>
        </w:rPr>
        <w:t xml:space="preserve"> </w:t>
      </w:r>
      <w:r>
        <w:rPr>
          <w:rFonts w:hint="eastAsia" w:ascii="宋体"/>
          <w:color w:val="FF0000"/>
          <w:kern w:val="0"/>
          <w:sz w:val="24"/>
          <w:highlight w:val="none"/>
        </w:rPr>
        <w:t>服务期限：自合同签订之日起，服务期至完成甲方三年内移动APP金融科技产品认证工作，顺利获取认证证书及备案证明，且协助完成</w:t>
      </w:r>
      <w:r>
        <w:rPr>
          <w:rFonts w:ascii="宋体"/>
          <w:color w:val="FF0000"/>
          <w:kern w:val="0"/>
          <w:sz w:val="24"/>
          <w:highlight w:val="none"/>
        </w:rPr>
        <w:t>甲方</w:t>
      </w:r>
      <w:r>
        <w:rPr>
          <w:rFonts w:hint="eastAsia" w:ascii="宋体"/>
          <w:color w:val="FF0000"/>
          <w:kern w:val="0"/>
          <w:sz w:val="24"/>
          <w:highlight w:val="none"/>
        </w:rPr>
        <w:t>三年内认证的移动APP证书有效期内的年度监督审查。</w:t>
      </w:r>
    </w:p>
    <w:p w14:paraId="3FB22F56">
      <w:pPr>
        <w:pStyle w:val="15"/>
        <w:snapToGrid w:val="0"/>
        <w:spacing w:line="520" w:lineRule="exact"/>
        <w:ind w:firstLine="0"/>
        <w:rPr>
          <w:rFonts w:hint="eastAsia" w:ascii="宋体" w:eastAsia="宋体"/>
          <w:highlight w:val="none"/>
        </w:rPr>
      </w:pPr>
    </w:p>
    <w:p w14:paraId="28C4121C">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91" w:name="_Toc13763"/>
      <w:r>
        <w:rPr>
          <w:rFonts w:hint="eastAsia" w:ascii="宋体" w:eastAsia="宋体"/>
          <w:b/>
          <w:sz w:val="24"/>
          <w:highlight w:val="none"/>
          <w:lang w:eastAsia="zh-CN"/>
        </w:rPr>
        <w:t>第二条  项目实施人员</w:t>
      </w:r>
      <w:bookmarkEnd w:id="91"/>
    </w:p>
    <w:p w14:paraId="6285CFCE">
      <w:pPr>
        <w:pStyle w:val="11"/>
        <w:snapToGrid w:val="0"/>
        <w:spacing w:line="520" w:lineRule="exact"/>
        <w:ind w:left="0" w:firstLine="522" w:firstLineChars="0"/>
        <w:rPr>
          <w:rFonts w:hint="eastAsia" w:ascii="宋体"/>
          <w:highlight w:val="none"/>
          <w:lang w:eastAsia="zh-CN"/>
        </w:rPr>
      </w:pPr>
      <w:r>
        <w:rPr>
          <w:rFonts w:hint="eastAsia" w:ascii="宋体"/>
          <w:kern w:val="2"/>
          <w:szCs w:val="24"/>
          <w:highlight w:val="none"/>
          <w:lang w:val="en-US" w:eastAsia="zh-CN"/>
        </w:rPr>
        <w:t xml:space="preserve">2.1 </w:t>
      </w:r>
      <w:r>
        <w:rPr>
          <w:rFonts w:hint="eastAsia" w:ascii="宋体"/>
          <w:highlight w:val="none"/>
          <w:lang w:eastAsia="zh-CN"/>
        </w:rPr>
        <w:t>为了按时和按专业水准完成本项目工作，乙方应配备足够数量和级别的专业人员，并提供实施方案所示项目团队成员名单（见附件1），各成员按照实施方案规定的工作安排参与项目实施。</w:t>
      </w:r>
    </w:p>
    <w:p w14:paraId="538E2C32">
      <w:pPr>
        <w:pStyle w:val="11"/>
        <w:snapToGrid w:val="0"/>
        <w:spacing w:line="520" w:lineRule="exact"/>
        <w:ind w:left="0" w:firstLine="522" w:firstLineChars="0"/>
        <w:rPr>
          <w:rFonts w:hint="eastAsia" w:ascii="宋体"/>
          <w:highlight w:val="none"/>
          <w:lang w:eastAsia="zh-CN"/>
        </w:rPr>
      </w:pPr>
      <w:r>
        <w:rPr>
          <w:rFonts w:hint="eastAsia" w:ascii="宋体"/>
          <w:highlight w:val="none"/>
          <w:lang w:eastAsia="zh-CN"/>
        </w:rPr>
        <w:t>2.2 在项目实施过程中，乙方原则上不得更换项目团队核心工作人员，且乙方应确保项目团队核心人员驻场提供服务。确需更换的，乙方应提前通知甲方并经甲方同意，并配备同等级别的人员替补，且乙方保证有关人员更换不影响项目的质量和实施进程。替换人员需通过甲方考察，否则甲方有权要求更换。</w:t>
      </w:r>
    </w:p>
    <w:p w14:paraId="111DCCEB">
      <w:pPr>
        <w:pStyle w:val="13"/>
        <w:tabs>
          <w:tab w:val="right" w:pos="0"/>
          <w:tab w:val="clear" w:pos="630"/>
          <w:tab w:val="clear" w:pos="8730"/>
        </w:tabs>
        <w:adjustRightInd w:val="0"/>
        <w:snapToGrid w:val="0"/>
        <w:spacing w:line="520" w:lineRule="exact"/>
        <w:ind w:left="0" w:right="16" w:firstLine="0"/>
        <w:outlineLvl w:val="9"/>
        <w:rPr>
          <w:rFonts w:hint="eastAsia" w:ascii="宋体" w:eastAsia="宋体"/>
          <w:sz w:val="24"/>
          <w:highlight w:val="none"/>
          <w:lang w:eastAsia="zh-CN"/>
        </w:rPr>
      </w:pPr>
    </w:p>
    <w:p w14:paraId="0FD36826">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92" w:name="_Toc15113"/>
      <w:r>
        <w:rPr>
          <w:rFonts w:hint="eastAsia" w:ascii="宋体" w:eastAsia="宋体"/>
          <w:b/>
          <w:sz w:val="24"/>
          <w:highlight w:val="none"/>
          <w:lang w:eastAsia="zh-CN"/>
        </w:rPr>
        <w:t>第三条  甲方的权利和义务</w:t>
      </w:r>
      <w:bookmarkEnd w:id="92"/>
    </w:p>
    <w:p w14:paraId="66CDAFD9">
      <w:pPr>
        <w:adjustRightInd w:val="0"/>
        <w:snapToGrid w:val="0"/>
        <w:spacing w:line="520" w:lineRule="exact"/>
        <w:ind w:firstLine="480" w:firstLineChars="200"/>
        <w:rPr>
          <w:rFonts w:hint="eastAsia" w:ascii="宋体"/>
          <w:sz w:val="24"/>
          <w:highlight w:val="none"/>
        </w:rPr>
      </w:pPr>
      <w:r>
        <w:rPr>
          <w:rFonts w:hint="eastAsia" w:ascii="宋体"/>
          <w:sz w:val="24"/>
          <w:highlight w:val="none"/>
        </w:rPr>
        <w:t>3.1 有权要求乙方按照附件1规定的或者甲方与乙方另行协定的工作时间表完成本合同约定的服务，且有权基于合理要求随时了解乙方的工作安排和进度，并对乙方的工作及时提出意见和指示。</w:t>
      </w:r>
    </w:p>
    <w:p w14:paraId="196E04DE">
      <w:pPr>
        <w:pStyle w:val="13"/>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sz w:val="24"/>
          <w:highlight w:val="none"/>
          <w:lang w:eastAsia="zh-CN"/>
        </w:rPr>
        <w:t>3.2</w:t>
      </w:r>
      <w:r>
        <w:rPr>
          <w:rFonts w:hint="eastAsia" w:ascii="宋体" w:eastAsia="宋体"/>
          <w:kern w:val="2"/>
          <w:sz w:val="24"/>
          <w:highlight w:val="none"/>
          <w:lang w:val="en-US" w:eastAsia="zh-CN"/>
        </w:rPr>
        <w:t xml:space="preserve"> 应在法律规定的范围内且根据本合同条款的规定正确使用乙方出具的交付物。</w:t>
      </w:r>
    </w:p>
    <w:p w14:paraId="21A81946">
      <w:pPr>
        <w:pStyle w:val="13"/>
        <w:tabs>
          <w:tab w:val="right" w:pos="0"/>
          <w:tab w:val="clear" w:pos="630"/>
          <w:tab w:val="clear" w:pos="8730"/>
        </w:tabs>
        <w:adjustRightInd w:val="0"/>
        <w:snapToGrid w:val="0"/>
        <w:spacing w:line="520" w:lineRule="exact"/>
        <w:ind w:right="16" w:firstLine="480" w:firstLineChars="200"/>
        <w:outlineLvl w:val="2"/>
        <w:rPr>
          <w:rFonts w:hint="eastAsia" w:ascii="宋体" w:eastAsia="宋体"/>
          <w:kern w:val="2"/>
          <w:sz w:val="24"/>
          <w:highlight w:val="none"/>
          <w:lang w:val="en-US" w:eastAsia="zh-CN"/>
        </w:rPr>
      </w:pPr>
      <w:r>
        <w:rPr>
          <w:rFonts w:hint="eastAsia" w:ascii="宋体" w:eastAsia="宋体"/>
          <w:kern w:val="2"/>
          <w:sz w:val="24"/>
          <w:highlight w:val="none"/>
          <w:lang w:val="en-US" w:eastAsia="zh-CN"/>
        </w:rPr>
        <w:t>3.3</w:t>
      </w:r>
      <w:r>
        <w:rPr>
          <w:rFonts w:ascii="宋体" w:eastAsia="宋体"/>
          <w:kern w:val="2"/>
          <w:sz w:val="24"/>
          <w:highlight w:val="none"/>
          <w:lang w:val="en-US" w:eastAsia="zh-CN"/>
        </w:rPr>
        <w:t xml:space="preserve"> </w:t>
      </w:r>
      <w:r>
        <w:rPr>
          <w:rFonts w:hint="eastAsia" w:ascii="宋体" w:eastAsia="宋体"/>
          <w:kern w:val="2"/>
          <w:sz w:val="24"/>
          <w:highlight w:val="none"/>
          <w:lang w:val="en-US" w:eastAsia="zh-CN"/>
        </w:rPr>
        <w:t>应当充分配合乙方的服务工作，包括：</w:t>
      </w:r>
    </w:p>
    <w:p w14:paraId="496925E3">
      <w:pPr>
        <w:adjustRightInd w:val="0"/>
        <w:snapToGrid w:val="0"/>
        <w:spacing w:line="520" w:lineRule="exact"/>
        <w:ind w:firstLine="480" w:firstLineChars="200"/>
        <w:rPr>
          <w:rFonts w:hint="eastAsia" w:ascii="宋体"/>
          <w:sz w:val="24"/>
          <w:highlight w:val="none"/>
        </w:rPr>
      </w:pPr>
      <w:r>
        <w:rPr>
          <w:rFonts w:hint="eastAsia" w:ascii="宋体"/>
          <w:sz w:val="24"/>
          <w:highlight w:val="none"/>
        </w:rPr>
        <w:t>（1）自本合同签订后，甲方应及时或按乙方的要求向乙方提交乙方服务所需的甲方相关基础资料；</w:t>
      </w:r>
    </w:p>
    <w:p w14:paraId="38AAA9B8">
      <w:pPr>
        <w:adjustRightInd w:val="0"/>
        <w:snapToGrid w:val="0"/>
        <w:spacing w:line="520" w:lineRule="exact"/>
        <w:ind w:firstLine="480" w:firstLineChars="200"/>
        <w:rPr>
          <w:rFonts w:hint="eastAsia" w:ascii="宋体"/>
          <w:sz w:val="24"/>
          <w:highlight w:val="none"/>
        </w:rPr>
      </w:pPr>
      <w:r>
        <w:rPr>
          <w:rFonts w:hint="eastAsia" w:ascii="宋体"/>
          <w:sz w:val="24"/>
          <w:highlight w:val="none"/>
        </w:rPr>
        <w:t>（2）在提供服务过程中，就乙方提出的合理的工作计划和人员要求及时做出相关安排，及时向乙方提供所需资料与信息并安排业务访谈，并迅速做出决策；</w:t>
      </w:r>
    </w:p>
    <w:p w14:paraId="386589A9">
      <w:pPr>
        <w:adjustRightInd w:val="0"/>
        <w:snapToGrid w:val="0"/>
        <w:spacing w:line="520" w:lineRule="exact"/>
        <w:ind w:firstLine="480" w:firstLineChars="200"/>
        <w:rPr>
          <w:rFonts w:hint="eastAsia" w:ascii="宋体"/>
          <w:sz w:val="24"/>
          <w:highlight w:val="none"/>
        </w:rPr>
      </w:pPr>
      <w:r>
        <w:rPr>
          <w:rFonts w:hint="eastAsia" w:ascii="宋体"/>
          <w:sz w:val="24"/>
          <w:highlight w:val="none"/>
        </w:rPr>
        <w:t>（3）甲方所提供的资料如有变更，应及时提供变更后的资料；</w:t>
      </w:r>
    </w:p>
    <w:p w14:paraId="5C361BA4">
      <w:pPr>
        <w:adjustRightInd w:val="0"/>
        <w:snapToGrid w:val="0"/>
        <w:spacing w:line="520" w:lineRule="exact"/>
        <w:ind w:firstLine="480" w:firstLineChars="200"/>
        <w:rPr>
          <w:rFonts w:hint="eastAsia" w:ascii="宋体"/>
          <w:sz w:val="24"/>
          <w:highlight w:val="none"/>
        </w:rPr>
      </w:pPr>
      <w:r>
        <w:rPr>
          <w:rFonts w:hint="eastAsia" w:ascii="宋体"/>
          <w:sz w:val="24"/>
          <w:highlight w:val="none"/>
        </w:rPr>
        <w:t>（4）向乙方项目实施人员提供必要的办公场所等工作支持。</w:t>
      </w:r>
    </w:p>
    <w:p w14:paraId="01F0C31E">
      <w:pPr>
        <w:pStyle w:val="13"/>
        <w:tabs>
          <w:tab w:val="right" w:pos="0"/>
          <w:tab w:val="clear" w:pos="630"/>
          <w:tab w:val="clear" w:pos="8730"/>
        </w:tabs>
        <w:adjustRightInd w:val="0"/>
        <w:snapToGrid w:val="0"/>
        <w:spacing w:line="520" w:lineRule="exact"/>
        <w:ind w:right="16" w:firstLine="480" w:firstLineChars="200"/>
        <w:outlineLvl w:val="2"/>
        <w:rPr>
          <w:rFonts w:hint="eastAsia" w:ascii="宋体" w:eastAsia="宋体"/>
          <w:sz w:val="24"/>
          <w:highlight w:val="none"/>
          <w:lang w:eastAsia="zh-CN"/>
        </w:rPr>
      </w:pPr>
      <w:r>
        <w:rPr>
          <w:rFonts w:hint="eastAsia" w:ascii="宋体" w:eastAsia="宋体"/>
          <w:sz w:val="24"/>
          <w:highlight w:val="none"/>
          <w:lang w:eastAsia="zh-CN"/>
        </w:rPr>
        <w:t>3.4 按照本合同约定向乙方支付服务费用。</w:t>
      </w:r>
    </w:p>
    <w:p w14:paraId="599DDD85">
      <w:pPr>
        <w:pStyle w:val="13"/>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3.5 如甲方提供信息及其他资料存在问题，导致乙方需要对服务作较大调整，双方应进行协商，就服务范围以及服务费用调整提出解决方案。</w:t>
      </w:r>
    </w:p>
    <w:p w14:paraId="150A7D99">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93" w:name="_Toc22363"/>
      <w:r>
        <w:rPr>
          <w:rFonts w:hint="eastAsia" w:ascii="宋体" w:eastAsia="宋体"/>
          <w:b/>
          <w:sz w:val="24"/>
          <w:highlight w:val="none"/>
          <w:lang w:eastAsia="zh-CN"/>
        </w:rPr>
        <w:t>第四条  乙方的权利和义务</w:t>
      </w:r>
      <w:bookmarkEnd w:id="93"/>
    </w:p>
    <w:p w14:paraId="4D3D4223">
      <w:pPr>
        <w:pStyle w:val="13"/>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4.1 遵守法律法规及银行业金融机构内部管理制度及规定，贯彻执行相关监管政策。</w:t>
      </w:r>
    </w:p>
    <w:p w14:paraId="5BE0E187">
      <w:pPr>
        <w:pStyle w:val="13"/>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val="zh-CN" w:eastAsia="zh-CN"/>
        </w:rPr>
      </w:pPr>
      <w:r>
        <w:rPr>
          <w:rFonts w:hint="eastAsia" w:ascii="宋体" w:eastAsia="宋体"/>
          <w:sz w:val="24"/>
          <w:highlight w:val="none"/>
          <w:lang w:eastAsia="zh-CN"/>
        </w:rPr>
        <w:t>4.2</w:t>
      </w:r>
      <w:r>
        <w:rPr>
          <w:rFonts w:ascii="宋体" w:eastAsia="宋体"/>
          <w:sz w:val="24"/>
          <w:highlight w:val="none"/>
          <w:lang w:eastAsia="zh-CN"/>
        </w:rPr>
        <w:t xml:space="preserve"> </w:t>
      </w:r>
      <w:r>
        <w:rPr>
          <w:rFonts w:hint="eastAsia" w:ascii="宋体" w:eastAsia="宋体"/>
          <w:sz w:val="24"/>
          <w:highlight w:val="none"/>
          <w:lang w:eastAsia="zh-CN"/>
        </w:rPr>
        <w:t>乙方需为甲方提供持续的项目风险识别和控制措施，并按甲方要求提供公司财务分析报告、项目进度报告以及重大事项报告等。</w:t>
      </w:r>
    </w:p>
    <w:p w14:paraId="66D57842">
      <w:pPr>
        <w:pStyle w:val="13"/>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4.3</w:t>
      </w:r>
      <w:r>
        <w:rPr>
          <w:rFonts w:ascii="宋体" w:eastAsia="宋体"/>
          <w:sz w:val="24"/>
          <w:highlight w:val="none"/>
          <w:lang w:eastAsia="zh-CN"/>
        </w:rPr>
        <w:t xml:space="preserve"> </w:t>
      </w:r>
      <w:r>
        <w:rPr>
          <w:rFonts w:hint="eastAsia" w:ascii="宋体" w:eastAsia="宋体"/>
          <w:sz w:val="24"/>
          <w:highlight w:val="none"/>
          <w:lang w:eastAsia="zh-CN"/>
        </w:rPr>
        <w:t>乙方应该适时开展风险管理评估和第三方审计工作，应该接受甲方的审核、评估以及外包检查，并配合接受来自监管机构的各项检查，配合对监管意见做出相应的管理、服务等的整改。</w:t>
      </w:r>
    </w:p>
    <w:p w14:paraId="263D0BEB">
      <w:pPr>
        <w:pStyle w:val="13"/>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kern w:val="2"/>
          <w:sz w:val="24"/>
          <w:highlight w:val="none"/>
          <w:lang w:eastAsia="zh-CN"/>
        </w:rPr>
        <w:t>4.</w:t>
      </w:r>
      <w:r>
        <w:rPr>
          <w:rFonts w:ascii="宋体" w:eastAsia="宋体"/>
          <w:kern w:val="2"/>
          <w:sz w:val="24"/>
          <w:highlight w:val="none"/>
          <w:lang w:eastAsia="zh-CN"/>
        </w:rPr>
        <w:t xml:space="preserve">4 </w:t>
      </w:r>
      <w:r>
        <w:rPr>
          <w:rFonts w:ascii="宋体" w:eastAsia="宋体"/>
          <w:kern w:val="2"/>
          <w:sz w:val="24"/>
          <w:highlight w:val="none"/>
          <w:lang w:val="en-US" w:eastAsia="zh-CN"/>
        </w:rPr>
        <w:t>乙方应针对服务内容为甲方制定业务连续性计划和应急计划并维护好相关资源</w:t>
      </w:r>
      <w:r>
        <w:rPr>
          <w:rFonts w:hint="eastAsia" w:ascii="宋体" w:eastAsia="宋体"/>
          <w:kern w:val="2"/>
          <w:sz w:val="24"/>
          <w:highlight w:val="none"/>
          <w:lang w:val="en-US" w:eastAsia="zh-CN"/>
        </w:rPr>
        <w:t>，</w:t>
      </w:r>
      <w:r>
        <w:rPr>
          <w:rFonts w:ascii="宋体" w:eastAsia="宋体"/>
          <w:kern w:val="2"/>
          <w:sz w:val="24"/>
          <w:highlight w:val="none"/>
          <w:lang w:val="en-US" w:eastAsia="zh-CN"/>
        </w:rPr>
        <w:t>在服务质量不能满足合同要求时</w:t>
      </w:r>
      <w:r>
        <w:rPr>
          <w:rFonts w:hint="eastAsia" w:ascii="宋体" w:eastAsia="宋体"/>
          <w:kern w:val="2"/>
          <w:sz w:val="24"/>
          <w:highlight w:val="none"/>
          <w:lang w:val="en-US" w:eastAsia="zh-CN"/>
        </w:rPr>
        <w:t>，甲方具有</w:t>
      </w:r>
      <w:r>
        <w:rPr>
          <w:rFonts w:ascii="宋体" w:eastAsia="宋体"/>
          <w:kern w:val="2"/>
          <w:sz w:val="24"/>
          <w:highlight w:val="none"/>
          <w:lang w:val="en-US" w:eastAsia="zh-CN"/>
        </w:rPr>
        <w:t>优先获取服务资源的权利</w:t>
      </w:r>
      <w:r>
        <w:rPr>
          <w:rFonts w:hint="eastAsia" w:ascii="宋体" w:eastAsia="宋体"/>
          <w:kern w:val="2"/>
          <w:sz w:val="24"/>
          <w:highlight w:val="none"/>
          <w:lang w:val="en-US" w:eastAsia="zh-CN"/>
        </w:rPr>
        <w:t>。</w:t>
      </w:r>
    </w:p>
    <w:p w14:paraId="7418712E">
      <w:pPr>
        <w:rPr>
          <w:rFonts w:ascii="宋体"/>
          <w:sz w:val="24"/>
          <w:highlight w:val="none"/>
        </w:rPr>
      </w:pPr>
      <w:r>
        <w:rPr>
          <w:rFonts w:hint="eastAsia" w:ascii="宋体" w:eastAsia="宋体"/>
          <w:sz w:val="24"/>
          <w:highlight w:val="none"/>
          <w:lang w:eastAsia="zh-CN"/>
        </w:rPr>
        <w:t>4.</w:t>
      </w:r>
      <w:r>
        <w:rPr>
          <w:rFonts w:ascii="宋体" w:eastAsia="宋体"/>
          <w:sz w:val="24"/>
          <w:highlight w:val="none"/>
          <w:lang w:eastAsia="zh-CN"/>
        </w:rPr>
        <w:t>5</w:t>
      </w:r>
      <w:r>
        <w:rPr>
          <w:rFonts w:hint="eastAsia" w:ascii="宋体" w:eastAsia="宋体"/>
          <w:sz w:val="24"/>
          <w:highlight w:val="none"/>
          <w:lang w:eastAsia="zh-CN"/>
        </w:rPr>
        <w:t xml:space="preserve"> 应当按项目计划完成工作内容说明书规定的服务，并提交项目成果。</w:t>
      </w:r>
    </w:p>
    <w:p w14:paraId="2ECE378A">
      <w:pPr>
        <w:pStyle w:val="13"/>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4.</w:t>
      </w:r>
      <w:r>
        <w:rPr>
          <w:rFonts w:ascii="宋体" w:eastAsia="宋体"/>
          <w:sz w:val="24"/>
          <w:highlight w:val="none"/>
          <w:lang w:eastAsia="zh-CN"/>
        </w:rPr>
        <w:t xml:space="preserve">6 </w:t>
      </w:r>
      <w:r>
        <w:rPr>
          <w:rFonts w:hint="eastAsia" w:ascii="宋体" w:eastAsia="宋体"/>
          <w:sz w:val="24"/>
          <w:highlight w:val="none"/>
          <w:lang w:eastAsia="zh-CN"/>
        </w:rPr>
        <w:t>有义务对甲方提出的口头或书面咨询进行及时解答或提交书面咨询意见。</w:t>
      </w:r>
    </w:p>
    <w:p w14:paraId="7C838380">
      <w:pPr>
        <w:pStyle w:val="13"/>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sz w:val="24"/>
          <w:highlight w:val="none"/>
          <w:lang w:eastAsia="zh-CN"/>
        </w:rPr>
        <w:t>4.</w:t>
      </w:r>
      <w:r>
        <w:rPr>
          <w:rFonts w:ascii="宋体" w:eastAsia="宋体"/>
          <w:sz w:val="24"/>
          <w:highlight w:val="none"/>
          <w:lang w:eastAsia="zh-CN"/>
        </w:rPr>
        <w:t xml:space="preserve">7 </w:t>
      </w:r>
      <w:r>
        <w:rPr>
          <w:rFonts w:hint="eastAsia" w:ascii="宋体" w:eastAsia="宋体"/>
          <w:sz w:val="24"/>
          <w:highlight w:val="none"/>
          <w:lang w:eastAsia="zh-CN"/>
        </w:rPr>
        <w:t>应当按照甲方的合理要求，及时报告有</w:t>
      </w:r>
      <w:r>
        <w:rPr>
          <w:rFonts w:hint="eastAsia" w:ascii="宋体" w:eastAsia="宋体"/>
          <w:kern w:val="2"/>
          <w:sz w:val="24"/>
          <w:highlight w:val="none"/>
          <w:lang w:val="en-US" w:eastAsia="zh-CN"/>
        </w:rPr>
        <w:t>关服务事宜的进展情况。</w:t>
      </w:r>
    </w:p>
    <w:p w14:paraId="6475750B">
      <w:pPr>
        <w:pStyle w:val="13"/>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4.</w:t>
      </w:r>
      <w:r>
        <w:rPr>
          <w:rFonts w:ascii="宋体" w:eastAsia="宋体"/>
          <w:kern w:val="2"/>
          <w:sz w:val="24"/>
          <w:highlight w:val="none"/>
          <w:lang w:val="en-US" w:eastAsia="zh-CN"/>
        </w:rPr>
        <w:t xml:space="preserve">8 </w:t>
      </w:r>
      <w:r>
        <w:rPr>
          <w:rFonts w:hint="eastAsia" w:ascii="宋体" w:eastAsia="宋体"/>
          <w:kern w:val="2"/>
          <w:sz w:val="24"/>
          <w:highlight w:val="none"/>
          <w:lang w:val="en-US" w:eastAsia="zh-CN"/>
        </w:rPr>
        <w:t xml:space="preserve">保证其项目实施人员具有充分的完成其相应工作任务的专业知识和经验。 </w:t>
      </w:r>
    </w:p>
    <w:p w14:paraId="095F07DE">
      <w:pPr>
        <w:pStyle w:val="13"/>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4.</w:t>
      </w:r>
      <w:r>
        <w:rPr>
          <w:rFonts w:ascii="宋体" w:eastAsia="宋体"/>
          <w:kern w:val="2"/>
          <w:sz w:val="24"/>
          <w:highlight w:val="none"/>
          <w:lang w:val="en-US" w:eastAsia="zh-CN"/>
        </w:rPr>
        <w:t xml:space="preserve">9 </w:t>
      </w:r>
      <w:r>
        <w:rPr>
          <w:rFonts w:hint="eastAsia" w:ascii="宋体" w:eastAsia="宋体"/>
          <w:kern w:val="2"/>
          <w:sz w:val="24"/>
          <w:highlight w:val="none"/>
          <w:lang w:val="en-US" w:eastAsia="zh-CN"/>
        </w:rPr>
        <w:t>乙方保证遵守甲方《重庆三峡银行回避管理办法》中招录回避、任职回避、公务回避的相关要求。若发现乙方人员与甲方内部人员存在亲属关系，乙方应主动报告，并采取相应回避措施。</w:t>
      </w:r>
    </w:p>
    <w:p w14:paraId="31BFD992">
      <w:pPr>
        <w:pStyle w:val="13"/>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4.1</w:t>
      </w:r>
      <w:r>
        <w:rPr>
          <w:rFonts w:ascii="宋体" w:eastAsia="宋体"/>
          <w:kern w:val="2"/>
          <w:sz w:val="24"/>
          <w:highlight w:val="none"/>
          <w:lang w:val="en-US" w:eastAsia="zh-CN"/>
        </w:rPr>
        <w:t xml:space="preserve">0 </w:t>
      </w:r>
      <w:r>
        <w:rPr>
          <w:rFonts w:hint="eastAsia" w:ascii="宋体" w:eastAsia="宋体"/>
          <w:kern w:val="2"/>
          <w:sz w:val="24"/>
          <w:highlight w:val="none"/>
          <w:lang w:val="en-US" w:eastAsia="zh-CN"/>
        </w:rPr>
        <w:t>乙方保证其人员无不良记录，乙方与其建立合法的雇佣关系，依法履行用工管理职责。</w:t>
      </w:r>
    </w:p>
    <w:p w14:paraId="21ABE969">
      <w:pPr>
        <w:pStyle w:val="13"/>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4.1</w:t>
      </w:r>
      <w:r>
        <w:rPr>
          <w:rFonts w:ascii="宋体" w:eastAsia="宋体"/>
          <w:kern w:val="2"/>
          <w:sz w:val="24"/>
          <w:highlight w:val="none"/>
          <w:lang w:val="en-US" w:eastAsia="zh-CN"/>
        </w:rPr>
        <w:t>1</w:t>
      </w:r>
      <w:r>
        <w:rPr>
          <w:rFonts w:hint="eastAsia" w:ascii="宋体" w:eastAsia="宋体"/>
          <w:kern w:val="2"/>
          <w:sz w:val="24"/>
          <w:highlight w:val="none"/>
          <w:lang w:val="en-US" w:eastAsia="zh-CN"/>
        </w:rPr>
        <w:t xml:space="preserve"> 乙方定期通报外包事项，及时通报外包突发性事件及解决情况。</w:t>
      </w:r>
    </w:p>
    <w:p w14:paraId="5E8084DD">
      <w:pPr>
        <w:pStyle w:val="13"/>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highlight w:val="none"/>
          <w:lang w:eastAsia="zh-CN"/>
        </w:rPr>
      </w:pPr>
    </w:p>
    <w:p w14:paraId="482C2602">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94" w:name="_Toc28327"/>
      <w:r>
        <w:rPr>
          <w:rFonts w:hint="eastAsia" w:ascii="宋体" w:eastAsia="宋体"/>
          <w:b/>
          <w:sz w:val="24"/>
          <w:highlight w:val="none"/>
          <w:lang w:eastAsia="zh-CN"/>
        </w:rPr>
        <w:t>第五条  项目成果的验收</w:t>
      </w:r>
      <w:bookmarkEnd w:id="94"/>
    </w:p>
    <w:p w14:paraId="26B00539">
      <w:pPr>
        <w:pStyle w:val="13"/>
        <w:tabs>
          <w:tab w:val="right" w:pos="0"/>
          <w:tab w:val="clear" w:pos="630"/>
          <w:tab w:val="clear" w:pos="8730"/>
        </w:tabs>
        <w:adjustRightInd w:val="0"/>
        <w:snapToGrid w:val="0"/>
        <w:spacing w:line="520" w:lineRule="exact"/>
        <w:ind w:right="17"/>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5.1</w:t>
      </w:r>
      <w:r>
        <w:rPr>
          <w:rFonts w:ascii="宋体" w:eastAsia="宋体"/>
          <w:kern w:val="2"/>
          <w:sz w:val="24"/>
          <w:szCs w:val="24"/>
          <w:highlight w:val="none"/>
          <w:lang w:val="en-US" w:eastAsia="zh-CN"/>
        </w:rPr>
        <w:t xml:space="preserve"> </w:t>
      </w:r>
      <w:r>
        <w:rPr>
          <w:rFonts w:hint="eastAsia" w:ascii="宋体" w:eastAsia="宋体"/>
          <w:kern w:val="2"/>
          <w:sz w:val="24"/>
          <w:szCs w:val="24"/>
          <w:highlight w:val="none"/>
          <w:lang w:val="en-US" w:eastAsia="zh-CN"/>
        </w:rPr>
        <w:t>乙方保证以良好的态度和专业能力提供服务，并按照附件的规定</w:t>
      </w:r>
      <w:r>
        <w:rPr>
          <w:rFonts w:hint="eastAsia" w:ascii="宋体" w:eastAsia="宋体"/>
          <w:sz w:val="24"/>
          <w:highlight w:val="none"/>
          <w:lang w:eastAsia="zh-CN"/>
        </w:rPr>
        <w:t>向甲方交付工作成果，并向甲方就交付成果进行讲解、交流、汇报</w:t>
      </w:r>
      <w:r>
        <w:rPr>
          <w:rFonts w:hint="eastAsia" w:ascii="宋体" w:eastAsia="宋体"/>
          <w:sz w:val="24"/>
          <w:highlight w:val="none"/>
          <w:lang w:eastAsia="zh-CN"/>
        </w:rPr>
        <w:fldChar w:fldCharType="begin"/>
      </w:r>
      <w:r>
        <w:rPr>
          <w:highlight w:val="none"/>
        </w:rPr>
        <w:instrText xml:space="preserve">HYPERLINK "http://www.51paper.net" \o "论文资料网"</w:instrText>
      </w:r>
      <w:r>
        <w:rPr>
          <w:rFonts w:hint="eastAsia" w:ascii="宋体" w:eastAsia="宋体"/>
          <w:sz w:val="24"/>
          <w:highlight w:val="none"/>
          <w:lang w:eastAsia="zh-CN"/>
        </w:rPr>
        <w:fldChar w:fldCharType="separate"/>
      </w:r>
      <w:r>
        <w:rPr>
          <w:rFonts w:hint="eastAsia" w:ascii="宋体" w:eastAsia="宋体"/>
          <w:sz w:val="24"/>
          <w:highlight w:val="none"/>
          <w:lang w:eastAsia="zh-CN"/>
        </w:rPr>
        <w:t>。</w:t>
      </w:r>
      <w:r>
        <w:rPr>
          <w:rFonts w:hint="eastAsia" w:ascii="宋体" w:eastAsia="宋体"/>
          <w:sz w:val="24"/>
          <w:highlight w:val="none"/>
          <w:lang w:eastAsia="zh-CN"/>
        </w:rPr>
        <w:fldChar w:fldCharType="end"/>
      </w:r>
      <w:r>
        <w:rPr>
          <w:rFonts w:hint="eastAsia" w:ascii="宋体" w:eastAsia="宋体"/>
          <w:sz w:val="24"/>
          <w:highlight w:val="none"/>
          <w:lang w:eastAsia="zh-CN"/>
        </w:rPr>
        <w:t>乙方在项目过程中提交的交付物应与工作内容说明书的要求相符合。甲方收到交付物并充分交流后，应在30</w:t>
      </w:r>
      <w:r>
        <w:rPr>
          <w:rFonts w:hint="eastAsia" w:ascii="宋体" w:eastAsia="宋体"/>
          <w:kern w:val="2"/>
          <w:sz w:val="24"/>
          <w:szCs w:val="24"/>
          <w:highlight w:val="none"/>
          <w:lang w:val="en-US" w:eastAsia="zh-CN"/>
        </w:rPr>
        <w:t>个工作日内组织验收，并通知乙方验收结果。如甲方因故不能验收的，应通知乙方。双方另行约定时间进行验收。</w:t>
      </w:r>
    </w:p>
    <w:p w14:paraId="123FA52E">
      <w:pPr>
        <w:pStyle w:val="13"/>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5.2</w:t>
      </w:r>
      <w:r>
        <w:rPr>
          <w:rFonts w:ascii="宋体" w:eastAsia="宋体"/>
          <w:kern w:val="2"/>
          <w:sz w:val="24"/>
          <w:szCs w:val="24"/>
          <w:highlight w:val="none"/>
          <w:lang w:val="en-US" w:eastAsia="zh-CN"/>
        </w:rPr>
        <w:t xml:space="preserve"> </w:t>
      </w:r>
      <w:r>
        <w:rPr>
          <w:rFonts w:hint="eastAsia" w:ascii="宋体" w:eastAsia="宋体"/>
          <w:kern w:val="2"/>
          <w:sz w:val="24"/>
          <w:szCs w:val="24"/>
          <w:highlight w:val="none"/>
          <w:lang w:val="en-US" w:eastAsia="zh-CN"/>
        </w:rPr>
        <w:t>乙方按照本合同约定完成各项服务并提交全部交付物，全部验收合格视为本项目整体验收合格。</w:t>
      </w:r>
    </w:p>
    <w:p w14:paraId="726770E8">
      <w:pPr>
        <w:pStyle w:val="13"/>
        <w:snapToGrid w:val="0"/>
        <w:spacing w:line="520" w:lineRule="exact"/>
        <w:ind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6BDDD15A">
      <w:pPr>
        <w:pStyle w:val="13"/>
        <w:tabs>
          <w:tab w:val="right" w:pos="0"/>
          <w:tab w:val="left" w:pos="1418"/>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95" w:name="_Toc20971"/>
      <w:r>
        <w:rPr>
          <w:rFonts w:hint="eastAsia" w:ascii="宋体" w:eastAsia="宋体"/>
          <w:b/>
          <w:sz w:val="24"/>
          <w:highlight w:val="none"/>
          <w:lang w:eastAsia="zh-CN"/>
        </w:rPr>
        <w:t>第六条  知识产权</w:t>
      </w:r>
      <w:bookmarkEnd w:id="95"/>
    </w:p>
    <w:p w14:paraId="1FFEC275">
      <w:pPr>
        <w:pStyle w:val="13"/>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6.1</w:t>
      </w:r>
      <w:r>
        <w:rPr>
          <w:rFonts w:ascii="宋体" w:eastAsia="宋体"/>
          <w:kern w:val="2"/>
          <w:sz w:val="24"/>
          <w:szCs w:val="24"/>
          <w:highlight w:val="none"/>
          <w:lang w:val="en-US" w:eastAsia="zh-CN"/>
        </w:rPr>
        <w:t xml:space="preserve"> </w:t>
      </w:r>
      <w:r>
        <w:rPr>
          <w:rFonts w:hint="eastAsia" w:ascii="宋体" w:eastAsia="宋体"/>
          <w:kern w:val="2"/>
          <w:sz w:val="24"/>
          <w:szCs w:val="24"/>
          <w:highlight w:val="none"/>
          <w:lang w:val="en-US" w:eastAsia="zh-CN"/>
        </w:rPr>
        <w:t>本合同签署前，双方各自所有的知识产权归各自所有，不因本合同的履行而被对方取得。</w:t>
      </w:r>
    </w:p>
    <w:p w14:paraId="3442C2EC">
      <w:pPr>
        <w:pStyle w:val="13"/>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6.2 本合同签署后，乙方按照本合同规定向甲方提交的交付物的知识产权属于甲方。</w:t>
      </w:r>
    </w:p>
    <w:p w14:paraId="4CB7A5C9">
      <w:pPr>
        <w:pStyle w:val="13"/>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6.3 在遵守保密约定的前提下，乙方有权使用其在履行本合同过程中使用或开发的咨询业务常识、技能、经验、构思、概念和方法，有权为自身或他人制作与本合同项下类似的材料。</w:t>
      </w:r>
    </w:p>
    <w:p w14:paraId="673447D0">
      <w:pPr>
        <w:pStyle w:val="13"/>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eastAsia="zh-CN"/>
        </w:rPr>
      </w:pPr>
      <w:r>
        <w:rPr>
          <w:rFonts w:hint="eastAsia" w:ascii="宋体" w:eastAsia="宋体"/>
          <w:kern w:val="2"/>
          <w:sz w:val="24"/>
          <w:szCs w:val="24"/>
          <w:highlight w:val="none"/>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4E84989B">
      <w:pPr>
        <w:pStyle w:val="13"/>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6.5</w:t>
      </w:r>
      <w:r>
        <w:rPr>
          <w:rFonts w:ascii="宋体" w:eastAsia="宋体"/>
          <w:kern w:val="2"/>
          <w:sz w:val="24"/>
          <w:szCs w:val="24"/>
          <w:highlight w:val="none"/>
          <w:lang w:val="en-US" w:eastAsia="zh-CN"/>
        </w:rPr>
        <w:t xml:space="preserve"> 一经发现</w:t>
      </w:r>
      <w:r>
        <w:rPr>
          <w:rFonts w:hint="eastAsia" w:ascii="宋体" w:eastAsia="宋体"/>
          <w:kern w:val="2"/>
          <w:sz w:val="24"/>
          <w:szCs w:val="24"/>
          <w:highlight w:val="none"/>
          <w:lang w:val="en-US" w:eastAsia="zh-CN"/>
        </w:rPr>
        <w:t>乙方</w:t>
      </w:r>
      <w:r>
        <w:rPr>
          <w:rFonts w:ascii="宋体" w:eastAsia="宋体"/>
          <w:kern w:val="2"/>
          <w:sz w:val="24"/>
          <w:szCs w:val="24"/>
          <w:highlight w:val="none"/>
          <w:lang w:val="en-US" w:eastAsia="zh-CN"/>
        </w:rPr>
        <w:t>将</w:t>
      </w:r>
      <w:r>
        <w:rPr>
          <w:rFonts w:hint="eastAsia" w:ascii="宋体" w:eastAsia="宋体"/>
          <w:kern w:val="2"/>
          <w:sz w:val="24"/>
          <w:szCs w:val="24"/>
          <w:highlight w:val="none"/>
          <w:lang w:val="en-US" w:eastAsia="zh-CN"/>
        </w:rPr>
        <w:t>甲方</w:t>
      </w:r>
      <w:r>
        <w:rPr>
          <w:rFonts w:ascii="宋体" w:eastAsia="宋体"/>
          <w:kern w:val="2"/>
          <w:sz w:val="24"/>
          <w:szCs w:val="24"/>
          <w:highlight w:val="none"/>
          <w:lang w:val="en-US" w:eastAsia="zh-CN"/>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宋体" w:eastAsia="宋体"/>
          <w:kern w:val="2"/>
          <w:sz w:val="24"/>
          <w:szCs w:val="24"/>
          <w:highlight w:val="none"/>
          <w:lang w:val="en-US" w:eastAsia="zh-CN"/>
        </w:rPr>
        <w:t>乙</w:t>
      </w:r>
      <w:r>
        <w:rPr>
          <w:rFonts w:ascii="宋体" w:eastAsia="宋体"/>
          <w:kern w:val="2"/>
          <w:sz w:val="24"/>
          <w:szCs w:val="24"/>
          <w:highlight w:val="none"/>
          <w:lang w:val="en-US" w:eastAsia="zh-CN"/>
        </w:rPr>
        <w:t>方相应处罚（处罚金额不低于合同金额的10%）</w:t>
      </w:r>
    </w:p>
    <w:p w14:paraId="69BF36BD">
      <w:pPr>
        <w:pStyle w:val="13"/>
        <w:tabs>
          <w:tab w:val="right" w:pos="0"/>
          <w:tab w:val="clear" w:pos="630"/>
          <w:tab w:val="clear" w:pos="8730"/>
        </w:tabs>
        <w:adjustRightInd w:val="0"/>
        <w:snapToGrid w:val="0"/>
        <w:spacing w:line="520" w:lineRule="exact"/>
        <w:ind w:right="17" w:firstLine="480" w:firstLineChars="200"/>
        <w:outlineLvl w:val="2"/>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6.6 本合同终止后，本知识产权条款持续有效。</w:t>
      </w:r>
    </w:p>
    <w:p w14:paraId="760DC2BB">
      <w:pPr>
        <w:pStyle w:val="13"/>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highlight w:val="none"/>
          <w:lang w:eastAsia="zh-CN"/>
        </w:rPr>
      </w:pPr>
    </w:p>
    <w:p w14:paraId="3342BF94">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96" w:name="_Toc8918"/>
      <w:r>
        <w:rPr>
          <w:rFonts w:hint="eastAsia" w:ascii="宋体" w:eastAsia="宋体"/>
          <w:b/>
          <w:sz w:val="24"/>
          <w:highlight w:val="none"/>
          <w:lang w:eastAsia="zh-CN"/>
        </w:rPr>
        <w:t>第七条  服务费用及其支付</w:t>
      </w:r>
      <w:bookmarkEnd w:id="96"/>
    </w:p>
    <w:p w14:paraId="443CCBF4">
      <w:pPr>
        <w:snapToGrid w:val="0"/>
        <w:spacing w:line="520" w:lineRule="exact"/>
        <w:ind w:firstLine="480" w:firstLineChars="200"/>
        <w:outlineLvl w:val="2"/>
        <w:rPr>
          <w:rFonts w:hint="eastAsia" w:ascii="宋体"/>
          <w:sz w:val="24"/>
          <w:highlight w:val="none"/>
        </w:rPr>
      </w:pPr>
      <w:r>
        <w:rPr>
          <w:rFonts w:hint="eastAsia" w:ascii="宋体"/>
          <w:sz w:val="24"/>
          <w:highlight w:val="none"/>
        </w:rPr>
        <w:t>7.1 服务费用：</w:t>
      </w:r>
    </w:p>
    <w:p w14:paraId="384C88C2">
      <w:pPr>
        <w:pStyle w:val="13"/>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sz w:val="24"/>
          <w:highlight w:val="none"/>
          <w:lang w:val="en-US" w:eastAsia="zh-CN"/>
        </w:rPr>
        <w:t>对</w:t>
      </w:r>
      <w:r>
        <w:rPr>
          <w:rFonts w:hint="eastAsia" w:ascii="宋体" w:eastAsia="宋体"/>
          <w:sz w:val="24"/>
          <w:highlight w:val="none"/>
          <w:lang w:eastAsia="zh-CN"/>
        </w:rPr>
        <w:t>于工作内容说明书约定的各项服务，甲方同意向乙方支付服务费用（下称“服务费用” ）。</w:t>
      </w:r>
      <w:r>
        <w:rPr>
          <w:rFonts w:ascii="宋体" w:eastAsia="宋体"/>
          <w:color w:val="FF0000"/>
          <w:sz w:val="24"/>
          <w:highlight w:val="none"/>
          <w:lang w:eastAsia="zh-CN"/>
        </w:rPr>
        <w:t>每个移动APP单版本</w:t>
      </w:r>
      <w:r>
        <w:rPr>
          <w:rFonts w:hint="eastAsia" w:ascii="宋体" w:eastAsia="宋体"/>
          <w:color w:val="FF0000"/>
          <w:sz w:val="24"/>
          <w:highlight w:val="none"/>
          <w:lang w:eastAsia="zh-CN"/>
        </w:rPr>
        <w:t>服务费用为</w:t>
      </w:r>
      <w:r>
        <w:rPr>
          <w:rFonts w:hint="eastAsia" w:ascii="宋体" w:eastAsia="宋体"/>
          <w:sz w:val="24"/>
          <w:highlight w:val="none"/>
          <w:lang w:eastAsia="zh-CN"/>
        </w:rPr>
        <w:t>：</w:t>
      </w:r>
      <w:r>
        <w:rPr>
          <w:rFonts w:hint="eastAsia" w:ascii="宋体" w:eastAsia="宋体"/>
          <w:sz w:val="24"/>
          <w:highlight w:val="none"/>
          <w:u w:val="single"/>
          <w:lang w:eastAsia="zh-CN"/>
        </w:rPr>
        <w:t xml:space="preserve">_       </w:t>
      </w:r>
      <w:r>
        <w:rPr>
          <w:rFonts w:ascii="宋体" w:eastAsia="宋体"/>
          <w:sz w:val="24"/>
          <w:highlight w:val="none"/>
          <w:u w:val="single"/>
          <w:lang w:eastAsia="zh-CN"/>
        </w:rPr>
        <w:t>元</w:t>
      </w:r>
      <w:r>
        <w:rPr>
          <w:rFonts w:hint="eastAsia" w:ascii="宋体" w:eastAsia="宋体"/>
          <w:sz w:val="24"/>
          <w:highlight w:val="none"/>
          <w:lang w:eastAsia="zh-CN"/>
        </w:rPr>
        <w:t>（大写：___________元整）,</w:t>
      </w:r>
      <w:r>
        <w:rPr>
          <w:rFonts w:hint="eastAsia" w:ascii="宋体" w:eastAsia="宋体"/>
          <w:sz w:val="24"/>
          <w:highlight w:val="none"/>
          <w:u w:val="single"/>
          <w:lang w:eastAsia="zh-CN"/>
        </w:rPr>
        <w:t xml:space="preserve">其中不含税价为：_       </w:t>
      </w:r>
      <w:r>
        <w:rPr>
          <w:rFonts w:ascii="宋体" w:eastAsia="宋体"/>
          <w:sz w:val="24"/>
          <w:highlight w:val="none"/>
          <w:u w:val="single"/>
          <w:lang w:eastAsia="zh-CN"/>
        </w:rPr>
        <w:t>元</w:t>
      </w:r>
      <w:r>
        <w:rPr>
          <w:rFonts w:hint="eastAsia" w:ascii="宋体" w:eastAsia="宋体"/>
          <w:sz w:val="24"/>
          <w:highlight w:val="none"/>
          <w:lang w:eastAsia="zh-CN"/>
        </w:rPr>
        <w:t>（</w:t>
      </w:r>
      <w:r>
        <w:rPr>
          <w:rFonts w:hint="eastAsia" w:ascii="宋体" w:eastAsia="宋体"/>
          <w:sz w:val="24"/>
          <w:highlight w:val="none"/>
          <w:u w:val="single"/>
          <w:lang w:eastAsia="zh-CN"/>
        </w:rPr>
        <w:t>大写：         整）</w:t>
      </w:r>
      <w:r>
        <w:rPr>
          <w:rFonts w:hint="eastAsia" w:ascii="宋体" w:eastAsia="宋体"/>
          <w:sz w:val="24"/>
          <w:highlight w:val="none"/>
          <w:lang w:eastAsia="zh-CN"/>
        </w:rPr>
        <w:t>，税额为</w:t>
      </w:r>
      <w:r>
        <w:rPr>
          <w:rFonts w:hint="eastAsia" w:ascii="宋体" w:eastAsia="宋体"/>
          <w:sz w:val="24"/>
          <w:highlight w:val="none"/>
          <w:u w:val="single"/>
          <w:lang w:eastAsia="zh-CN"/>
        </w:rPr>
        <w:t xml:space="preserve">：_       </w:t>
      </w:r>
      <w:r>
        <w:rPr>
          <w:rFonts w:ascii="宋体" w:eastAsia="宋体"/>
          <w:sz w:val="24"/>
          <w:highlight w:val="none"/>
          <w:u w:val="single"/>
          <w:lang w:eastAsia="zh-CN"/>
        </w:rPr>
        <w:t>元</w:t>
      </w:r>
      <w:r>
        <w:rPr>
          <w:rFonts w:hint="eastAsia" w:ascii="宋体" w:eastAsia="宋体"/>
          <w:sz w:val="24"/>
          <w:highlight w:val="none"/>
          <w:lang w:eastAsia="zh-CN"/>
        </w:rPr>
        <w:t>（</w:t>
      </w:r>
      <w:r>
        <w:rPr>
          <w:rFonts w:hint="eastAsia" w:ascii="宋体" w:eastAsia="宋体"/>
          <w:sz w:val="24"/>
          <w:highlight w:val="none"/>
          <w:u w:val="single"/>
          <w:lang w:eastAsia="zh-CN"/>
        </w:rPr>
        <w:t>大写：         整）</w:t>
      </w:r>
      <w:r>
        <w:rPr>
          <w:rFonts w:hint="eastAsia" w:ascii="宋体" w:eastAsia="宋体"/>
          <w:sz w:val="24"/>
          <w:highlight w:val="none"/>
          <w:lang w:eastAsia="zh-CN"/>
        </w:rPr>
        <w:t>；不含税价格不因国家税率变化而变化，若在合同履行期间，如遇国家的税率调整，则价税</w:t>
      </w:r>
      <w:r>
        <w:rPr>
          <w:rFonts w:hint="eastAsia" w:ascii="宋体" w:eastAsia="宋体"/>
          <w:sz w:val="24"/>
          <w:szCs w:val="24"/>
          <w:highlight w:val="none"/>
          <w:lang w:eastAsia="zh-CN"/>
        </w:rPr>
        <w:t>合计应相应调整，以开具发票的时间为准。乙方须严格按照合同内容开具税率为</w:t>
      </w:r>
      <w:r>
        <w:rPr>
          <w:rFonts w:hint="eastAsia" w:ascii="宋体" w:eastAsia="宋体"/>
          <w:b/>
          <w:sz w:val="24"/>
          <w:szCs w:val="24"/>
          <w:highlight w:val="none"/>
          <w:lang w:eastAsia="zh-CN"/>
        </w:rPr>
        <w:t>6%</w:t>
      </w:r>
      <w:r>
        <w:rPr>
          <w:rFonts w:hint="eastAsia" w:ascii="宋体" w:eastAsia="宋体"/>
          <w:sz w:val="24"/>
          <w:szCs w:val="24"/>
          <w:highlight w:val="none"/>
          <w:lang w:eastAsia="zh-CN"/>
        </w:rPr>
        <w:t>的增值税专用发票</w:t>
      </w:r>
      <w:r>
        <w:rPr>
          <w:rFonts w:hint="eastAsia" w:ascii="宋体" w:eastAsia="宋体"/>
          <w:kern w:val="2"/>
          <w:sz w:val="24"/>
          <w:szCs w:val="24"/>
          <w:highlight w:val="none"/>
          <w:lang w:val="en-US" w:eastAsia="zh-CN"/>
        </w:rPr>
        <w:t>。</w:t>
      </w:r>
    </w:p>
    <w:p w14:paraId="70D3BB6C">
      <w:pPr>
        <w:pStyle w:val="13"/>
        <w:tabs>
          <w:tab w:val="right" w:pos="0"/>
          <w:tab w:val="clear" w:pos="630"/>
          <w:tab w:val="clear" w:pos="8730"/>
        </w:tabs>
        <w:adjustRightInd w:val="0"/>
        <w:snapToGrid w:val="0"/>
        <w:spacing w:line="520" w:lineRule="exact"/>
        <w:ind w:right="16" w:firstLine="480" w:firstLineChars="200"/>
        <w:outlineLvl w:val="2"/>
        <w:rPr>
          <w:rFonts w:hint="eastAsia" w:ascii="宋体" w:eastAsia="宋体"/>
          <w:kern w:val="2"/>
          <w:sz w:val="24"/>
          <w:highlight w:val="none"/>
          <w:lang w:val="en-US" w:eastAsia="zh-CN"/>
        </w:rPr>
      </w:pPr>
      <w:r>
        <w:rPr>
          <w:rFonts w:hint="eastAsia" w:ascii="宋体" w:eastAsia="宋体"/>
          <w:kern w:val="2"/>
          <w:sz w:val="24"/>
          <w:highlight w:val="none"/>
          <w:lang w:val="en-US" w:eastAsia="zh-CN"/>
        </w:rPr>
        <w:t>7.2 支付方式：</w:t>
      </w:r>
    </w:p>
    <w:p w14:paraId="5F852C16">
      <w:pPr>
        <w:pStyle w:val="13"/>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甲方应按下列规定时间向乙方支付服务费用。</w:t>
      </w:r>
    </w:p>
    <w:p w14:paraId="0524A64E">
      <w:pPr>
        <w:pStyle w:val="13"/>
        <w:tabs>
          <w:tab w:val="right" w:pos="0"/>
        </w:tabs>
        <w:adjustRightInd w:val="0"/>
        <w:snapToGrid w:val="0"/>
        <w:spacing w:line="520" w:lineRule="exact"/>
        <w:ind w:right="16" w:firstLine="480" w:firstLineChars="200"/>
        <w:rPr>
          <w:rFonts w:ascii="宋体" w:eastAsia="宋体"/>
          <w:kern w:val="2"/>
          <w:sz w:val="24"/>
          <w:highlight w:val="none"/>
          <w:lang w:val="en-US" w:eastAsia="zh-CN"/>
        </w:rPr>
      </w:pPr>
      <w:r>
        <w:rPr>
          <w:rFonts w:hint="eastAsia" w:ascii="宋体" w:eastAsia="宋体"/>
          <w:kern w:val="2"/>
          <w:sz w:val="24"/>
          <w:highlight w:val="none"/>
          <w:lang w:val="en-US" w:eastAsia="zh-CN"/>
        </w:rPr>
        <w:t>本合同实施款项采用分期付款：</w:t>
      </w:r>
    </w:p>
    <w:p w14:paraId="01BB9472">
      <w:pPr>
        <w:pStyle w:val="13"/>
        <w:tabs>
          <w:tab w:val="right" w:pos="0"/>
        </w:tabs>
        <w:adjustRightInd w:val="0"/>
        <w:snapToGrid w:val="0"/>
        <w:spacing w:line="520" w:lineRule="exact"/>
        <w:ind w:right="16" w:firstLine="480" w:firstLineChars="200"/>
        <w:rPr>
          <w:rFonts w:hint="eastAsia" w:ascii="宋体" w:eastAsia="宋体"/>
          <w:color w:val="FF0000"/>
          <w:kern w:val="2"/>
          <w:sz w:val="24"/>
          <w:highlight w:val="none"/>
          <w:lang w:val="en-US" w:eastAsia="zh-CN"/>
        </w:rPr>
      </w:pPr>
      <w:r>
        <w:rPr>
          <w:rFonts w:hint="eastAsia" w:ascii="宋体" w:eastAsia="宋体"/>
          <w:color w:val="FF0000"/>
          <w:kern w:val="2"/>
          <w:sz w:val="24"/>
          <w:highlight w:val="none"/>
          <w:lang w:val="en-US" w:eastAsia="zh-CN"/>
        </w:rPr>
        <w:t>7.2.1</w:t>
      </w:r>
      <w:r>
        <w:rPr>
          <w:rFonts w:ascii="宋体" w:eastAsia="宋体"/>
          <w:color w:val="FF0000"/>
          <w:kern w:val="2"/>
          <w:sz w:val="24"/>
          <w:highlight w:val="none"/>
          <w:lang w:val="en-US" w:eastAsia="zh-CN"/>
        </w:rPr>
        <w:t xml:space="preserve"> </w:t>
      </w:r>
      <w:r>
        <w:rPr>
          <w:rFonts w:hint="eastAsia" w:ascii="宋体" w:eastAsia="宋体"/>
          <w:color w:val="FF0000"/>
          <w:kern w:val="2"/>
          <w:sz w:val="24"/>
          <w:highlight w:val="none"/>
          <w:lang w:val="en-US" w:eastAsia="zh-CN"/>
        </w:rPr>
        <w:t>乙方</w:t>
      </w:r>
      <w:r>
        <w:rPr>
          <w:rFonts w:ascii="宋体" w:eastAsia="宋体"/>
          <w:color w:val="FF0000"/>
          <w:kern w:val="2"/>
          <w:sz w:val="24"/>
          <w:highlight w:val="none"/>
          <w:lang w:val="en-US" w:eastAsia="zh-CN"/>
        </w:rPr>
        <w:t>协助甲方每完成一个移动APP单版本的金融科技产品认证和备案工作，并提供认证证书和备案通过证明后</w:t>
      </w:r>
      <w:r>
        <w:rPr>
          <w:rFonts w:hint="eastAsia" w:ascii="宋体" w:eastAsia="宋体"/>
          <w:color w:val="FF0000"/>
          <w:kern w:val="2"/>
          <w:sz w:val="24"/>
          <w:highlight w:val="none"/>
          <w:lang w:val="en-US" w:eastAsia="zh-CN"/>
        </w:rPr>
        <w:t>30个工作日内，乙方向甲方提供合法足额的增值税专用发票，甲方支付</w:t>
      </w:r>
      <w:r>
        <w:rPr>
          <w:rFonts w:ascii="宋体" w:eastAsia="宋体"/>
          <w:color w:val="FF0000"/>
          <w:kern w:val="2"/>
          <w:sz w:val="24"/>
          <w:highlight w:val="none"/>
          <w:lang w:val="en-US" w:eastAsia="zh-CN"/>
        </w:rPr>
        <w:t>每个移动APP单版本服务费用</w:t>
      </w:r>
      <w:r>
        <w:rPr>
          <w:rFonts w:hint="eastAsia" w:ascii="宋体" w:eastAsia="宋体"/>
          <w:color w:val="FF0000"/>
          <w:kern w:val="2"/>
          <w:sz w:val="24"/>
          <w:highlight w:val="none"/>
          <w:lang w:val="en-US" w:eastAsia="zh-CN"/>
        </w:rPr>
        <w:t>的</w:t>
      </w:r>
      <w:r>
        <w:rPr>
          <w:rFonts w:ascii="宋体" w:eastAsia="宋体"/>
          <w:color w:val="FF0000"/>
          <w:kern w:val="2"/>
          <w:sz w:val="24"/>
          <w:highlight w:val="none"/>
          <w:lang w:val="en-US" w:eastAsia="zh-CN"/>
        </w:rPr>
        <w:t>4</w:t>
      </w:r>
      <w:r>
        <w:rPr>
          <w:rFonts w:hint="eastAsia" w:ascii="宋体" w:eastAsia="宋体"/>
          <w:color w:val="FF0000"/>
          <w:kern w:val="2"/>
          <w:sz w:val="24"/>
          <w:highlight w:val="none"/>
          <w:lang w:val="en-US" w:eastAsia="zh-CN"/>
        </w:rPr>
        <w:t xml:space="preserve">0%，即 </w:t>
      </w:r>
      <w:r>
        <w:rPr>
          <w:rFonts w:hint="eastAsia" w:ascii="宋体" w:eastAsia="宋体"/>
          <w:color w:val="FF0000"/>
          <w:kern w:val="2"/>
          <w:sz w:val="24"/>
          <w:highlight w:val="none"/>
          <w:u w:val="single"/>
          <w:lang w:val="en-US" w:eastAsia="zh-CN"/>
        </w:rPr>
        <w:t xml:space="preserve">      元</w:t>
      </w:r>
      <w:r>
        <w:rPr>
          <w:rFonts w:hint="eastAsia" w:ascii="宋体" w:eastAsia="宋体"/>
          <w:color w:val="FF0000"/>
          <w:kern w:val="2"/>
          <w:sz w:val="24"/>
          <w:highlight w:val="none"/>
          <w:lang w:val="en-US" w:eastAsia="zh-CN"/>
        </w:rPr>
        <w:t>（大写：          元整  ）</w:t>
      </w:r>
      <w:r>
        <w:rPr>
          <w:rFonts w:ascii="宋体" w:eastAsia="宋体"/>
          <w:color w:val="FF0000"/>
          <w:kern w:val="2"/>
          <w:sz w:val="24"/>
          <w:highlight w:val="none"/>
          <w:lang w:val="en-US" w:eastAsia="zh-CN"/>
        </w:rPr>
        <w:t>。</w:t>
      </w:r>
    </w:p>
    <w:p w14:paraId="29D68858">
      <w:pPr>
        <w:pStyle w:val="13"/>
        <w:tabs>
          <w:tab w:val="right" w:pos="0"/>
        </w:tabs>
        <w:adjustRightInd w:val="0"/>
        <w:snapToGrid w:val="0"/>
        <w:spacing w:line="520" w:lineRule="exact"/>
        <w:ind w:right="16" w:firstLine="480" w:firstLineChars="200"/>
        <w:rPr>
          <w:rFonts w:ascii="宋体" w:eastAsia="宋体"/>
          <w:color w:val="FF0000"/>
          <w:kern w:val="2"/>
          <w:sz w:val="24"/>
          <w:highlight w:val="none"/>
          <w:lang w:val="en-US" w:eastAsia="zh-CN"/>
        </w:rPr>
      </w:pPr>
      <w:r>
        <w:rPr>
          <w:rFonts w:hint="eastAsia" w:ascii="宋体" w:eastAsia="宋体"/>
          <w:color w:val="FF0000"/>
          <w:kern w:val="2"/>
          <w:sz w:val="24"/>
          <w:highlight w:val="none"/>
          <w:lang w:val="en-US" w:eastAsia="zh-CN"/>
        </w:rPr>
        <w:t>7.2.2</w:t>
      </w:r>
      <w:r>
        <w:rPr>
          <w:rFonts w:ascii="宋体" w:eastAsia="宋体"/>
          <w:color w:val="FF0000"/>
          <w:kern w:val="2"/>
          <w:sz w:val="24"/>
          <w:highlight w:val="none"/>
          <w:lang w:val="en-US" w:eastAsia="zh-CN"/>
        </w:rPr>
        <w:t xml:space="preserve"> 乙方协助甲方每完成一个移动APP单版本的金融科技产品认证第一次年度监督审查工作，并提供认证证书和备案通过证明后30个工作日内，乙方向甲方提供合法足额的增值税专用发票，甲方支付每个移动APP单版本服务费用的30%给乙方，</w:t>
      </w:r>
      <w:r>
        <w:rPr>
          <w:rFonts w:hint="eastAsia" w:ascii="宋体" w:eastAsia="宋体"/>
          <w:color w:val="FF0000"/>
          <w:kern w:val="2"/>
          <w:sz w:val="24"/>
          <w:highlight w:val="none"/>
          <w:lang w:val="en-US" w:eastAsia="zh-CN"/>
        </w:rPr>
        <w:t xml:space="preserve">即 </w:t>
      </w:r>
      <w:r>
        <w:rPr>
          <w:rFonts w:hint="eastAsia" w:ascii="宋体" w:eastAsia="宋体"/>
          <w:color w:val="FF0000"/>
          <w:kern w:val="2"/>
          <w:sz w:val="24"/>
          <w:highlight w:val="none"/>
          <w:u w:val="single"/>
          <w:lang w:val="en-US" w:eastAsia="zh-CN"/>
        </w:rPr>
        <w:t xml:space="preserve">      元</w:t>
      </w:r>
      <w:r>
        <w:rPr>
          <w:rFonts w:hint="eastAsia" w:ascii="宋体" w:eastAsia="宋体"/>
          <w:color w:val="FF0000"/>
          <w:kern w:val="2"/>
          <w:sz w:val="24"/>
          <w:highlight w:val="none"/>
          <w:lang w:val="en-US" w:eastAsia="zh-CN"/>
        </w:rPr>
        <w:t>（大写：          元整  ）</w:t>
      </w:r>
      <w:r>
        <w:rPr>
          <w:rFonts w:ascii="宋体" w:eastAsia="宋体"/>
          <w:color w:val="FF0000"/>
          <w:kern w:val="2"/>
          <w:sz w:val="24"/>
          <w:highlight w:val="none"/>
          <w:lang w:val="en-US" w:eastAsia="zh-CN"/>
        </w:rPr>
        <w:t>。</w:t>
      </w:r>
    </w:p>
    <w:p w14:paraId="40B534E7">
      <w:pPr>
        <w:pStyle w:val="13"/>
        <w:tabs>
          <w:tab w:val="right" w:pos="0"/>
        </w:tabs>
        <w:adjustRightInd w:val="0"/>
        <w:snapToGrid w:val="0"/>
        <w:spacing w:line="520" w:lineRule="exact"/>
        <w:ind w:right="16" w:firstLine="480" w:firstLineChars="200"/>
        <w:rPr>
          <w:rFonts w:hint="eastAsia" w:ascii="宋体" w:eastAsia="宋体"/>
          <w:color w:val="FF0000"/>
          <w:kern w:val="2"/>
          <w:sz w:val="24"/>
          <w:highlight w:val="none"/>
          <w:lang w:val="en-US" w:eastAsia="zh-CN"/>
        </w:rPr>
      </w:pPr>
      <w:r>
        <w:rPr>
          <w:rFonts w:hint="eastAsia" w:ascii="宋体" w:eastAsia="宋体"/>
          <w:color w:val="FF0000"/>
          <w:kern w:val="2"/>
          <w:sz w:val="24"/>
          <w:highlight w:val="none"/>
          <w:lang w:val="en-US" w:eastAsia="zh-CN"/>
        </w:rPr>
        <w:t>7.2.</w:t>
      </w:r>
      <w:r>
        <w:rPr>
          <w:rFonts w:ascii="宋体" w:eastAsia="宋体"/>
          <w:color w:val="FF0000"/>
          <w:kern w:val="2"/>
          <w:sz w:val="24"/>
          <w:highlight w:val="none"/>
          <w:lang w:val="en-US" w:eastAsia="zh-CN"/>
        </w:rPr>
        <w:t>3 乙方协助甲方每完成一个移动APP单版本的金融科技产品认证第二次年度监督审查工作，并提供认证证书和备案通过证明后30个工作日内，乙方向甲方提供合法足额的增值税专用发票，甲方支付每个移动APP单版本服务费用的30%给乙方，</w:t>
      </w:r>
      <w:r>
        <w:rPr>
          <w:rFonts w:hint="eastAsia" w:ascii="宋体" w:eastAsia="宋体"/>
          <w:color w:val="FF0000"/>
          <w:kern w:val="2"/>
          <w:sz w:val="24"/>
          <w:highlight w:val="none"/>
          <w:lang w:val="en-US" w:eastAsia="zh-CN"/>
        </w:rPr>
        <w:t xml:space="preserve">即 </w:t>
      </w:r>
      <w:r>
        <w:rPr>
          <w:rFonts w:hint="eastAsia" w:ascii="宋体" w:eastAsia="宋体"/>
          <w:color w:val="FF0000"/>
          <w:kern w:val="2"/>
          <w:sz w:val="24"/>
          <w:highlight w:val="none"/>
          <w:u w:val="single"/>
          <w:lang w:val="en-US" w:eastAsia="zh-CN"/>
        </w:rPr>
        <w:t xml:space="preserve">      元</w:t>
      </w:r>
      <w:r>
        <w:rPr>
          <w:rFonts w:hint="eastAsia" w:ascii="宋体" w:eastAsia="宋体"/>
          <w:color w:val="FF0000"/>
          <w:kern w:val="2"/>
          <w:sz w:val="24"/>
          <w:highlight w:val="none"/>
          <w:lang w:val="en-US" w:eastAsia="zh-CN"/>
        </w:rPr>
        <w:t>（大写：          元整  ）</w:t>
      </w:r>
      <w:r>
        <w:rPr>
          <w:rFonts w:ascii="宋体" w:eastAsia="宋体"/>
          <w:color w:val="FF0000"/>
          <w:kern w:val="2"/>
          <w:sz w:val="24"/>
          <w:highlight w:val="none"/>
          <w:lang w:val="en-US" w:eastAsia="zh-CN"/>
        </w:rPr>
        <w:t>。</w:t>
      </w:r>
      <w:r>
        <w:rPr>
          <w:rFonts w:hint="eastAsia" w:ascii="宋体" w:eastAsia="宋体"/>
          <w:color w:val="FF0000"/>
          <w:kern w:val="2"/>
          <w:sz w:val="24"/>
          <w:highlight w:val="none"/>
          <w:lang w:val="en-US" w:eastAsia="zh-CN"/>
        </w:rPr>
        <w:t>否则按《服务水平协议》进行相应金额扣除。</w:t>
      </w:r>
    </w:p>
    <w:p w14:paraId="4E6D91D8">
      <w:pPr>
        <w:pStyle w:val="13"/>
        <w:tabs>
          <w:tab w:val="right" w:pos="0"/>
          <w:tab w:val="clear" w:pos="630"/>
          <w:tab w:val="clear" w:pos="8730"/>
        </w:tabs>
        <w:adjustRightInd w:val="0"/>
        <w:snapToGrid w:val="0"/>
        <w:spacing w:line="520" w:lineRule="exact"/>
        <w:ind w:right="17" w:firstLine="482" w:firstLineChars="200"/>
        <w:outlineLvl w:val="1"/>
        <w:rPr>
          <w:rFonts w:hint="eastAsia" w:ascii="宋体" w:eastAsia="宋体"/>
          <w:b/>
          <w:sz w:val="24"/>
          <w:highlight w:val="none"/>
          <w:lang w:eastAsia="zh-CN"/>
        </w:rPr>
      </w:pPr>
      <w:bookmarkStart w:id="97" w:name="_Toc7517"/>
      <w:r>
        <w:rPr>
          <w:rFonts w:hint="eastAsia" w:ascii="宋体" w:eastAsia="宋体"/>
          <w:b/>
          <w:sz w:val="24"/>
          <w:highlight w:val="none"/>
          <w:lang w:eastAsia="zh-CN"/>
        </w:rPr>
        <w:t>第八条  保密条款</w:t>
      </w:r>
      <w:bookmarkEnd w:id="97"/>
    </w:p>
    <w:p w14:paraId="64281852">
      <w:pPr>
        <w:pStyle w:val="13"/>
        <w:tabs>
          <w:tab w:val="right" w:pos="0"/>
        </w:tabs>
        <w:adjustRightInd w:val="0"/>
        <w:snapToGrid w:val="0"/>
        <w:spacing w:line="520" w:lineRule="exact"/>
        <w:ind w:right="16" w:firstLine="480" w:firstLineChars="200"/>
        <w:outlineLvl w:val="2"/>
        <w:rPr>
          <w:rFonts w:hint="eastAsia" w:ascii="宋体" w:eastAsia="宋体"/>
          <w:kern w:val="2"/>
          <w:sz w:val="24"/>
          <w:highlight w:val="none"/>
          <w:lang w:val="en-US" w:eastAsia="zh-CN"/>
        </w:rPr>
      </w:pPr>
      <w:bookmarkStart w:id="98" w:name="_Toc3493"/>
      <w:r>
        <w:rPr>
          <w:rFonts w:hint="eastAsia" w:ascii="宋体" w:eastAsia="宋体"/>
          <w:kern w:val="2"/>
          <w:sz w:val="24"/>
          <w:highlight w:val="none"/>
          <w:lang w:val="en-US" w:eastAsia="zh-CN"/>
        </w:rPr>
        <w:t>8.1 本合同项下的所有条款。乙方外包人员入场前须与甲方签订相应诚信安全承诺书。</w:t>
      </w:r>
      <w:bookmarkEnd w:id="98"/>
    </w:p>
    <w:p w14:paraId="59D527AE">
      <w:pPr>
        <w:pStyle w:val="13"/>
        <w:tabs>
          <w:tab w:val="right" w:pos="0"/>
        </w:tabs>
        <w:adjustRightInd w:val="0"/>
        <w:snapToGrid w:val="0"/>
        <w:spacing w:line="520" w:lineRule="exact"/>
        <w:ind w:right="16" w:firstLine="480" w:firstLineChars="200"/>
        <w:outlineLvl w:val="0"/>
        <w:rPr>
          <w:rFonts w:ascii="宋体" w:eastAsia="宋体"/>
          <w:kern w:val="2"/>
          <w:sz w:val="24"/>
          <w:highlight w:val="none"/>
          <w:lang w:val="en-US" w:eastAsia="zh-CN"/>
        </w:rPr>
      </w:pPr>
      <w:bookmarkStart w:id="99" w:name="_Toc26147"/>
      <w:r>
        <w:rPr>
          <w:rFonts w:hint="eastAsia" w:ascii="宋体" w:eastAsia="宋体"/>
          <w:kern w:val="2"/>
          <w:sz w:val="24"/>
          <w:highlight w:val="none"/>
          <w:lang w:val="en-US" w:eastAsia="zh-CN"/>
        </w:rPr>
        <w:t>8.</w:t>
      </w:r>
      <w:r>
        <w:rPr>
          <w:rFonts w:ascii="宋体" w:eastAsia="宋体"/>
          <w:kern w:val="2"/>
          <w:sz w:val="24"/>
          <w:highlight w:val="none"/>
          <w:lang w:val="en-US" w:eastAsia="zh-CN"/>
        </w:rPr>
        <w:t xml:space="preserve">2 </w:t>
      </w:r>
      <w:r>
        <w:rPr>
          <w:rFonts w:hint="eastAsia" w:ascii="宋体" w:eastAsia="宋体"/>
          <w:kern w:val="2"/>
          <w:sz w:val="24"/>
          <w:highlight w:val="none"/>
          <w:lang w:val="en-US" w:eastAsia="zh-CN"/>
        </w:rPr>
        <w:t>乙方应对本合同所述的客户信息、技术资料、业务流程、数据等</w:t>
      </w:r>
      <w:r>
        <w:rPr>
          <w:rFonts w:ascii="宋体" w:eastAsia="宋体"/>
          <w:kern w:val="2"/>
          <w:sz w:val="24"/>
          <w:highlight w:val="none"/>
          <w:lang w:val="en-US" w:eastAsia="zh-CN"/>
        </w:rPr>
        <w:t>重要</w:t>
      </w:r>
      <w:r>
        <w:rPr>
          <w:rFonts w:hint="eastAsia" w:ascii="宋体" w:eastAsia="宋体"/>
          <w:kern w:val="2"/>
          <w:sz w:val="24"/>
          <w:highlight w:val="none"/>
          <w:lang w:val="en-US" w:eastAsia="zh-CN"/>
        </w:rPr>
        <w:t>信息采取保密措施，未经甲方的书面同意，乙方不得在合同允许范围外使用、披露、向无关人员或第三方透露，也不能就有关合同内容的任何部分进行新闻的发布、公开的宣称、否认或承认。</w:t>
      </w:r>
      <w:bookmarkEnd w:id="99"/>
    </w:p>
    <w:p w14:paraId="0DC76237">
      <w:pPr>
        <w:pStyle w:val="13"/>
        <w:tabs>
          <w:tab w:val="right" w:pos="0"/>
        </w:tabs>
        <w:adjustRightInd w:val="0"/>
        <w:snapToGrid w:val="0"/>
        <w:spacing w:line="520" w:lineRule="exact"/>
        <w:ind w:right="16" w:firstLine="480" w:firstLineChars="200"/>
        <w:outlineLvl w:val="0"/>
        <w:rPr>
          <w:rFonts w:ascii="宋体" w:eastAsia="宋体"/>
          <w:kern w:val="2"/>
          <w:sz w:val="24"/>
          <w:highlight w:val="none"/>
          <w:lang w:val="en-US" w:eastAsia="zh-CN"/>
        </w:rPr>
      </w:pPr>
      <w:bookmarkStart w:id="100" w:name="_Toc17874"/>
      <w:r>
        <w:rPr>
          <w:rFonts w:hint="eastAsia" w:ascii="宋体" w:eastAsia="宋体"/>
          <w:kern w:val="2"/>
          <w:sz w:val="24"/>
          <w:highlight w:val="none"/>
          <w:lang w:val="en-US" w:eastAsia="zh-CN"/>
        </w:rPr>
        <w:t>8.</w:t>
      </w:r>
      <w:r>
        <w:rPr>
          <w:rFonts w:ascii="宋体" w:eastAsia="宋体"/>
          <w:kern w:val="2"/>
          <w:sz w:val="24"/>
          <w:highlight w:val="none"/>
          <w:lang w:val="en-US" w:eastAsia="zh-CN"/>
        </w:rPr>
        <w:t>3</w:t>
      </w:r>
      <w:r>
        <w:rPr>
          <w:rFonts w:hint="eastAsia" w:ascii="宋体" w:eastAsia="宋体"/>
          <w:kern w:val="2"/>
          <w:sz w:val="24"/>
          <w:highlight w:val="none"/>
          <w:lang w:val="en-US" w:eastAsia="zh-CN"/>
        </w:rPr>
        <w:t xml:space="preserve"> 乙方不得以甲方名义开展活动，不得将甲方数据、信息以任何形式转移、挪用或谋取合同约定以外的利益。</w:t>
      </w:r>
      <w:bookmarkEnd w:id="100"/>
    </w:p>
    <w:p w14:paraId="1D2C115F">
      <w:pPr>
        <w:pStyle w:val="13"/>
        <w:tabs>
          <w:tab w:val="right" w:pos="0"/>
        </w:tabs>
        <w:adjustRightInd w:val="0"/>
        <w:snapToGrid w:val="0"/>
        <w:spacing w:line="520" w:lineRule="exact"/>
        <w:ind w:right="16" w:firstLine="480" w:firstLineChars="200"/>
        <w:outlineLvl w:val="0"/>
        <w:rPr>
          <w:rFonts w:hint="eastAsia" w:ascii="宋体" w:eastAsia="宋体"/>
          <w:kern w:val="2"/>
          <w:sz w:val="24"/>
          <w:highlight w:val="none"/>
          <w:lang w:val="en-US" w:eastAsia="zh-CN"/>
        </w:rPr>
      </w:pPr>
      <w:bookmarkStart w:id="101" w:name="_Toc31673"/>
      <w:r>
        <w:rPr>
          <w:rFonts w:hint="eastAsia" w:ascii="宋体" w:eastAsia="宋体"/>
          <w:kern w:val="2"/>
          <w:sz w:val="24"/>
          <w:highlight w:val="none"/>
          <w:lang w:val="en-US" w:eastAsia="zh-CN"/>
        </w:rPr>
        <w:t>8.4</w:t>
      </w:r>
      <w:r>
        <w:rPr>
          <w:rFonts w:ascii="宋体" w:eastAsia="宋体"/>
          <w:kern w:val="2"/>
          <w:sz w:val="24"/>
          <w:highlight w:val="none"/>
          <w:lang w:val="en-US" w:eastAsia="zh-CN"/>
        </w:rPr>
        <w:t xml:space="preserve"> </w:t>
      </w:r>
      <w:r>
        <w:rPr>
          <w:rFonts w:hint="eastAsia" w:ascii="宋体" w:eastAsia="宋体"/>
          <w:kern w:val="2"/>
          <w:sz w:val="24"/>
          <w:highlight w:val="none"/>
          <w:lang w:val="en-US" w:eastAsia="zh-CN"/>
        </w:rPr>
        <w:t>乙方知道违反本条规定将给甲方客户权利以及甲方造成难以弥补的损失，为此同意承担由此产生的经济上和法律上的责任。</w:t>
      </w:r>
      <w:bookmarkEnd w:id="101"/>
    </w:p>
    <w:p w14:paraId="7F577114">
      <w:pPr>
        <w:pStyle w:val="13"/>
        <w:tabs>
          <w:tab w:val="right" w:pos="0"/>
        </w:tabs>
        <w:adjustRightInd w:val="0"/>
        <w:snapToGrid w:val="0"/>
        <w:spacing w:line="520" w:lineRule="exact"/>
        <w:ind w:right="16" w:firstLine="480" w:firstLineChars="200"/>
        <w:outlineLvl w:val="0"/>
        <w:rPr>
          <w:rFonts w:hint="eastAsia" w:ascii="宋体" w:eastAsia="宋体"/>
          <w:kern w:val="2"/>
          <w:sz w:val="24"/>
          <w:highlight w:val="none"/>
          <w:lang w:val="en-US" w:eastAsia="zh-CN"/>
        </w:rPr>
      </w:pPr>
      <w:bookmarkStart w:id="102" w:name="_Toc27097"/>
      <w:r>
        <w:rPr>
          <w:rFonts w:hint="eastAsia" w:ascii="宋体" w:eastAsia="宋体"/>
          <w:kern w:val="2"/>
          <w:sz w:val="24"/>
          <w:highlight w:val="none"/>
          <w:lang w:val="en-US" w:eastAsia="zh-CN"/>
        </w:rPr>
        <w:t>8.5 乙方承认本合同中的技术资料和技术秘密为甲方所专有，将其对乙方进行披露并不意味着任何所有权、专利权的转让。</w:t>
      </w:r>
      <w:bookmarkEnd w:id="102"/>
    </w:p>
    <w:p w14:paraId="2A9A87F7">
      <w:pPr>
        <w:pStyle w:val="13"/>
        <w:tabs>
          <w:tab w:val="right" w:pos="0"/>
        </w:tabs>
        <w:adjustRightInd w:val="0"/>
        <w:snapToGrid w:val="0"/>
        <w:spacing w:line="520" w:lineRule="exact"/>
        <w:ind w:right="16" w:firstLine="480" w:firstLineChars="200"/>
        <w:outlineLvl w:val="0"/>
        <w:rPr>
          <w:rFonts w:hint="eastAsia" w:ascii="宋体" w:eastAsia="宋体"/>
          <w:kern w:val="2"/>
          <w:sz w:val="24"/>
          <w:highlight w:val="none"/>
          <w:lang w:val="en-US" w:eastAsia="zh-CN"/>
        </w:rPr>
      </w:pPr>
      <w:bookmarkStart w:id="103" w:name="_Toc1007"/>
      <w:r>
        <w:rPr>
          <w:rFonts w:hint="eastAsia" w:ascii="宋体" w:eastAsia="宋体"/>
          <w:kern w:val="2"/>
          <w:sz w:val="24"/>
          <w:highlight w:val="none"/>
          <w:lang w:val="en-US" w:eastAsia="zh-CN"/>
        </w:rPr>
        <w:t>8.6</w:t>
      </w:r>
      <w:r>
        <w:rPr>
          <w:rFonts w:ascii="宋体" w:eastAsia="宋体"/>
          <w:kern w:val="2"/>
          <w:sz w:val="24"/>
          <w:highlight w:val="none"/>
          <w:lang w:val="en-US" w:eastAsia="zh-CN"/>
        </w:rPr>
        <w:t xml:space="preserve"> </w:t>
      </w:r>
      <w:r>
        <w:rPr>
          <w:rFonts w:hint="eastAsia" w:ascii="宋体" w:eastAsia="宋体"/>
          <w:kern w:val="2"/>
          <w:sz w:val="24"/>
          <w:highlight w:val="none"/>
          <w:lang w:val="en-US" w:eastAsia="zh-CN"/>
        </w:rPr>
        <w:t>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bookmarkEnd w:id="103"/>
    </w:p>
    <w:p w14:paraId="20F9B3D8">
      <w:pPr>
        <w:pStyle w:val="13"/>
        <w:tabs>
          <w:tab w:val="right" w:pos="0"/>
        </w:tabs>
        <w:adjustRightInd w:val="0"/>
        <w:snapToGrid w:val="0"/>
        <w:spacing w:line="520" w:lineRule="exact"/>
        <w:ind w:right="16" w:firstLine="480" w:firstLineChars="200"/>
        <w:outlineLvl w:val="0"/>
        <w:rPr>
          <w:rFonts w:hint="eastAsia" w:ascii="宋体" w:eastAsia="宋体"/>
          <w:kern w:val="2"/>
          <w:sz w:val="24"/>
          <w:highlight w:val="none"/>
          <w:lang w:val="en-US" w:eastAsia="zh-CN"/>
        </w:rPr>
      </w:pPr>
      <w:bookmarkStart w:id="104" w:name="_Toc3202"/>
      <w:r>
        <w:rPr>
          <w:rFonts w:hint="eastAsia" w:ascii="宋体" w:eastAsia="宋体"/>
          <w:kern w:val="2"/>
          <w:sz w:val="24"/>
          <w:highlight w:val="none"/>
          <w:lang w:val="en-US" w:eastAsia="zh-CN"/>
        </w:rPr>
        <w:t>8.7</w:t>
      </w:r>
      <w:r>
        <w:rPr>
          <w:rFonts w:ascii="宋体" w:eastAsia="宋体"/>
          <w:kern w:val="2"/>
          <w:sz w:val="24"/>
          <w:highlight w:val="none"/>
          <w:lang w:val="en-US" w:eastAsia="zh-CN"/>
        </w:rPr>
        <w:t xml:space="preserve"> 乙</w:t>
      </w:r>
      <w:r>
        <w:rPr>
          <w:rFonts w:hint="eastAsia" w:ascii="宋体" w:eastAsia="宋体"/>
          <w:kern w:val="2"/>
          <w:sz w:val="24"/>
          <w:highlight w:val="none"/>
          <w:lang w:val="en-US" w:eastAsia="zh-CN"/>
        </w:rPr>
        <w:t>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bookmarkEnd w:id="104"/>
    </w:p>
    <w:p w14:paraId="022CF831">
      <w:pPr>
        <w:pStyle w:val="13"/>
        <w:tabs>
          <w:tab w:val="right" w:pos="0"/>
        </w:tabs>
        <w:adjustRightInd w:val="0"/>
        <w:snapToGrid w:val="0"/>
        <w:spacing w:line="520" w:lineRule="exact"/>
        <w:ind w:right="16" w:firstLine="480" w:firstLineChars="200"/>
        <w:outlineLvl w:val="0"/>
        <w:rPr>
          <w:rFonts w:hint="eastAsia" w:ascii="宋体" w:eastAsia="宋体"/>
          <w:kern w:val="2"/>
          <w:sz w:val="24"/>
          <w:highlight w:val="none"/>
          <w:lang w:val="en-US" w:eastAsia="zh-CN"/>
        </w:rPr>
      </w:pPr>
      <w:bookmarkStart w:id="105" w:name="_Toc8629"/>
      <w:r>
        <w:rPr>
          <w:rFonts w:hint="eastAsia" w:ascii="宋体" w:eastAsia="宋体"/>
          <w:kern w:val="2"/>
          <w:sz w:val="24"/>
          <w:highlight w:val="none"/>
          <w:lang w:val="en-US" w:eastAsia="zh-CN"/>
        </w:rPr>
        <w:t>8.8 除非甲方特别声明，乙方对于保密信息的保密义务为无限期保密，直至甲方宣布解密或者保密信息实际上已经公开。</w:t>
      </w:r>
      <w:bookmarkEnd w:id="105"/>
    </w:p>
    <w:p w14:paraId="68F62F91">
      <w:pPr>
        <w:pStyle w:val="13"/>
        <w:tabs>
          <w:tab w:val="right" w:pos="0"/>
        </w:tabs>
        <w:adjustRightInd w:val="0"/>
        <w:snapToGrid w:val="0"/>
        <w:spacing w:line="520" w:lineRule="exact"/>
        <w:ind w:right="16" w:firstLine="480" w:firstLineChars="200"/>
        <w:outlineLvl w:val="2"/>
        <w:rPr>
          <w:rFonts w:hint="eastAsia" w:ascii="宋体" w:eastAsia="宋体"/>
          <w:kern w:val="2"/>
          <w:sz w:val="24"/>
          <w:highlight w:val="none"/>
          <w:lang w:val="en-US" w:eastAsia="zh-CN"/>
        </w:rPr>
      </w:pPr>
      <w:bookmarkStart w:id="106" w:name="_Toc31492"/>
      <w:r>
        <w:rPr>
          <w:rFonts w:hint="eastAsia" w:ascii="宋体" w:eastAsia="宋体"/>
          <w:kern w:val="2"/>
          <w:sz w:val="24"/>
          <w:highlight w:val="none"/>
          <w:lang w:val="en-US" w:eastAsia="zh-CN"/>
        </w:rPr>
        <w:t>8.9 任何一方违反本章约定均被视为违约，违约方应承担违约责任。</w:t>
      </w:r>
      <w:bookmarkEnd w:id="106"/>
    </w:p>
    <w:p w14:paraId="489C112E">
      <w:pPr>
        <w:pStyle w:val="13"/>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highlight w:val="none"/>
          <w:lang w:val="en-US" w:eastAsia="zh-CN"/>
        </w:rPr>
      </w:pPr>
    </w:p>
    <w:p w14:paraId="0503E83E">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107" w:name="_Toc29522"/>
      <w:r>
        <w:rPr>
          <w:rFonts w:hint="eastAsia" w:ascii="宋体" w:eastAsia="宋体"/>
          <w:b/>
          <w:sz w:val="24"/>
          <w:highlight w:val="none"/>
          <w:lang w:eastAsia="zh-CN"/>
        </w:rPr>
        <w:t>第九条  合同的解除和终止</w:t>
      </w:r>
      <w:bookmarkEnd w:id="107"/>
    </w:p>
    <w:p w14:paraId="22821DDA">
      <w:pPr>
        <w:pStyle w:val="13"/>
        <w:tabs>
          <w:tab w:val="right" w:pos="0"/>
        </w:tabs>
        <w:adjustRightInd w:val="0"/>
        <w:snapToGrid w:val="0"/>
        <w:spacing w:line="520" w:lineRule="exact"/>
        <w:ind w:right="16" w:firstLine="480" w:firstLineChars="200"/>
        <w:outlineLvl w:val="2"/>
        <w:rPr>
          <w:rFonts w:hint="eastAsia" w:ascii="宋体" w:eastAsia="宋体"/>
          <w:kern w:val="2"/>
          <w:sz w:val="24"/>
          <w:highlight w:val="none"/>
          <w:lang w:val="en-US" w:eastAsia="zh-CN"/>
        </w:rPr>
      </w:pPr>
      <w:bookmarkStart w:id="108" w:name="_Toc20710"/>
      <w:r>
        <w:rPr>
          <w:rFonts w:hint="eastAsia" w:ascii="宋体" w:eastAsia="宋体"/>
          <w:kern w:val="2"/>
          <w:sz w:val="24"/>
          <w:highlight w:val="none"/>
          <w:lang w:val="en-US" w:eastAsia="zh-CN"/>
        </w:rPr>
        <w:t>9.1 如果满足以下条件，任一方在通知对方后，都可以解除本合同：</w:t>
      </w:r>
      <w:bookmarkEnd w:id="108"/>
    </w:p>
    <w:p w14:paraId="3758694C">
      <w:pPr>
        <w:pStyle w:val="13"/>
        <w:tabs>
          <w:tab w:val="right" w:pos="0"/>
        </w:tabs>
        <w:adjustRightInd w:val="0"/>
        <w:snapToGrid w:val="0"/>
        <w:spacing w:line="520" w:lineRule="exact"/>
        <w:ind w:right="16" w:firstLine="480" w:firstLineChars="200"/>
        <w:outlineLvl w:val="0"/>
        <w:rPr>
          <w:rFonts w:hint="eastAsia" w:ascii="宋体" w:eastAsia="宋体"/>
          <w:kern w:val="2"/>
          <w:sz w:val="24"/>
          <w:highlight w:val="none"/>
          <w:lang w:val="en-US" w:eastAsia="zh-CN"/>
        </w:rPr>
      </w:pPr>
      <w:bookmarkStart w:id="109" w:name="_Toc11039"/>
      <w:r>
        <w:rPr>
          <w:rFonts w:hint="eastAsia" w:ascii="宋体" w:eastAsia="宋体"/>
          <w:kern w:val="2"/>
          <w:sz w:val="24"/>
          <w:highlight w:val="none"/>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bookmarkEnd w:id="109"/>
    </w:p>
    <w:p w14:paraId="763FF248">
      <w:pPr>
        <w:pStyle w:val="13"/>
        <w:tabs>
          <w:tab w:val="right" w:pos="0"/>
        </w:tabs>
        <w:adjustRightInd w:val="0"/>
        <w:snapToGrid w:val="0"/>
        <w:spacing w:line="520" w:lineRule="exact"/>
        <w:ind w:right="16" w:firstLine="480" w:firstLineChars="200"/>
        <w:outlineLvl w:val="0"/>
        <w:rPr>
          <w:rFonts w:hint="eastAsia" w:ascii="宋体" w:eastAsia="宋体"/>
          <w:kern w:val="2"/>
          <w:sz w:val="24"/>
          <w:highlight w:val="none"/>
          <w:lang w:val="en-US" w:eastAsia="zh-CN"/>
        </w:rPr>
      </w:pPr>
      <w:bookmarkStart w:id="110" w:name="_Toc12361"/>
      <w:r>
        <w:rPr>
          <w:rFonts w:hint="eastAsia" w:ascii="宋体" w:eastAsia="宋体"/>
          <w:kern w:val="2"/>
          <w:sz w:val="24"/>
          <w:highlight w:val="none"/>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bookmarkEnd w:id="110"/>
    </w:p>
    <w:p w14:paraId="4BC0F041">
      <w:pPr>
        <w:pStyle w:val="13"/>
        <w:tabs>
          <w:tab w:val="right" w:pos="0"/>
          <w:tab w:val="clear" w:pos="630"/>
          <w:tab w:val="clear" w:pos="8730"/>
        </w:tabs>
        <w:adjustRightInd w:val="0"/>
        <w:snapToGrid w:val="0"/>
        <w:spacing w:line="520" w:lineRule="exact"/>
        <w:ind w:right="16" w:firstLine="480" w:firstLineChars="200"/>
        <w:outlineLvl w:val="0"/>
        <w:rPr>
          <w:rFonts w:ascii="宋体" w:eastAsia="宋体"/>
          <w:kern w:val="2"/>
          <w:sz w:val="24"/>
          <w:highlight w:val="none"/>
          <w:lang w:val="en-US" w:eastAsia="zh-CN"/>
        </w:rPr>
      </w:pPr>
      <w:bookmarkStart w:id="111" w:name="_Toc24377"/>
      <w:r>
        <w:rPr>
          <w:rFonts w:hint="eastAsia" w:ascii="宋体" w:eastAsia="宋体"/>
          <w:kern w:val="2"/>
          <w:sz w:val="24"/>
          <w:highlight w:val="none"/>
          <w:lang w:val="en-US" w:eastAsia="zh-CN"/>
        </w:rPr>
        <w:t>9.2 当本合同以任何原因终止时，乙方应将本合同项下的过程文档、资料等全部交付给甲方，配合甲方完成知识转移，保证甲方能够继续开展工作；并应立即停止使用并删除</w:t>
      </w:r>
      <w:r>
        <w:rPr>
          <w:rFonts w:ascii="宋体" w:eastAsia="宋体"/>
          <w:kern w:val="2"/>
          <w:sz w:val="24"/>
          <w:highlight w:val="none"/>
          <w:lang w:val="en-US" w:eastAsia="zh-CN"/>
        </w:rPr>
        <w:t>或</w:t>
      </w:r>
      <w:r>
        <w:rPr>
          <w:rFonts w:hint="eastAsia" w:ascii="宋体" w:eastAsia="宋体"/>
          <w:kern w:val="2"/>
          <w:sz w:val="24"/>
          <w:highlight w:val="none"/>
          <w:lang w:val="en-US" w:eastAsia="zh-CN"/>
        </w:rPr>
        <w:t>销毁包含甲方机密信息的所有物件，并证明该销毁情况；或者将这些物件归还对方。</w:t>
      </w:r>
      <w:bookmarkEnd w:id="111"/>
    </w:p>
    <w:p w14:paraId="3321CBFE">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112" w:name="_Toc26957"/>
      <w:r>
        <w:rPr>
          <w:rFonts w:hint="eastAsia" w:ascii="宋体" w:eastAsia="宋体"/>
          <w:b/>
          <w:sz w:val="24"/>
          <w:highlight w:val="none"/>
          <w:lang w:eastAsia="zh-CN"/>
        </w:rPr>
        <w:t>第十条 违约责任</w:t>
      </w:r>
      <w:bookmarkEnd w:id="112"/>
    </w:p>
    <w:p w14:paraId="12D399A1">
      <w:pPr>
        <w:adjustRightInd w:val="0"/>
        <w:snapToGrid w:val="0"/>
        <w:spacing w:line="520" w:lineRule="exact"/>
        <w:ind w:firstLine="480" w:firstLineChars="200"/>
        <w:jc w:val="left"/>
        <w:rPr>
          <w:rFonts w:hint="eastAsia" w:ascii="宋体"/>
          <w:kern w:val="0"/>
          <w:sz w:val="24"/>
          <w:highlight w:val="none"/>
        </w:rPr>
      </w:pPr>
      <w:r>
        <w:rPr>
          <w:rFonts w:hint="eastAsia" w:ascii="宋体"/>
          <w:kern w:val="0"/>
          <w:sz w:val="24"/>
          <w:highlight w:val="none"/>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7F0A9374">
      <w:pPr>
        <w:adjustRightInd w:val="0"/>
        <w:snapToGrid w:val="0"/>
        <w:spacing w:line="520" w:lineRule="exact"/>
        <w:ind w:firstLine="480" w:firstLineChars="200"/>
        <w:jc w:val="left"/>
        <w:outlineLvl w:val="2"/>
        <w:rPr>
          <w:rFonts w:hint="eastAsia" w:ascii="宋体"/>
          <w:b/>
          <w:kern w:val="0"/>
          <w:sz w:val="24"/>
          <w:highlight w:val="none"/>
        </w:rPr>
      </w:pPr>
      <w:r>
        <w:rPr>
          <w:rFonts w:hint="eastAsia" w:ascii="宋体"/>
          <w:kern w:val="0"/>
          <w:sz w:val="24"/>
          <w:highlight w:val="none"/>
        </w:rPr>
        <w:t>10.2 违约金的计算方法如下：</w:t>
      </w:r>
    </w:p>
    <w:p w14:paraId="7F1A7ACE">
      <w:pPr>
        <w:adjustRightInd w:val="0"/>
        <w:snapToGrid w:val="0"/>
        <w:spacing w:line="520" w:lineRule="exact"/>
        <w:ind w:firstLine="480" w:firstLineChars="200"/>
        <w:jc w:val="left"/>
        <w:rPr>
          <w:rFonts w:hint="eastAsia" w:ascii="宋体"/>
          <w:kern w:val="0"/>
          <w:sz w:val="24"/>
          <w:highlight w:val="none"/>
        </w:rPr>
      </w:pPr>
      <w:r>
        <w:rPr>
          <w:rFonts w:hint="eastAsia" w:ascii="宋体"/>
          <w:kern w:val="0"/>
          <w:sz w:val="24"/>
          <w:highlight w:val="none"/>
        </w:rPr>
        <w:t>（1）因甲方原因未按本合同的规定向乙方付款的，逾期超过一个月后，每逾期一日，应向乙方偿付欠款金额万分之五的违约金；</w:t>
      </w:r>
    </w:p>
    <w:p w14:paraId="33CFE012">
      <w:pPr>
        <w:adjustRightInd w:val="0"/>
        <w:snapToGrid w:val="0"/>
        <w:spacing w:line="520" w:lineRule="exact"/>
        <w:ind w:firstLine="480" w:firstLineChars="200"/>
        <w:jc w:val="left"/>
        <w:rPr>
          <w:rFonts w:hint="eastAsia" w:ascii="宋体"/>
          <w:kern w:val="0"/>
          <w:sz w:val="24"/>
          <w:highlight w:val="none"/>
        </w:rPr>
      </w:pPr>
      <w:r>
        <w:rPr>
          <w:rFonts w:hint="eastAsia" w:ascii="宋体"/>
          <w:kern w:val="0"/>
          <w:sz w:val="24"/>
          <w:highlight w:val="none"/>
        </w:rPr>
        <w:t>（2）如果因为乙方原因没有在按期完成项目服务工作，每逾期一天，乙方应按照相应服务费的万分之五向甲方支付违约金。</w:t>
      </w:r>
    </w:p>
    <w:p w14:paraId="32369925">
      <w:pPr>
        <w:adjustRightInd w:val="0"/>
        <w:snapToGrid w:val="0"/>
        <w:spacing w:line="520" w:lineRule="exact"/>
        <w:ind w:firstLine="480" w:firstLineChars="200"/>
        <w:jc w:val="left"/>
        <w:rPr>
          <w:rFonts w:hint="eastAsia" w:ascii="宋体"/>
          <w:kern w:val="0"/>
          <w:sz w:val="24"/>
          <w:highlight w:val="none"/>
        </w:rPr>
      </w:pPr>
      <w:r>
        <w:rPr>
          <w:rFonts w:hint="eastAsia" w:ascii="宋体"/>
          <w:kern w:val="0"/>
          <w:sz w:val="24"/>
          <w:highlight w:val="none"/>
        </w:rPr>
        <w:t>10.3 如果甲方未履行本合同规定的付款以外的义务，致使乙方无法履行相应的义务的，除项目服务期限相应顺延外，由此产生的后果由甲方承担，乙方对此免责。</w:t>
      </w:r>
    </w:p>
    <w:p w14:paraId="2A58A1EA">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10.4</w:t>
      </w:r>
      <w:r>
        <w:rPr>
          <w:rFonts w:ascii="宋体"/>
          <w:kern w:val="0"/>
          <w:sz w:val="24"/>
          <w:highlight w:val="none"/>
        </w:rPr>
        <w:t xml:space="preserve"> </w:t>
      </w:r>
      <w:r>
        <w:rPr>
          <w:rFonts w:hint="eastAsia" w:ascii="宋体"/>
          <w:kern w:val="0"/>
          <w:sz w:val="24"/>
          <w:highlight w:val="none"/>
        </w:rPr>
        <w:t>若乙方未能完成甲方委托的任务，则承担本合同总额20%的违约金，并返还甲方已支付的费用。</w:t>
      </w:r>
    </w:p>
    <w:p w14:paraId="1B630F8B">
      <w:pPr>
        <w:snapToGrid w:val="0"/>
        <w:spacing w:line="520" w:lineRule="exact"/>
        <w:ind w:firstLine="480" w:firstLineChars="200"/>
        <w:rPr>
          <w:rFonts w:ascii="宋体"/>
          <w:kern w:val="0"/>
          <w:sz w:val="24"/>
          <w:highlight w:val="none"/>
        </w:rPr>
      </w:pPr>
      <w:r>
        <w:rPr>
          <w:rFonts w:hint="eastAsia" w:ascii="宋体"/>
          <w:kern w:val="0"/>
          <w:sz w:val="24"/>
          <w:highlight w:val="none"/>
        </w:rPr>
        <w:t>10.5</w:t>
      </w:r>
      <w:r>
        <w:rPr>
          <w:rFonts w:ascii="宋体"/>
          <w:kern w:val="0"/>
          <w:sz w:val="24"/>
          <w:highlight w:val="none"/>
        </w:rPr>
        <w:t xml:space="preserve"> </w:t>
      </w:r>
      <w:r>
        <w:rPr>
          <w:rFonts w:hint="eastAsia" w:ascii="宋体"/>
          <w:kern w:val="0"/>
          <w:sz w:val="24"/>
          <w:highlight w:val="none"/>
        </w:rPr>
        <w:t>乙方将甲方支付的咨询费用用于履行合同以外的目的，甲方有权制止并要求其纠正。如因此造成本合同项目停滞、延误或失败的，乙方应当承担给甲方造成的损失赔偿责任。</w:t>
      </w:r>
    </w:p>
    <w:p w14:paraId="2C3B51DB">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w:t>
      </w:r>
      <w:r>
        <w:rPr>
          <w:rFonts w:ascii="宋体"/>
          <w:kern w:val="0"/>
          <w:sz w:val="24"/>
          <w:highlight w:val="none"/>
        </w:rPr>
        <w:t>0</w:t>
      </w:r>
      <w:r>
        <w:rPr>
          <w:rFonts w:hint="eastAsia" w:ascii="宋体"/>
          <w:kern w:val="0"/>
          <w:sz w:val="24"/>
          <w:highlight w:val="none"/>
        </w:rPr>
        <w:t>.</w:t>
      </w:r>
      <w:r>
        <w:rPr>
          <w:rFonts w:ascii="宋体"/>
          <w:kern w:val="0"/>
          <w:sz w:val="24"/>
          <w:highlight w:val="none"/>
        </w:rPr>
        <w:t xml:space="preserve">6 </w:t>
      </w:r>
      <w:r>
        <w:rPr>
          <w:rFonts w:hint="eastAsia" w:ascii="宋体"/>
          <w:kern w:val="0"/>
          <w:sz w:val="24"/>
          <w:highlight w:val="none"/>
        </w:rPr>
        <w:t>除本条及附件3《服务水平协议（SLA）》另有约定外，乙方违反本合同任一条款的，应向甲方支付合同总额5%的违约金并赔偿甲方产生的损失。</w:t>
      </w:r>
    </w:p>
    <w:p w14:paraId="4C30373C">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w:t>
      </w:r>
      <w:r>
        <w:rPr>
          <w:rFonts w:ascii="宋体"/>
          <w:kern w:val="0"/>
          <w:sz w:val="24"/>
          <w:highlight w:val="none"/>
        </w:rPr>
        <w:t>0</w:t>
      </w:r>
      <w:r>
        <w:rPr>
          <w:rFonts w:hint="eastAsia" w:ascii="宋体"/>
          <w:kern w:val="0"/>
          <w:sz w:val="24"/>
          <w:highlight w:val="none"/>
        </w:rPr>
        <w:t>.</w:t>
      </w:r>
      <w:r>
        <w:rPr>
          <w:rFonts w:ascii="宋体"/>
          <w:kern w:val="0"/>
          <w:sz w:val="24"/>
          <w:highlight w:val="none"/>
        </w:rPr>
        <w:t xml:space="preserve">7 </w:t>
      </w:r>
      <w:r>
        <w:rPr>
          <w:rFonts w:hint="eastAsia" w:ascii="宋体"/>
          <w:kern w:val="0"/>
          <w:sz w:val="24"/>
          <w:highlight w:val="none"/>
        </w:rPr>
        <w:t>本合同项下乙方应支付的违约金、赔偿金等，甲方均有权从应支付给乙方的款项中优先扣除，若有不足，乙方应另行筹措资金补足。</w:t>
      </w:r>
    </w:p>
    <w:p w14:paraId="39E16AB6">
      <w:pPr>
        <w:pStyle w:val="13"/>
        <w:tabs>
          <w:tab w:val="right" w:pos="0"/>
          <w:tab w:val="clear" w:pos="630"/>
          <w:tab w:val="clear" w:pos="8730"/>
        </w:tabs>
        <w:adjustRightInd w:val="0"/>
        <w:snapToGrid w:val="0"/>
        <w:spacing w:line="520" w:lineRule="exact"/>
        <w:ind w:right="16" w:firstLine="0"/>
        <w:outlineLvl w:val="9"/>
        <w:rPr>
          <w:rFonts w:hint="eastAsia" w:ascii="宋体" w:eastAsia="宋体"/>
          <w:sz w:val="24"/>
          <w:highlight w:val="none"/>
          <w:lang w:eastAsia="zh-CN"/>
        </w:rPr>
      </w:pPr>
    </w:p>
    <w:p w14:paraId="5C63BD46">
      <w:pPr>
        <w:pStyle w:val="13"/>
        <w:tabs>
          <w:tab w:val="right" w:pos="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113" w:name="_Toc20438"/>
      <w:r>
        <w:rPr>
          <w:rFonts w:hint="eastAsia" w:ascii="宋体" w:eastAsia="宋体"/>
          <w:b/>
          <w:sz w:val="24"/>
          <w:highlight w:val="none"/>
          <w:lang w:eastAsia="zh-CN"/>
        </w:rPr>
        <w:t>第十一条  不可抗力</w:t>
      </w:r>
      <w:bookmarkEnd w:id="113"/>
    </w:p>
    <w:p w14:paraId="496E0562">
      <w:pPr>
        <w:rPr>
          <w:rFonts w:ascii="宋体"/>
          <w:sz w:val="24"/>
          <w:highlight w:val="none"/>
        </w:rPr>
      </w:pPr>
      <w:r>
        <w:rPr>
          <w:rFonts w:ascii="宋体"/>
          <w:sz w:val="24"/>
          <w:highlight w:val="none"/>
        </w:rPr>
        <w:t>11.1 不可抗力是指本合同生效后，发生不能预见并且对其发生和后果不能防止或避免的事件，如地震、台风、水灾、火灾、战争、传染病等，致使直接影</w:t>
      </w:r>
    </w:p>
    <w:p w14:paraId="692C4D60">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响本合同的履行或不能按约定的条件履行。</w:t>
      </w:r>
    </w:p>
    <w:p w14:paraId="28595259">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11.2 发生不可抗力的一方应立即通知对方，并在十五天内提供不可抗力的详情及将有关证明文件送交对方。</w:t>
      </w:r>
    </w:p>
    <w:p w14:paraId="49529CFA">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11.3 发生不可抗力事件时，甲乙双方应协商以寻找一个合理的解决方法，并尽一切努力减轻不可抗力产生的后果。</w:t>
      </w:r>
    </w:p>
    <w:p w14:paraId="20944A40">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11.4 如不可抗力事件持续三十天时，甲乙双方应友好协商解决本合同是否继续履行或终止的问题。</w:t>
      </w:r>
    </w:p>
    <w:p w14:paraId="5AB6C888">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114" w:name="_Toc29085"/>
      <w:r>
        <w:rPr>
          <w:rFonts w:hint="eastAsia" w:ascii="宋体" w:eastAsia="宋体"/>
          <w:b/>
          <w:sz w:val="24"/>
          <w:highlight w:val="none"/>
          <w:lang w:eastAsia="zh-CN"/>
        </w:rPr>
        <w:t>第十二条  争议解决</w:t>
      </w:r>
      <w:bookmarkEnd w:id="114"/>
    </w:p>
    <w:p w14:paraId="5FF1744C">
      <w:pPr>
        <w:pStyle w:val="13"/>
        <w:tabs>
          <w:tab w:val="right" w:pos="0"/>
          <w:tab w:val="clear" w:pos="630"/>
          <w:tab w:val="clear" w:pos="8730"/>
        </w:tabs>
        <w:adjustRightInd w:val="0"/>
        <w:snapToGrid w:val="0"/>
        <w:spacing w:line="520" w:lineRule="exact"/>
        <w:ind w:right="16" w:firstLine="522"/>
        <w:rPr>
          <w:rFonts w:hint="eastAsia" w:ascii="宋体" w:eastAsia="宋体"/>
          <w:kern w:val="2"/>
          <w:sz w:val="24"/>
          <w:highlight w:val="none"/>
          <w:lang w:val="en-US" w:eastAsia="zh-CN"/>
        </w:rPr>
      </w:pPr>
      <w:r>
        <w:rPr>
          <w:rFonts w:hint="eastAsia" w:ascii="宋体" w:eastAsia="宋体"/>
          <w:kern w:val="2"/>
          <w:sz w:val="24"/>
          <w:highlight w:val="none"/>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eastAsia" w:ascii="宋体" w:eastAsia="宋体"/>
          <w:kern w:val="2"/>
          <w:sz w:val="24"/>
          <w:highlight w:val="none"/>
          <w:lang w:val="zh-CN" w:eastAsia="zh-CN"/>
        </w:rPr>
        <w:t>本合同首部载明的甲方地址所在地有管辖权的人民法院起诉</w:t>
      </w:r>
      <w:r>
        <w:rPr>
          <w:rFonts w:hint="eastAsia" w:ascii="宋体" w:eastAsia="宋体"/>
          <w:kern w:val="2"/>
          <w:sz w:val="24"/>
          <w:highlight w:val="none"/>
          <w:lang w:val="en-US" w:eastAsia="zh-CN"/>
        </w:rPr>
        <w:t>。</w:t>
      </w:r>
    </w:p>
    <w:p w14:paraId="73C23452">
      <w:pPr>
        <w:pStyle w:val="13"/>
        <w:tabs>
          <w:tab w:val="right" w:pos="0"/>
          <w:tab w:val="clear" w:pos="630"/>
          <w:tab w:val="clear" w:pos="8730"/>
        </w:tabs>
        <w:adjustRightInd w:val="0"/>
        <w:snapToGrid w:val="0"/>
        <w:spacing w:line="520" w:lineRule="exact"/>
        <w:ind w:right="16" w:firstLine="522"/>
        <w:rPr>
          <w:rFonts w:hint="eastAsia" w:ascii="宋体" w:eastAsia="宋体"/>
          <w:kern w:val="2"/>
          <w:sz w:val="24"/>
          <w:highlight w:val="none"/>
          <w:lang w:val="en-US" w:eastAsia="zh-CN"/>
        </w:rPr>
      </w:pPr>
    </w:p>
    <w:p w14:paraId="474335AC">
      <w:pPr>
        <w:pStyle w:val="13"/>
        <w:tabs>
          <w:tab w:val="right" w:pos="0"/>
        </w:tabs>
        <w:snapToGrid w:val="0"/>
        <w:spacing w:line="520" w:lineRule="exact"/>
        <w:ind w:right="16" w:firstLine="522"/>
        <w:outlineLvl w:val="1"/>
        <w:rPr>
          <w:rFonts w:hint="eastAsia" w:ascii="宋体" w:eastAsia="宋体"/>
          <w:b/>
          <w:sz w:val="24"/>
          <w:highlight w:val="none"/>
          <w:lang w:eastAsia="zh-CN"/>
        </w:rPr>
      </w:pPr>
      <w:r>
        <w:rPr>
          <w:rFonts w:hint="eastAsia" w:ascii="宋体" w:eastAsia="宋体"/>
          <w:b/>
          <w:sz w:val="24"/>
          <w:highlight w:val="none"/>
          <w:lang w:eastAsia="zh-CN"/>
        </w:rPr>
        <w:t>第十三条 通知与送达</w:t>
      </w:r>
    </w:p>
    <w:p w14:paraId="6F8949E6">
      <w:pPr>
        <w:pStyle w:val="13"/>
        <w:tabs>
          <w:tab w:val="right" w:pos="0"/>
        </w:tabs>
        <w:snapToGrid w:val="0"/>
        <w:spacing w:line="520" w:lineRule="exact"/>
        <w:ind w:right="16" w:firstLine="522"/>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752EAF63">
      <w:pPr>
        <w:pStyle w:val="13"/>
        <w:tabs>
          <w:tab w:val="right" w:pos="0"/>
        </w:tabs>
        <w:snapToGrid w:val="0"/>
        <w:spacing w:line="520" w:lineRule="exact"/>
        <w:ind w:right="16" w:firstLine="522"/>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54B2D5C0">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115" w:name="_Toc8471"/>
      <w:r>
        <w:rPr>
          <w:rFonts w:hint="eastAsia" w:ascii="宋体" w:eastAsia="宋体"/>
          <w:b/>
          <w:sz w:val="24"/>
          <w:highlight w:val="none"/>
          <w:lang w:eastAsia="zh-CN"/>
        </w:rPr>
        <w:t>第十四条  合同的补充和变更</w:t>
      </w:r>
      <w:bookmarkEnd w:id="115"/>
    </w:p>
    <w:p w14:paraId="3F89C3C9">
      <w:pPr>
        <w:adjustRightInd w:val="0"/>
        <w:snapToGrid w:val="0"/>
        <w:spacing w:line="520" w:lineRule="exact"/>
        <w:ind w:firstLine="522" w:firstLineChars="0"/>
        <w:rPr>
          <w:rFonts w:hint="eastAsia" w:ascii="宋体"/>
          <w:sz w:val="24"/>
          <w:highlight w:val="none"/>
        </w:rPr>
      </w:pPr>
      <w:r>
        <w:rPr>
          <w:rFonts w:hint="eastAsia" w:ascii="宋体"/>
          <w:sz w:val="24"/>
          <w:highlight w:val="none"/>
        </w:rPr>
        <w:t>14.1 本合同的未尽事宜，由甲乙双方友好协商，以签署补充协议约定。</w:t>
      </w:r>
    </w:p>
    <w:p w14:paraId="2450DE0A">
      <w:pPr>
        <w:adjustRightInd w:val="0"/>
        <w:snapToGrid w:val="0"/>
        <w:spacing w:line="520" w:lineRule="exact"/>
        <w:ind w:firstLine="522" w:firstLineChars="0"/>
        <w:rPr>
          <w:rFonts w:hint="eastAsia" w:ascii="宋体"/>
          <w:sz w:val="24"/>
          <w:highlight w:val="none"/>
        </w:rPr>
      </w:pPr>
      <w:r>
        <w:rPr>
          <w:rFonts w:hint="eastAsia" w:ascii="宋体"/>
          <w:sz w:val="24"/>
          <w:highlight w:val="none"/>
        </w:rPr>
        <w:t>14.2 双方协商一致可以对本合同进行变更。双方就变更以书面形式确认后，变更即可生效。变更后的条款替代本合同原有条款，构成本合同不可分割的一部分。</w:t>
      </w:r>
    </w:p>
    <w:p w14:paraId="7F16F036">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116" w:name="_Toc21869"/>
      <w:r>
        <w:rPr>
          <w:rFonts w:hint="eastAsia" w:ascii="宋体" w:eastAsia="宋体"/>
          <w:b/>
          <w:sz w:val="24"/>
          <w:highlight w:val="none"/>
          <w:lang w:eastAsia="zh-CN"/>
        </w:rPr>
        <w:t>第十五条  合同的生效</w:t>
      </w:r>
      <w:bookmarkEnd w:id="116"/>
    </w:p>
    <w:p w14:paraId="3CBF6C21">
      <w:pPr>
        <w:pStyle w:val="13"/>
        <w:tabs>
          <w:tab w:val="right" w:pos="0"/>
          <w:tab w:val="clear" w:pos="630"/>
          <w:tab w:val="clear" w:pos="8730"/>
        </w:tabs>
        <w:adjustRightInd w:val="0"/>
        <w:snapToGrid w:val="0"/>
        <w:spacing w:line="520" w:lineRule="exact"/>
        <w:ind w:right="17" w:firstLine="522"/>
        <w:rPr>
          <w:rFonts w:hint="eastAsia" w:ascii="宋体" w:eastAsia="宋体"/>
          <w:kern w:val="2"/>
          <w:sz w:val="24"/>
          <w:highlight w:val="none"/>
          <w:lang w:val="en-US" w:eastAsia="zh-CN"/>
        </w:rPr>
      </w:pPr>
      <w:r>
        <w:rPr>
          <w:rFonts w:hint="eastAsia" w:ascii="宋体" w:eastAsia="宋体"/>
          <w:kern w:val="2"/>
          <w:sz w:val="24"/>
          <w:highlight w:val="none"/>
          <w:lang w:val="en-US" w:eastAsia="zh-CN"/>
        </w:rPr>
        <w:t>甲乙双方对本合同及其全部附件内容达成一致并加盖公章后生效。</w:t>
      </w:r>
    </w:p>
    <w:p w14:paraId="5F62FEA9">
      <w:pPr>
        <w:pStyle w:val="13"/>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highlight w:val="none"/>
          <w:lang w:eastAsia="zh-CN"/>
        </w:rPr>
      </w:pPr>
    </w:p>
    <w:p w14:paraId="4AE7ED28">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117" w:name="_Toc11404"/>
      <w:r>
        <w:rPr>
          <w:rFonts w:hint="eastAsia" w:ascii="宋体" w:eastAsia="宋体"/>
          <w:b/>
          <w:sz w:val="24"/>
          <w:highlight w:val="none"/>
          <w:lang w:eastAsia="zh-CN"/>
        </w:rPr>
        <w:t>第十六条  合同附件</w:t>
      </w:r>
      <w:bookmarkEnd w:id="117"/>
    </w:p>
    <w:p w14:paraId="4E56441E">
      <w:pPr>
        <w:snapToGrid w:val="0"/>
        <w:spacing w:line="520" w:lineRule="exact"/>
        <w:ind w:firstLine="559" w:firstLineChars="233"/>
        <w:rPr>
          <w:rFonts w:hint="eastAsia" w:ascii="宋体"/>
          <w:sz w:val="24"/>
          <w:szCs w:val="20"/>
          <w:highlight w:val="none"/>
        </w:rPr>
      </w:pPr>
      <w:r>
        <w:rPr>
          <w:rFonts w:hint="eastAsia" w:ascii="宋体"/>
          <w:sz w:val="24"/>
          <w:szCs w:val="20"/>
          <w:highlight w:val="none"/>
        </w:rPr>
        <w:t>本合同的附件与合同正本具有同等法律效力，主合同与附件如有冲突，以主合同为准。本合同附件如下：</w:t>
      </w:r>
    </w:p>
    <w:p w14:paraId="04E7257E">
      <w:pPr>
        <w:snapToGrid w:val="0"/>
        <w:spacing w:line="520" w:lineRule="exact"/>
        <w:ind w:firstLine="480" w:firstLineChars="200"/>
        <w:rPr>
          <w:rFonts w:hint="eastAsia" w:ascii="宋体"/>
          <w:color w:val="FF0000"/>
          <w:sz w:val="24"/>
          <w:highlight w:val="none"/>
        </w:rPr>
      </w:pPr>
      <w:r>
        <w:rPr>
          <w:rFonts w:hint="eastAsia" w:ascii="宋体"/>
          <w:color w:val="FF0000"/>
          <w:sz w:val="24"/>
          <w:highlight w:val="none"/>
        </w:rPr>
        <w:t>附件1：工作说明书</w:t>
      </w:r>
    </w:p>
    <w:p w14:paraId="005063F8">
      <w:pPr>
        <w:snapToGrid w:val="0"/>
        <w:spacing w:line="520" w:lineRule="exact"/>
        <w:ind w:firstLine="480" w:firstLineChars="200"/>
        <w:rPr>
          <w:rFonts w:hint="eastAsia" w:ascii="宋体"/>
          <w:color w:val="FF0000"/>
          <w:sz w:val="24"/>
          <w:highlight w:val="none"/>
        </w:rPr>
      </w:pPr>
      <w:r>
        <w:rPr>
          <w:rFonts w:hint="eastAsia" w:ascii="宋体"/>
          <w:color w:val="FF0000"/>
          <w:sz w:val="24"/>
          <w:highlight w:val="none"/>
        </w:rPr>
        <w:t>附件2：项目最终验收表</w:t>
      </w:r>
    </w:p>
    <w:p w14:paraId="2DC7F65E">
      <w:pPr>
        <w:snapToGrid w:val="0"/>
        <w:spacing w:line="520" w:lineRule="exact"/>
        <w:ind w:firstLine="480" w:firstLineChars="200"/>
        <w:rPr>
          <w:rFonts w:hint="eastAsia" w:ascii="宋体"/>
          <w:color w:val="FF0000"/>
          <w:sz w:val="24"/>
          <w:highlight w:val="none"/>
        </w:rPr>
      </w:pPr>
      <w:r>
        <w:rPr>
          <w:rFonts w:hint="eastAsia" w:ascii="宋体"/>
          <w:color w:val="FF0000"/>
          <w:sz w:val="24"/>
          <w:highlight w:val="none"/>
        </w:rPr>
        <w:t>附件3：服务水平协议</w:t>
      </w:r>
    </w:p>
    <w:p w14:paraId="05ACB093">
      <w:pPr>
        <w:snapToGrid w:val="0"/>
        <w:spacing w:line="520" w:lineRule="exact"/>
        <w:ind w:firstLine="480" w:firstLineChars="200"/>
        <w:rPr>
          <w:rFonts w:hint="eastAsia" w:ascii="宋体"/>
          <w:color w:val="FF0000"/>
          <w:sz w:val="24"/>
          <w:highlight w:val="none"/>
        </w:rPr>
      </w:pPr>
      <w:r>
        <w:rPr>
          <w:rFonts w:hint="eastAsia" w:ascii="宋体"/>
          <w:color w:val="FF0000"/>
          <w:sz w:val="24"/>
          <w:highlight w:val="none"/>
        </w:rPr>
        <w:t>附件4：</w:t>
      </w:r>
      <w:r>
        <w:rPr>
          <w:rFonts w:hint="eastAsia"/>
          <w:color w:val="FF0000"/>
          <w:sz w:val="24"/>
          <w:highlight w:val="none"/>
        </w:rPr>
        <w:t>服务连续性预案</w:t>
      </w:r>
    </w:p>
    <w:p w14:paraId="060C7BC1">
      <w:pPr>
        <w:snapToGrid w:val="0"/>
        <w:spacing w:line="520" w:lineRule="exact"/>
        <w:ind w:firstLine="480" w:firstLineChars="200"/>
        <w:rPr>
          <w:rFonts w:hint="eastAsia" w:ascii="宋体"/>
          <w:sz w:val="24"/>
          <w:highlight w:val="none"/>
        </w:rPr>
      </w:pPr>
    </w:p>
    <w:p w14:paraId="1CA09BFB">
      <w:pPr>
        <w:pStyle w:val="13"/>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highlight w:val="none"/>
          <w:lang w:eastAsia="zh-CN"/>
        </w:rPr>
      </w:pPr>
      <w:bookmarkStart w:id="118" w:name="_Toc21881"/>
      <w:r>
        <w:rPr>
          <w:rFonts w:hint="eastAsia" w:ascii="宋体" w:eastAsia="宋体"/>
          <w:b/>
          <w:sz w:val="24"/>
          <w:highlight w:val="none"/>
          <w:lang w:eastAsia="zh-CN"/>
        </w:rPr>
        <w:t>第十七条  其它</w:t>
      </w:r>
      <w:bookmarkEnd w:id="118"/>
    </w:p>
    <w:p w14:paraId="2F420690">
      <w:pPr>
        <w:pStyle w:val="13"/>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17.1 未经另一方的事先书面同意，任何一方不得将在本合同项下的部分或全部义务进行转让、分许可、分包。</w:t>
      </w:r>
    </w:p>
    <w:p w14:paraId="199566A6">
      <w:pPr>
        <w:pStyle w:val="13"/>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30BF4CD2">
      <w:pPr>
        <w:pStyle w:val="13"/>
        <w:tabs>
          <w:tab w:val="right" w:pos="0"/>
          <w:tab w:val="clear" w:pos="630"/>
          <w:tab w:val="clear" w:pos="8730"/>
        </w:tabs>
        <w:adjustRightInd w:val="0"/>
        <w:snapToGrid w:val="0"/>
        <w:spacing w:line="520" w:lineRule="exact"/>
        <w:ind w:right="16" w:firstLine="480" w:firstLineChars="200"/>
        <w:outlineLvl w:val="2"/>
        <w:rPr>
          <w:rFonts w:hint="eastAsia" w:ascii="宋体" w:eastAsia="宋体"/>
          <w:kern w:val="2"/>
          <w:sz w:val="24"/>
          <w:highlight w:val="none"/>
          <w:lang w:val="en-US" w:eastAsia="zh-CN"/>
        </w:rPr>
      </w:pPr>
      <w:r>
        <w:rPr>
          <w:rFonts w:hint="eastAsia" w:ascii="宋体" w:eastAsia="宋体"/>
          <w:kern w:val="2"/>
          <w:sz w:val="24"/>
          <w:highlight w:val="none"/>
          <w:lang w:val="en-US" w:eastAsia="zh-CN"/>
        </w:rPr>
        <w:t>17.3 本合同一式肆份，双方各持贰份，具有同等法律效力。</w:t>
      </w:r>
    </w:p>
    <w:p w14:paraId="42806FEF">
      <w:pPr>
        <w:pStyle w:val="13"/>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（以下无正文）</w:t>
      </w:r>
    </w:p>
    <w:p w14:paraId="24268D75">
      <w:pPr>
        <w:rPr>
          <w:rFonts w:ascii="宋体"/>
          <w:sz w:val="24"/>
          <w:highlight w:val="none"/>
        </w:rPr>
      </w:pPr>
    </w:p>
    <w:p w14:paraId="7567214A">
      <w:pPr>
        <w:rPr>
          <w:rFonts w:ascii="宋体"/>
          <w:sz w:val="24"/>
          <w:highlight w:val="none"/>
        </w:rPr>
      </w:pPr>
    </w:p>
    <w:p w14:paraId="378E9EE5">
      <w:pPr>
        <w:rPr>
          <w:rFonts w:ascii="宋体"/>
          <w:sz w:val="24"/>
          <w:highlight w:val="none"/>
        </w:rPr>
      </w:pPr>
    </w:p>
    <w:p w14:paraId="3436EBA3">
      <w:pPr>
        <w:rPr>
          <w:highlight w:val="none"/>
        </w:rPr>
      </w:pPr>
    </w:p>
    <w:p w14:paraId="6D5036FB">
      <w:pPr>
        <w:rPr>
          <w:highlight w:val="none"/>
        </w:rPr>
      </w:pPr>
    </w:p>
    <w:p w14:paraId="701BD0F5">
      <w:pPr>
        <w:rPr>
          <w:highlight w:val="none"/>
        </w:rPr>
      </w:pPr>
    </w:p>
    <w:p w14:paraId="6BD8C26F">
      <w:pPr>
        <w:rPr>
          <w:highlight w:val="none"/>
        </w:rPr>
      </w:pPr>
    </w:p>
    <w:p w14:paraId="2ABE3288">
      <w:pPr>
        <w:pStyle w:val="2"/>
        <w:outlineLvl w:val="9"/>
        <w:rPr>
          <w:highlight w:val="none"/>
        </w:rPr>
      </w:pPr>
      <w:bookmarkStart w:id="119" w:name="_Toc19504"/>
    </w:p>
    <w:p w14:paraId="479A5E26">
      <w:pPr>
        <w:pStyle w:val="2"/>
        <w:outlineLvl w:val="9"/>
        <w:rPr>
          <w:highlight w:val="none"/>
        </w:rPr>
      </w:pPr>
    </w:p>
    <w:p w14:paraId="3337FCCB">
      <w:pPr>
        <w:snapToGrid w:val="0"/>
        <w:spacing w:line="520" w:lineRule="exact"/>
        <w:ind w:right="-288" w:firstLine="522" w:firstLineChars="0"/>
        <w:rPr>
          <w:rFonts w:hint="eastAsia" w:ascii="宋体"/>
          <w:b/>
          <w:snapToGrid w:val="0"/>
          <w:sz w:val="24"/>
          <w:highlight w:val="none"/>
        </w:rPr>
      </w:pPr>
      <w:r>
        <w:rPr>
          <w:rFonts w:hint="eastAsia" w:ascii="宋体"/>
          <w:b/>
          <w:sz w:val="24"/>
          <w:highlight w:val="none"/>
        </w:rPr>
        <w:t>（本页无正文，为编号XXXXXXXX《XXX合同》的签署页）</w:t>
      </w:r>
    </w:p>
    <w:p w14:paraId="42A369A5">
      <w:pPr>
        <w:snapToGrid w:val="0"/>
        <w:spacing w:line="520" w:lineRule="exact"/>
        <w:ind w:right="-288"/>
        <w:rPr>
          <w:rFonts w:hint="eastAsia" w:ascii="宋体"/>
          <w:b/>
          <w:snapToGrid w:val="0"/>
          <w:sz w:val="24"/>
          <w:highlight w:val="none"/>
        </w:rPr>
      </w:pPr>
      <w:r>
        <w:rPr>
          <w:rFonts w:hint="eastAsia" w:ascii="宋体"/>
          <w:b/>
          <w:snapToGrid w:val="0"/>
          <w:sz w:val="24"/>
          <w:highlight w:val="none"/>
        </w:rPr>
        <w:t>甲方：重庆三峡银行股份有限公司         乙方：XXXXXXXXX</w:t>
      </w:r>
    </w:p>
    <w:p w14:paraId="754A4205">
      <w:pPr>
        <w:snapToGrid w:val="0"/>
        <w:spacing w:line="520" w:lineRule="exact"/>
        <w:ind w:right="-288" w:firstLine="522" w:firstLineChars="0"/>
        <w:rPr>
          <w:rFonts w:hint="eastAsia" w:ascii="宋体"/>
          <w:b/>
          <w:snapToGrid w:val="0"/>
          <w:sz w:val="24"/>
          <w:highlight w:val="none"/>
        </w:rPr>
      </w:pPr>
    </w:p>
    <w:p w14:paraId="420AB4C3">
      <w:pPr>
        <w:snapToGrid w:val="0"/>
        <w:spacing w:line="520" w:lineRule="exact"/>
        <w:ind w:right="-429"/>
        <w:rPr>
          <w:rFonts w:hint="eastAsia" w:ascii="宋体"/>
          <w:snapToGrid w:val="0"/>
          <w:sz w:val="24"/>
          <w:highlight w:val="none"/>
          <w:u w:val="single"/>
        </w:rPr>
      </w:pPr>
      <w:r>
        <w:rPr>
          <w:rFonts w:hint="eastAsia" w:ascii="宋体"/>
          <w:snapToGrid w:val="0"/>
          <w:sz w:val="24"/>
          <w:highlight w:val="none"/>
        </w:rPr>
        <w:t xml:space="preserve"> (盖章)：_____________                （盖章）：</w:t>
      </w:r>
      <w:r>
        <w:rPr>
          <w:rFonts w:hint="eastAsia" w:ascii="宋体"/>
          <w:snapToGrid w:val="0"/>
          <w:sz w:val="24"/>
          <w:highlight w:val="none"/>
          <w:u w:val="single"/>
        </w:rPr>
        <w:t xml:space="preserve">            </w:t>
      </w:r>
    </w:p>
    <w:p w14:paraId="23138231">
      <w:pPr>
        <w:snapToGrid w:val="0"/>
        <w:spacing w:line="520" w:lineRule="exact"/>
        <w:ind w:right="-429"/>
        <w:rPr>
          <w:rFonts w:hint="eastAsia" w:ascii="宋体"/>
          <w:snapToGrid w:val="0"/>
          <w:sz w:val="24"/>
          <w:highlight w:val="none"/>
          <w:u w:val="single"/>
        </w:rPr>
      </w:pPr>
    </w:p>
    <w:p w14:paraId="31DD6D80">
      <w:pPr>
        <w:snapToGrid w:val="0"/>
        <w:spacing w:line="520" w:lineRule="exact"/>
        <w:ind w:right="-429" w:firstLine="840" w:firstLineChars="350"/>
        <w:rPr>
          <w:rFonts w:hint="eastAsia" w:ascii="宋体"/>
          <w:snapToGrid w:val="0"/>
          <w:sz w:val="24"/>
          <w:highlight w:val="none"/>
        </w:rPr>
      </w:pPr>
      <w:r>
        <w:rPr>
          <w:rFonts w:hint="eastAsia" w:ascii="宋体"/>
          <w:snapToGrid w:val="0"/>
          <w:sz w:val="24"/>
          <w:highlight w:val="none"/>
        </w:rPr>
        <w:t xml:space="preserve">                                日期：</w:t>
      </w:r>
    </w:p>
    <w:p w14:paraId="1E44C378">
      <w:pPr>
        <w:pStyle w:val="2"/>
        <w:outlineLvl w:val="9"/>
        <w:rPr>
          <w:highlight w:val="none"/>
        </w:rPr>
      </w:pPr>
      <w:r>
        <w:rPr>
          <w:snapToGrid w:val="0"/>
          <w:highlight w:val="none"/>
        </w:rPr>
        <w:br w:type="page"/>
      </w:r>
    </w:p>
    <w:p w14:paraId="4EB52204">
      <w:pPr>
        <w:pStyle w:val="21"/>
        <w:snapToGrid w:val="0"/>
        <w:spacing w:before="0" w:after="0" w:line="520" w:lineRule="exact"/>
        <w:jc w:val="left"/>
        <w:outlineLvl w:val="1"/>
        <w:rPr>
          <w:rFonts w:hint="eastAsia"/>
          <w:snapToGrid w:val="0"/>
          <w:highlight w:val="none"/>
        </w:rPr>
      </w:pPr>
      <w:bookmarkStart w:id="120" w:name="_Toc28620"/>
      <w:r>
        <w:rPr>
          <w:rFonts w:hint="eastAsia" w:ascii="宋体"/>
          <w:snapToGrid w:val="0"/>
          <w:sz w:val="24"/>
          <w:highlight w:val="none"/>
        </w:rPr>
        <w:t>附件1</w:t>
      </w:r>
      <w:bookmarkEnd w:id="120"/>
    </w:p>
    <w:p w14:paraId="042F9E75">
      <w:pPr>
        <w:pStyle w:val="21"/>
        <w:snapToGrid w:val="0"/>
        <w:spacing w:before="0" w:after="0" w:line="520" w:lineRule="exact"/>
        <w:rPr>
          <w:rFonts w:hint="eastAsia" w:ascii="方正小标宋_GBK" w:eastAsia="方正小标宋_GBK"/>
          <w:b w:val="0"/>
          <w:snapToGrid w:val="0"/>
          <w:sz w:val="40"/>
          <w:highlight w:val="none"/>
        </w:rPr>
      </w:pPr>
      <w:bookmarkStart w:id="121" w:name="_Toc16819"/>
      <w:r>
        <w:rPr>
          <w:rFonts w:hint="eastAsia" w:ascii="方正小标宋_GBK" w:eastAsia="方正小标宋_GBK"/>
          <w:b w:val="0"/>
          <w:snapToGrid w:val="0"/>
          <w:sz w:val="40"/>
          <w:highlight w:val="none"/>
        </w:rPr>
        <w:t>工作说明书</w:t>
      </w:r>
      <w:bookmarkEnd w:id="121"/>
    </w:p>
    <w:p w14:paraId="32B8DF00">
      <w:pPr>
        <w:keepNext/>
        <w:keepLines/>
        <w:widowControl w:val="0"/>
        <w:spacing w:before="260" w:after="260" w:line="415" w:lineRule="auto"/>
        <w:jc w:val="left"/>
        <w:outlineLvl w:val="1"/>
        <w:rPr>
          <w:rFonts w:ascii="方正黑体_GBK" w:eastAsia="方正黑体_GBK"/>
          <w:bCs/>
          <w:sz w:val="32"/>
          <w:szCs w:val="32"/>
          <w:highlight w:val="none"/>
        </w:rPr>
      </w:pPr>
      <w:bookmarkStart w:id="122" w:name="_Toc422127535"/>
      <w:r>
        <w:rPr>
          <w:rFonts w:hint="eastAsia" w:ascii="方正黑体_GBK" w:eastAsia="方正黑体_GBK"/>
          <w:bCs/>
          <w:sz w:val="32"/>
          <w:szCs w:val="32"/>
          <w:highlight w:val="none"/>
        </w:rPr>
        <w:t>第一条  项目目标</w:t>
      </w:r>
    </w:p>
    <w:p w14:paraId="6A5B18A6">
      <w:pPr>
        <w:rPr>
          <w:rFonts w:hint="eastAsia" w:ascii="宋体" w:cs="宋体"/>
          <w:sz w:val="24"/>
          <w:highlight w:val="none"/>
        </w:rPr>
      </w:pPr>
      <w:r>
        <w:rPr>
          <w:rFonts w:hint="eastAsia" w:ascii="宋体" w:cs="宋体"/>
          <w:sz w:val="24"/>
          <w:highlight w:val="none"/>
        </w:rPr>
        <w:t>完成移动APP的金融科技产品认证、备案工作，顺利获取金融科技产品认证证书和备案证明，并且完成证书有效期内的年度监督审查服务。</w:t>
      </w:r>
    </w:p>
    <w:p w14:paraId="25429704">
      <w:pPr>
        <w:keepNext/>
        <w:keepLines/>
        <w:widowControl w:val="0"/>
        <w:spacing w:before="260" w:after="260" w:line="415" w:lineRule="auto"/>
        <w:jc w:val="left"/>
        <w:outlineLvl w:val="1"/>
        <w:rPr>
          <w:rFonts w:hint="eastAsia" w:ascii="方正黑体_GBK" w:eastAsia="方正黑体_GBK"/>
          <w:bCs/>
          <w:sz w:val="32"/>
          <w:szCs w:val="32"/>
          <w:highlight w:val="none"/>
        </w:rPr>
      </w:pPr>
      <w:r>
        <w:rPr>
          <w:rFonts w:hint="eastAsia" w:ascii="方正黑体_GBK" w:eastAsia="方正黑体_GBK"/>
          <w:bCs/>
          <w:sz w:val="32"/>
          <w:szCs w:val="32"/>
          <w:highlight w:val="none"/>
        </w:rPr>
        <w:t>第二条  项目</w:t>
      </w:r>
      <w:bookmarkEnd w:id="122"/>
      <w:r>
        <w:rPr>
          <w:rFonts w:hint="eastAsia" w:ascii="方正黑体_GBK" w:eastAsia="方正黑体_GBK"/>
          <w:bCs/>
          <w:sz w:val="32"/>
          <w:szCs w:val="32"/>
          <w:highlight w:val="none"/>
        </w:rPr>
        <w:t>范围</w:t>
      </w:r>
    </w:p>
    <w:p w14:paraId="5F979B40">
      <w:pPr>
        <w:tabs>
          <w:tab w:val="left" w:pos="360"/>
          <w:tab w:val="left" w:pos="862"/>
        </w:tabs>
        <w:adjustRightInd w:val="0"/>
        <w:snapToGrid w:val="0"/>
        <w:outlineLvl w:val="2"/>
        <w:rPr>
          <w:rFonts w:hint="eastAsia" w:ascii="宋体" w:cs="宋体"/>
          <w:sz w:val="24"/>
          <w:highlight w:val="none"/>
        </w:rPr>
      </w:pPr>
      <w:r>
        <w:rPr>
          <w:rFonts w:hint="eastAsia" w:ascii="宋体" w:cs="宋体"/>
          <w:sz w:val="24"/>
          <w:highlight w:val="none"/>
        </w:rPr>
        <w:t>2.1本项目中乙方主要工作范围包括：</w:t>
      </w:r>
    </w:p>
    <w:p w14:paraId="173DF555">
      <w:pPr>
        <w:tabs>
          <w:tab w:val="left" w:pos="360"/>
          <w:tab w:val="left" w:pos="862"/>
        </w:tabs>
        <w:adjustRightInd w:val="0"/>
        <w:snapToGrid w:val="0"/>
        <w:rPr>
          <w:rFonts w:hint="eastAsia" w:ascii="宋体" w:cs="宋体"/>
          <w:sz w:val="24"/>
          <w:highlight w:val="none"/>
        </w:rPr>
      </w:pPr>
      <w:r>
        <w:rPr>
          <w:rFonts w:ascii="宋体" w:cs="宋体"/>
          <w:sz w:val="24"/>
          <w:highlight w:val="none"/>
        </w:rPr>
        <w:t>提供移动APP金融科技产品认证服务，一是协助甲方完成移动APP的金融科技产品认证、备案工作，顺利获取金融科技产品认证证书和备案证明；二是完成证书有效期内的年度监督审查，维持证书的有效性。</w:t>
      </w:r>
    </w:p>
    <w:p w14:paraId="64E1DE10">
      <w:pPr>
        <w:tabs>
          <w:tab w:val="left" w:pos="360"/>
          <w:tab w:val="left" w:pos="862"/>
        </w:tabs>
        <w:adjustRightInd w:val="0"/>
        <w:snapToGrid w:val="0"/>
        <w:outlineLvl w:val="2"/>
        <w:rPr>
          <w:rFonts w:hint="eastAsia" w:ascii="宋体" w:cs="宋体"/>
          <w:sz w:val="24"/>
          <w:highlight w:val="none"/>
        </w:rPr>
      </w:pPr>
      <w:r>
        <w:rPr>
          <w:rFonts w:hint="eastAsia" w:ascii="宋体" w:cs="宋体"/>
          <w:sz w:val="24"/>
          <w:highlight w:val="none"/>
        </w:rPr>
        <w:t>2.2 项目实施地点</w:t>
      </w:r>
    </w:p>
    <w:p w14:paraId="7D39ADA5">
      <w:pPr>
        <w:tabs>
          <w:tab w:val="left" w:pos="360"/>
          <w:tab w:val="left" w:pos="862"/>
        </w:tabs>
        <w:adjustRightInd w:val="0"/>
        <w:snapToGrid w:val="0"/>
        <w:rPr>
          <w:rFonts w:hint="eastAsia" w:ascii="宋体" w:cs="宋体"/>
          <w:sz w:val="24"/>
          <w:highlight w:val="none"/>
        </w:rPr>
      </w:pPr>
      <w:r>
        <w:rPr>
          <w:rFonts w:ascii="宋体" w:cs="宋体"/>
          <w:sz w:val="24"/>
          <w:highlight w:val="none"/>
        </w:rPr>
        <w:t>重庆市</w:t>
      </w:r>
    </w:p>
    <w:p w14:paraId="6985DABC">
      <w:pPr>
        <w:keepNext/>
        <w:keepLines/>
        <w:widowControl w:val="0"/>
        <w:spacing w:before="260" w:after="260" w:line="415" w:lineRule="auto"/>
        <w:jc w:val="left"/>
        <w:outlineLvl w:val="1"/>
        <w:rPr>
          <w:rFonts w:hint="eastAsia" w:ascii="方正黑体_GBK" w:eastAsia="方正黑体_GBK"/>
          <w:bCs/>
          <w:sz w:val="32"/>
          <w:szCs w:val="32"/>
          <w:highlight w:val="none"/>
        </w:rPr>
      </w:pPr>
      <w:bookmarkStart w:id="123" w:name="_Toc422127542"/>
      <w:r>
        <w:rPr>
          <w:rFonts w:hint="eastAsia" w:ascii="方正黑体_GBK" w:eastAsia="方正黑体_GBK"/>
          <w:bCs/>
          <w:sz w:val="32"/>
          <w:szCs w:val="32"/>
          <w:highlight w:val="none"/>
        </w:rPr>
        <w:t>第</w:t>
      </w:r>
      <w:r>
        <w:rPr>
          <w:rFonts w:ascii="方正黑体_GBK" w:eastAsia="方正黑体_GBK"/>
          <w:bCs/>
          <w:sz w:val="32"/>
          <w:szCs w:val="32"/>
          <w:highlight w:val="none"/>
        </w:rPr>
        <w:t>三</w:t>
      </w:r>
      <w:r>
        <w:rPr>
          <w:rFonts w:hint="eastAsia" w:ascii="方正黑体_GBK" w:eastAsia="方正黑体_GBK"/>
          <w:bCs/>
          <w:sz w:val="32"/>
          <w:szCs w:val="32"/>
          <w:highlight w:val="none"/>
        </w:rPr>
        <w:t>条  主要工作任务</w:t>
      </w:r>
      <w:bookmarkEnd w:id="123"/>
    </w:p>
    <w:tbl>
      <w:tblPr>
        <w:tblStyle w:val="23"/>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85"/>
        <w:gridCol w:w="3886"/>
        <w:gridCol w:w="2476"/>
      </w:tblGrid>
      <w:tr w14:paraId="1B4E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vAlign w:val="center"/>
          </w:tcPr>
          <w:p w14:paraId="2744A213">
            <w:pPr>
              <w:pageBreakBefore w:val="0"/>
              <w:widowControl w:val="0"/>
              <w:kinsoku/>
              <w:wordWrap/>
              <w:overflowPunct/>
              <w:topLinePunct w:val="0"/>
              <w:autoSpaceDE w:val="0"/>
              <w:autoSpaceDN w:val="0"/>
              <w:ind w:firstLine="0" w:firstLineChars="0"/>
              <w:rPr>
                <w:rFonts w:hint="eastAsia" w:ascii="宋体"/>
                <w:b/>
                <w:color w:val="auto"/>
                <w:highlight w:val="none"/>
              </w:rPr>
            </w:pPr>
            <w:r>
              <w:rPr>
                <w:rFonts w:hint="eastAsia" w:ascii="宋体"/>
                <w:b/>
                <w:color w:val="auto"/>
                <w:highlight w:val="none"/>
              </w:rPr>
              <w:t>序号</w:t>
            </w:r>
          </w:p>
        </w:tc>
        <w:tc>
          <w:tcPr>
            <w:tcW w:w="1485" w:type="dxa"/>
            <w:tcBorders>
              <w:top w:val="single" w:color="auto" w:sz="4" w:space="0"/>
              <w:left w:val="single" w:color="auto" w:sz="4" w:space="0"/>
              <w:bottom w:val="single" w:color="auto" w:sz="4" w:space="0"/>
              <w:right w:val="single" w:color="auto" w:sz="4" w:space="0"/>
            </w:tcBorders>
            <w:noWrap/>
            <w:vAlign w:val="center"/>
          </w:tcPr>
          <w:p w14:paraId="11B8C7F9">
            <w:pPr>
              <w:pageBreakBefore w:val="0"/>
              <w:widowControl w:val="0"/>
              <w:kinsoku/>
              <w:wordWrap/>
              <w:overflowPunct/>
              <w:topLinePunct w:val="0"/>
              <w:autoSpaceDE w:val="0"/>
              <w:autoSpaceDN w:val="0"/>
              <w:jc w:val="both"/>
              <w:rPr>
                <w:rFonts w:hint="eastAsia" w:ascii="宋体" w:cs="宋体"/>
                <w:b/>
                <w:color w:val="auto"/>
                <w:highlight w:val="none"/>
              </w:rPr>
            </w:pPr>
            <w:r>
              <w:rPr>
                <w:rFonts w:hint="eastAsia" w:ascii="宋体" w:cs="宋体"/>
                <w:b/>
                <w:color w:val="auto"/>
                <w:highlight w:val="none"/>
              </w:rPr>
              <w:t>服务项</w:t>
            </w:r>
          </w:p>
        </w:tc>
        <w:tc>
          <w:tcPr>
            <w:tcW w:w="3886" w:type="dxa"/>
            <w:tcBorders>
              <w:top w:val="single" w:color="auto" w:sz="4" w:space="0"/>
              <w:left w:val="single" w:color="auto" w:sz="4" w:space="0"/>
              <w:bottom w:val="single" w:color="auto" w:sz="4" w:space="0"/>
              <w:right w:val="single" w:color="auto" w:sz="4" w:space="0"/>
            </w:tcBorders>
            <w:noWrap/>
            <w:vAlign w:val="center"/>
          </w:tcPr>
          <w:p w14:paraId="2350993E">
            <w:pPr>
              <w:pageBreakBefore w:val="0"/>
              <w:widowControl w:val="0"/>
              <w:kinsoku/>
              <w:wordWrap/>
              <w:overflowPunct/>
              <w:topLinePunct w:val="0"/>
              <w:autoSpaceDE w:val="0"/>
              <w:autoSpaceDN w:val="0"/>
              <w:ind w:firstLine="0" w:firstLineChars="0"/>
              <w:rPr>
                <w:rFonts w:hint="eastAsia" w:ascii="宋体"/>
                <w:b/>
                <w:color w:val="auto"/>
                <w:highlight w:val="none"/>
              </w:rPr>
            </w:pPr>
            <w:r>
              <w:rPr>
                <w:rFonts w:hint="eastAsia" w:ascii="宋体" w:cs="宋体"/>
                <w:b/>
                <w:color w:val="auto"/>
                <w:highlight w:val="none"/>
              </w:rPr>
              <w:t>服务描述</w:t>
            </w:r>
          </w:p>
        </w:tc>
        <w:tc>
          <w:tcPr>
            <w:tcW w:w="2476" w:type="dxa"/>
            <w:tcBorders>
              <w:top w:val="single" w:color="auto" w:sz="4" w:space="0"/>
              <w:left w:val="single" w:color="auto" w:sz="4" w:space="0"/>
              <w:bottom w:val="single" w:color="auto" w:sz="4" w:space="0"/>
              <w:right w:val="single" w:color="auto" w:sz="4" w:space="0"/>
            </w:tcBorders>
            <w:noWrap/>
            <w:vAlign w:val="center"/>
          </w:tcPr>
          <w:p w14:paraId="46D28F2C">
            <w:pPr>
              <w:pageBreakBefore w:val="0"/>
              <w:widowControl w:val="0"/>
              <w:kinsoku/>
              <w:wordWrap/>
              <w:overflowPunct/>
              <w:topLinePunct w:val="0"/>
              <w:autoSpaceDE w:val="0"/>
              <w:autoSpaceDN w:val="0"/>
              <w:ind w:firstLine="0" w:firstLineChars="0"/>
              <w:rPr>
                <w:rFonts w:hint="eastAsia" w:ascii="宋体" w:cs="宋体"/>
                <w:b/>
                <w:color w:val="auto"/>
                <w:highlight w:val="none"/>
              </w:rPr>
            </w:pPr>
            <w:r>
              <w:rPr>
                <w:rFonts w:hint="eastAsia" w:ascii="宋体"/>
                <w:b/>
                <w:color w:val="auto"/>
                <w:highlight w:val="none"/>
              </w:rPr>
              <w:t>交付物</w:t>
            </w:r>
          </w:p>
        </w:tc>
      </w:tr>
      <w:tr w14:paraId="266E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21AED9A9">
            <w:pPr>
              <w:pageBreakBefore w:val="0"/>
              <w:widowControl w:val="0"/>
              <w:kinsoku/>
              <w:wordWrap/>
              <w:overflowPunct/>
              <w:topLinePunct w:val="0"/>
              <w:autoSpaceDE w:val="0"/>
              <w:autoSpaceDN w:val="0"/>
              <w:spacing w:line="360" w:lineRule="exact"/>
              <w:ind w:firstLine="0" w:firstLineChars="0"/>
              <w:rPr>
                <w:rFonts w:hint="eastAsia" w:ascii="宋体"/>
                <w:color w:val="auto"/>
                <w:highlight w:val="none"/>
              </w:rPr>
            </w:pPr>
            <w:r>
              <w:rPr>
                <w:rFonts w:hint="eastAsia"/>
                <w:color w:val="auto"/>
                <w:highlight w:val="none"/>
              </w:rPr>
              <w:t>1</w:t>
            </w:r>
          </w:p>
        </w:tc>
        <w:tc>
          <w:tcPr>
            <w:tcW w:w="1485" w:type="dxa"/>
            <w:tcBorders>
              <w:top w:val="single" w:color="auto" w:sz="4" w:space="0"/>
              <w:left w:val="single" w:color="auto" w:sz="4" w:space="0"/>
              <w:bottom w:val="single" w:color="auto" w:sz="4" w:space="0"/>
              <w:right w:val="single" w:color="auto" w:sz="4" w:space="0"/>
            </w:tcBorders>
            <w:noWrap/>
            <w:vAlign w:val="center"/>
          </w:tcPr>
          <w:p w14:paraId="08B90D00">
            <w:pPr>
              <w:pageBreakBefore w:val="0"/>
              <w:widowControl w:val="0"/>
              <w:kinsoku/>
              <w:wordWrap/>
              <w:overflowPunct/>
              <w:topLinePunct w:val="0"/>
              <w:autoSpaceDE w:val="0"/>
              <w:autoSpaceDN w:val="0"/>
              <w:spacing w:line="360" w:lineRule="exact"/>
              <w:ind w:firstLine="0" w:firstLineChars="0"/>
              <w:rPr>
                <w:rFonts w:hint="eastAsia" w:ascii="宋体" w:cs="宋体"/>
                <w:color w:val="auto"/>
                <w:highlight w:val="none"/>
              </w:rPr>
            </w:pPr>
            <w:r>
              <w:rPr>
                <w:rFonts w:ascii="宋体"/>
                <w:color w:val="auto"/>
                <w:highlight w:val="none"/>
              </w:rPr>
              <w:t>移动APP金融科技产品认证和备案</w:t>
            </w:r>
          </w:p>
        </w:tc>
        <w:tc>
          <w:tcPr>
            <w:tcW w:w="3886" w:type="dxa"/>
            <w:tcBorders>
              <w:top w:val="single" w:color="auto" w:sz="4" w:space="0"/>
              <w:left w:val="single" w:color="auto" w:sz="4" w:space="0"/>
              <w:bottom w:val="single" w:color="auto" w:sz="4" w:space="0"/>
              <w:right w:val="single" w:color="auto" w:sz="4" w:space="0"/>
            </w:tcBorders>
            <w:noWrap/>
            <w:vAlign w:val="center"/>
          </w:tcPr>
          <w:p w14:paraId="2097E9CC">
            <w:pPr>
              <w:pageBreakBefore w:val="0"/>
              <w:widowControl/>
              <w:kinsoku/>
              <w:wordWrap/>
              <w:overflowPunct/>
              <w:topLinePunct w:val="0"/>
              <w:autoSpaceDE w:val="0"/>
              <w:autoSpaceDN w:val="0"/>
              <w:spacing w:line="360" w:lineRule="exact"/>
              <w:ind w:firstLine="0" w:firstLineChars="0"/>
              <w:jc w:val="both"/>
              <w:rPr>
                <w:rFonts w:hint="eastAsia" w:ascii="宋体"/>
                <w:color w:val="auto"/>
                <w:highlight w:val="none"/>
              </w:rPr>
            </w:pPr>
            <w:r>
              <w:rPr>
                <w:rFonts w:ascii="宋体" w:cs="宋体"/>
                <w:color w:val="auto"/>
                <w:kern w:val="0"/>
                <w:sz w:val="20"/>
                <w:szCs w:val="20"/>
                <w:highlight w:val="none"/>
              </w:rPr>
              <w:t>协助完成移动APP金融科技产品认证、备案工作，顺利获取金融科技产品认证证书和备案证明</w:t>
            </w:r>
          </w:p>
        </w:tc>
        <w:tc>
          <w:tcPr>
            <w:tcW w:w="2476" w:type="dxa"/>
            <w:tcBorders>
              <w:top w:val="single" w:color="auto" w:sz="4" w:space="0"/>
              <w:left w:val="single" w:color="auto" w:sz="4" w:space="0"/>
              <w:bottom w:val="single" w:color="auto" w:sz="4" w:space="0"/>
              <w:right w:val="single" w:color="auto" w:sz="4" w:space="0"/>
            </w:tcBorders>
            <w:noWrap/>
            <w:vAlign w:val="center"/>
          </w:tcPr>
          <w:p w14:paraId="1E3FED50">
            <w:pPr>
              <w:pageBreakBefore w:val="0"/>
              <w:widowControl w:val="0"/>
              <w:kinsoku/>
              <w:wordWrap/>
              <w:overflowPunct/>
              <w:topLinePunct w:val="0"/>
              <w:autoSpaceDE w:val="0"/>
              <w:autoSpaceDN w:val="0"/>
              <w:spacing w:line="360" w:lineRule="exact"/>
              <w:ind w:firstLine="0" w:firstLineChars="0"/>
              <w:jc w:val="both"/>
              <w:rPr>
                <w:rFonts w:hint="eastAsia" w:ascii="宋体"/>
                <w:color w:val="auto"/>
                <w:highlight w:val="none"/>
              </w:rPr>
            </w:pPr>
            <w:r>
              <w:rPr>
                <w:rFonts w:ascii="宋体"/>
                <w:color w:val="auto"/>
                <w:highlight w:val="none"/>
              </w:rPr>
              <w:t>认证证书、备案通过证明</w:t>
            </w:r>
          </w:p>
        </w:tc>
      </w:tr>
      <w:tr w14:paraId="0725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0B523F7A">
            <w:pPr>
              <w:pageBreakBefore w:val="0"/>
              <w:widowControl w:val="0"/>
              <w:kinsoku/>
              <w:wordWrap/>
              <w:overflowPunct/>
              <w:topLinePunct w:val="0"/>
              <w:autoSpaceDE w:val="0"/>
              <w:autoSpaceDN w:val="0"/>
              <w:spacing w:line="360" w:lineRule="exact"/>
              <w:ind w:firstLine="0" w:firstLineChars="0"/>
              <w:rPr>
                <w:rFonts w:hint="eastAsia"/>
                <w:color w:val="auto"/>
                <w:highlight w:val="none"/>
              </w:rPr>
            </w:pPr>
            <w:r>
              <w:rPr>
                <w:color w:val="auto"/>
                <w:highlight w:val="none"/>
              </w:rPr>
              <w:t>2</w:t>
            </w:r>
          </w:p>
        </w:tc>
        <w:tc>
          <w:tcPr>
            <w:tcW w:w="1485" w:type="dxa"/>
            <w:tcBorders>
              <w:top w:val="single" w:color="auto" w:sz="4" w:space="0"/>
              <w:left w:val="single" w:color="auto" w:sz="4" w:space="0"/>
              <w:bottom w:val="single" w:color="auto" w:sz="4" w:space="0"/>
              <w:right w:val="single" w:color="auto" w:sz="4" w:space="0"/>
            </w:tcBorders>
            <w:noWrap/>
            <w:vAlign w:val="center"/>
          </w:tcPr>
          <w:p w14:paraId="60E73BAC">
            <w:pPr>
              <w:pageBreakBefore w:val="0"/>
              <w:widowControl w:val="0"/>
              <w:kinsoku/>
              <w:wordWrap/>
              <w:overflowPunct/>
              <w:topLinePunct w:val="0"/>
              <w:autoSpaceDE w:val="0"/>
              <w:autoSpaceDN w:val="0"/>
              <w:spacing w:line="360" w:lineRule="exact"/>
              <w:ind w:firstLine="0" w:firstLineChars="0"/>
              <w:rPr>
                <w:rFonts w:hint="eastAsia" w:ascii="宋体"/>
                <w:color w:val="auto"/>
                <w:highlight w:val="none"/>
              </w:rPr>
            </w:pPr>
            <w:r>
              <w:rPr>
                <w:rFonts w:ascii="宋体"/>
                <w:color w:val="auto"/>
                <w:highlight w:val="none"/>
              </w:rPr>
              <w:t>移动APP金融科技产品年度监督审核</w:t>
            </w:r>
          </w:p>
        </w:tc>
        <w:tc>
          <w:tcPr>
            <w:tcW w:w="3886" w:type="dxa"/>
            <w:tcBorders>
              <w:top w:val="single" w:color="auto" w:sz="4" w:space="0"/>
              <w:left w:val="single" w:color="auto" w:sz="4" w:space="0"/>
              <w:bottom w:val="single" w:color="auto" w:sz="4" w:space="0"/>
              <w:right w:val="single" w:color="auto" w:sz="4" w:space="0"/>
            </w:tcBorders>
            <w:noWrap/>
            <w:vAlign w:val="center"/>
          </w:tcPr>
          <w:p w14:paraId="185920CA">
            <w:pPr>
              <w:pageBreakBefore w:val="0"/>
              <w:widowControl/>
              <w:kinsoku/>
              <w:wordWrap/>
              <w:overflowPunct/>
              <w:topLinePunct w:val="0"/>
              <w:autoSpaceDE w:val="0"/>
              <w:autoSpaceDN w:val="0"/>
              <w:spacing w:line="360" w:lineRule="exact"/>
              <w:ind w:firstLine="0" w:firstLineChars="0"/>
              <w:jc w:val="both"/>
              <w:rPr>
                <w:rFonts w:hint="eastAsia" w:ascii="宋体" w:cs="宋体"/>
                <w:color w:val="auto"/>
                <w:kern w:val="0"/>
                <w:sz w:val="20"/>
                <w:szCs w:val="20"/>
                <w:highlight w:val="none"/>
              </w:rPr>
            </w:pPr>
            <w:r>
              <w:rPr>
                <w:rFonts w:ascii="宋体" w:cs="宋体"/>
                <w:color w:val="auto"/>
                <w:kern w:val="0"/>
                <w:sz w:val="20"/>
                <w:szCs w:val="20"/>
                <w:highlight w:val="none"/>
              </w:rPr>
              <w:t>完成移动APP金融科技产品第一次和第二次年度监督审查</w:t>
            </w:r>
          </w:p>
        </w:tc>
        <w:tc>
          <w:tcPr>
            <w:tcW w:w="2476" w:type="dxa"/>
            <w:tcBorders>
              <w:top w:val="single" w:color="auto" w:sz="4" w:space="0"/>
              <w:left w:val="single" w:color="auto" w:sz="4" w:space="0"/>
              <w:bottom w:val="single" w:color="auto" w:sz="4" w:space="0"/>
              <w:right w:val="single" w:color="auto" w:sz="4" w:space="0"/>
            </w:tcBorders>
            <w:noWrap/>
            <w:vAlign w:val="center"/>
          </w:tcPr>
          <w:p w14:paraId="3CEAC2F1">
            <w:pPr>
              <w:pageBreakBefore w:val="0"/>
              <w:widowControl w:val="0"/>
              <w:kinsoku/>
              <w:wordWrap/>
              <w:overflowPunct/>
              <w:topLinePunct w:val="0"/>
              <w:autoSpaceDE w:val="0"/>
              <w:autoSpaceDN w:val="0"/>
              <w:spacing w:line="360" w:lineRule="exact"/>
              <w:ind w:firstLine="0" w:firstLineChars="0"/>
              <w:jc w:val="both"/>
              <w:rPr>
                <w:rFonts w:hint="eastAsia" w:ascii="宋体"/>
                <w:color w:val="auto"/>
                <w:highlight w:val="none"/>
              </w:rPr>
            </w:pPr>
            <w:r>
              <w:rPr>
                <w:rFonts w:ascii="宋体"/>
                <w:color w:val="auto"/>
                <w:highlight w:val="none"/>
              </w:rPr>
              <w:t>认证证书、备案通过证明</w:t>
            </w:r>
          </w:p>
        </w:tc>
      </w:tr>
    </w:tbl>
    <w:p w14:paraId="74009FFE">
      <w:pPr>
        <w:keepNext/>
        <w:keepLines/>
        <w:widowControl w:val="0"/>
        <w:spacing w:before="260" w:after="260" w:line="415" w:lineRule="auto"/>
        <w:jc w:val="left"/>
        <w:outlineLvl w:val="1"/>
        <w:rPr>
          <w:rFonts w:hint="eastAsia" w:ascii="方正黑体_GBK" w:eastAsia="方正黑体_GBK"/>
          <w:bCs/>
          <w:sz w:val="32"/>
          <w:szCs w:val="32"/>
          <w:highlight w:val="none"/>
        </w:rPr>
      </w:pPr>
      <w:bookmarkStart w:id="124" w:name="_Toc422127550"/>
      <w:r>
        <w:rPr>
          <w:rFonts w:hint="eastAsia" w:ascii="方正黑体_GBK" w:eastAsia="方正黑体_GBK"/>
          <w:bCs/>
          <w:sz w:val="32"/>
          <w:szCs w:val="32"/>
          <w:highlight w:val="none"/>
        </w:rPr>
        <w:t>第</w:t>
      </w:r>
      <w:r>
        <w:rPr>
          <w:rFonts w:ascii="方正黑体_GBK" w:eastAsia="方正黑体_GBK"/>
          <w:bCs/>
          <w:sz w:val="32"/>
          <w:szCs w:val="32"/>
          <w:highlight w:val="none"/>
        </w:rPr>
        <w:t>四</w:t>
      </w:r>
      <w:r>
        <w:rPr>
          <w:rFonts w:hint="eastAsia" w:ascii="方正黑体_GBK" w:eastAsia="方正黑体_GBK"/>
          <w:bCs/>
          <w:sz w:val="32"/>
          <w:szCs w:val="32"/>
          <w:highlight w:val="none"/>
        </w:rPr>
        <w:t>条  项目组织结构</w:t>
      </w:r>
      <w:bookmarkEnd w:id="124"/>
    </w:p>
    <w:tbl>
      <w:tblPr>
        <w:tblStyle w:val="23"/>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51"/>
        <w:gridCol w:w="4521"/>
        <w:gridCol w:w="1428"/>
      </w:tblGrid>
      <w:tr w14:paraId="328D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010A2139">
            <w:pPr>
              <w:ind w:left="0" w:firstLine="0" w:firstLineChars="0"/>
              <w:jc w:val="both"/>
              <w:rPr>
                <w:rFonts w:hint="eastAsia" w:ascii="宋体"/>
                <w:b/>
                <w:szCs w:val="21"/>
                <w:highlight w:val="none"/>
              </w:rPr>
            </w:pPr>
            <w:r>
              <w:rPr>
                <w:rFonts w:hint="eastAsia" w:ascii="宋体"/>
                <w:b/>
                <w:szCs w:val="21"/>
                <w:highlight w:val="none"/>
              </w:rPr>
              <w:t>序号</w:t>
            </w: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2331F10F">
            <w:pPr>
              <w:ind w:left="0" w:firstLine="0" w:firstLineChars="0"/>
              <w:jc w:val="both"/>
              <w:rPr>
                <w:rFonts w:hint="eastAsia" w:ascii="宋体" w:cs="宋体"/>
                <w:b/>
                <w:szCs w:val="21"/>
                <w:highlight w:val="none"/>
              </w:rPr>
            </w:pPr>
            <w:r>
              <w:rPr>
                <w:rFonts w:hint="eastAsia" w:ascii="宋体" w:cs="宋体"/>
                <w:b/>
                <w:szCs w:val="21"/>
                <w:highlight w:val="none"/>
              </w:rPr>
              <w:t>项目角色</w:t>
            </w: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50D41712">
            <w:pPr>
              <w:jc w:val="center"/>
              <w:rPr>
                <w:rFonts w:hint="eastAsia" w:ascii="宋体"/>
                <w:b/>
                <w:szCs w:val="21"/>
                <w:highlight w:val="none"/>
              </w:rPr>
            </w:pPr>
            <w:r>
              <w:rPr>
                <w:rFonts w:hint="eastAsia" w:ascii="宋体" w:cs="宋体"/>
                <w:b/>
                <w:szCs w:val="21"/>
                <w:highlight w:val="none"/>
              </w:rPr>
              <w:t>职务说明</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14E82B15">
            <w:pPr>
              <w:jc w:val="center"/>
              <w:rPr>
                <w:rFonts w:hint="eastAsia" w:ascii="宋体" w:cs="宋体"/>
                <w:b/>
                <w:szCs w:val="21"/>
                <w:highlight w:val="none"/>
              </w:rPr>
            </w:pPr>
            <w:r>
              <w:rPr>
                <w:rFonts w:hint="eastAsia" w:ascii="宋体"/>
                <w:b/>
                <w:szCs w:val="21"/>
                <w:highlight w:val="none"/>
              </w:rPr>
              <w:t>姓名</w:t>
            </w:r>
          </w:p>
        </w:tc>
      </w:tr>
      <w:tr w14:paraId="524D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30DAC27E">
            <w:pPr>
              <w:numPr>
                <w:ilvl w:val="0"/>
                <w:numId w:val="2"/>
              </w:numPr>
              <w:ind w:firstLineChars="0"/>
              <w:jc w:val="center"/>
              <w:rPr>
                <w:rFonts w:hint="eastAsia" w:ascii="宋体"/>
                <w:szCs w:val="21"/>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346F2C90">
            <w:pPr>
              <w:ind w:left="0" w:firstLine="0" w:firstLineChars="0"/>
              <w:jc w:val="both"/>
              <w:rPr>
                <w:rFonts w:hint="eastAsia" w:ascii="宋体"/>
                <w:szCs w:val="21"/>
                <w:highlight w:val="none"/>
              </w:rPr>
            </w:pPr>
            <w:r>
              <w:rPr>
                <w:rFonts w:hint="eastAsia" w:ascii="宋体"/>
                <w:szCs w:val="21"/>
                <w:highlight w:val="none"/>
              </w:rPr>
              <w:t>项目经理</w:t>
            </w: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41B3EB8E">
            <w:pPr>
              <w:ind w:left="0" w:firstLine="0" w:firstLineChars="0"/>
              <w:rPr>
                <w:rFonts w:hint="eastAsia" w:ascii="宋体"/>
                <w:szCs w:val="21"/>
                <w:highlight w:val="none"/>
              </w:rPr>
            </w:pPr>
            <w:r>
              <w:rPr>
                <w:rFonts w:hint="eastAsia" w:ascii="宋体"/>
                <w:szCs w:val="21"/>
                <w:highlight w:val="none"/>
              </w:rPr>
              <w:t>项目协调、需求调研、项目整体进度把控、项目总负责</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711F1800">
            <w:pPr>
              <w:jc w:val="center"/>
              <w:rPr>
                <w:rFonts w:hint="eastAsia" w:ascii="宋体"/>
                <w:szCs w:val="21"/>
                <w:highlight w:val="none"/>
              </w:rPr>
            </w:pPr>
          </w:p>
        </w:tc>
      </w:tr>
      <w:tr w14:paraId="5FA0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367AD3B6">
            <w:pPr>
              <w:numPr>
                <w:ilvl w:val="0"/>
                <w:numId w:val="2"/>
              </w:numPr>
              <w:ind w:firstLineChars="0"/>
              <w:jc w:val="center"/>
              <w:rPr>
                <w:rFonts w:hint="eastAsia" w:ascii="宋体"/>
                <w:szCs w:val="21"/>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6BBAF5A8">
            <w:pPr>
              <w:ind w:left="0" w:firstLine="0" w:firstLineChars="0"/>
              <w:jc w:val="both"/>
              <w:rPr>
                <w:rFonts w:hint="eastAsia" w:ascii="宋体" w:cs="宋体"/>
                <w:szCs w:val="21"/>
                <w:highlight w:val="none"/>
              </w:rPr>
            </w:pPr>
            <w:r>
              <w:rPr>
                <w:rFonts w:ascii="宋体"/>
                <w:szCs w:val="21"/>
                <w:highlight w:val="none"/>
              </w:rPr>
              <w:t>XXX</w:t>
            </w: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73D3E945">
            <w:pPr>
              <w:ind w:left="0" w:firstLine="0" w:firstLineChars="0"/>
              <w:rPr>
                <w:rFonts w:hint="eastAsia" w:ascii="宋体"/>
                <w:szCs w:val="21"/>
                <w:highlight w:val="none"/>
              </w:rPr>
            </w:pPr>
            <w:r>
              <w:rPr>
                <w:rFonts w:ascii="宋体" w:cs="宋体"/>
                <w:szCs w:val="21"/>
                <w:highlight w:val="none"/>
              </w:rPr>
              <w:t>XXX</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6AA180FF">
            <w:pPr>
              <w:jc w:val="center"/>
              <w:rPr>
                <w:rFonts w:hint="eastAsia" w:ascii="宋体"/>
                <w:szCs w:val="21"/>
                <w:highlight w:val="none"/>
              </w:rPr>
            </w:pPr>
          </w:p>
        </w:tc>
      </w:tr>
      <w:tr w14:paraId="7487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01474BB2">
            <w:pPr>
              <w:numPr>
                <w:ilvl w:val="0"/>
                <w:numId w:val="2"/>
              </w:numPr>
              <w:ind w:firstLineChars="0"/>
              <w:jc w:val="center"/>
              <w:rPr>
                <w:rFonts w:hint="eastAsia" w:ascii="宋体"/>
                <w:szCs w:val="21"/>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75D9BBA8">
            <w:pPr>
              <w:ind w:left="0" w:firstLine="0" w:firstLineChars="0"/>
              <w:jc w:val="both"/>
              <w:rPr>
                <w:rFonts w:hint="eastAsia" w:ascii="宋体" w:cs="宋体"/>
                <w:szCs w:val="21"/>
                <w:highlight w:val="none"/>
              </w:rPr>
            </w:pPr>
            <w:r>
              <w:rPr>
                <w:rFonts w:ascii="宋体" w:cs="宋体"/>
                <w:szCs w:val="21"/>
                <w:highlight w:val="none"/>
              </w:rPr>
              <w:t>XXX</w:t>
            </w: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15BC4CCF">
            <w:pPr>
              <w:ind w:left="0" w:firstLine="0" w:firstLineChars="0"/>
              <w:rPr>
                <w:rFonts w:hint="eastAsia" w:ascii="宋体"/>
                <w:szCs w:val="21"/>
                <w:highlight w:val="none"/>
              </w:rPr>
            </w:pPr>
            <w:r>
              <w:rPr>
                <w:rFonts w:ascii="宋体"/>
                <w:szCs w:val="21"/>
                <w:highlight w:val="none"/>
              </w:rPr>
              <w:t>XXX</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20C600A0">
            <w:pPr>
              <w:jc w:val="center"/>
              <w:rPr>
                <w:rFonts w:hint="eastAsia" w:ascii="宋体" w:cs="宋体"/>
                <w:szCs w:val="21"/>
                <w:highlight w:val="none"/>
              </w:rPr>
            </w:pPr>
          </w:p>
        </w:tc>
      </w:tr>
      <w:tr w14:paraId="4520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259BA134">
            <w:pPr>
              <w:numPr>
                <w:ilvl w:val="0"/>
                <w:numId w:val="2"/>
              </w:numPr>
              <w:ind w:firstLineChars="0"/>
              <w:jc w:val="center"/>
              <w:rPr>
                <w:rFonts w:hint="eastAsia" w:ascii="宋体"/>
                <w:szCs w:val="21"/>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14:paraId="25E700EB">
            <w:pPr>
              <w:ind w:left="0" w:firstLine="0" w:firstLineChars="0"/>
              <w:jc w:val="both"/>
              <w:rPr>
                <w:rFonts w:hint="eastAsia" w:ascii="宋体" w:cs="宋体"/>
                <w:szCs w:val="21"/>
                <w:highlight w:val="none"/>
              </w:rPr>
            </w:pPr>
            <w:r>
              <w:rPr>
                <w:rFonts w:ascii="宋体" w:cs="宋体"/>
                <w:szCs w:val="21"/>
                <w:highlight w:val="none"/>
              </w:rPr>
              <w:t>XXX</w:t>
            </w:r>
          </w:p>
        </w:tc>
        <w:tc>
          <w:tcPr>
            <w:tcW w:w="4521" w:type="dxa"/>
            <w:tcBorders>
              <w:top w:val="single" w:color="auto" w:sz="4" w:space="0"/>
              <w:left w:val="single" w:color="auto" w:sz="4" w:space="0"/>
              <w:bottom w:val="single" w:color="auto" w:sz="4" w:space="0"/>
              <w:right w:val="single" w:color="auto" w:sz="4" w:space="0"/>
              <w:tl2br w:val="nil"/>
              <w:tr2bl w:val="nil"/>
            </w:tcBorders>
            <w:vAlign w:val="center"/>
          </w:tcPr>
          <w:p w14:paraId="7819CD92">
            <w:pPr>
              <w:ind w:left="0" w:firstLine="0" w:firstLineChars="0"/>
              <w:rPr>
                <w:rFonts w:hint="eastAsia" w:ascii="宋体"/>
                <w:szCs w:val="21"/>
                <w:highlight w:val="none"/>
              </w:rPr>
            </w:pPr>
            <w:r>
              <w:rPr>
                <w:rFonts w:ascii="宋体"/>
                <w:szCs w:val="21"/>
                <w:highlight w:val="none"/>
              </w:rPr>
              <w:t>XXX</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7A11CF9B">
            <w:pPr>
              <w:jc w:val="center"/>
              <w:rPr>
                <w:rFonts w:hint="eastAsia" w:ascii="宋体"/>
                <w:szCs w:val="21"/>
                <w:highlight w:val="none"/>
              </w:rPr>
            </w:pPr>
          </w:p>
        </w:tc>
      </w:tr>
    </w:tbl>
    <w:p w14:paraId="2A0A6AE4">
      <w:pPr>
        <w:rPr>
          <w:snapToGrid w:val="0"/>
          <w:sz w:val="24"/>
          <w:highlight w:val="none"/>
        </w:rPr>
      </w:pPr>
      <w:r>
        <w:rPr>
          <w:snapToGrid w:val="0"/>
          <w:sz w:val="24"/>
          <w:highlight w:val="none"/>
        </w:rPr>
        <w:br w:type="page"/>
      </w:r>
    </w:p>
    <w:p w14:paraId="4FB20A45">
      <w:pPr>
        <w:outlineLvl w:val="2"/>
        <w:rPr>
          <w:highlight w:val="none"/>
        </w:rPr>
      </w:pPr>
      <w:r>
        <w:rPr>
          <w:rFonts w:hint="eastAsia"/>
          <w:snapToGrid w:val="0"/>
          <w:sz w:val="24"/>
          <w:highlight w:val="none"/>
        </w:rPr>
        <w:t>附件</w:t>
      </w:r>
      <w:r>
        <w:rPr>
          <w:snapToGrid w:val="0"/>
          <w:sz w:val="24"/>
          <w:highlight w:val="none"/>
        </w:rPr>
        <w:t>2</w:t>
      </w:r>
    </w:p>
    <w:tbl>
      <w:tblPr>
        <w:tblStyle w:val="23"/>
        <w:tblW w:w="949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849"/>
        <w:gridCol w:w="2696"/>
        <w:gridCol w:w="643"/>
        <w:gridCol w:w="1906"/>
        <w:gridCol w:w="2267"/>
        <w:gridCol w:w="570"/>
      </w:tblGrid>
      <w:tr w14:paraId="5C71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l2br w:val="nil"/>
              <w:tr2bl w:val="nil"/>
            </w:tcBorders>
            <w:vAlign w:val="center"/>
          </w:tcPr>
          <w:p w14:paraId="491FB2D2">
            <w:pPr>
              <w:widowControl/>
              <w:jc w:val="center"/>
              <w:rPr>
                <w:rFonts w:hint="eastAsia" w:ascii="方正小标宋_GBK" w:eastAsia="方正小标宋_GBK" w:cs="宋体"/>
                <w:color w:val="000000"/>
                <w:kern w:val="0"/>
                <w:sz w:val="44"/>
                <w:szCs w:val="44"/>
                <w:highlight w:val="none"/>
              </w:rPr>
            </w:pPr>
            <w:r>
              <w:rPr>
                <w:rFonts w:hint="eastAsia" w:ascii="Calibri Light" w:hAnsi="Calibri Light"/>
                <w:b/>
                <w:bCs/>
                <w:snapToGrid w:val="0"/>
                <w:sz w:val="32"/>
                <w:szCs w:val="32"/>
                <w:highlight w:val="none"/>
              </w:rPr>
              <w:t>项目最终验收表</w:t>
            </w:r>
          </w:p>
        </w:tc>
      </w:tr>
      <w:tr w14:paraId="14FD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1E4315">
            <w:pPr>
              <w:ind w:left="0" w:firstLine="0" w:firstLineChars="0"/>
              <w:jc w:val="both"/>
              <w:rPr>
                <w:rFonts w:hint="eastAsia" w:ascii="宋体"/>
                <w:sz w:val="24"/>
                <w:highlight w:val="none"/>
              </w:rPr>
            </w:pPr>
            <w:r>
              <w:rPr>
                <w:rFonts w:hint="eastAsia" w:ascii="宋体"/>
                <w:sz w:val="24"/>
                <w:highlight w:val="none"/>
              </w:rPr>
              <w:t>项目名称</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3252D808">
            <w:pPr>
              <w:rPr>
                <w:rFonts w:hint="eastAsia" w:ascii="宋体"/>
                <w:sz w:val="24"/>
                <w:highlight w:val="none"/>
              </w:rPr>
            </w:pPr>
          </w:p>
        </w:tc>
      </w:tr>
      <w:tr w14:paraId="7476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B877DA">
            <w:pPr>
              <w:ind w:left="0" w:firstLine="0" w:firstLineChars="0"/>
              <w:jc w:val="both"/>
              <w:rPr>
                <w:rFonts w:hint="eastAsia" w:ascii="宋体"/>
                <w:sz w:val="24"/>
                <w:highlight w:val="none"/>
              </w:rPr>
            </w:pPr>
            <w:r>
              <w:rPr>
                <w:rFonts w:hint="eastAsia" w:ascii="宋体"/>
                <w:sz w:val="24"/>
                <w:highlight w:val="none"/>
              </w:rPr>
              <w:t>服务提供商</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4F881BF3">
            <w:pPr>
              <w:rPr>
                <w:rFonts w:hint="eastAsia" w:ascii="宋体"/>
                <w:sz w:val="24"/>
                <w:highlight w:val="none"/>
              </w:rPr>
            </w:pPr>
          </w:p>
        </w:tc>
      </w:tr>
      <w:tr w14:paraId="0B6E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0619A5">
            <w:pPr>
              <w:ind w:left="0" w:firstLine="0" w:firstLineChars="0"/>
              <w:rPr>
                <w:rFonts w:hint="eastAsia" w:ascii="宋体"/>
                <w:sz w:val="24"/>
                <w:highlight w:val="none"/>
              </w:rPr>
            </w:pPr>
            <w:r>
              <w:rPr>
                <w:rFonts w:hint="eastAsia" w:ascii="宋体"/>
                <w:sz w:val="24"/>
                <w:highlight w:val="none"/>
              </w:rPr>
              <w:t>验收时间</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2DC6EFE">
            <w:pPr>
              <w:rPr>
                <w:rFonts w:hint="eastAsia" w:ascii="宋体"/>
                <w:sz w:val="24"/>
                <w:highlight w:val="none"/>
              </w:rPr>
            </w:pPr>
          </w:p>
        </w:tc>
      </w:tr>
      <w:tr w14:paraId="6938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78DA69">
            <w:pPr>
              <w:ind w:left="0" w:firstLine="0" w:firstLineChars="0"/>
              <w:rPr>
                <w:rFonts w:hint="eastAsia" w:ascii="宋体"/>
                <w:sz w:val="24"/>
                <w:highlight w:val="none"/>
              </w:rPr>
            </w:pPr>
            <w:r>
              <w:rPr>
                <w:rFonts w:hint="eastAsia" w:ascii="宋体"/>
                <w:sz w:val="24"/>
                <w:highlight w:val="none"/>
              </w:rPr>
              <w:t>验收地点</w:t>
            </w:r>
          </w:p>
        </w:tc>
        <w:tc>
          <w:tcPr>
            <w:tcW w:w="2696" w:type="dxa"/>
            <w:tcBorders>
              <w:top w:val="single" w:color="auto" w:sz="4" w:space="0"/>
              <w:left w:val="single" w:color="auto" w:sz="4" w:space="0"/>
              <w:bottom w:val="single" w:color="auto" w:sz="4" w:space="0"/>
              <w:right w:val="single" w:color="auto" w:sz="4" w:space="0"/>
              <w:tl2br w:val="nil"/>
              <w:tr2bl w:val="nil"/>
            </w:tcBorders>
            <w:vAlign w:val="center"/>
          </w:tcPr>
          <w:p w14:paraId="428A0052">
            <w:pPr>
              <w:rPr>
                <w:rFonts w:hint="eastAsia" w:ascii="宋体"/>
                <w:sz w:val="24"/>
                <w:highlight w:val="none"/>
              </w:rPr>
            </w:pPr>
          </w:p>
        </w:tc>
        <w:tc>
          <w:tcPr>
            <w:tcW w:w="25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0663D2">
            <w:pPr>
              <w:rPr>
                <w:rFonts w:hint="eastAsia" w:ascii="宋体"/>
                <w:sz w:val="24"/>
                <w:highlight w:val="none"/>
              </w:rPr>
            </w:pPr>
            <w:r>
              <w:rPr>
                <w:rFonts w:hint="eastAsia" w:ascii="宋体"/>
                <w:sz w:val="24"/>
                <w:highlight w:val="none"/>
              </w:rPr>
              <w:t>项目经理</w:t>
            </w:r>
          </w:p>
        </w:tc>
        <w:tc>
          <w:tcPr>
            <w:tcW w:w="28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71D2870">
            <w:pPr>
              <w:rPr>
                <w:rFonts w:hint="eastAsia" w:ascii="宋体"/>
                <w:sz w:val="24"/>
                <w:highlight w:val="none"/>
              </w:rPr>
            </w:pPr>
          </w:p>
        </w:tc>
      </w:tr>
      <w:tr w14:paraId="6284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2583DD7">
            <w:pPr>
              <w:ind w:left="0" w:firstLine="0" w:firstLineChars="0"/>
              <w:jc w:val="both"/>
              <w:rPr>
                <w:rFonts w:hint="eastAsia" w:ascii="宋体"/>
                <w:sz w:val="24"/>
                <w:highlight w:val="none"/>
              </w:rPr>
            </w:pPr>
            <w:r>
              <w:rPr>
                <w:rFonts w:hint="eastAsia" w:ascii="宋体"/>
                <w:sz w:val="24"/>
                <w:highlight w:val="none"/>
              </w:rPr>
              <w:t>是否实现项目目标</w:t>
            </w:r>
          </w:p>
        </w:tc>
        <w:tc>
          <w:tcPr>
            <w:tcW w:w="2696" w:type="dxa"/>
            <w:tcBorders>
              <w:top w:val="single" w:color="auto" w:sz="4" w:space="0"/>
              <w:left w:val="single" w:color="auto" w:sz="4" w:space="0"/>
              <w:bottom w:val="single" w:color="auto" w:sz="4" w:space="0"/>
              <w:right w:val="single" w:color="auto" w:sz="4" w:space="0"/>
              <w:tl2br w:val="nil"/>
              <w:tr2bl w:val="nil"/>
            </w:tcBorders>
            <w:vAlign w:val="center"/>
          </w:tcPr>
          <w:p w14:paraId="622F85A2">
            <w:pPr>
              <w:rPr>
                <w:rFonts w:hint="eastAsia" w:ascii="宋体"/>
                <w:sz w:val="24"/>
                <w:highlight w:val="none"/>
              </w:rPr>
            </w:pPr>
            <w:r>
              <w:rPr>
                <w:rFonts w:hint="eastAsia" w:ascii="宋体"/>
                <w:sz w:val="24"/>
                <w:highlight w:val="none"/>
              </w:rPr>
              <w:t>□是     □否</w:t>
            </w:r>
          </w:p>
        </w:tc>
        <w:tc>
          <w:tcPr>
            <w:tcW w:w="25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C250DC">
            <w:pPr>
              <w:rPr>
                <w:rFonts w:hint="eastAsia" w:ascii="宋体"/>
                <w:sz w:val="24"/>
                <w:highlight w:val="none"/>
              </w:rPr>
            </w:pPr>
            <w:r>
              <w:rPr>
                <w:rFonts w:hint="eastAsia" w:ascii="宋体"/>
                <w:sz w:val="24"/>
                <w:highlight w:val="none"/>
              </w:rPr>
              <w:t>交付物是否齐全</w:t>
            </w:r>
          </w:p>
        </w:tc>
        <w:tc>
          <w:tcPr>
            <w:tcW w:w="28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5735E9">
            <w:pPr>
              <w:rPr>
                <w:rFonts w:hint="eastAsia" w:ascii="宋体"/>
                <w:sz w:val="24"/>
                <w:highlight w:val="none"/>
              </w:rPr>
            </w:pPr>
            <w:r>
              <w:rPr>
                <w:rFonts w:hint="eastAsia" w:ascii="宋体"/>
                <w:sz w:val="24"/>
                <w:highlight w:val="none"/>
              </w:rPr>
              <w:t>□是     □否</w:t>
            </w:r>
          </w:p>
        </w:tc>
      </w:tr>
      <w:tr w14:paraId="1A4E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7CCF5D5">
            <w:pPr>
              <w:ind w:left="0" w:firstLine="0" w:firstLineChars="0"/>
              <w:jc w:val="both"/>
              <w:rPr>
                <w:rFonts w:hint="eastAsia" w:ascii="宋体"/>
                <w:sz w:val="24"/>
                <w:highlight w:val="none"/>
              </w:rPr>
            </w:pPr>
            <w:r>
              <w:rPr>
                <w:rFonts w:hint="eastAsia" w:ascii="宋体"/>
                <w:sz w:val="24"/>
                <w:highlight w:val="none"/>
              </w:rPr>
              <w:t>有无遗留问题</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A1D706C">
            <w:pPr>
              <w:rPr>
                <w:rFonts w:hint="eastAsia" w:ascii="宋体"/>
                <w:sz w:val="24"/>
                <w:highlight w:val="none"/>
              </w:rPr>
            </w:pPr>
          </w:p>
        </w:tc>
      </w:tr>
      <w:tr w14:paraId="615E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062106">
            <w:pPr>
              <w:ind w:left="0" w:firstLine="0" w:firstLineChars="0"/>
              <w:jc w:val="both"/>
              <w:rPr>
                <w:rFonts w:hint="eastAsia" w:ascii="宋体"/>
                <w:sz w:val="24"/>
                <w:highlight w:val="none"/>
              </w:rPr>
            </w:pPr>
            <w:r>
              <w:rPr>
                <w:rFonts w:hint="eastAsia" w:ascii="宋体"/>
                <w:sz w:val="24"/>
                <w:highlight w:val="none"/>
              </w:rPr>
              <w:t>最终验收评审结论</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06D2B03">
            <w:pPr>
              <w:rPr>
                <w:rFonts w:hint="eastAsia" w:ascii="宋体"/>
                <w:sz w:val="24"/>
                <w:highlight w:val="none"/>
              </w:rPr>
            </w:pPr>
          </w:p>
        </w:tc>
      </w:tr>
      <w:tr w14:paraId="3A06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4" w:hRule="atLeast"/>
        </w:trPr>
        <w:tc>
          <w:tcPr>
            <w:tcW w:w="4755" w:type="dxa"/>
            <w:gridSpan w:val="4"/>
            <w:tcBorders>
              <w:top w:val="single" w:color="auto" w:sz="4" w:space="0"/>
              <w:left w:val="single" w:color="auto" w:sz="4" w:space="0"/>
              <w:bottom w:val="single" w:color="auto" w:sz="4" w:space="0"/>
              <w:right w:val="single" w:color="auto" w:sz="4" w:space="0"/>
              <w:tl2br w:val="nil"/>
              <w:tr2bl w:val="nil"/>
            </w:tcBorders>
          </w:tcPr>
          <w:p w14:paraId="6C010AAD">
            <w:pPr>
              <w:spacing w:line="200" w:lineRule="exact"/>
              <w:ind w:left="0" w:firstLine="0" w:firstLineChars="0"/>
              <w:rPr>
                <w:rFonts w:hint="eastAsia" w:ascii="宋体"/>
                <w:sz w:val="24"/>
                <w:highlight w:val="none"/>
              </w:rPr>
            </w:pPr>
          </w:p>
          <w:p w14:paraId="34603718">
            <w:pPr>
              <w:spacing w:line="400" w:lineRule="exact"/>
              <w:ind w:left="0" w:firstLine="0" w:firstLineChars="0"/>
              <w:rPr>
                <w:rFonts w:hint="eastAsia" w:ascii="宋体"/>
                <w:sz w:val="24"/>
                <w:highlight w:val="none"/>
              </w:rPr>
            </w:pPr>
            <w:r>
              <w:rPr>
                <w:rFonts w:hint="eastAsia" w:ascii="宋体"/>
                <w:sz w:val="24"/>
                <w:highlight w:val="none"/>
              </w:rPr>
              <w:t>参验人员：</w:t>
            </w:r>
          </w:p>
          <w:p w14:paraId="7C79C3E1">
            <w:pPr>
              <w:spacing w:line="400" w:lineRule="exact"/>
              <w:ind w:left="0" w:firstLine="0" w:firstLineChars="0"/>
              <w:rPr>
                <w:rFonts w:hint="eastAsia" w:ascii="宋体"/>
                <w:sz w:val="24"/>
                <w:highlight w:val="none"/>
              </w:rPr>
            </w:pPr>
          </w:p>
          <w:p w14:paraId="548F15B2">
            <w:pPr>
              <w:spacing w:line="400" w:lineRule="exact"/>
              <w:ind w:left="0" w:firstLine="0" w:firstLineChars="0"/>
              <w:rPr>
                <w:rFonts w:hint="eastAsia" w:ascii="宋体"/>
                <w:sz w:val="24"/>
                <w:highlight w:val="none"/>
              </w:rPr>
            </w:pPr>
          </w:p>
          <w:p w14:paraId="6050F9C0">
            <w:pPr>
              <w:spacing w:line="400" w:lineRule="exact"/>
              <w:ind w:right="600"/>
              <w:rPr>
                <w:rFonts w:hint="eastAsia" w:ascii="宋体"/>
                <w:sz w:val="24"/>
                <w:highlight w:val="none"/>
              </w:rPr>
            </w:pPr>
            <w:r>
              <w:rPr>
                <w:rFonts w:hint="eastAsia" w:ascii="宋体"/>
                <w:sz w:val="24"/>
                <w:highlight w:val="none"/>
              </w:rPr>
              <w:t xml:space="preserve">                  年  月 </w:t>
            </w:r>
            <w:r>
              <w:rPr>
                <w:rFonts w:ascii="宋体"/>
                <w:sz w:val="24"/>
                <w:highlight w:val="none"/>
              </w:rPr>
              <w:t xml:space="preserve"> </w:t>
            </w:r>
            <w:r>
              <w:rPr>
                <w:rFonts w:hint="eastAsia" w:ascii="宋体"/>
                <w:sz w:val="24"/>
                <w:highlight w:val="none"/>
              </w:rPr>
              <w:t>日</w:t>
            </w:r>
          </w:p>
        </w:tc>
        <w:tc>
          <w:tcPr>
            <w:tcW w:w="4743" w:type="dxa"/>
            <w:gridSpan w:val="3"/>
            <w:tcBorders>
              <w:top w:val="single" w:color="auto" w:sz="4" w:space="0"/>
              <w:left w:val="single" w:color="auto" w:sz="4" w:space="0"/>
              <w:bottom w:val="single" w:color="auto" w:sz="4" w:space="0"/>
              <w:right w:val="single" w:color="auto" w:sz="4" w:space="0"/>
              <w:tl2br w:val="nil"/>
              <w:tr2bl w:val="nil"/>
            </w:tcBorders>
          </w:tcPr>
          <w:p w14:paraId="62F49C6D">
            <w:pPr>
              <w:widowControl/>
              <w:ind w:left="0" w:firstLine="0" w:firstLineChars="0"/>
              <w:jc w:val="left"/>
              <w:rPr>
                <w:rFonts w:hint="eastAsia" w:ascii="宋体"/>
                <w:sz w:val="24"/>
                <w:highlight w:val="none"/>
              </w:rPr>
            </w:pPr>
          </w:p>
          <w:p w14:paraId="2EFBFDF3">
            <w:pPr>
              <w:widowControl/>
              <w:ind w:left="0" w:firstLine="0" w:firstLineChars="0"/>
              <w:jc w:val="left"/>
              <w:rPr>
                <w:rFonts w:hint="eastAsia" w:ascii="宋体"/>
                <w:sz w:val="24"/>
                <w:highlight w:val="none"/>
              </w:rPr>
            </w:pPr>
            <w:r>
              <w:rPr>
                <w:rFonts w:hint="eastAsia" w:ascii="宋体"/>
                <w:sz w:val="24"/>
                <w:highlight w:val="none"/>
              </w:rPr>
              <w:t>部门负责人：</w:t>
            </w:r>
          </w:p>
          <w:p w14:paraId="1B33C96C">
            <w:pPr>
              <w:widowControl/>
              <w:ind w:left="0" w:firstLine="0" w:firstLineChars="0"/>
              <w:jc w:val="left"/>
              <w:rPr>
                <w:rFonts w:hint="eastAsia" w:ascii="宋体"/>
                <w:sz w:val="24"/>
                <w:highlight w:val="none"/>
              </w:rPr>
            </w:pPr>
          </w:p>
          <w:p w14:paraId="20916946">
            <w:pPr>
              <w:widowControl/>
              <w:ind w:left="0" w:firstLine="0" w:firstLineChars="0"/>
              <w:jc w:val="left"/>
              <w:rPr>
                <w:rFonts w:hint="eastAsia" w:ascii="宋体"/>
                <w:sz w:val="24"/>
                <w:highlight w:val="none"/>
              </w:rPr>
            </w:pPr>
          </w:p>
          <w:p w14:paraId="7866FBBB">
            <w:pPr>
              <w:widowControl/>
              <w:ind w:left="0" w:firstLine="0" w:firstLineChars="0"/>
              <w:jc w:val="left"/>
              <w:rPr>
                <w:rFonts w:hint="eastAsia" w:ascii="宋体"/>
                <w:sz w:val="24"/>
                <w:highlight w:val="none"/>
              </w:rPr>
            </w:pPr>
          </w:p>
          <w:p w14:paraId="3E7BFD39">
            <w:pPr>
              <w:spacing w:line="400" w:lineRule="exact"/>
              <w:ind w:left="1965" w:right="600" w:firstLine="600" w:firstLineChars="250"/>
              <w:rPr>
                <w:rFonts w:hint="eastAsia" w:ascii="宋体"/>
                <w:sz w:val="24"/>
                <w:highlight w:val="none"/>
              </w:rPr>
            </w:pPr>
            <w:r>
              <w:rPr>
                <w:rFonts w:hint="eastAsia" w:ascii="宋体"/>
                <w:sz w:val="24"/>
                <w:highlight w:val="none"/>
              </w:rPr>
              <w:t>年  月  日</w:t>
            </w:r>
          </w:p>
        </w:tc>
      </w:tr>
    </w:tbl>
    <w:p w14:paraId="01A9DBD8">
      <w:pPr>
        <w:rPr>
          <w:rFonts w:ascii="宋体"/>
          <w:b/>
          <w:color w:val="000000"/>
          <w:sz w:val="24"/>
          <w:highlight w:val="none"/>
        </w:rPr>
      </w:pPr>
      <w:r>
        <w:rPr>
          <w:rFonts w:ascii="宋体"/>
          <w:b/>
          <w:color w:val="000000"/>
          <w:sz w:val="24"/>
          <w:highlight w:val="none"/>
        </w:rPr>
        <w:br w:type="page"/>
      </w:r>
    </w:p>
    <w:p w14:paraId="67B26558">
      <w:pPr>
        <w:pStyle w:val="21"/>
        <w:snapToGrid w:val="0"/>
        <w:spacing w:before="0" w:after="0" w:line="520" w:lineRule="exact"/>
        <w:jc w:val="left"/>
        <w:rPr>
          <w:snapToGrid w:val="0"/>
          <w:highlight w:val="none"/>
        </w:rPr>
      </w:pPr>
      <w:bookmarkStart w:id="125" w:name="_Toc2249"/>
      <w:r>
        <w:rPr>
          <w:rFonts w:hint="eastAsia"/>
          <w:snapToGrid w:val="0"/>
          <w:sz w:val="24"/>
          <w:highlight w:val="none"/>
        </w:rPr>
        <w:t>附件</w:t>
      </w:r>
      <w:r>
        <w:rPr>
          <w:rFonts w:hint="eastAsia" w:ascii="宋体"/>
          <w:snapToGrid w:val="0"/>
          <w:sz w:val="24"/>
          <w:highlight w:val="none"/>
        </w:rPr>
        <w:t>3</w:t>
      </w:r>
      <w:bookmarkEnd w:id="125"/>
    </w:p>
    <w:p w14:paraId="14FD29F5">
      <w:pPr>
        <w:pStyle w:val="21"/>
        <w:snapToGrid w:val="0"/>
        <w:spacing w:before="0" w:after="0" w:line="520" w:lineRule="exact"/>
        <w:rPr>
          <w:snapToGrid w:val="0"/>
          <w:highlight w:val="none"/>
        </w:rPr>
      </w:pPr>
      <w:bookmarkStart w:id="126" w:name="_Toc24273"/>
      <w:r>
        <w:rPr>
          <w:rFonts w:hint="eastAsia"/>
          <w:snapToGrid w:val="0"/>
          <w:highlight w:val="none"/>
        </w:rPr>
        <w:t>服务水平协议</w:t>
      </w:r>
      <w:bookmarkEnd w:id="126"/>
    </w:p>
    <w:p w14:paraId="515755B8">
      <w:pPr>
        <w:snapToGrid w:val="0"/>
        <w:spacing w:line="520" w:lineRule="exact"/>
        <w:outlineLvl w:val="2"/>
        <w:rPr>
          <w:rFonts w:hint="eastAsia" w:ascii="宋体"/>
          <w:b/>
          <w:bCs/>
          <w:kern w:val="32"/>
          <w:sz w:val="24"/>
          <w:highlight w:val="none"/>
        </w:rPr>
      </w:pPr>
      <w:r>
        <w:rPr>
          <w:rFonts w:hint="eastAsia" w:ascii="宋体"/>
          <w:b/>
          <w:bCs/>
          <w:kern w:val="32"/>
          <w:sz w:val="24"/>
          <w:highlight w:val="none"/>
        </w:rPr>
        <w:t>1.目标</w:t>
      </w:r>
    </w:p>
    <w:p w14:paraId="08CEC066">
      <w:pPr>
        <w:snapToGrid w:val="0"/>
        <w:spacing w:line="520" w:lineRule="exact"/>
        <w:ind w:firstLine="420" w:firstLineChars="200"/>
        <w:rPr>
          <w:rFonts w:hint="eastAsia" w:ascii="宋体"/>
          <w:highlight w:val="none"/>
        </w:rPr>
      </w:pPr>
      <w:r>
        <w:rPr>
          <w:rFonts w:hint="eastAsia" w:ascii="宋体"/>
          <w:highlight w:val="none"/>
        </w:rPr>
        <w:t>本服务水平协议（SLA）的目标是为了清晰地定义由xxxxxx公司（乙方）在本项目中为重庆三峡银行（甲方）提供的服务水平，本SLA主要：</w:t>
      </w:r>
    </w:p>
    <w:p w14:paraId="6DF41136">
      <w:pPr>
        <w:widowControl/>
        <w:numPr>
          <w:ilvl w:val="0"/>
          <w:numId w:val="3"/>
        </w:numPr>
        <w:snapToGrid w:val="0"/>
        <w:spacing w:line="520" w:lineRule="exact"/>
        <w:ind w:firstLineChars="0"/>
        <w:jc w:val="left"/>
        <w:rPr>
          <w:rFonts w:hint="eastAsia" w:ascii="宋体"/>
          <w:highlight w:val="none"/>
        </w:rPr>
      </w:pPr>
      <w:r>
        <w:rPr>
          <w:rFonts w:hint="eastAsia" w:ascii="宋体"/>
          <w:highlight w:val="none"/>
        </w:rPr>
        <w:t>明确甲方对外包乙方所提供服务水平的期望</w:t>
      </w:r>
    </w:p>
    <w:p w14:paraId="48851848">
      <w:pPr>
        <w:widowControl/>
        <w:numPr>
          <w:ilvl w:val="0"/>
          <w:numId w:val="3"/>
        </w:numPr>
        <w:snapToGrid w:val="0"/>
        <w:spacing w:line="520" w:lineRule="exact"/>
        <w:ind w:firstLineChars="0"/>
        <w:jc w:val="left"/>
        <w:rPr>
          <w:rFonts w:hint="eastAsia" w:ascii="宋体"/>
          <w:highlight w:val="none"/>
        </w:rPr>
      </w:pPr>
      <w:r>
        <w:rPr>
          <w:rFonts w:hint="eastAsia" w:ascii="宋体"/>
          <w:highlight w:val="none"/>
        </w:rPr>
        <w:t>规范和加强甲方对乙方所提供服务水平的控制</w:t>
      </w:r>
    </w:p>
    <w:p w14:paraId="55795EF9">
      <w:pPr>
        <w:snapToGrid w:val="0"/>
        <w:spacing w:line="520" w:lineRule="exact"/>
        <w:ind w:firstLine="420" w:firstLineChars="200"/>
        <w:rPr>
          <w:rFonts w:hint="eastAsia" w:ascii="宋体"/>
          <w:highlight w:val="none"/>
        </w:rPr>
      </w:pPr>
      <w:r>
        <w:rPr>
          <w:rFonts w:hint="eastAsia" w:ascii="宋体"/>
          <w:highlight w:val="none"/>
        </w:rPr>
        <w:t>双方将针对本项目制定明确的职责分工表用来确定计划和管理服务水平协议的角色和职责。</w:t>
      </w:r>
    </w:p>
    <w:p w14:paraId="3A29660B">
      <w:pPr>
        <w:snapToGrid w:val="0"/>
        <w:spacing w:line="520" w:lineRule="exact"/>
        <w:outlineLvl w:val="2"/>
        <w:rPr>
          <w:rFonts w:hint="eastAsia" w:ascii="宋体"/>
          <w:b/>
          <w:bCs/>
          <w:kern w:val="32"/>
          <w:highlight w:val="none"/>
        </w:rPr>
      </w:pPr>
      <w:r>
        <w:rPr>
          <w:rFonts w:hint="eastAsia" w:ascii="宋体"/>
          <w:b/>
          <w:bCs/>
          <w:kern w:val="32"/>
          <w:highlight w:val="none"/>
        </w:rPr>
        <w:t>2. 双方职责</w:t>
      </w:r>
    </w:p>
    <w:p w14:paraId="04074FD0">
      <w:pPr>
        <w:snapToGrid w:val="0"/>
        <w:spacing w:line="520" w:lineRule="exact"/>
        <w:outlineLvl w:val="3"/>
        <w:rPr>
          <w:rFonts w:hint="eastAsia" w:ascii="宋体"/>
          <w:b/>
          <w:bCs/>
          <w:kern w:val="32"/>
          <w:highlight w:val="none"/>
        </w:rPr>
      </w:pPr>
      <w:r>
        <w:rPr>
          <w:rFonts w:hint="eastAsia" w:ascii="宋体"/>
          <w:b/>
          <w:bCs/>
          <w:kern w:val="32"/>
          <w:highlight w:val="none"/>
        </w:rPr>
        <w:t>2.1乙方</w:t>
      </w:r>
    </w:p>
    <w:p w14:paraId="3F261F59">
      <w:pPr>
        <w:snapToGrid w:val="0"/>
        <w:spacing w:line="520" w:lineRule="exact"/>
        <w:ind w:firstLine="420" w:firstLineChars="200"/>
        <w:rPr>
          <w:rFonts w:hint="eastAsia" w:ascii="宋体"/>
          <w:highlight w:val="none"/>
        </w:rPr>
      </w:pPr>
      <w:r>
        <w:rPr>
          <w:rFonts w:hint="eastAsia" w:ascii="宋体"/>
          <w:highlight w:val="none"/>
        </w:rPr>
        <w:t>除本协议描述的服务水平衡量和目标外，乙方还应：</w:t>
      </w:r>
    </w:p>
    <w:p w14:paraId="5201F854">
      <w:pPr>
        <w:widowControl/>
        <w:numPr>
          <w:ilvl w:val="0"/>
          <w:numId w:val="3"/>
        </w:numPr>
        <w:ind w:firstLineChars="0"/>
        <w:jc w:val="left"/>
        <w:rPr>
          <w:rFonts w:hint="eastAsia" w:ascii="宋体"/>
          <w:highlight w:val="none"/>
        </w:rPr>
      </w:pPr>
      <w:r>
        <w:rPr>
          <w:rFonts w:hint="eastAsia" w:ascii="宋体"/>
          <w:highlight w:val="none"/>
        </w:rPr>
        <w:t>尽快向甲方管理层汇报发现的问题；</w:t>
      </w:r>
    </w:p>
    <w:p w14:paraId="05AD9D31">
      <w:pPr>
        <w:widowControl/>
        <w:numPr>
          <w:ilvl w:val="0"/>
          <w:numId w:val="3"/>
        </w:numPr>
        <w:ind w:firstLineChars="0"/>
        <w:jc w:val="left"/>
        <w:rPr>
          <w:rFonts w:hint="eastAsia" w:ascii="宋体"/>
          <w:highlight w:val="none"/>
        </w:rPr>
      </w:pPr>
      <w:r>
        <w:rPr>
          <w:rFonts w:hint="eastAsia" w:ascii="宋体"/>
          <w:highlight w:val="none"/>
        </w:rPr>
        <w:t>任何可能影响SLA中规定服务的服务能力的事件，乙方应尽早向甲方提供预警信息，以及可能的影响和处置措施。事件包括：</w:t>
      </w:r>
    </w:p>
    <w:p w14:paraId="144FD266">
      <w:pPr>
        <w:widowControl/>
        <w:numPr>
          <w:ilvl w:val="0"/>
          <w:numId w:val="4"/>
        </w:numPr>
        <w:ind w:firstLineChars="0"/>
        <w:jc w:val="left"/>
        <w:rPr>
          <w:rFonts w:hint="eastAsia" w:ascii="宋体"/>
          <w:highlight w:val="none"/>
        </w:rPr>
      </w:pPr>
      <w:r>
        <w:rPr>
          <w:rFonts w:hint="eastAsia" w:ascii="宋体"/>
          <w:highlight w:val="none"/>
        </w:rPr>
        <w:t>组织架构变更</w:t>
      </w:r>
    </w:p>
    <w:p w14:paraId="377C4F92">
      <w:pPr>
        <w:widowControl/>
        <w:numPr>
          <w:ilvl w:val="0"/>
          <w:numId w:val="4"/>
        </w:numPr>
        <w:ind w:firstLineChars="0"/>
        <w:jc w:val="left"/>
        <w:rPr>
          <w:rFonts w:hint="eastAsia" w:ascii="宋体"/>
          <w:highlight w:val="none"/>
        </w:rPr>
      </w:pPr>
      <w:r>
        <w:rPr>
          <w:rFonts w:hint="eastAsia" w:ascii="宋体"/>
          <w:highlight w:val="none"/>
        </w:rPr>
        <w:t>技术变更</w:t>
      </w:r>
    </w:p>
    <w:p w14:paraId="6B204F87">
      <w:pPr>
        <w:widowControl/>
        <w:numPr>
          <w:ilvl w:val="0"/>
          <w:numId w:val="4"/>
        </w:numPr>
        <w:ind w:firstLineChars="0"/>
        <w:jc w:val="left"/>
        <w:rPr>
          <w:rFonts w:ascii="宋体"/>
          <w:highlight w:val="none"/>
        </w:rPr>
      </w:pPr>
      <w:r>
        <w:rPr>
          <w:rFonts w:hint="eastAsia" w:ascii="宋体"/>
          <w:highlight w:val="none"/>
        </w:rPr>
        <w:t>职能变更</w:t>
      </w:r>
    </w:p>
    <w:p w14:paraId="38599647">
      <w:pPr>
        <w:widowControl/>
        <w:numPr>
          <w:ilvl w:val="0"/>
          <w:numId w:val="4"/>
        </w:numPr>
        <w:ind w:firstLineChars="0"/>
        <w:jc w:val="left"/>
        <w:rPr>
          <w:rFonts w:hint="eastAsia" w:ascii="宋体"/>
          <w:highlight w:val="none"/>
        </w:rPr>
      </w:pPr>
      <w:r>
        <w:rPr>
          <w:rFonts w:ascii="宋体"/>
          <w:highlight w:val="none"/>
        </w:rPr>
        <w:t>其他可能影响对甲方服务的突发事件</w:t>
      </w:r>
    </w:p>
    <w:p w14:paraId="3FEA25BF">
      <w:pPr>
        <w:widowControl/>
        <w:numPr>
          <w:ilvl w:val="0"/>
          <w:numId w:val="3"/>
        </w:numPr>
        <w:ind w:left="709" w:hanging="229" w:firstLineChars="0"/>
        <w:jc w:val="left"/>
        <w:rPr>
          <w:rFonts w:hint="eastAsia" w:ascii="宋体"/>
          <w:highlight w:val="none"/>
        </w:rPr>
      </w:pPr>
      <w:r>
        <w:rPr>
          <w:rFonts w:hint="eastAsia" w:ascii="宋体"/>
          <w:highlight w:val="none"/>
        </w:rPr>
        <w:t xml:space="preserve"> 协助甲方及时解决生产事件。当问题产生时，应尽快采取适当的措施识别并修复问题。</w:t>
      </w:r>
    </w:p>
    <w:p w14:paraId="114186F0">
      <w:pPr>
        <w:snapToGrid w:val="0"/>
        <w:spacing w:line="520" w:lineRule="exact"/>
        <w:outlineLvl w:val="3"/>
        <w:rPr>
          <w:rFonts w:hint="eastAsia" w:ascii="宋体"/>
          <w:b/>
          <w:bCs/>
          <w:kern w:val="32"/>
          <w:highlight w:val="none"/>
        </w:rPr>
      </w:pPr>
      <w:r>
        <w:rPr>
          <w:rFonts w:hint="eastAsia" w:ascii="宋体"/>
          <w:b/>
          <w:bCs/>
          <w:kern w:val="32"/>
          <w:highlight w:val="none"/>
        </w:rPr>
        <w:t>2.2甲方</w:t>
      </w:r>
    </w:p>
    <w:p w14:paraId="14A20048">
      <w:pPr>
        <w:widowControl/>
        <w:numPr>
          <w:ilvl w:val="0"/>
          <w:numId w:val="3"/>
        </w:numPr>
        <w:snapToGrid w:val="0"/>
        <w:spacing w:line="520" w:lineRule="exact"/>
        <w:ind w:left="709" w:hanging="229" w:firstLineChars="0"/>
        <w:jc w:val="left"/>
        <w:rPr>
          <w:rFonts w:hint="eastAsia" w:ascii="宋体"/>
          <w:highlight w:val="none"/>
        </w:rPr>
      </w:pPr>
      <w:r>
        <w:rPr>
          <w:rFonts w:hint="eastAsia" w:ascii="宋体"/>
          <w:highlight w:val="none"/>
        </w:rPr>
        <w:t>甲方将尽快将问题汇报给乙方管理层；</w:t>
      </w:r>
    </w:p>
    <w:p w14:paraId="24C8DEEF">
      <w:pPr>
        <w:widowControl/>
        <w:numPr>
          <w:ilvl w:val="0"/>
          <w:numId w:val="3"/>
        </w:numPr>
        <w:snapToGrid w:val="0"/>
        <w:spacing w:line="520" w:lineRule="exact"/>
        <w:ind w:left="709" w:hanging="229" w:firstLineChars="0"/>
        <w:jc w:val="left"/>
        <w:rPr>
          <w:rFonts w:hint="eastAsia" w:ascii="宋体"/>
          <w:highlight w:val="none"/>
        </w:rPr>
      </w:pPr>
      <w:r>
        <w:rPr>
          <w:rFonts w:hint="eastAsia" w:ascii="宋体"/>
          <w:highlight w:val="none"/>
        </w:rPr>
        <w:t>提供任何可能影响乙方向甲方提供SLA中规定服务的服务能力的事件信息，包括：</w:t>
      </w:r>
    </w:p>
    <w:p w14:paraId="282F1D66">
      <w:pPr>
        <w:widowControl/>
        <w:numPr>
          <w:ilvl w:val="0"/>
          <w:numId w:val="4"/>
        </w:numPr>
        <w:snapToGrid w:val="0"/>
        <w:spacing w:line="520" w:lineRule="exact"/>
        <w:ind w:firstLineChars="0"/>
        <w:jc w:val="left"/>
        <w:rPr>
          <w:rFonts w:hint="eastAsia" w:ascii="宋体"/>
          <w:highlight w:val="none"/>
        </w:rPr>
      </w:pPr>
      <w:r>
        <w:rPr>
          <w:rFonts w:hint="eastAsia" w:ascii="宋体"/>
          <w:highlight w:val="none"/>
        </w:rPr>
        <w:t>组织架构变更</w:t>
      </w:r>
    </w:p>
    <w:p w14:paraId="4414ED9D">
      <w:pPr>
        <w:widowControl/>
        <w:numPr>
          <w:ilvl w:val="0"/>
          <w:numId w:val="4"/>
        </w:numPr>
        <w:snapToGrid w:val="0"/>
        <w:spacing w:line="520" w:lineRule="exact"/>
        <w:ind w:firstLineChars="0"/>
        <w:jc w:val="left"/>
        <w:rPr>
          <w:rFonts w:hint="eastAsia" w:ascii="宋体"/>
          <w:highlight w:val="none"/>
        </w:rPr>
      </w:pPr>
      <w:r>
        <w:rPr>
          <w:rFonts w:hint="eastAsia" w:ascii="宋体"/>
          <w:highlight w:val="none"/>
        </w:rPr>
        <w:t>技术变更</w:t>
      </w:r>
    </w:p>
    <w:p w14:paraId="57E0F6B8">
      <w:pPr>
        <w:widowControl/>
        <w:numPr>
          <w:ilvl w:val="0"/>
          <w:numId w:val="4"/>
        </w:numPr>
        <w:snapToGrid w:val="0"/>
        <w:spacing w:line="520" w:lineRule="exact"/>
        <w:ind w:firstLineChars="0"/>
        <w:jc w:val="left"/>
        <w:rPr>
          <w:rFonts w:hint="eastAsia" w:ascii="宋体"/>
          <w:highlight w:val="none"/>
        </w:rPr>
      </w:pPr>
      <w:r>
        <w:rPr>
          <w:rFonts w:hint="eastAsia" w:ascii="宋体"/>
          <w:highlight w:val="none"/>
        </w:rPr>
        <w:t>职能变更</w:t>
      </w:r>
    </w:p>
    <w:p w14:paraId="2D9B9375">
      <w:pPr>
        <w:snapToGrid w:val="0"/>
        <w:spacing w:line="520" w:lineRule="exact"/>
        <w:rPr>
          <w:rFonts w:hint="eastAsia" w:ascii="宋体"/>
          <w:b/>
          <w:bCs/>
          <w:kern w:val="32"/>
          <w:highlight w:val="none"/>
        </w:rPr>
      </w:pPr>
      <w:r>
        <w:rPr>
          <w:rFonts w:hint="eastAsia" w:ascii="宋体"/>
          <w:b/>
          <w:bCs/>
          <w:kern w:val="32"/>
          <w:highlight w:val="none"/>
        </w:rPr>
        <w:t>3.联络表</w:t>
      </w:r>
    </w:p>
    <w:tbl>
      <w:tblPr>
        <w:tblStyle w:val="23"/>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2818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0BC56B2">
            <w:pPr>
              <w:snapToGrid w:val="0"/>
              <w:spacing w:line="520" w:lineRule="exact"/>
              <w:jc w:val="center"/>
              <w:rPr>
                <w:rFonts w:hint="eastAsia" w:ascii="宋体"/>
                <w:highlight w:val="none"/>
              </w:rPr>
            </w:pPr>
            <w:r>
              <w:rPr>
                <w:rFonts w:hint="eastAsia" w:ascii="宋体"/>
                <w:b/>
                <w:highlight w:val="none"/>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407A709C">
            <w:pPr>
              <w:snapToGrid w:val="0"/>
              <w:spacing w:line="520" w:lineRule="exact"/>
              <w:jc w:val="center"/>
              <w:rPr>
                <w:rFonts w:hint="eastAsia" w:ascii="宋体"/>
                <w:b/>
                <w:highlight w:val="none"/>
              </w:rPr>
            </w:pPr>
            <w:r>
              <w:rPr>
                <w:rFonts w:hint="eastAsia" w:ascii="宋体"/>
                <w:b/>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160FD88">
            <w:pPr>
              <w:snapToGrid w:val="0"/>
              <w:spacing w:line="520" w:lineRule="exact"/>
              <w:jc w:val="center"/>
              <w:rPr>
                <w:rFonts w:hint="eastAsia" w:ascii="宋体"/>
                <w:b/>
                <w:highlight w:val="none"/>
              </w:rPr>
            </w:pPr>
            <w:r>
              <w:rPr>
                <w:rFonts w:hint="eastAsia" w:ascii="宋体"/>
                <w:b/>
                <w:highlight w:val="none"/>
              </w:rPr>
              <w:t>电话</w:t>
            </w:r>
          </w:p>
        </w:tc>
      </w:tr>
      <w:tr w14:paraId="546B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E8F4CBB">
            <w:pPr>
              <w:snapToGrid w:val="0"/>
              <w:spacing w:line="520" w:lineRule="exact"/>
              <w:jc w:val="center"/>
              <w:rPr>
                <w:rFonts w:hint="eastAsia" w:ascii="宋体"/>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DD763C1">
            <w:pPr>
              <w:snapToGrid w:val="0"/>
              <w:spacing w:line="520" w:lineRule="exact"/>
              <w:jc w:val="center"/>
              <w:rPr>
                <w:rFonts w:hint="eastAsia" w:ascii="宋体"/>
                <w:highlight w:val="none"/>
              </w:rPr>
            </w:pPr>
            <w:r>
              <w:rPr>
                <w:rFonts w:hint="eastAsia" w:ascii="宋体"/>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8807070">
            <w:pPr>
              <w:snapToGrid w:val="0"/>
              <w:spacing w:line="520" w:lineRule="exact"/>
              <w:jc w:val="center"/>
              <w:rPr>
                <w:rFonts w:hint="eastAsia" w:ascii="宋体"/>
                <w:highlight w:val="none"/>
              </w:rPr>
            </w:pPr>
          </w:p>
        </w:tc>
      </w:tr>
      <w:tr w14:paraId="33AF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0616260">
            <w:pPr>
              <w:snapToGrid w:val="0"/>
              <w:spacing w:line="520" w:lineRule="exact"/>
              <w:jc w:val="center"/>
              <w:rPr>
                <w:rFonts w:hint="eastAsia" w:ascii="宋体"/>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596E8A7">
            <w:pPr>
              <w:snapToGrid w:val="0"/>
              <w:spacing w:line="520" w:lineRule="exact"/>
              <w:jc w:val="center"/>
              <w:rPr>
                <w:rFonts w:hint="eastAsia" w:ascii="宋体"/>
                <w:highlight w:val="none"/>
              </w:rPr>
            </w:pPr>
            <w:r>
              <w:rPr>
                <w:rFonts w:hint="eastAsia" w:ascii="宋体"/>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60C72DB">
            <w:pPr>
              <w:snapToGrid w:val="0"/>
              <w:spacing w:line="520" w:lineRule="exact"/>
              <w:jc w:val="center"/>
              <w:rPr>
                <w:rFonts w:hint="eastAsia" w:ascii="宋体"/>
                <w:highlight w:val="none"/>
              </w:rPr>
            </w:pPr>
          </w:p>
        </w:tc>
      </w:tr>
      <w:tr w14:paraId="330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9C2838D">
            <w:pPr>
              <w:snapToGrid w:val="0"/>
              <w:spacing w:line="520" w:lineRule="exact"/>
              <w:jc w:val="center"/>
              <w:rPr>
                <w:rFonts w:hint="eastAsia" w:ascii="宋体"/>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3F80CEF">
            <w:pPr>
              <w:snapToGrid w:val="0"/>
              <w:spacing w:line="520" w:lineRule="exact"/>
              <w:jc w:val="center"/>
              <w:rPr>
                <w:rFonts w:hint="eastAsia" w:ascii="宋体"/>
                <w:highlight w:val="none"/>
              </w:rPr>
            </w:pPr>
            <w:r>
              <w:rPr>
                <w:rFonts w:hint="eastAsia" w:ascii="宋体"/>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2151334">
            <w:pPr>
              <w:snapToGrid w:val="0"/>
              <w:spacing w:line="520" w:lineRule="exact"/>
              <w:jc w:val="center"/>
              <w:rPr>
                <w:rFonts w:hint="eastAsia" w:ascii="宋体"/>
                <w:highlight w:val="none"/>
              </w:rPr>
            </w:pPr>
          </w:p>
        </w:tc>
      </w:tr>
    </w:tbl>
    <w:p w14:paraId="7C2C0123">
      <w:pPr>
        <w:snapToGrid w:val="0"/>
        <w:spacing w:line="520" w:lineRule="exact"/>
        <w:rPr>
          <w:rFonts w:hint="eastAsia" w:ascii="宋体"/>
          <w:b/>
          <w:bCs/>
          <w:kern w:val="32"/>
          <w:highlight w:val="none"/>
        </w:rPr>
      </w:pPr>
      <w:r>
        <w:rPr>
          <w:rFonts w:ascii="宋体"/>
          <w:b/>
          <w:bCs/>
          <w:kern w:val="32"/>
          <w:highlight w:val="none"/>
        </w:rPr>
        <w:t>4</w:t>
      </w:r>
      <w:r>
        <w:rPr>
          <w:rFonts w:hint="eastAsia" w:ascii="宋体"/>
          <w:b/>
          <w:bCs/>
          <w:kern w:val="32"/>
          <w:highlight w:val="none"/>
        </w:rPr>
        <w:t>.汇报内容及流程</w:t>
      </w:r>
    </w:p>
    <w:p w14:paraId="44AE5287">
      <w:pPr>
        <w:snapToGrid w:val="0"/>
        <w:spacing w:line="520" w:lineRule="exact"/>
        <w:ind w:firstLine="420" w:firstLineChars="200"/>
        <w:rPr>
          <w:rFonts w:hint="eastAsia" w:ascii="宋体"/>
          <w:highlight w:val="none"/>
        </w:rPr>
      </w:pPr>
      <w:r>
        <w:rPr>
          <w:rFonts w:hint="eastAsia" w:ascii="宋体"/>
          <w:highlight w:val="none"/>
        </w:rPr>
        <w:t>乙方应当在各阶段向甲方项目经理汇报项目实施进展情况，包括但不限于按照合同规定的各项工作报告、书面咨询意见及问题清单等，如发生突发事件，乙方也应第一时间向甲方项目经理报告。</w:t>
      </w:r>
    </w:p>
    <w:p w14:paraId="71EC722A">
      <w:pPr>
        <w:snapToGrid w:val="0"/>
        <w:spacing w:line="520" w:lineRule="exact"/>
        <w:outlineLvl w:val="2"/>
        <w:rPr>
          <w:rFonts w:hint="eastAsia" w:ascii="宋体"/>
          <w:b/>
          <w:bCs/>
          <w:kern w:val="32"/>
          <w:highlight w:val="none"/>
        </w:rPr>
      </w:pPr>
      <w:r>
        <w:rPr>
          <w:rFonts w:ascii="宋体"/>
          <w:b/>
          <w:bCs/>
          <w:kern w:val="32"/>
          <w:highlight w:val="none"/>
        </w:rPr>
        <w:t>5</w:t>
      </w:r>
      <w:r>
        <w:rPr>
          <w:rFonts w:hint="eastAsia" w:ascii="宋体"/>
          <w:b/>
          <w:bCs/>
          <w:kern w:val="32"/>
          <w:highlight w:val="none"/>
        </w:rPr>
        <w:t>.服务水平和指标</w:t>
      </w:r>
    </w:p>
    <w:p w14:paraId="37476AB9">
      <w:pPr>
        <w:snapToGrid w:val="0"/>
        <w:spacing w:line="520" w:lineRule="exact"/>
        <w:ind w:firstLine="420" w:firstLineChars="200"/>
        <w:rPr>
          <w:rFonts w:ascii="宋体"/>
          <w:highlight w:val="none"/>
        </w:rPr>
      </w:pPr>
      <w:r>
        <w:rPr>
          <w:rFonts w:hint="eastAsia" w:ascii="宋体"/>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28F3127E">
      <w:pPr>
        <w:pStyle w:val="2"/>
        <w:outlineLvl w:val="9"/>
        <w:rPr>
          <w:highlight w:val="none"/>
        </w:rPr>
      </w:pPr>
    </w:p>
    <w:p w14:paraId="7019D7AA">
      <w:pPr>
        <w:rPr>
          <w:highlight w:val="none"/>
        </w:rPr>
      </w:pPr>
    </w:p>
    <w:p w14:paraId="1729CABE">
      <w:pPr>
        <w:rPr>
          <w:highlight w:val="none"/>
        </w:rPr>
      </w:pPr>
    </w:p>
    <w:p w14:paraId="2665DC3C">
      <w:pPr>
        <w:rPr>
          <w:highlight w:val="none"/>
        </w:rPr>
      </w:pPr>
    </w:p>
    <w:p w14:paraId="79341AC2">
      <w:pPr>
        <w:rPr>
          <w:highlight w:val="none"/>
        </w:rPr>
      </w:pPr>
    </w:p>
    <w:p w14:paraId="7FBCABB5">
      <w:pPr>
        <w:rPr>
          <w:highlight w:val="none"/>
        </w:rPr>
      </w:pPr>
    </w:p>
    <w:p w14:paraId="6FB67416">
      <w:pPr>
        <w:rPr>
          <w:highlight w:val="none"/>
        </w:rPr>
      </w:pPr>
    </w:p>
    <w:p w14:paraId="1DFE4F64">
      <w:pPr>
        <w:rPr>
          <w:highlight w:val="none"/>
        </w:rPr>
      </w:pPr>
    </w:p>
    <w:p w14:paraId="07F694F7">
      <w:pPr>
        <w:rPr>
          <w:highlight w:val="none"/>
        </w:rPr>
      </w:pPr>
    </w:p>
    <w:p w14:paraId="57DE948C">
      <w:pPr>
        <w:rPr>
          <w:highlight w:val="none"/>
        </w:rPr>
      </w:pPr>
    </w:p>
    <w:p w14:paraId="498AD6A6">
      <w:pPr>
        <w:rPr>
          <w:highlight w:val="none"/>
        </w:rPr>
      </w:pPr>
    </w:p>
    <w:p w14:paraId="2020CCE2">
      <w:pPr>
        <w:rPr>
          <w:highlight w:val="none"/>
        </w:rPr>
        <w:sectPr>
          <w:pgSz w:w="11906" w:h="16838"/>
          <w:pgMar w:top="1440" w:right="1800" w:bottom="1440" w:left="1800" w:header="851" w:footer="992" w:gutter="0"/>
          <w:cols w:space="720" w:num="1"/>
          <w:docGrid w:type="lines" w:linePitch="312" w:charSpace="0"/>
        </w:sectPr>
      </w:pPr>
    </w:p>
    <w:tbl>
      <w:tblPr>
        <w:tblStyle w:val="23"/>
        <w:tblW w:w="14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698"/>
        <w:gridCol w:w="1058"/>
        <w:gridCol w:w="2712"/>
        <w:gridCol w:w="3650"/>
        <w:gridCol w:w="2453"/>
        <w:gridCol w:w="1985"/>
        <w:gridCol w:w="1131"/>
      </w:tblGrid>
      <w:tr w14:paraId="7D87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tcBorders>
              <w:tl2br w:val="nil"/>
              <w:tr2bl w:val="nil"/>
            </w:tcBorders>
            <w:shd w:val="clear" w:color="auto" w:fill="auto"/>
            <w:vAlign w:val="center"/>
          </w:tcPr>
          <w:p w14:paraId="5F5F5DDE">
            <w:pPr>
              <w:ind w:left="0" w:firstLine="0" w:firstLineChars="0"/>
              <w:jc w:val="both"/>
              <w:rPr>
                <w:rFonts w:ascii="宋体" w:hAnsi="宋体" w:eastAsia="宋体"/>
                <w:b/>
                <w:sz w:val="21"/>
                <w:szCs w:val="21"/>
                <w:highlight w:val="none"/>
              </w:rPr>
            </w:pPr>
            <w:r>
              <w:rPr>
                <w:rFonts w:ascii="宋体" w:hAnsi="宋体" w:eastAsia="宋体"/>
                <w:b/>
                <w:sz w:val="21"/>
                <w:szCs w:val="21"/>
                <w:highlight w:val="none"/>
              </w:rPr>
              <w:t>序号</w:t>
            </w:r>
          </w:p>
        </w:tc>
        <w:tc>
          <w:tcPr>
            <w:tcW w:w="700" w:type="dxa"/>
            <w:tcBorders>
              <w:tl2br w:val="nil"/>
              <w:tr2bl w:val="nil"/>
            </w:tcBorders>
            <w:shd w:val="clear" w:color="auto" w:fill="auto"/>
            <w:vAlign w:val="center"/>
          </w:tcPr>
          <w:p w14:paraId="7F05ED4C">
            <w:pPr>
              <w:ind w:left="0" w:firstLine="0" w:firstLineChars="0"/>
              <w:jc w:val="both"/>
              <w:rPr>
                <w:rFonts w:ascii="宋体" w:hAnsi="宋体" w:eastAsia="宋体"/>
                <w:b/>
                <w:sz w:val="21"/>
                <w:szCs w:val="21"/>
                <w:highlight w:val="none"/>
              </w:rPr>
            </w:pPr>
            <w:r>
              <w:rPr>
                <w:rFonts w:ascii="宋体" w:hAnsi="宋体" w:eastAsia="宋体"/>
                <w:b/>
                <w:sz w:val="21"/>
                <w:szCs w:val="21"/>
                <w:highlight w:val="none"/>
              </w:rPr>
              <w:t>评价维度</w:t>
            </w:r>
          </w:p>
        </w:tc>
        <w:tc>
          <w:tcPr>
            <w:tcW w:w="1060" w:type="dxa"/>
            <w:tcBorders>
              <w:tl2br w:val="nil"/>
              <w:tr2bl w:val="nil"/>
            </w:tcBorders>
            <w:shd w:val="clear" w:color="auto" w:fill="auto"/>
            <w:vAlign w:val="center"/>
          </w:tcPr>
          <w:p w14:paraId="2913B5A9">
            <w:pPr>
              <w:ind w:left="0" w:firstLine="0" w:firstLineChars="0"/>
              <w:jc w:val="both"/>
              <w:rPr>
                <w:rFonts w:ascii="宋体" w:hAnsi="宋体" w:eastAsia="宋体"/>
                <w:b/>
                <w:sz w:val="21"/>
                <w:szCs w:val="21"/>
                <w:highlight w:val="none"/>
              </w:rPr>
            </w:pPr>
            <w:r>
              <w:rPr>
                <w:rFonts w:ascii="宋体" w:hAnsi="宋体" w:eastAsia="宋体"/>
                <w:b/>
                <w:sz w:val="21"/>
                <w:szCs w:val="21"/>
                <w:highlight w:val="none"/>
              </w:rPr>
              <w:t>评价指标</w:t>
            </w:r>
          </w:p>
        </w:tc>
        <w:tc>
          <w:tcPr>
            <w:tcW w:w="2720" w:type="dxa"/>
            <w:tcBorders>
              <w:tl2br w:val="nil"/>
              <w:tr2bl w:val="nil"/>
            </w:tcBorders>
            <w:shd w:val="clear" w:color="auto" w:fill="auto"/>
            <w:vAlign w:val="center"/>
          </w:tcPr>
          <w:p w14:paraId="6A8FAAE0">
            <w:pPr>
              <w:jc w:val="center"/>
              <w:rPr>
                <w:rFonts w:ascii="宋体" w:hAnsi="宋体" w:eastAsia="宋体"/>
                <w:b/>
                <w:sz w:val="21"/>
                <w:szCs w:val="21"/>
                <w:highlight w:val="none"/>
              </w:rPr>
            </w:pPr>
            <w:r>
              <w:rPr>
                <w:rFonts w:ascii="宋体" w:hAnsi="宋体" w:eastAsia="宋体"/>
                <w:b/>
                <w:sz w:val="21"/>
                <w:szCs w:val="21"/>
                <w:highlight w:val="none"/>
              </w:rPr>
              <w:t>指标定义</w:t>
            </w:r>
          </w:p>
        </w:tc>
        <w:tc>
          <w:tcPr>
            <w:tcW w:w="3660" w:type="dxa"/>
            <w:tcBorders>
              <w:tl2br w:val="nil"/>
              <w:tr2bl w:val="nil"/>
            </w:tcBorders>
            <w:shd w:val="clear" w:color="auto" w:fill="auto"/>
            <w:vAlign w:val="center"/>
          </w:tcPr>
          <w:p w14:paraId="263AEB9B">
            <w:pPr>
              <w:jc w:val="center"/>
              <w:rPr>
                <w:rFonts w:ascii="宋体" w:hAnsi="宋体" w:eastAsia="宋体"/>
                <w:b/>
                <w:sz w:val="21"/>
                <w:szCs w:val="21"/>
                <w:highlight w:val="none"/>
              </w:rPr>
            </w:pPr>
            <w:r>
              <w:rPr>
                <w:rFonts w:ascii="宋体" w:hAnsi="宋体" w:eastAsia="宋体"/>
                <w:b/>
                <w:sz w:val="21"/>
                <w:szCs w:val="21"/>
                <w:highlight w:val="none"/>
              </w:rPr>
              <w:t>评分</w:t>
            </w:r>
            <w:r>
              <w:rPr>
                <w:rFonts w:hint="eastAsia" w:ascii="宋体" w:hAnsi="宋体" w:eastAsia="宋体"/>
                <w:b/>
                <w:sz w:val="21"/>
                <w:szCs w:val="21"/>
                <w:highlight w:val="none"/>
              </w:rPr>
              <w:t>/价</w:t>
            </w:r>
            <w:r>
              <w:rPr>
                <w:rFonts w:ascii="宋体" w:hAnsi="宋体" w:eastAsia="宋体"/>
                <w:b/>
                <w:sz w:val="21"/>
                <w:szCs w:val="21"/>
                <w:highlight w:val="none"/>
              </w:rPr>
              <w:t>标准</w:t>
            </w:r>
          </w:p>
        </w:tc>
        <w:tc>
          <w:tcPr>
            <w:tcW w:w="2460" w:type="dxa"/>
            <w:tcBorders>
              <w:tl2br w:val="nil"/>
              <w:tr2bl w:val="nil"/>
            </w:tcBorders>
            <w:shd w:val="clear" w:color="auto" w:fill="auto"/>
            <w:vAlign w:val="center"/>
          </w:tcPr>
          <w:p w14:paraId="0D1A8B57">
            <w:pPr>
              <w:jc w:val="center"/>
              <w:rPr>
                <w:rFonts w:ascii="宋体" w:hAnsi="宋体" w:eastAsia="宋体"/>
                <w:b/>
                <w:sz w:val="21"/>
                <w:szCs w:val="21"/>
                <w:highlight w:val="none"/>
              </w:rPr>
            </w:pPr>
            <w:r>
              <w:rPr>
                <w:rFonts w:hint="eastAsia" w:ascii="宋体" w:hAnsi="宋体" w:eastAsia="宋体"/>
                <w:b/>
                <w:sz w:val="21"/>
                <w:szCs w:val="21"/>
                <w:highlight w:val="none"/>
              </w:rPr>
              <w:t>违约金标准</w:t>
            </w:r>
          </w:p>
        </w:tc>
        <w:tc>
          <w:tcPr>
            <w:tcW w:w="1990" w:type="dxa"/>
            <w:tcBorders>
              <w:tl2br w:val="nil"/>
              <w:tr2bl w:val="nil"/>
            </w:tcBorders>
            <w:shd w:val="clear" w:color="auto" w:fill="auto"/>
            <w:vAlign w:val="center"/>
          </w:tcPr>
          <w:p w14:paraId="2BE0A8EC">
            <w:pPr>
              <w:jc w:val="center"/>
              <w:rPr>
                <w:rFonts w:ascii="宋体" w:hAnsi="宋体" w:eastAsia="宋体"/>
                <w:b/>
                <w:sz w:val="21"/>
                <w:szCs w:val="21"/>
                <w:highlight w:val="none"/>
              </w:rPr>
            </w:pPr>
            <w:r>
              <w:rPr>
                <w:rFonts w:ascii="宋体" w:hAnsi="宋体" w:eastAsia="宋体"/>
                <w:b/>
                <w:sz w:val="21"/>
                <w:szCs w:val="21"/>
                <w:highlight w:val="none"/>
              </w:rPr>
              <w:t>评价结果</w:t>
            </w:r>
          </w:p>
        </w:tc>
        <w:tc>
          <w:tcPr>
            <w:tcW w:w="1134" w:type="dxa"/>
            <w:tcBorders>
              <w:tl2br w:val="nil"/>
              <w:tr2bl w:val="nil"/>
            </w:tcBorders>
            <w:shd w:val="clear" w:color="auto" w:fill="auto"/>
            <w:vAlign w:val="center"/>
          </w:tcPr>
          <w:p w14:paraId="2485D31E">
            <w:pPr>
              <w:ind w:left="0" w:firstLine="0" w:firstLineChars="0"/>
              <w:jc w:val="both"/>
              <w:rPr>
                <w:rFonts w:ascii="宋体" w:hAnsi="宋体" w:eastAsia="宋体"/>
                <w:b/>
                <w:sz w:val="21"/>
                <w:szCs w:val="21"/>
                <w:highlight w:val="none"/>
              </w:rPr>
            </w:pPr>
            <w:r>
              <w:rPr>
                <w:rFonts w:ascii="宋体" w:hAnsi="宋体" w:eastAsia="宋体"/>
                <w:b/>
                <w:sz w:val="21"/>
                <w:szCs w:val="21"/>
                <w:highlight w:val="none"/>
              </w:rPr>
              <w:t>评价得分</w:t>
            </w:r>
          </w:p>
        </w:tc>
      </w:tr>
      <w:tr w14:paraId="2D47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4D19D344">
            <w:pPr>
              <w:jc w:val="center"/>
              <w:rPr>
                <w:rFonts w:ascii="宋体" w:hAnsi="宋体" w:eastAsia="宋体"/>
                <w:sz w:val="21"/>
                <w:szCs w:val="21"/>
                <w:highlight w:val="none"/>
              </w:rPr>
            </w:pPr>
            <w:r>
              <w:rPr>
                <w:rFonts w:hint="eastAsia" w:ascii="宋体" w:hAnsi="宋体" w:eastAsia="宋体"/>
                <w:sz w:val="21"/>
                <w:szCs w:val="21"/>
                <w:highlight w:val="none"/>
              </w:rPr>
              <w:t>1</w:t>
            </w:r>
          </w:p>
        </w:tc>
        <w:tc>
          <w:tcPr>
            <w:tcW w:w="700" w:type="dxa"/>
            <w:vMerge w:val="restart"/>
            <w:tcBorders>
              <w:tl2br w:val="nil"/>
              <w:tr2bl w:val="nil"/>
            </w:tcBorders>
            <w:shd w:val="clear" w:color="auto" w:fill="auto"/>
            <w:vAlign w:val="center"/>
          </w:tcPr>
          <w:p w14:paraId="644BD1F9">
            <w:pPr>
              <w:ind w:left="0" w:firstLine="0" w:firstLineChars="0"/>
              <w:jc w:val="both"/>
              <w:rPr>
                <w:rFonts w:ascii="宋体" w:hAnsi="宋体" w:eastAsia="宋体"/>
                <w:sz w:val="21"/>
                <w:szCs w:val="21"/>
                <w:highlight w:val="none"/>
              </w:rPr>
            </w:pPr>
            <w:r>
              <w:rPr>
                <w:rFonts w:hint="eastAsia" w:ascii="宋体" w:hAnsi="宋体" w:eastAsia="宋体"/>
                <w:sz w:val="21"/>
                <w:szCs w:val="21"/>
                <w:highlight w:val="none"/>
              </w:rPr>
              <w:t>服务质量</w:t>
            </w:r>
          </w:p>
        </w:tc>
        <w:tc>
          <w:tcPr>
            <w:tcW w:w="1060" w:type="dxa"/>
            <w:tcBorders>
              <w:tl2br w:val="nil"/>
              <w:tr2bl w:val="nil"/>
            </w:tcBorders>
            <w:shd w:val="clear" w:color="auto" w:fill="auto"/>
            <w:vAlign w:val="center"/>
          </w:tcPr>
          <w:p w14:paraId="404A93D4">
            <w:pPr>
              <w:ind w:left="0" w:firstLine="0" w:firstLineChars="0"/>
              <w:jc w:val="both"/>
              <w:rPr>
                <w:rFonts w:ascii="宋体" w:hAnsi="宋体" w:eastAsia="宋体"/>
                <w:sz w:val="21"/>
                <w:szCs w:val="21"/>
                <w:highlight w:val="none"/>
              </w:rPr>
            </w:pPr>
            <w:r>
              <w:rPr>
                <w:rFonts w:ascii="宋体" w:hAnsi="宋体"/>
                <w:szCs w:val="21"/>
                <w:highlight w:val="none"/>
                <w:shd w:val="clear" w:color="auto" w:fill="auto"/>
              </w:rPr>
              <w:t>交付成果质量</w:t>
            </w:r>
          </w:p>
        </w:tc>
        <w:tc>
          <w:tcPr>
            <w:tcW w:w="2720" w:type="dxa"/>
            <w:tcBorders>
              <w:tl2br w:val="nil"/>
              <w:tr2bl w:val="nil"/>
            </w:tcBorders>
            <w:shd w:val="clear" w:color="auto" w:fill="auto"/>
            <w:vAlign w:val="center"/>
          </w:tcPr>
          <w:p w14:paraId="394B49CE">
            <w:pPr>
              <w:spacing w:beforeAutospacing="0" w:afterAutospacing="0" w:line="240" w:lineRule="auto"/>
              <w:ind w:left="0" w:firstLine="0" w:firstLineChars="0"/>
              <w:rPr>
                <w:rFonts w:ascii="宋体" w:hAnsi="宋体" w:eastAsia="宋体"/>
                <w:sz w:val="21"/>
                <w:szCs w:val="21"/>
                <w:highlight w:val="none"/>
              </w:rPr>
            </w:pPr>
            <w:r>
              <w:rPr>
                <w:rFonts w:ascii="宋体" w:hAnsi="宋体" w:eastAsia="宋体"/>
                <w:sz w:val="21"/>
                <w:szCs w:val="21"/>
                <w:highlight w:val="none"/>
              </w:rPr>
              <w:t>用于记录</w:t>
            </w:r>
            <w:r>
              <w:rPr>
                <w:rFonts w:hint="eastAsia" w:ascii="宋体" w:hAnsi="宋体" w:eastAsia="宋体"/>
                <w:sz w:val="21"/>
                <w:szCs w:val="21"/>
                <w:highlight w:val="none"/>
              </w:rPr>
              <w:t>乙方</w:t>
            </w:r>
            <w:r>
              <w:rPr>
                <w:rFonts w:ascii="宋体" w:hAnsi="宋体" w:eastAsia="宋体"/>
                <w:sz w:val="21"/>
                <w:szCs w:val="21"/>
                <w:highlight w:val="none"/>
              </w:rPr>
              <w:t>所提交的项目交付成果与</w:t>
            </w:r>
            <w:r>
              <w:rPr>
                <w:rFonts w:hint="eastAsia" w:ascii="宋体" w:hAnsi="宋体" w:eastAsia="宋体"/>
                <w:sz w:val="21"/>
                <w:szCs w:val="21"/>
                <w:highlight w:val="none"/>
              </w:rPr>
              <w:t>甲方</w:t>
            </w:r>
            <w:r>
              <w:rPr>
                <w:rFonts w:ascii="宋体" w:hAnsi="宋体" w:eastAsia="宋体"/>
                <w:sz w:val="21"/>
                <w:szCs w:val="21"/>
                <w:highlight w:val="none"/>
              </w:rPr>
              <w:t>要求的项目交付成果的契合度或交付成果质量与合同所约定要求的项目交付成果质量的满足程度</w:t>
            </w:r>
          </w:p>
        </w:tc>
        <w:tc>
          <w:tcPr>
            <w:tcW w:w="3660" w:type="dxa"/>
            <w:tcBorders>
              <w:tl2br w:val="nil"/>
              <w:tr2bl w:val="nil"/>
            </w:tcBorders>
            <w:shd w:val="clear" w:color="auto" w:fill="auto"/>
            <w:vAlign w:val="center"/>
          </w:tcPr>
          <w:p w14:paraId="45F49325">
            <w:pPr>
              <w:ind w:left="0" w:firstLine="0" w:firstLineChars="0"/>
              <w:rPr>
                <w:rFonts w:ascii="宋体" w:hAnsi="宋体"/>
                <w:szCs w:val="21"/>
                <w:highlight w:val="none"/>
              </w:rPr>
            </w:pPr>
            <w:r>
              <w:rPr>
                <w:rFonts w:hint="eastAsia" w:ascii="宋体" w:hAnsi="宋体" w:eastAsia="宋体"/>
                <w:b/>
                <w:bCs/>
                <w:sz w:val="21"/>
                <w:szCs w:val="21"/>
                <w:highlight w:val="none"/>
              </w:rPr>
              <w:t>优秀：</w:t>
            </w:r>
            <w:r>
              <w:rPr>
                <w:rFonts w:hint="eastAsia" w:ascii="宋体" w:hAnsi="宋体"/>
                <w:szCs w:val="21"/>
                <w:highlight w:val="none"/>
              </w:rPr>
              <w:t>10分，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能够主动快速与</w:t>
            </w:r>
            <w:r>
              <w:rPr>
                <w:rFonts w:hint="eastAsia" w:ascii="宋体" w:hAnsi="宋体"/>
                <w:szCs w:val="21"/>
                <w:highlight w:val="none"/>
              </w:rPr>
              <w:t>甲方</w:t>
            </w:r>
            <w:r>
              <w:rPr>
                <w:rFonts w:ascii="宋体" w:hAnsi="宋体"/>
                <w:szCs w:val="21"/>
                <w:highlight w:val="none"/>
              </w:rPr>
              <w:t>进行有效的沟通，交付成果高度契合需求，完全满足并超出合同约定的预期目标，给</w:t>
            </w:r>
            <w:r>
              <w:rPr>
                <w:rFonts w:hint="eastAsia" w:ascii="宋体" w:hAnsi="宋体"/>
                <w:szCs w:val="21"/>
                <w:highlight w:val="none"/>
              </w:rPr>
              <w:t>甲方</w:t>
            </w:r>
            <w:r>
              <w:rPr>
                <w:rFonts w:ascii="宋体" w:hAnsi="宋体"/>
                <w:szCs w:val="21"/>
                <w:highlight w:val="none"/>
              </w:rPr>
              <w:t>带来显著的附加价值</w:t>
            </w:r>
            <w:r>
              <w:rPr>
                <w:rFonts w:hint="eastAsia" w:ascii="宋体" w:hAnsi="宋体"/>
                <w:szCs w:val="21"/>
                <w:highlight w:val="none"/>
              </w:rPr>
              <w:t>；</w:t>
            </w:r>
          </w:p>
          <w:p w14:paraId="1AA742A9">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良好：</w:t>
            </w:r>
            <w:r>
              <w:rPr>
                <w:rFonts w:hint="eastAsia" w:ascii="宋体" w:hAnsi="宋体" w:eastAsia="宋体"/>
                <w:sz w:val="21"/>
                <w:szCs w:val="21"/>
                <w:highlight w:val="none"/>
              </w:rPr>
              <w:t>8分，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能够快速响应需求，交付成果达到合同约定的预期目标，基本契合需求，满足合同约定的预期目标</w:t>
            </w:r>
            <w:r>
              <w:rPr>
                <w:rFonts w:hint="eastAsia" w:ascii="宋体" w:hAnsi="宋体" w:eastAsia="宋体"/>
                <w:sz w:val="21"/>
                <w:szCs w:val="21"/>
                <w:highlight w:val="none"/>
              </w:rPr>
              <w:t>；</w:t>
            </w:r>
          </w:p>
          <w:p w14:paraId="0A3ABCA4">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合格：</w:t>
            </w:r>
            <w:r>
              <w:rPr>
                <w:rFonts w:hint="eastAsia" w:ascii="宋体" w:hAnsi="宋体" w:eastAsia="宋体"/>
                <w:sz w:val="21"/>
                <w:szCs w:val="21"/>
                <w:highlight w:val="none"/>
              </w:rPr>
              <w:t>6分，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能够按要求响应需求，交付成果</w:t>
            </w:r>
            <w:r>
              <w:rPr>
                <w:rFonts w:hint="eastAsia" w:ascii="宋体" w:hAnsi="宋体" w:eastAsia="宋体"/>
                <w:sz w:val="21"/>
                <w:szCs w:val="21"/>
                <w:highlight w:val="none"/>
              </w:rPr>
              <w:t>基本满足</w:t>
            </w:r>
            <w:r>
              <w:rPr>
                <w:rFonts w:ascii="宋体" w:hAnsi="宋体" w:eastAsia="宋体"/>
                <w:sz w:val="21"/>
                <w:szCs w:val="21"/>
                <w:highlight w:val="none"/>
              </w:rPr>
              <w:t>需求，但是总体可满足合同约定的预期目标</w:t>
            </w:r>
            <w:r>
              <w:rPr>
                <w:rFonts w:hint="eastAsia" w:ascii="宋体" w:hAnsi="宋体" w:eastAsia="宋体"/>
                <w:sz w:val="21"/>
                <w:szCs w:val="21"/>
                <w:highlight w:val="none"/>
              </w:rPr>
              <w:t>；</w:t>
            </w:r>
          </w:p>
          <w:p w14:paraId="510623B4">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较差/差：</w:t>
            </w:r>
            <w:r>
              <w:rPr>
                <w:rFonts w:hint="eastAsia" w:ascii="宋体" w:hAnsi="宋体" w:eastAsia="宋体"/>
                <w:sz w:val="21"/>
                <w:szCs w:val="21"/>
                <w:highlight w:val="none"/>
              </w:rPr>
              <w:t>0分，</w:t>
            </w:r>
            <w:r>
              <w:rPr>
                <w:rFonts w:ascii="宋体" w:hAnsi="宋体" w:eastAsia="宋体"/>
                <w:sz w:val="21"/>
                <w:szCs w:val="21"/>
                <w:highlight w:val="none"/>
              </w:rPr>
              <w:t>指</w:t>
            </w:r>
            <w:r>
              <w:rPr>
                <w:rFonts w:hint="eastAsia" w:ascii="宋体" w:hAnsi="宋体" w:eastAsia="宋体"/>
                <w:sz w:val="21"/>
                <w:szCs w:val="21"/>
                <w:highlight w:val="none"/>
              </w:rPr>
              <w:t>乙方未</w:t>
            </w:r>
            <w:r>
              <w:rPr>
                <w:rFonts w:ascii="宋体" w:hAnsi="宋体" w:eastAsia="宋体"/>
                <w:sz w:val="21"/>
                <w:szCs w:val="21"/>
                <w:highlight w:val="none"/>
              </w:rPr>
              <w:t>能够按要求响应需求，</w:t>
            </w:r>
            <w:r>
              <w:rPr>
                <w:rFonts w:hint="eastAsia" w:ascii="宋体" w:hAnsi="宋体" w:eastAsia="宋体"/>
                <w:sz w:val="21"/>
                <w:szCs w:val="21"/>
                <w:highlight w:val="none"/>
              </w:rPr>
              <w:t>或</w:t>
            </w:r>
            <w:r>
              <w:rPr>
                <w:rFonts w:ascii="宋体" w:hAnsi="宋体" w:eastAsia="宋体"/>
                <w:sz w:val="21"/>
                <w:szCs w:val="21"/>
                <w:highlight w:val="none"/>
              </w:rPr>
              <w:t>交付成果与需求</w:t>
            </w:r>
            <w:r>
              <w:rPr>
                <w:rFonts w:hint="eastAsia" w:ascii="宋体" w:hAnsi="宋体" w:eastAsia="宋体"/>
                <w:sz w:val="21"/>
                <w:szCs w:val="21"/>
                <w:highlight w:val="none"/>
              </w:rPr>
              <w:t>契合度</w:t>
            </w:r>
            <w:r>
              <w:rPr>
                <w:rFonts w:ascii="宋体" w:hAnsi="宋体" w:eastAsia="宋体"/>
                <w:sz w:val="21"/>
                <w:szCs w:val="21"/>
                <w:highlight w:val="none"/>
              </w:rPr>
              <w:t>差距较大，无法达到合同约定的预期目标。</w:t>
            </w:r>
          </w:p>
        </w:tc>
        <w:tc>
          <w:tcPr>
            <w:tcW w:w="2460" w:type="dxa"/>
            <w:tcBorders>
              <w:tl2br w:val="nil"/>
              <w:tr2bl w:val="nil"/>
            </w:tcBorders>
            <w:shd w:val="clear" w:color="auto" w:fill="auto"/>
            <w:vAlign w:val="center"/>
          </w:tcPr>
          <w:p w14:paraId="7D0ED5D5">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交付成果每缺少一项扣除乙方金额人民币2</w:t>
            </w:r>
            <w:r>
              <w:rPr>
                <w:rFonts w:ascii="宋体" w:hAnsi="宋体" w:eastAsia="宋体"/>
                <w:sz w:val="21"/>
                <w:szCs w:val="21"/>
                <w:highlight w:val="none"/>
              </w:rPr>
              <w:t>000</w:t>
            </w:r>
            <w:r>
              <w:rPr>
                <w:rFonts w:hint="eastAsia" w:ascii="宋体" w:hAnsi="宋体" w:eastAsia="宋体"/>
                <w:sz w:val="21"/>
                <w:szCs w:val="21"/>
                <w:highlight w:val="none"/>
              </w:rPr>
              <w:t>元；每有一项交付成果质量不合格扣除乙方金额人民币2</w:t>
            </w:r>
            <w:r>
              <w:rPr>
                <w:rFonts w:ascii="宋体" w:hAnsi="宋体" w:eastAsia="宋体"/>
                <w:sz w:val="21"/>
                <w:szCs w:val="21"/>
                <w:highlight w:val="none"/>
              </w:rPr>
              <w:t>000</w:t>
            </w:r>
            <w:r>
              <w:rPr>
                <w:rFonts w:hint="eastAsia" w:ascii="宋体" w:hAnsi="宋体" w:eastAsia="宋体"/>
                <w:sz w:val="21"/>
                <w:szCs w:val="21"/>
                <w:highlight w:val="none"/>
              </w:rPr>
              <w:t>元。</w:t>
            </w:r>
          </w:p>
        </w:tc>
        <w:tc>
          <w:tcPr>
            <w:tcW w:w="1990" w:type="dxa"/>
            <w:tcBorders>
              <w:tl2br w:val="nil"/>
              <w:tr2bl w:val="nil"/>
            </w:tcBorders>
            <w:shd w:val="clear" w:color="auto" w:fill="auto"/>
            <w:vAlign w:val="center"/>
          </w:tcPr>
          <w:p w14:paraId="1E241E83">
            <w:pPr>
              <w:jc w:val="left"/>
              <w:rPr>
                <w:rFonts w:ascii="宋体" w:hAnsi="宋体" w:eastAsia="宋体"/>
                <w:sz w:val="21"/>
                <w:szCs w:val="21"/>
                <w:highlight w:val="none"/>
              </w:rPr>
            </w:pPr>
          </w:p>
        </w:tc>
        <w:tc>
          <w:tcPr>
            <w:tcW w:w="1134" w:type="dxa"/>
            <w:tcBorders>
              <w:tl2br w:val="nil"/>
              <w:tr2bl w:val="nil"/>
            </w:tcBorders>
            <w:shd w:val="clear" w:color="auto" w:fill="auto"/>
            <w:vAlign w:val="center"/>
          </w:tcPr>
          <w:p w14:paraId="09B9460C">
            <w:pPr>
              <w:jc w:val="left"/>
              <w:rPr>
                <w:rFonts w:ascii="宋体" w:hAnsi="宋体" w:eastAsia="宋体"/>
                <w:sz w:val="21"/>
                <w:szCs w:val="21"/>
                <w:highlight w:val="none"/>
              </w:rPr>
            </w:pPr>
          </w:p>
        </w:tc>
      </w:tr>
      <w:tr w14:paraId="6CFB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04021D18">
            <w:pPr>
              <w:jc w:val="center"/>
              <w:rPr>
                <w:rFonts w:ascii="宋体" w:hAnsi="宋体" w:eastAsia="宋体"/>
                <w:sz w:val="21"/>
                <w:szCs w:val="21"/>
                <w:highlight w:val="none"/>
              </w:rPr>
            </w:pPr>
            <w:r>
              <w:rPr>
                <w:rFonts w:hint="eastAsia" w:ascii="宋体" w:hAnsi="宋体" w:eastAsia="宋体"/>
                <w:sz w:val="21"/>
                <w:szCs w:val="21"/>
                <w:highlight w:val="none"/>
              </w:rPr>
              <w:t>2</w:t>
            </w:r>
          </w:p>
        </w:tc>
        <w:tc>
          <w:tcPr>
            <w:tcW w:w="700" w:type="dxa"/>
            <w:vMerge w:val="continue"/>
            <w:tcBorders>
              <w:tl2br w:val="nil"/>
              <w:tr2bl w:val="nil"/>
            </w:tcBorders>
            <w:shd w:val="clear" w:color="auto" w:fill="auto"/>
          </w:tcPr>
          <w:p w14:paraId="132DE867">
            <w:pPr>
              <w:rPr>
                <w:highlight w:val="none"/>
              </w:rPr>
            </w:pPr>
          </w:p>
        </w:tc>
        <w:tc>
          <w:tcPr>
            <w:tcW w:w="1060" w:type="dxa"/>
            <w:tcBorders>
              <w:tl2br w:val="nil"/>
              <w:tr2bl w:val="nil"/>
            </w:tcBorders>
            <w:shd w:val="clear" w:color="auto" w:fill="auto"/>
            <w:vAlign w:val="center"/>
          </w:tcPr>
          <w:p w14:paraId="62BE0982">
            <w:pPr>
              <w:spacing w:beforeAutospacing="0" w:afterAutospacing="0" w:line="240" w:lineRule="auto"/>
              <w:ind w:left="0" w:firstLine="0" w:firstLineChars="0"/>
              <w:rPr>
                <w:rFonts w:ascii="宋体" w:hAnsi="宋体" w:eastAsia="宋体"/>
                <w:sz w:val="21"/>
                <w:szCs w:val="21"/>
                <w:highlight w:val="none"/>
              </w:rPr>
            </w:pPr>
            <w:r>
              <w:rPr>
                <w:rFonts w:ascii="宋体" w:hAnsi="宋体"/>
                <w:szCs w:val="21"/>
                <w:highlight w:val="none"/>
              </w:rPr>
              <w:t>证书暂停、撤销风险</w:t>
            </w:r>
          </w:p>
        </w:tc>
        <w:tc>
          <w:tcPr>
            <w:tcW w:w="2720" w:type="dxa"/>
            <w:tcBorders>
              <w:tl2br w:val="nil"/>
              <w:tr2bl w:val="nil"/>
            </w:tcBorders>
            <w:shd w:val="clear" w:color="auto" w:fill="auto"/>
            <w:vAlign w:val="center"/>
          </w:tcPr>
          <w:p w14:paraId="3CA1E729">
            <w:pPr>
              <w:spacing w:beforeAutospacing="0" w:afterAutospacing="0" w:line="240" w:lineRule="auto"/>
              <w:ind w:left="0" w:firstLine="0" w:firstLineChars="0"/>
              <w:rPr>
                <w:rFonts w:ascii="宋体" w:hAnsi="宋体" w:eastAsia="宋体"/>
                <w:sz w:val="21"/>
                <w:szCs w:val="21"/>
                <w:highlight w:val="none"/>
              </w:rPr>
            </w:pPr>
            <w:r>
              <w:rPr>
                <w:rFonts w:ascii="宋体" w:hAnsi="宋体"/>
                <w:szCs w:val="21"/>
                <w:highlight w:val="none"/>
              </w:rPr>
              <w:t>用于记录</w:t>
            </w:r>
            <w:r>
              <w:rPr>
                <w:rFonts w:hint="eastAsia" w:ascii="宋体" w:hAnsi="宋体"/>
                <w:szCs w:val="21"/>
                <w:highlight w:val="none"/>
              </w:rPr>
              <w:t>因乙方原因</w:t>
            </w:r>
            <w:r>
              <w:rPr>
                <w:rFonts w:ascii="宋体" w:hAnsi="宋体"/>
                <w:szCs w:val="21"/>
                <w:highlight w:val="none"/>
              </w:rPr>
              <w:t>未充分评估服务实施周期等原因，出现获证后证书暂停、撤销事件</w:t>
            </w:r>
          </w:p>
        </w:tc>
        <w:tc>
          <w:tcPr>
            <w:tcW w:w="3660" w:type="dxa"/>
            <w:tcBorders>
              <w:tl2br w:val="nil"/>
              <w:tr2bl w:val="nil"/>
            </w:tcBorders>
            <w:shd w:val="clear" w:color="auto" w:fill="auto"/>
            <w:vAlign w:val="center"/>
          </w:tcPr>
          <w:p w14:paraId="129C6A1E">
            <w:pPr>
              <w:ind w:left="0" w:firstLine="0" w:firstLineChars="0"/>
              <w:rPr>
                <w:rFonts w:ascii="宋体" w:hAnsi="宋体" w:eastAsia="宋体"/>
                <w:sz w:val="21"/>
                <w:szCs w:val="21"/>
                <w:highlight w:val="none"/>
              </w:rPr>
            </w:pPr>
            <w:r>
              <w:rPr>
                <w:rFonts w:ascii="宋体" w:hAnsi="宋体" w:eastAsia="宋体"/>
                <w:sz w:val="21"/>
                <w:szCs w:val="21"/>
                <w:highlight w:val="none"/>
              </w:rPr>
              <w:t>出现证书暂停、撤销事件</w:t>
            </w:r>
            <w:r>
              <w:rPr>
                <w:rFonts w:hint="eastAsia" w:ascii="宋体" w:hAnsi="宋体" w:eastAsia="宋体"/>
                <w:b/>
                <w:bCs/>
                <w:sz w:val="21"/>
                <w:szCs w:val="21"/>
                <w:highlight w:val="none"/>
              </w:rPr>
              <w:t>【得分上限10分】</w:t>
            </w:r>
          </w:p>
          <w:p w14:paraId="1434B2F6">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无</w:t>
            </w:r>
            <w:r>
              <w:rPr>
                <w:rFonts w:ascii="宋体" w:hAnsi="宋体" w:eastAsia="宋体"/>
                <w:b/>
                <w:bCs/>
                <w:sz w:val="21"/>
                <w:szCs w:val="21"/>
                <w:highlight w:val="none"/>
              </w:rPr>
              <w:t>风险</w:t>
            </w:r>
            <w:r>
              <w:rPr>
                <w:rFonts w:hint="eastAsia" w:ascii="宋体" w:hAnsi="宋体" w:eastAsia="宋体"/>
                <w:b/>
                <w:bCs/>
                <w:sz w:val="21"/>
                <w:szCs w:val="21"/>
                <w:highlight w:val="none"/>
              </w:rPr>
              <w:t>：</w:t>
            </w:r>
            <w:r>
              <w:rPr>
                <w:rFonts w:ascii="宋体" w:hAnsi="宋体" w:eastAsia="宋体"/>
                <w:sz w:val="21"/>
                <w:szCs w:val="21"/>
                <w:highlight w:val="none"/>
              </w:rPr>
              <w:t>10分，</w:t>
            </w:r>
            <w:r>
              <w:rPr>
                <w:rFonts w:hint="eastAsia" w:ascii="宋体" w:hAnsi="宋体" w:eastAsia="宋体"/>
                <w:sz w:val="21"/>
                <w:szCs w:val="21"/>
                <w:highlight w:val="none"/>
              </w:rPr>
              <w:t>指</w:t>
            </w:r>
            <w:r>
              <w:rPr>
                <w:rFonts w:ascii="宋体" w:hAnsi="宋体" w:eastAsia="宋体"/>
                <w:sz w:val="21"/>
                <w:szCs w:val="21"/>
                <w:highlight w:val="none"/>
              </w:rPr>
              <w:t>证书未出现暂停、撤销事件</w:t>
            </w:r>
            <w:r>
              <w:rPr>
                <w:rFonts w:hint="eastAsia" w:ascii="宋体" w:hAnsi="宋体" w:eastAsia="宋体"/>
                <w:sz w:val="21"/>
                <w:szCs w:val="21"/>
                <w:highlight w:val="none"/>
              </w:rPr>
              <w:t>，该项指标满分；</w:t>
            </w:r>
          </w:p>
          <w:p w14:paraId="75515BAF">
            <w:pPr>
              <w:ind w:left="0" w:firstLine="0" w:firstLineChars="0"/>
              <w:rPr>
                <w:rFonts w:ascii="宋体" w:hAnsi="宋体" w:eastAsia="宋体"/>
                <w:sz w:val="21"/>
                <w:szCs w:val="21"/>
                <w:highlight w:val="none"/>
              </w:rPr>
            </w:pPr>
            <w:r>
              <w:rPr>
                <w:rFonts w:ascii="宋体" w:hAnsi="宋体" w:eastAsia="宋体"/>
                <w:b/>
                <w:bCs/>
                <w:sz w:val="21"/>
                <w:szCs w:val="21"/>
                <w:highlight w:val="none"/>
              </w:rPr>
              <w:t>证书暂停</w:t>
            </w:r>
            <w:r>
              <w:rPr>
                <w:rFonts w:hint="eastAsia" w:ascii="宋体" w:hAnsi="宋体" w:eastAsia="宋体"/>
                <w:b/>
                <w:bCs/>
                <w:sz w:val="21"/>
                <w:szCs w:val="21"/>
                <w:highlight w:val="none"/>
              </w:rPr>
              <w:t>：</w:t>
            </w:r>
            <w:r>
              <w:rPr>
                <w:rFonts w:ascii="宋体" w:hAnsi="宋体" w:eastAsia="宋体"/>
                <w:sz w:val="21"/>
                <w:szCs w:val="21"/>
                <w:highlight w:val="none"/>
              </w:rPr>
              <w:t>5</w:t>
            </w:r>
            <w:r>
              <w:rPr>
                <w:rFonts w:hint="eastAsia" w:ascii="宋体" w:hAnsi="宋体" w:eastAsia="宋体"/>
                <w:sz w:val="21"/>
                <w:szCs w:val="21"/>
                <w:highlight w:val="none"/>
              </w:rPr>
              <w:t>分</w:t>
            </w:r>
            <w:r>
              <w:rPr>
                <w:rFonts w:ascii="宋体" w:hAnsi="宋体" w:eastAsia="宋体"/>
                <w:sz w:val="21"/>
                <w:szCs w:val="21"/>
                <w:highlight w:val="none"/>
              </w:rPr>
              <w:t>，出现了证书暂停事件；</w:t>
            </w:r>
          </w:p>
          <w:p w14:paraId="5B53DADA">
            <w:pPr>
              <w:ind w:left="0" w:firstLine="0" w:firstLineChars="0"/>
              <w:rPr>
                <w:rFonts w:ascii="宋体" w:hAnsi="宋体"/>
                <w:szCs w:val="21"/>
                <w:highlight w:val="none"/>
              </w:rPr>
            </w:pPr>
            <w:r>
              <w:rPr>
                <w:rFonts w:ascii="宋体" w:hAnsi="宋体" w:eastAsia="宋体"/>
                <w:b/>
                <w:bCs/>
                <w:sz w:val="21"/>
                <w:szCs w:val="21"/>
                <w:highlight w:val="none"/>
              </w:rPr>
              <w:t>证书撤销</w:t>
            </w:r>
            <w:r>
              <w:rPr>
                <w:rFonts w:hint="eastAsia" w:ascii="宋体" w:hAnsi="宋体" w:eastAsia="宋体"/>
                <w:b/>
                <w:bCs/>
                <w:sz w:val="21"/>
                <w:szCs w:val="21"/>
                <w:highlight w:val="none"/>
              </w:rPr>
              <w:t>：</w:t>
            </w:r>
            <w:r>
              <w:rPr>
                <w:rFonts w:ascii="宋体" w:hAnsi="宋体" w:eastAsia="宋体"/>
                <w:sz w:val="21"/>
                <w:szCs w:val="21"/>
                <w:highlight w:val="none"/>
              </w:rPr>
              <w:t>0</w:t>
            </w:r>
            <w:r>
              <w:rPr>
                <w:rFonts w:hint="eastAsia" w:ascii="宋体" w:hAnsi="宋体" w:eastAsia="宋体"/>
                <w:sz w:val="21"/>
                <w:szCs w:val="21"/>
                <w:highlight w:val="none"/>
              </w:rPr>
              <w:t>分</w:t>
            </w:r>
            <w:r>
              <w:rPr>
                <w:rFonts w:ascii="宋体" w:hAnsi="宋体" w:eastAsia="宋体"/>
                <w:sz w:val="21"/>
                <w:szCs w:val="21"/>
                <w:highlight w:val="none"/>
              </w:rPr>
              <w:t>，出现了证书撤销事件。</w:t>
            </w:r>
          </w:p>
        </w:tc>
        <w:tc>
          <w:tcPr>
            <w:tcW w:w="2460" w:type="dxa"/>
            <w:tcBorders>
              <w:tl2br w:val="nil"/>
              <w:tr2bl w:val="nil"/>
            </w:tcBorders>
            <w:shd w:val="clear" w:color="auto" w:fill="auto"/>
            <w:vAlign w:val="center"/>
          </w:tcPr>
          <w:p w14:paraId="3D83EAE1">
            <w:pPr>
              <w:ind w:left="0" w:firstLine="0" w:firstLineChars="0"/>
              <w:rPr>
                <w:rFonts w:ascii="宋体" w:hAnsi="宋体" w:eastAsia="宋体"/>
                <w:b/>
                <w:bCs/>
                <w:sz w:val="21"/>
                <w:szCs w:val="21"/>
                <w:highlight w:val="none"/>
              </w:rPr>
            </w:pPr>
            <w:r>
              <w:rPr>
                <w:rFonts w:ascii="宋体" w:hAnsi="宋体" w:eastAsia="宋体"/>
                <w:sz w:val="21"/>
                <w:szCs w:val="21"/>
                <w:highlight w:val="none"/>
              </w:rPr>
              <w:t>若出现证书暂停现象，扣除该项移动APP认证服务费用的20%；若出现证书撤销现象，扣除该项移动APP全部认证服务费用,并要求乙方赔偿实际损失。</w:t>
            </w:r>
          </w:p>
        </w:tc>
        <w:tc>
          <w:tcPr>
            <w:tcW w:w="1990" w:type="dxa"/>
            <w:tcBorders>
              <w:tl2br w:val="nil"/>
              <w:tr2bl w:val="nil"/>
            </w:tcBorders>
            <w:shd w:val="clear" w:color="auto" w:fill="auto"/>
            <w:vAlign w:val="center"/>
          </w:tcPr>
          <w:p w14:paraId="2B655868">
            <w:pPr>
              <w:jc w:val="left"/>
              <w:rPr>
                <w:rFonts w:ascii="宋体" w:hAnsi="宋体" w:eastAsia="宋体"/>
                <w:sz w:val="21"/>
                <w:szCs w:val="21"/>
                <w:highlight w:val="none"/>
              </w:rPr>
            </w:pPr>
          </w:p>
        </w:tc>
        <w:tc>
          <w:tcPr>
            <w:tcW w:w="1134" w:type="dxa"/>
            <w:tcBorders>
              <w:tl2br w:val="nil"/>
              <w:tr2bl w:val="nil"/>
            </w:tcBorders>
            <w:shd w:val="clear" w:color="auto" w:fill="auto"/>
            <w:vAlign w:val="center"/>
          </w:tcPr>
          <w:p w14:paraId="324AFEF4">
            <w:pPr>
              <w:jc w:val="left"/>
              <w:rPr>
                <w:rFonts w:ascii="宋体" w:hAnsi="宋体" w:eastAsia="宋体"/>
                <w:sz w:val="21"/>
                <w:szCs w:val="21"/>
                <w:highlight w:val="none"/>
              </w:rPr>
            </w:pPr>
          </w:p>
        </w:tc>
      </w:tr>
      <w:tr w14:paraId="131D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6D6BBFA0">
            <w:pPr>
              <w:jc w:val="center"/>
              <w:rPr>
                <w:rFonts w:ascii="宋体" w:hAnsi="宋体" w:eastAsia="宋体"/>
                <w:sz w:val="21"/>
                <w:szCs w:val="21"/>
                <w:highlight w:val="none"/>
              </w:rPr>
            </w:pPr>
            <w:r>
              <w:rPr>
                <w:rFonts w:hint="eastAsia" w:ascii="宋体" w:hAnsi="宋体" w:eastAsia="宋体"/>
                <w:sz w:val="21"/>
                <w:szCs w:val="21"/>
                <w:highlight w:val="none"/>
              </w:rPr>
              <w:t>3</w:t>
            </w:r>
          </w:p>
        </w:tc>
        <w:tc>
          <w:tcPr>
            <w:tcW w:w="700" w:type="dxa"/>
            <w:vMerge w:val="continue"/>
            <w:tcBorders>
              <w:tl2br w:val="nil"/>
              <w:tr2bl w:val="nil"/>
            </w:tcBorders>
            <w:shd w:val="clear" w:color="auto" w:fill="auto"/>
          </w:tcPr>
          <w:p w14:paraId="067EE72D">
            <w:pPr>
              <w:rPr>
                <w:highlight w:val="none"/>
              </w:rPr>
            </w:pPr>
          </w:p>
        </w:tc>
        <w:tc>
          <w:tcPr>
            <w:tcW w:w="1060" w:type="dxa"/>
            <w:tcBorders>
              <w:tl2br w:val="nil"/>
              <w:tr2bl w:val="nil"/>
            </w:tcBorders>
            <w:shd w:val="clear" w:color="auto" w:fill="auto"/>
            <w:vAlign w:val="center"/>
          </w:tcPr>
          <w:p w14:paraId="4535EDBF">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信息</w:t>
            </w:r>
            <w:r>
              <w:rPr>
                <w:rFonts w:ascii="宋体" w:hAnsi="宋体" w:eastAsia="宋体"/>
                <w:sz w:val="21"/>
                <w:szCs w:val="21"/>
                <w:highlight w:val="none"/>
              </w:rPr>
              <w:t>安全</w:t>
            </w:r>
            <w:r>
              <w:rPr>
                <w:rFonts w:hint="eastAsia" w:ascii="宋体" w:hAnsi="宋体" w:eastAsia="宋体"/>
                <w:sz w:val="21"/>
                <w:szCs w:val="21"/>
                <w:highlight w:val="none"/>
              </w:rPr>
              <w:t>管理</w:t>
            </w:r>
          </w:p>
        </w:tc>
        <w:tc>
          <w:tcPr>
            <w:tcW w:w="2720" w:type="dxa"/>
            <w:tcBorders>
              <w:tl2br w:val="nil"/>
              <w:tr2bl w:val="nil"/>
            </w:tcBorders>
            <w:shd w:val="clear" w:color="auto" w:fill="auto"/>
            <w:vAlign w:val="center"/>
          </w:tcPr>
          <w:p w14:paraId="417EC5BC">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用</w:t>
            </w:r>
            <w:r>
              <w:rPr>
                <w:rFonts w:ascii="宋体" w:hAnsi="宋体" w:eastAsia="宋体"/>
                <w:sz w:val="21"/>
                <w:szCs w:val="21"/>
                <w:highlight w:val="none"/>
              </w:rPr>
              <w:t>于记录在外包人员安全防护意识方面的管理有效</w:t>
            </w:r>
            <w:r>
              <w:rPr>
                <w:rFonts w:hint="eastAsia" w:ascii="宋体" w:hAnsi="宋体" w:eastAsia="宋体"/>
                <w:sz w:val="21"/>
                <w:szCs w:val="21"/>
                <w:highlight w:val="none"/>
              </w:rPr>
              <w:t>性</w:t>
            </w:r>
          </w:p>
        </w:tc>
        <w:tc>
          <w:tcPr>
            <w:tcW w:w="3660" w:type="dxa"/>
            <w:tcBorders>
              <w:tl2br w:val="nil"/>
              <w:tr2bl w:val="nil"/>
            </w:tcBorders>
            <w:shd w:val="clear" w:color="auto" w:fill="auto"/>
            <w:vAlign w:val="center"/>
          </w:tcPr>
          <w:p w14:paraId="001DAAE2">
            <w:pPr>
              <w:ind w:left="0" w:firstLine="0" w:firstLineChars="0"/>
              <w:rPr>
                <w:rFonts w:ascii="宋体" w:hAnsi="宋体" w:eastAsia="宋体"/>
                <w:sz w:val="21"/>
                <w:szCs w:val="21"/>
                <w:highlight w:val="none"/>
              </w:rPr>
            </w:pPr>
            <w:r>
              <w:rPr>
                <w:rFonts w:ascii="宋体" w:hAnsi="宋体" w:eastAsia="宋体"/>
                <w:sz w:val="21"/>
                <w:szCs w:val="21"/>
                <w:highlight w:val="none"/>
              </w:rPr>
              <w:t>统计周期内安全防护失效的次数。</w:t>
            </w:r>
          </w:p>
          <w:p w14:paraId="206670BB">
            <w:pPr>
              <w:ind w:left="0" w:firstLine="0" w:firstLineChars="0"/>
              <w:rPr>
                <w:rFonts w:ascii="宋体" w:hAnsi="宋体" w:eastAsia="宋体"/>
                <w:sz w:val="21"/>
                <w:szCs w:val="21"/>
                <w:highlight w:val="none"/>
              </w:rPr>
            </w:pPr>
            <w:r>
              <w:rPr>
                <w:rFonts w:hint="eastAsia" w:ascii="宋体" w:hAnsi="宋体" w:eastAsia="宋体"/>
                <w:sz w:val="21"/>
                <w:szCs w:val="21"/>
                <w:highlight w:val="none"/>
              </w:rPr>
              <w:t>（</w:t>
            </w:r>
            <w:r>
              <w:rPr>
                <w:rFonts w:ascii="宋体" w:hAnsi="宋体" w:eastAsia="宋体"/>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eastAsia="宋体"/>
                <w:sz w:val="21"/>
                <w:szCs w:val="21"/>
                <w:highlight w:val="none"/>
              </w:rPr>
              <w:t>c）</w:t>
            </w:r>
            <w:r>
              <w:rPr>
                <w:rFonts w:ascii="宋体" w:hAnsi="宋体" w:eastAsia="宋体"/>
                <w:sz w:val="21"/>
                <w:szCs w:val="21"/>
                <w:highlight w:val="none"/>
              </w:rPr>
              <w:t>随意搭建测试环境导致信息泄露或被作为攻击入口</w:t>
            </w:r>
            <w:r>
              <w:rPr>
                <w:rFonts w:hint="eastAsia" w:ascii="宋体" w:hAnsi="宋体" w:eastAsia="宋体"/>
                <w:sz w:val="21"/>
                <w:szCs w:val="21"/>
                <w:highlight w:val="none"/>
              </w:rPr>
              <w:t>。d）在生产运营系统上违反规定进行操作或在实施过程中留下信息系统后门等</w:t>
            </w:r>
            <w:r>
              <w:rPr>
                <w:rFonts w:ascii="宋体" w:hAnsi="宋体" w:eastAsia="宋体"/>
                <w:sz w:val="21"/>
                <w:szCs w:val="21"/>
                <w:highlight w:val="none"/>
              </w:rPr>
              <w:t>。</w:t>
            </w:r>
          </w:p>
          <w:p w14:paraId="30DF841B">
            <w:pPr>
              <w:ind w:left="0" w:firstLine="0" w:firstLineChars="0"/>
              <w:rPr>
                <w:rFonts w:ascii="宋体" w:hAnsi="宋体"/>
                <w:szCs w:val="21"/>
                <w:highlight w:val="none"/>
              </w:rPr>
            </w:pPr>
            <w:r>
              <w:rPr>
                <w:rFonts w:hint="eastAsia" w:ascii="宋体" w:hAnsi="宋体" w:eastAsia="宋体"/>
                <w:b/>
                <w:bCs/>
                <w:sz w:val="21"/>
                <w:szCs w:val="21"/>
                <w:highlight w:val="none"/>
              </w:rPr>
              <w:t>【得分上限10分】</w:t>
            </w:r>
          </w:p>
          <w:p w14:paraId="41C7382A">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0次：</w:t>
            </w:r>
            <w:r>
              <w:rPr>
                <w:rFonts w:hint="eastAsia" w:ascii="宋体" w:hAnsi="宋体" w:eastAsia="宋体"/>
                <w:sz w:val="21"/>
                <w:szCs w:val="21"/>
                <w:highlight w:val="none"/>
              </w:rPr>
              <w:t>未出现安全防护失效行为，10分；</w:t>
            </w:r>
          </w:p>
          <w:p w14:paraId="561E6EAE">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1次及以上</w:t>
            </w:r>
            <w:r>
              <w:rPr>
                <w:rFonts w:hint="eastAsia" w:ascii="宋体" w:hAnsi="宋体" w:eastAsia="宋体"/>
                <w:sz w:val="21"/>
                <w:szCs w:val="21"/>
                <w:highlight w:val="none"/>
              </w:rPr>
              <w:t>：出现安全防护失效行为，每出现一次扣5分，最多扣10分。</w:t>
            </w:r>
          </w:p>
        </w:tc>
        <w:tc>
          <w:tcPr>
            <w:tcW w:w="2460" w:type="dxa"/>
            <w:tcBorders>
              <w:tl2br w:val="nil"/>
              <w:tr2bl w:val="nil"/>
            </w:tcBorders>
            <w:shd w:val="clear" w:color="auto" w:fill="auto"/>
            <w:vAlign w:val="center"/>
          </w:tcPr>
          <w:p w14:paraId="43601486">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若出现信息安全防护失效行为未导致严重后果的，扣除乙方金额人民币不低于1万元；</w:t>
            </w:r>
          </w:p>
          <w:p w14:paraId="1E2ED392">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若出现信息安全防护失效行为导致严重后果，或被上级或监管单位通报的，扣除乙方</w:t>
            </w:r>
            <w:r>
              <w:rPr>
                <w:rFonts w:ascii="宋体" w:hAnsi="宋体" w:eastAsia="宋体"/>
                <w:sz w:val="21"/>
                <w:szCs w:val="21"/>
                <w:highlight w:val="none"/>
              </w:rPr>
              <w:t>金额人民币</w:t>
            </w:r>
            <w:r>
              <w:rPr>
                <w:rFonts w:hint="eastAsia" w:ascii="宋体" w:hAnsi="宋体" w:eastAsia="宋体"/>
                <w:sz w:val="21"/>
                <w:szCs w:val="21"/>
                <w:highlight w:val="none"/>
              </w:rPr>
              <w:t>不低于2万元，并要求乙方赔偿实际损失。</w:t>
            </w:r>
          </w:p>
        </w:tc>
        <w:tc>
          <w:tcPr>
            <w:tcW w:w="1990" w:type="dxa"/>
            <w:tcBorders>
              <w:tl2br w:val="nil"/>
              <w:tr2bl w:val="nil"/>
            </w:tcBorders>
            <w:shd w:val="clear" w:color="auto" w:fill="auto"/>
            <w:vAlign w:val="center"/>
          </w:tcPr>
          <w:p w14:paraId="1AB2E485">
            <w:pPr>
              <w:jc w:val="left"/>
              <w:rPr>
                <w:rFonts w:ascii="宋体" w:hAnsi="宋体" w:eastAsia="宋体"/>
                <w:sz w:val="21"/>
                <w:szCs w:val="21"/>
                <w:highlight w:val="none"/>
              </w:rPr>
            </w:pPr>
          </w:p>
        </w:tc>
        <w:tc>
          <w:tcPr>
            <w:tcW w:w="1134" w:type="dxa"/>
            <w:tcBorders>
              <w:tl2br w:val="nil"/>
              <w:tr2bl w:val="nil"/>
            </w:tcBorders>
            <w:shd w:val="clear" w:color="auto" w:fill="auto"/>
            <w:vAlign w:val="center"/>
          </w:tcPr>
          <w:p w14:paraId="30E74176">
            <w:pPr>
              <w:jc w:val="left"/>
              <w:rPr>
                <w:rFonts w:ascii="宋体" w:hAnsi="宋体" w:eastAsia="宋体"/>
                <w:sz w:val="21"/>
                <w:szCs w:val="21"/>
                <w:highlight w:val="none"/>
              </w:rPr>
            </w:pPr>
          </w:p>
        </w:tc>
      </w:tr>
      <w:tr w14:paraId="195E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1632044B">
            <w:pPr>
              <w:jc w:val="center"/>
              <w:rPr>
                <w:rFonts w:ascii="宋体" w:hAnsi="宋体" w:eastAsia="宋体"/>
                <w:sz w:val="21"/>
                <w:szCs w:val="21"/>
                <w:highlight w:val="none"/>
              </w:rPr>
            </w:pPr>
            <w:r>
              <w:rPr>
                <w:rFonts w:hint="eastAsia" w:ascii="宋体" w:hAnsi="宋体" w:eastAsia="宋体"/>
                <w:sz w:val="21"/>
                <w:szCs w:val="21"/>
                <w:highlight w:val="none"/>
              </w:rPr>
              <w:t>4</w:t>
            </w:r>
          </w:p>
        </w:tc>
        <w:tc>
          <w:tcPr>
            <w:tcW w:w="700" w:type="dxa"/>
            <w:vMerge w:val="continue"/>
            <w:tcBorders>
              <w:tl2br w:val="nil"/>
              <w:tr2bl w:val="nil"/>
            </w:tcBorders>
            <w:shd w:val="clear" w:color="auto" w:fill="auto"/>
          </w:tcPr>
          <w:p w14:paraId="0E74C707">
            <w:pPr>
              <w:rPr>
                <w:highlight w:val="none"/>
              </w:rPr>
            </w:pPr>
          </w:p>
        </w:tc>
        <w:tc>
          <w:tcPr>
            <w:tcW w:w="1060" w:type="dxa"/>
            <w:tcBorders>
              <w:tl2br w:val="nil"/>
              <w:tr2bl w:val="nil"/>
            </w:tcBorders>
            <w:shd w:val="clear" w:color="auto" w:fill="auto"/>
            <w:vAlign w:val="center"/>
          </w:tcPr>
          <w:p w14:paraId="17DDE16E">
            <w:pPr>
              <w:ind w:left="0" w:firstLine="0" w:firstLineChars="0"/>
              <w:rPr>
                <w:rFonts w:ascii="宋体" w:hAnsi="宋体" w:eastAsia="宋体"/>
                <w:sz w:val="21"/>
                <w:szCs w:val="21"/>
                <w:highlight w:val="none"/>
              </w:rPr>
            </w:pPr>
            <w:r>
              <w:rPr>
                <w:rFonts w:ascii="宋体" w:hAnsi="宋体" w:eastAsia="宋体"/>
                <w:sz w:val="21"/>
                <w:szCs w:val="21"/>
                <w:highlight w:val="none"/>
              </w:rPr>
              <w:t>安全测试违规情况</w:t>
            </w:r>
          </w:p>
        </w:tc>
        <w:tc>
          <w:tcPr>
            <w:tcW w:w="2720" w:type="dxa"/>
            <w:tcBorders>
              <w:tl2br w:val="nil"/>
              <w:tr2bl w:val="nil"/>
            </w:tcBorders>
            <w:shd w:val="clear" w:color="auto" w:fill="auto"/>
            <w:vAlign w:val="center"/>
          </w:tcPr>
          <w:p w14:paraId="21282F9F">
            <w:pPr>
              <w:ind w:left="0" w:firstLine="0" w:firstLineChars="0"/>
              <w:rPr>
                <w:rFonts w:ascii="宋体" w:hAnsi="宋体" w:eastAsia="宋体"/>
                <w:sz w:val="21"/>
                <w:szCs w:val="21"/>
                <w:highlight w:val="none"/>
              </w:rPr>
            </w:pPr>
            <w:r>
              <w:rPr>
                <w:rFonts w:ascii="宋体" w:hAnsi="宋体" w:eastAsia="宋体"/>
                <w:sz w:val="21"/>
                <w:szCs w:val="21"/>
                <w:highlight w:val="none"/>
              </w:rPr>
              <w:t>用于记录</w:t>
            </w:r>
            <w:r>
              <w:rPr>
                <w:rFonts w:hint="eastAsia" w:ascii="宋体" w:hAnsi="宋体" w:eastAsia="宋体"/>
                <w:sz w:val="21"/>
                <w:szCs w:val="21"/>
                <w:highlight w:val="none"/>
              </w:rPr>
              <w:t>乙方</w:t>
            </w:r>
            <w:r>
              <w:rPr>
                <w:rFonts w:ascii="宋体" w:hAnsi="宋体" w:eastAsia="宋体"/>
                <w:sz w:val="21"/>
                <w:szCs w:val="21"/>
                <w:highlight w:val="none"/>
              </w:rPr>
              <w:t>安全测试管理措施的有效性</w:t>
            </w:r>
          </w:p>
        </w:tc>
        <w:tc>
          <w:tcPr>
            <w:tcW w:w="3660" w:type="dxa"/>
            <w:tcBorders>
              <w:tl2br w:val="nil"/>
              <w:tr2bl w:val="nil"/>
            </w:tcBorders>
            <w:shd w:val="clear" w:color="auto" w:fill="auto"/>
            <w:vAlign w:val="center"/>
          </w:tcPr>
          <w:p w14:paraId="53A2A6D4">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统</w:t>
            </w:r>
            <w:r>
              <w:rPr>
                <w:rFonts w:ascii="宋体" w:hAnsi="宋体" w:eastAsia="宋体"/>
                <w:sz w:val="21"/>
                <w:szCs w:val="21"/>
                <w:highlight w:val="none"/>
              </w:rPr>
              <w:t>计周期内</w:t>
            </w:r>
            <w:r>
              <w:rPr>
                <w:rFonts w:hint="eastAsia" w:ascii="宋体" w:hAnsi="宋体" w:eastAsia="宋体"/>
                <w:sz w:val="21"/>
                <w:szCs w:val="21"/>
                <w:highlight w:val="none"/>
              </w:rPr>
              <w:t>甲方</w:t>
            </w:r>
            <w:r>
              <w:rPr>
                <w:rFonts w:ascii="宋体" w:hAnsi="宋体" w:eastAsia="宋体"/>
                <w:sz w:val="21"/>
                <w:szCs w:val="21"/>
                <w:highlight w:val="none"/>
              </w:rPr>
              <w:t>发生安全测试违规行为的次数。服务人员在为</w:t>
            </w:r>
            <w:r>
              <w:rPr>
                <w:rFonts w:hint="eastAsia" w:ascii="宋体" w:hAnsi="宋体" w:eastAsia="宋体"/>
                <w:sz w:val="21"/>
                <w:szCs w:val="21"/>
                <w:highlight w:val="none"/>
              </w:rPr>
              <w:t>甲方</w:t>
            </w:r>
            <w:r>
              <w:rPr>
                <w:rFonts w:ascii="宋体" w:hAnsi="宋体" w:eastAsia="宋体"/>
                <w:sz w:val="21"/>
                <w:szCs w:val="21"/>
                <w:highlight w:val="none"/>
              </w:rPr>
              <w:t>提供安全测试等服务期间，不遵守安全测试要求和规范，出现以下行为，即为违规：a）向其他平台提交、泄漏客户漏洞情况和资产等相关信息。</w:t>
            </w:r>
            <w:r>
              <w:rPr>
                <w:rFonts w:hint="eastAsia" w:ascii="宋体" w:hAnsi="宋体" w:eastAsia="宋体"/>
                <w:sz w:val="21"/>
                <w:szCs w:val="21"/>
                <w:highlight w:val="none"/>
              </w:rPr>
              <w:t>b</w:t>
            </w:r>
            <w:r>
              <w:rPr>
                <w:rFonts w:ascii="宋体" w:hAnsi="宋体" w:eastAsia="宋体"/>
                <w:sz w:val="21"/>
                <w:szCs w:val="21"/>
                <w:highlight w:val="none"/>
              </w:rPr>
              <w:t>）向金融机构隐瞒漏洞情况，如：发现漏洞不上报等行为。</w:t>
            </w:r>
            <w:r>
              <w:rPr>
                <w:rFonts w:hint="eastAsia" w:ascii="宋体" w:hAnsi="宋体" w:eastAsia="宋体"/>
                <w:sz w:val="21"/>
                <w:szCs w:val="21"/>
                <w:highlight w:val="none"/>
              </w:rPr>
              <w:t>c</w:t>
            </w:r>
            <w:r>
              <w:rPr>
                <w:rFonts w:ascii="宋体" w:hAnsi="宋体" w:eastAsia="宋体"/>
                <w:sz w:val="21"/>
                <w:szCs w:val="21"/>
                <w:highlight w:val="none"/>
              </w:rPr>
              <w:t>）攻击过程中，客户要求停止时，未立刻停止攻击行为。</w:t>
            </w:r>
            <w:r>
              <w:rPr>
                <w:rFonts w:hint="eastAsia" w:ascii="宋体" w:hAnsi="宋体" w:eastAsia="宋体"/>
                <w:sz w:val="21"/>
                <w:szCs w:val="21"/>
                <w:highlight w:val="none"/>
              </w:rPr>
              <w:t>d</w:t>
            </w:r>
            <w:r>
              <w:rPr>
                <w:rFonts w:ascii="宋体" w:hAnsi="宋体" w:eastAsia="宋体"/>
                <w:sz w:val="21"/>
                <w:szCs w:val="21"/>
                <w:highlight w:val="none"/>
              </w:rPr>
              <w:t>）攻击过程中，系统出现异常，如宕机、访问缓慢等，未第一时间停止任何操作 并与金融机构汇报沟通反馈。</w:t>
            </w:r>
            <w:r>
              <w:rPr>
                <w:rFonts w:hint="eastAsia" w:ascii="宋体" w:hAnsi="宋体" w:eastAsia="宋体"/>
                <w:sz w:val="21"/>
                <w:szCs w:val="21"/>
                <w:highlight w:val="none"/>
              </w:rPr>
              <w:t>e</w:t>
            </w:r>
            <w:r>
              <w:rPr>
                <w:rFonts w:ascii="宋体" w:hAnsi="宋体" w:eastAsia="宋体"/>
                <w:sz w:val="21"/>
                <w:szCs w:val="21"/>
                <w:highlight w:val="none"/>
              </w:rPr>
              <w:t>）对登录页弱口令进行穷举爆破时，未判断锁定策略即大批量用户的密码穷举测试。</w:t>
            </w:r>
            <w:r>
              <w:rPr>
                <w:rFonts w:hint="eastAsia" w:ascii="宋体" w:hAnsi="宋体" w:eastAsia="宋体"/>
                <w:sz w:val="21"/>
                <w:szCs w:val="21"/>
                <w:highlight w:val="none"/>
              </w:rPr>
              <w:t>f</w:t>
            </w:r>
            <w:r>
              <w:rPr>
                <w:rFonts w:ascii="宋体" w:hAnsi="宋体" w:eastAsia="宋体"/>
                <w:sz w:val="21"/>
                <w:szCs w:val="21"/>
                <w:highlight w:val="none"/>
              </w:rPr>
              <w:t>）攻击队员采用网络后台管理脚本（webshell）或其他远控木马版本后留存后门。</w:t>
            </w:r>
            <w:r>
              <w:rPr>
                <w:rFonts w:hint="eastAsia" w:ascii="宋体" w:hAnsi="宋体" w:eastAsia="宋体"/>
                <w:sz w:val="21"/>
                <w:szCs w:val="21"/>
                <w:highlight w:val="none"/>
              </w:rPr>
              <w:t>g</w:t>
            </w:r>
            <w:r>
              <w:rPr>
                <w:rFonts w:ascii="宋体" w:hAnsi="宋体" w:eastAsia="宋体"/>
                <w:sz w:val="21"/>
                <w:szCs w:val="21"/>
                <w:highlight w:val="none"/>
              </w:rPr>
              <w:t>）暴力破解、上传webshell、利用webshell横向渗透前未向负责人请示说明取得同意后进行。</w:t>
            </w:r>
            <w:r>
              <w:rPr>
                <w:rFonts w:hint="eastAsia" w:ascii="宋体" w:hAnsi="宋体" w:eastAsia="宋体"/>
                <w:sz w:val="21"/>
                <w:szCs w:val="21"/>
                <w:highlight w:val="none"/>
              </w:rPr>
              <w:t>h</w:t>
            </w:r>
            <w:r>
              <w:rPr>
                <w:rFonts w:ascii="宋体" w:hAnsi="宋体" w:eastAsia="宋体"/>
                <w:sz w:val="21"/>
                <w:szCs w:val="21"/>
                <w:highlight w:val="none"/>
              </w:rPr>
              <w:t>）造成木马等有害文件遗留，攻击测试过程中在对用户数据、操作系统密码做修改前未向负责人请示说明并取得同意。</w:t>
            </w:r>
          </w:p>
          <w:p w14:paraId="1181D948">
            <w:pPr>
              <w:ind w:left="0" w:firstLine="0" w:firstLineChars="0"/>
              <w:rPr>
                <w:rFonts w:ascii="宋体" w:hAnsi="宋体" w:eastAsia="宋体"/>
                <w:b/>
                <w:bCs/>
                <w:sz w:val="21"/>
                <w:szCs w:val="21"/>
                <w:highlight w:val="none"/>
              </w:rPr>
            </w:pPr>
            <w:r>
              <w:rPr>
                <w:rFonts w:hint="eastAsia" w:ascii="宋体" w:hAnsi="宋体" w:eastAsia="宋体"/>
                <w:b/>
                <w:bCs/>
                <w:sz w:val="21"/>
                <w:szCs w:val="21"/>
                <w:highlight w:val="none"/>
              </w:rPr>
              <w:t>【得分上限15分】</w:t>
            </w:r>
          </w:p>
          <w:p w14:paraId="464C8D54">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0次：</w:t>
            </w:r>
            <w:r>
              <w:rPr>
                <w:rFonts w:hint="eastAsia" w:ascii="宋体" w:hAnsi="宋体" w:eastAsia="宋体"/>
                <w:sz w:val="21"/>
                <w:szCs w:val="21"/>
                <w:highlight w:val="none"/>
              </w:rPr>
              <w:t>未出现</w:t>
            </w:r>
            <w:r>
              <w:rPr>
                <w:rFonts w:ascii="宋体" w:hAnsi="宋体" w:eastAsia="宋体"/>
                <w:sz w:val="21"/>
                <w:szCs w:val="21"/>
                <w:highlight w:val="none"/>
              </w:rPr>
              <w:t>安全测试违规行为</w:t>
            </w:r>
            <w:r>
              <w:rPr>
                <w:rFonts w:hint="eastAsia" w:ascii="宋体" w:hAnsi="宋体" w:eastAsia="宋体"/>
                <w:sz w:val="21"/>
                <w:szCs w:val="21"/>
                <w:highlight w:val="none"/>
              </w:rPr>
              <w:t>，15分</w:t>
            </w:r>
          </w:p>
          <w:p w14:paraId="4E295C05">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1次及以上</w:t>
            </w:r>
            <w:r>
              <w:rPr>
                <w:rFonts w:hint="eastAsia" w:ascii="宋体" w:hAnsi="宋体" w:eastAsia="宋体"/>
                <w:sz w:val="21"/>
                <w:szCs w:val="21"/>
                <w:highlight w:val="none"/>
              </w:rPr>
              <w:t>：每出现1次</w:t>
            </w:r>
            <w:r>
              <w:rPr>
                <w:rFonts w:ascii="宋体" w:hAnsi="宋体" w:eastAsia="宋体"/>
                <w:sz w:val="21"/>
                <w:szCs w:val="21"/>
                <w:highlight w:val="none"/>
              </w:rPr>
              <w:t>安全测试违规行为</w:t>
            </w:r>
            <w:r>
              <w:rPr>
                <w:rFonts w:hint="eastAsia" w:ascii="宋体" w:hAnsi="宋体" w:eastAsia="宋体"/>
                <w:sz w:val="21"/>
                <w:szCs w:val="21"/>
                <w:highlight w:val="none"/>
              </w:rPr>
              <w:t>，扣5分，最多扣15分。</w:t>
            </w:r>
          </w:p>
        </w:tc>
        <w:tc>
          <w:tcPr>
            <w:tcW w:w="2460" w:type="dxa"/>
            <w:tcBorders>
              <w:tl2br w:val="nil"/>
              <w:tr2bl w:val="nil"/>
            </w:tcBorders>
            <w:shd w:val="clear" w:color="auto" w:fill="auto"/>
            <w:vAlign w:val="center"/>
          </w:tcPr>
          <w:p w14:paraId="75B54521">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若出现</w:t>
            </w:r>
            <w:r>
              <w:rPr>
                <w:rFonts w:ascii="宋体" w:hAnsi="宋体" w:eastAsia="宋体"/>
                <w:sz w:val="21"/>
                <w:szCs w:val="21"/>
                <w:highlight w:val="none"/>
              </w:rPr>
              <w:t>安全测试违规</w:t>
            </w:r>
            <w:r>
              <w:rPr>
                <w:rFonts w:hint="eastAsia" w:ascii="宋体" w:hAnsi="宋体" w:eastAsia="宋体"/>
                <w:sz w:val="21"/>
                <w:szCs w:val="21"/>
                <w:highlight w:val="none"/>
              </w:rPr>
              <w:t>行为未导致严重后果的，扣除乙方金额人民币不低于1万元；</w:t>
            </w:r>
          </w:p>
          <w:p w14:paraId="53E6AAE6">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若出现</w:t>
            </w:r>
            <w:r>
              <w:rPr>
                <w:rFonts w:ascii="宋体" w:hAnsi="宋体" w:eastAsia="宋体"/>
                <w:sz w:val="21"/>
                <w:szCs w:val="21"/>
                <w:highlight w:val="none"/>
              </w:rPr>
              <w:t>安全测试违规</w:t>
            </w:r>
            <w:r>
              <w:rPr>
                <w:rFonts w:hint="eastAsia" w:ascii="宋体" w:hAnsi="宋体" w:eastAsia="宋体"/>
                <w:sz w:val="21"/>
                <w:szCs w:val="21"/>
                <w:highlight w:val="none"/>
              </w:rPr>
              <w:t>行为导致严重后果，或被上级或监管单位通报的，扣除乙方金额</w:t>
            </w:r>
            <w:r>
              <w:rPr>
                <w:rFonts w:ascii="宋体" w:hAnsi="宋体" w:eastAsia="宋体"/>
                <w:sz w:val="21"/>
                <w:szCs w:val="21"/>
                <w:highlight w:val="none"/>
              </w:rPr>
              <w:t>人民币</w:t>
            </w:r>
            <w:r>
              <w:rPr>
                <w:rFonts w:hint="eastAsia" w:ascii="宋体" w:hAnsi="宋体" w:eastAsia="宋体"/>
                <w:sz w:val="21"/>
                <w:szCs w:val="21"/>
                <w:highlight w:val="none"/>
              </w:rPr>
              <w:t>不低于2万元，并要求乙方赔偿实际损失。</w:t>
            </w:r>
          </w:p>
        </w:tc>
        <w:tc>
          <w:tcPr>
            <w:tcW w:w="1990" w:type="dxa"/>
            <w:tcBorders>
              <w:tl2br w:val="nil"/>
              <w:tr2bl w:val="nil"/>
            </w:tcBorders>
            <w:shd w:val="clear" w:color="auto" w:fill="auto"/>
            <w:vAlign w:val="center"/>
          </w:tcPr>
          <w:p w14:paraId="20F3BA8E">
            <w:pPr>
              <w:jc w:val="left"/>
              <w:rPr>
                <w:rFonts w:ascii="宋体" w:hAnsi="宋体" w:eastAsia="宋体"/>
                <w:sz w:val="21"/>
                <w:szCs w:val="21"/>
                <w:highlight w:val="none"/>
              </w:rPr>
            </w:pPr>
          </w:p>
        </w:tc>
        <w:tc>
          <w:tcPr>
            <w:tcW w:w="1134" w:type="dxa"/>
            <w:tcBorders>
              <w:tl2br w:val="nil"/>
              <w:tr2bl w:val="nil"/>
            </w:tcBorders>
            <w:shd w:val="clear" w:color="auto" w:fill="auto"/>
            <w:vAlign w:val="center"/>
          </w:tcPr>
          <w:p w14:paraId="1E04F3E9">
            <w:pPr>
              <w:jc w:val="left"/>
              <w:rPr>
                <w:rFonts w:ascii="宋体" w:hAnsi="宋体" w:eastAsia="宋体"/>
                <w:sz w:val="21"/>
                <w:szCs w:val="21"/>
                <w:highlight w:val="none"/>
              </w:rPr>
            </w:pPr>
          </w:p>
        </w:tc>
      </w:tr>
      <w:tr w14:paraId="27A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30940226">
            <w:pPr>
              <w:jc w:val="center"/>
              <w:rPr>
                <w:rFonts w:ascii="宋体" w:hAnsi="宋体" w:eastAsia="宋体"/>
                <w:sz w:val="21"/>
                <w:szCs w:val="21"/>
                <w:highlight w:val="none"/>
              </w:rPr>
            </w:pPr>
            <w:r>
              <w:rPr>
                <w:rFonts w:hint="eastAsia" w:ascii="宋体" w:hAnsi="宋体" w:eastAsia="宋体"/>
                <w:sz w:val="21"/>
                <w:szCs w:val="21"/>
                <w:highlight w:val="none"/>
              </w:rPr>
              <w:t>5</w:t>
            </w:r>
          </w:p>
        </w:tc>
        <w:tc>
          <w:tcPr>
            <w:tcW w:w="700" w:type="dxa"/>
            <w:vMerge w:val="restart"/>
            <w:tcBorders>
              <w:tl2br w:val="nil"/>
              <w:tr2bl w:val="nil"/>
            </w:tcBorders>
            <w:shd w:val="clear" w:color="auto" w:fill="auto"/>
            <w:vAlign w:val="center"/>
          </w:tcPr>
          <w:p w14:paraId="677B4E62">
            <w:pPr>
              <w:ind w:left="0" w:firstLine="0" w:firstLineChars="0"/>
              <w:jc w:val="left"/>
              <w:rPr>
                <w:rFonts w:ascii="宋体" w:hAnsi="宋体" w:eastAsia="宋体"/>
                <w:sz w:val="21"/>
                <w:szCs w:val="21"/>
                <w:highlight w:val="none"/>
              </w:rPr>
            </w:pPr>
            <w:r>
              <w:rPr>
                <w:rFonts w:hint="eastAsia" w:ascii="宋体" w:hAnsi="宋体" w:eastAsia="宋体"/>
                <w:sz w:val="21"/>
                <w:szCs w:val="21"/>
                <w:highlight w:val="none"/>
              </w:rPr>
              <w:t>协议履行</w:t>
            </w:r>
          </w:p>
        </w:tc>
        <w:tc>
          <w:tcPr>
            <w:tcW w:w="1060" w:type="dxa"/>
            <w:tcBorders>
              <w:tl2br w:val="nil"/>
              <w:tr2bl w:val="nil"/>
            </w:tcBorders>
            <w:shd w:val="clear" w:color="auto" w:fill="auto"/>
            <w:vAlign w:val="center"/>
          </w:tcPr>
          <w:p w14:paraId="47449605">
            <w:pPr>
              <w:ind w:left="0" w:firstLine="0" w:firstLineChars="0"/>
              <w:rPr>
                <w:rFonts w:ascii="宋体" w:hAnsi="宋体" w:eastAsia="宋体"/>
                <w:sz w:val="21"/>
                <w:szCs w:val="21"/>
                <w:highlight w:val="none"/>
              </w:rPr>
            </w:pPr>
            <w:r>
              <w:rPr>
                <w:rFonts w:ascii="宋体" w:hAnsi="宋体" w:eastAsia="宋体"/>
                <w:sz w:val="21"/>
                <w:szCs w:val="21"/>
                <w:highlight w:val="none"/>
              </w:rPr>
              <w:t>重大事项报告</w:t>
            </w:r>
          </w:p>
        </w:tc>
        <w:tc>
          <w:tcPr>
            <w:tcW w:w="2720" w:type="dxa"/>
            <w:tcBorders>
              <w:tl2br w:val="nil"/>
              <w:tr2bl w:val="nil"/>
            </w:tcBorders>
            <w:shd w:val="clear" w:color="auto" w:fill="auto"/>
            <w:vAlign w:val="center"/>
          </w:tcPr>
          <w:p w14:paraId="2EECC55F">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60" w:type="dxa"/>
            <w:tcBorders>
              <w:tl2br w:val="nil"/>
              <w:tr2bl w:val="nil"/>
            </w:tcBorders>
            <w:shd w:val="clear" w:color="auto" w:fill="auto"/>
            <w:vAlign w:val="center"/>
          </w:tcPr>
          <w:p w14:paraId="4FEB85E6">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优秀：</w:t>
            </w:r>
            <w:r>
              <w:rPr>
                <w:rFonts w:hint="eastAsia" w:ascii="宋体" w:hAnsi="宋体" w:eastAsia="宋体"/>
                <w:sz w:val="21"/>
                <w:szCs w:val="21"/>
                <w:highlight w:val="none"/>
              </w:rPr>
              <w:t>5分，</w:t>
            </w:r>
            <w:r>
              <w:rPr>
                <w:rFonts w:ascii="宋体" w:hAnsi="宋体" w:eastAsia="宋体"/>
                <w:sz w:val="21"/>
                <w:szCs w:val="21"/>
                <w:highlight w:val="none"/>
              </w:rPr>
              <w:t>指无重大事项或当发生重大事项时，能够于24小时内</w:t>
            </w:r>
            <w:r>
              <w:rPr>
                <w:rFonts w:hint="eastAsia" w:ascii="宋体" w:hAnsi="宋体" w:eastAsia="宋体"/>
                <w:sz w:val="21"/>
                <w:szCs w:val="21"/>
                <w:highlight w:val="none"/>
              </w:rPr>
              <w:t>告知甲方；</w:t>
            </w:r>
          </w:p>
          <w:p w14:paraId="707E1B52">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良好：</w:t>
            </w:r>
            <w:r>
              <w:rPr>
                <w:rFonts w:hint="eastAsia" w:ascii="宋体" w:hAnsi="宋体" w:eastAsia="宋体"/>
                <w:sz w:val="21"/>
                <w:szCs w:val="21"/>
                <w:highlight w:val="none"/>
              </w:rPr>
              <w:t>4分，</w:t>
            </w:r>
            <w:r>
              <w:rPr>
                <w:rFonts w:ascii="宋体" w:hAnsi="宋体" w:eastAsia="宋体"/>
                <w:sz w:val="21"/>
                <w:szCs w:val="21"/>
                <w:highlight w:val="none"/>
              </w:rPr>
              <w:t>指当发生重大事项时，能够于一周内告知</w:t>
            </w:r>
            <w:r>
              <w:rPr>
                <w:rFonts w:hint="eastAsia" w:ascii="宋体" w:hAnsi="宋体" w:eastAsia="宋体"/>
                <w:sz w:val="21"/>
                <w:szCs w:val="21"/>
                <w:highlight w:val="none"/>
              </w:rPr>
              <w:t>甲方；</w:t>
            </w:r>
          </w:p>
          <w:p w14:paraId="59F93F07">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合格：</w:t>
            </w:r>
            <w:r>
              <w:rPr>
                <w:rFonts w:hint="eastAsia" w:ascii="宋体" w:hAnsi="宋体" w:eastAsia="宋体"/>
                <w:sz w:val="21"/>
                <w:szCs w:val="21"/>
                <w:highlight w:val="none"/>
              </w:rPr>
              <w:t>3分，</w:t>
            </w:r>
            <w:r>
              <w:rPr>
                <w:rFonts w:ascii="宋体" w:hAnsi="宋体" w:eastAsia="宋体"/>
                <w:sz w:val="21"/>
                <w:szCs w:val="21"/>
                <w:highlight w:val="none"/>
              </w:rPr>
              <w:t>指当发生重大事项时，能够于一</w:t>
            </w:r>
            <w:r>
              <w:rPr>
                <w:rFonts w:hint="eastAsia" w:ascii="宋体" w:hAnsi="宋体" w:eastAsia="宋体"/>
                <w:sz w:val="21"/>
                <w:szCs w:val="21"/>
                <w:highlight w:val="none"/>
              </w:rPr>
              <w:t>月</w:t>
            </w:r>
            <w:r>
              <w:rPr>
                <w:rFonts w:ascii="宋体" w:hAnsi="宋体" w:eastAsia="宋体"/>
                <w:sz w:val="21"/>
                <w:szCs w:val="21"/>
                <w:highlight w:val="none"/>
              </w:rPr>
              <w:t>内告知</w:t>
            </w:r>
            <w:r>
              <w:rPr>
                <w:rFonts w:hint="eastAsia" w:ascii="宋体" w:hAnsi="宋体" w:eastAsia="宋体"/>
                <w:sz w:val="21"/>
                <w:szCs w:val="21"/>
                <w:highlight w:val="none"/>
              </w:rPr>
              <w:t>甲方；</w:t>
            </w:r>
          </w:p>
          <w:p w14:paraId="1DAC4060">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较差/差</w:t>
            </w:r>
            <w:r>
              <w:rPr>
                <w:rFonts w:hint="eastAsia" w:ascii="宋体" w:hAnsi="宋体" w:eastAsia="宋体"/>
                <w:sz w:val="21"/>
                <w:szCs w:val="21"/>
                <w:highlight w:val="none"/>
              </w:rPr>
              <w:t>：0分，</w:t>
            </w:r>
            <w:r>
              <w:rPr>
                <w:rFonts w:ascii="宋体" w:hAnsi="宋体" w:eastAsia="宋体"/>
                <w:sz w:val="21"/>
                <w:szCs w:val="21"/>
                <w:highlight w:val="none"/>
              </w:rPr>
              <w:t>指当发生重大事项时，</w:t>
            </w:r>
            <w:r>
              <w:rPr>
                <w:rFonts w:hint="eastAsia" w:ascii="宋体" w:hAnsi="宋体" w:eastAsia="宋体"/>
                <w:sz w:val="21"/>
                <w:szCs w:val="21"/>
                <w:highlight w:val="none"/>
              </w:rPr>
              <w:t>未</w:t>
            </w:r>
            <w:r>
              <w:rPr>
                <w:rFonts w:ascii="宋体" w:hAnsi="宋体" w:eastAsia="宋体"/>
                <w:sz w:val="21"/>
                <w:szCs w:val="21"/>
                <w:highlight w:val="none"/>
              </w:rPr>
              <w:t>告知</w:t>
            </w:r>
            <w:r>
              <w:rPr>
                <w:rFonts w:hint="eastAsia" w:ascii="宋体" w:hAnsi="宋体" w:eastAsia="宋体"/>
                <w:sz w:val="21"/>
                <w:szCs w:val="21"/>
                <w:highlight w:val="none"/>
              </w:rPr>
              <w:t>甲方。</w:t>
            </w:r>
          </w:p>
        </w:tc>
        <w:tc>
          <w:tcPr>
            <w:tcW w:w="2460" w:type="dxa"/>
            <w:tcBorders>
              <w:tl2br w:val="nil"/>
              <w:tr2bl w:val="nil"/>
            </w:tcBorders>
            <w:shd w:val="clear" w:color="auto" w:fill="auto"/>
            <w:vAlign w:val="center"/>
          </w:tcPr>
          <w:p w14:paraId="277353AE">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评价为较差/差时，甲方根据实际情况有权终止合同，并要求乙方赔偿实际损失。</w:t>
            </w:r>
          </w:p>
        </w:tc>
        <w:tc>
          <w:tcPr>
            <w:tcW w:w="1990" w:type="dxa"/>
            <w:tcBorders>
              <w:tl2br w:val="nil"/>
              <w:tr2bl w:val="nil"/>
            </w:tcBorders>
            <w:shd w:val="clear" w:color="auto" w:fill="auto"/>
            <w:vAlign w:val="center"/>
          </w:tcPr>
          <w:p w14:paraId="04F2B890">
            <w:pPr>
              <w:jc w:val="left"/>
              <w:rPr>
                <w:rFonts w:ascii="宋体" w:hAnsi="宋体" w:eastAsia="宋体"/>
                <w:sz w:val="21"/>
                <w:szCs w:val="21"/>
                <w:highlight w:val="none"/>
              </w:rPr>
            </w:pPr>
          </w:p>
        </w:tc>
        <w:tc>
          <w:tcPr>
            <w:tcW w:w="1134" w:type="dxa"/>
            <w:tcBorders>
              <w:tl2br w:val="nil"/>
              <w:tr2bl w:val="nil"/>
            </w:tcBorders>
            <w:shd w:val="clear" w:color="auto" w:fill="auto"/>
            <w:vAlign w:val="center"/>
          </w:tcPr>
          <w:p w14:paraId="444B7C5F">
            <w:pPr>
              <w:jc w:val="left"/>
              <w:rPr>
                <w:rFonts w:ascii="宋体" w:hAnsi="宋体" w:eastAsia="宋体"/>
                <w:sz w:val="21"/>
                <w:szCs w:val="21"/>
                <w:highlight w:val="none"/>
              </w:rPr>
            </w:pPr>
          </w:p>
        </w:tc>
      </w:tr>
      <w:tr w14:paraId="5EC0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739EDDFC">
            <w:pPr>
              <w:jc w:val="center"/>
              <w:rPr>
                <w:rFonts w:ascii="宋体" w:hAnsi="宋体" w:eastAsia="宋体"/>
                <w:sz w:val="21"/>
                <w:szCs w:val="21"/>
                <w:highlight w:val="none"/>
              </w:rPr>
            </w:pPr>
            <w:r>
              <w:rPr>
                <w:rFonts w:hint="eastAsia" w:ascii="宋体" w:hAnsi="宋体" w:eastAsia="宋体"/>
                <w:sz w:val="21"/>
                <w:szCs w:val="21"/>
                <w:highlight w:val="none"/>
              </w:rPr>
              <w:t>6</w:t>
            </w:r>
          </w:p>
        </w:tc>
        <w:tc>
          <w:tcPr>
            <w:tcW w:w="700" w:type="dxa"/>
            <w:vMerge w:val="continue"/>
            <w:tcBorders>
              <w:tl2br w:val="nil"/>
              <w:tr2bl w:val="nil"/>
            </w:tcBorders>
            <w:shd w:val="clear" w:color="auto" w:fill="auto"/>
          </w:tcPr>
          <w:p w14:paraId="23A61947">
            <w:pPr>
              <w:rPr>
                <w:highlight w:val="none"/>
              </w:rPr>
            </w:pPr>
          </w:p>
        </w:tc>
        <w:tc>
          <w:tcPr>
            <w:tcW w:w="1060" w:type="dxa"/>
            <w:tcBorders>
              <w:tl2br w:val="nil"/>
              <w:tr2bl w:val="nil"/>
            </w:tcBorders>
            <w:shd w:val="clear" w:color="auto" w:fill="auto"/>
            <w:vAlign w:val="center"/>
          </w:tcPr>
          <w:p w14:paraId="4BB4423E">
            <w:pPr>
              <w:ind w:left="0" w:firstLine="0" w:firstLineChars="0"/>
              <w:rPr>
                <w:rFonts w:ascii="宋体" w:hAnsi="宋体" w:eastAsia="宋体"/>
                <w:sz w:val="21"/>
                <w:szCs w:val="21"/>
                <w:highlight w:val="none"/>
              </w:rPr>
            </w:pPr>
            <w:r>
              <w:rPr>
                <w:rFonts w:ascii="宋体" w:hAnsi="宋体" w:eastAsia="宋体"/>
                <w:sz w:val="21"/>
                <w:szCs w:val="21"/>
                <w:highlight w:val="none"/>
              </w:rPr>
              <w:t>重大</w:t>
            </w:r>
            <w:r>
              <w:rPr>
                <w:rFonts w:hint="eastAsia" w:ascii="宋体" w:hAnsi="宋体" w:eastAsia="宋体"/>
                <w:sz w:val="21"/>
                <w:szCs w:val="21"/>
                <w:highlight w:val="none"/>
              </w:rPr>
              <w:t>事件及质量缺陷</w:t>
            </w:r>
          </w:p>
        </w:tc>
        <w:tc>
          <w:tcPr>
            <w:tcW w:w="2720" w:type="dxa"/>
            <w:tcBorders>
              <w:tl2br w:val="nil"/>
              <w:tr2bl w:val="nil"/>
            </w:tcBorders>
            <w:shd w:val="clear" w:color="auto" w:fill="auto"/>
            <w:vAlign w:val="center"/>
          </w:tcPr>
          <w:p w14:paraId="685F51D4">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用</w:t>
            </w:r>
            <w:r>
              <w:rPr>
                <w:rFonts w:ascii="宋体" w:hAnsi="宋体" w:eastAsia="宋体"/>
                <w:sz w:val="21"/>
                <w:szCs w:val="21"/>
                <w:highlight w:val="none"/>
              </w:rPr>
              <w:t>于记录</w:t>
            </w:r>
            <w:r>
              <w:rPr>
                <w:rFonts w:hint="eastAsia" w:ascii="宋体" w:hAnsi="宋体" w:eastAsia="宋体"/>
                <w:sz w:val="21"/>
                <w:szCs w:val="21"/>
                <w:highlight w:val="none"/>
              </w:rPr>
              <w:t>乙方在服务</w:t>
            </w:r>
            <w:r>
              <w:rPr>
                <w:rFonts w:ascii="宋体" w:hAnsi="宋体" w:eastAsia="宋体"/>
                <w:sz w:val="21"/>
                <w:szCs w:val="21"/>
                <w:highlight w:val="none"/>
              </w:rPr>
              <w:t>期内出现</w:t>
            </w:r>
            <w:r>
              <w:rPr>
                <w:rFonts w:hint="eastAsia" w:ascii="宋体" w:hAnsi="宋体" w:eastAsia="宋体"/>
                <w:sz w:val="21"/>
                <w:szCs w:val="21"/>
                <w:highlight w:val="none"/>
              </w:rPr>
              <w:t>以下重大事件及质量缺陷次数：</w:t>
            </w:r>
          </w:p>
          <w:p w14:paraId="065F3EDD">
            <w:pPr>
              <w:ind w:left="0" w:firstLine="0" w:firstLineChars="0"/>
              <w:rPr>
                <w:rFonts w:ascii="宋体" w:hAnsi="宋体" w:eastAsia="宋体"/>
                <w:sz w:val="21"/>
                <w:szCs w:val="21"/>
                <w:highlight w:val="none"/>
              </w:rPr>
            </w:pPr>
            <w:r>
              <w:rPr>
                <w:rFonts w:hint="eastAsia" w:ascii="宋体" w:hAnsi="宋体" w:eastAsia="宋体"/>
                <w:sz w:val="21"/>
                <w:szCs w:val="21"/>
                <w:highlight w:val="none"/>
              </w:rPr>
              <w:t>a.应用软件出现I</w:t>
            </w:r>
            <w:r>
              <w:rPr>
                <w:rFonts w:ascii="宋体" w:hAnsi="宋体" w:eastAsia="宋体"/>
                <w:sz w:val="21"/>
                <w:szCs w:val="21"/>
                <w:highlight w:val="none"/>
              </w:rPr>
              <w:t>II</w:t>
            </w:r>
            <w:r>
              <w:rPr>
                <w:rFonts w:hint="eastAsia" w:ascii="宋体" w:hAnsi="宋体" w:eastAsia="宋体"/>
                <w:sz w:val="21"/>
                <w:szCs w:val="21"/>
                <w:highlight w:val="none"/>
              </w:rPr>
              <w:t>级（含）以上的运营中断事件；</w:t>
            </w:r>
          </w:p>
          <w:p w14:paraId="31AA2A1F">
            <w:pPr>
              <w:ind w:left="0" w:firstLine="0" w:firstLineChars="0"/>
              <w:rPr>
                <w:rFonts w:ascii="宋体" w:hAnsi="宋体" w:eastAsia="宋体"/>
                <w:sz w:val="21"/>
                <w:szCs w:val="21"/>
                <w:highlight w:val="none"/>
              </w:rPr>
            </w:pPr>
            <w:r>
              <w:rPr>
                <w:rFonts w:hint="eastAsia" w:ascii="宋体" w:hAnsi="宋体" w:eastAsia="宋体"/>
                <w:sz w:val="21"/>
                <w:szCs w:val="21"/>
                <w:highlight w:val="none"/>
              </w:rPr>
              <w:t>b.因乙方原因（含乙方合作的第三方）导致甲方发生网络安全事件；</w:t>
            </w:r>
          </w:p>
          <w:p w14:paraId="7982C681">
            <w:pPr>
              <w:ind w:left="0" w:firstLine="0" w:firstLineChars="0"/>
              <w:rPr>
                <w:rFonts w:ascii="宋体" w:hAnsi="宋体" w:eastAsia="宋体"/>
                <w:sz w:val="21"/>
                <w:szCs w:val="21"/>
                <w:highlight w:val="none"/>
              </w:rPr>
            </w:pPr>
            <w:r>
              <w:rPr>
                <w:rFonts w:hint="eastAsia" w:ascii="宋体" w:hAnsi="宋体" w:eastAsia="宋体"/>
                <w:sz w:val="21"/>
                <w:szCs w:val="21"/>
                <w:highlight w:val="none"/>
              </w:rPr>
              <w:t>c.应用软件出现严重缺陷和致命缺陷。</w:t>
            </w:r>
          </w:p>
          <w:p w14:paraId="3CDFB46D">
            <w:pPr>
              <w:ind w:left="0" w:firstLine="0" w:firstLineChars="0"/>
              <w:rPr>
                <w:rFonts w:ascii="宋体" w:hAnsi="宋体" w:eastAsia="宋体"/>
                <w:sz w:val="21"/>
                <w:szCs w:val="21"/>
                <w:highlight w:val="none"/>
              </w:rPr>
            </w:pPr>
            <w:r>
              <w:rPr>
                <w:rFonts w:ascii="宋体" w:hAnsi="宋体" w:eastAsia="宋体"/>
                <w:sz w:val="21"/>
                <w:szCs w:val="21"/>
                <w:highlight w:val="none"/>
              </w:rPr>
              <w:t>d.乙方在检测认证版本范围内应发现而未发现的问题，导致甲方被监管机构发现或通报的事件次数。</w:t>
            </w:r>
          </w:p>
        </w:tc>
        <w:tc>
          <w:tcPr>
            <w:tcW w:w="3660" w:type="dxa"/>
            <w:tcBorders>
              <w:tl2br w:val="nil"/>
              <w:tr2bl w:val="nil"/>
            </w:tcBorders>
            <w:shd w:val="clear" w:color="auto" w:fill="auto"/>
            <w:vAlign w:val="center"/>
          </w:tcPr>
          <w:p w14:paraId="0691DD05">
            <w:pPr>
              <w:ind w:left="0" w:firstLine="0" w:firstLineChars="0"/>
              <w:rPr>
                <w:rFonts w:ascii="宋体" w:hAnsi="宋体" w:eastAsia="宋体"/>
                <w:b/>
                <w:bCs/>
                <w:sz w:val="21"/>
                <w:szCs w:val="21"/>
                <w:highlight w:val="none"/>
              </w:rPr>
            </w:pPr>
            <w:r>
              <w:rPr>
                <w:rFonts w:hint="eastAsia" w:ascii="宋体" w:hAnsi="宋体" w:eastAsia="宋体"/>
                <w:b/>
                <w:bCs/>
                <w:sz w:val="21"/>
                <w:szCs w:val="21"/>
                <w:highlight w:val="none"/>
              </w:rPr>
              <w:t>【得分上限10分】</w:t>
            </w:r>
          </w:p>
          <w:p w14:paraId="00C33D98">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0次：</w:t>
            </w:r>
            <w:r>
              <w:rPr>
                <w:rFonts w:hint="eastAsia" w:ascii="宋体" w:hAnsi="宋体" w:eastAsia="宋体"/>
                <w:sz w:val="21"/>
                <w:szCs w:val="21"/>
                <w:highlight w:val="none"/>
              </w:rPr>
              <w:t>指未出现</w:t>
            </w:r>
            <w:r>
              <w:rPr>
                <w:rFonts w:ascii="宋体" w:hAnsi="宋体" w:eastAsia="宋体"/>
                <w:sz w:val="21"/>
                <w:szCs w:val="21"/>
                <w:highlight w:val="none"/>
              </w:rPr>
              <w:t>重大事件</w:t>
            </w:r>
            <w:r>
              <w:rPr>
                <w:rFonts w:hint="eastAsia" w:ascii="宋体" w:hAnsi="宋体" w:eastAsia="宋体"/>
                <w:sz w:val="21"/>
                <w:szCs w:val="21"/>
                <w:highlight w:val="none"/>
              </w:rPr>
              <w:t>及质量缺陷，该项指标满分；</w:t>
            </w:r>
          </w:p>
          <w:p w14:paraId="078B60F7">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1次及以上：</w:t>
            </w:r>
            <w:r>
              <w:rPr>
                <w:rFonts w:hint="eastAsia" w:ascii="宋体" w:hAnsi="宋体" w:eastAsia="宋体"/>
                <w:sz w:val="21"/>
                <w:szCs w:val="21"/>
                <w:highlight w:val="none"/>
              </w:rPr>
              <w:t>0分，指出现1次及以上任意一项</w:t>
            </w:r>
            <w:r>
              <w:rPr>
                <w:rFonts w:ascii="宋体" w:hAnsi="宋体" w:eastAsia="宋体"/>
                <w:sz w:val="21"/>
                <w:szCs w:val="21"/>
                <w:highlight w:val="none"/>
              </w:rPr>
              <w:t>重大事件</w:t>
            </w:r>
            <w:r>
              <w:rPr>
                <w:rFonts w:hint="eastAsia" w:ascii="宋体" w:hAnsi="宋体" w:eastAsia="宋体"/>
                <w:sz w:val="21"/>
                <w:szCs w:val="21"/>
                <w:highlight w:val="none"/>
              </w:rPr>
              <w:t>或质量缺陷。</w:t>
            </w:r>
          </w:p>
        </w:tc>
        <w:tc>
          <w:tcPr>
            <w:tcW w:w="2460" w:type="dxa"/>
            <w:tcBorders>
              <w:tl2br w:val="nil"/>
              <w:tr2bl w:val="nil"/>
            </w:tcBorders>
            <w:shd w:val="clear" w:color="auto" w:fill="auto"/>
            <w:vAlign w:val="center"/>
          </w:tcPr>
          <w:p w14:paraId="40A0E632">
            <w:pPr>
              <w:ind w:left="0" w:firstLine="0" w:firstLineChars="0"/>
              <w:rPr>
                <w:rFonts w:ascii="宋体" w:hAnsi="宋体" w:eastAsia="宋体"/>
                <w:sz w:val="21"/>
                <w:szCs w:val="21"/>
                <w:highlight w:val="none"/>
              </w:rPr>
            </w:pPr>
            <w:r>
              <w:rPr>
                <w:rFonts w:hint="eastAsia" w:ascii="宋体" w:hAnsi="宋体" w:eastAsia="宋体"/>
                <w:sz w:val="21"/>
                <w:szCs w:val="21"/>
                <w:highlight w:val="none"/>
              </w:rPr>
              <w:t>每出现一次</w:t>
            </w:r>
            <w:r>
              <w:rPr>
                <w:rFonts w:ascii="宋体" w:hAnsi="宋体" w:eastAsia="宋体"/>
                <w:sz w:val="21"/>
                <w:szCs w:val="21"/>
                <w:highlight w:val="none"/>
              </w:rPr>
              <w:t>重大事件</w:t>
            </w:r>
            <w:r>
              <w:rPr>
                <w:rFonts w:hint="eastAsia" w:ascii="宋体" w:hAnsi="宋体" w:eastAsia="宋体"/>
                <w:sz w:val="21"/>
                <w:szCs w:val="21"/>
                <w:highlight w:val="none"/>
              </w:rPr>
              <w:t>或质量缺陷，扣除乙方金额</w:t>
            </w:r>
            <w:r>
              <w:rPr>
                <w:rFonts w:ascii="宋体" w:hAnsi="宋体" w:eastAsia="宋体"/>
                <w:sz w:val="21"/>
                <w:szCs w:val="21"/>
                <w:highlight w:val="none"/>
              </w:rPr>
              <w:t>人民币</w:t>
            </w:r>
            <w:r>
              <w:rPr>
                <w:rFonts w:hint="eastAsia" w:ascii="宋体" w:hAnsi="宋体" w:eastAsia="宋体"/>
                <w:sz w:val="21"/>
                <w:szCs w:val="21"/>
                <w:highlight w:val="none"/>
              </w:rPr>
              <w:t>不低于2万元，并要求乙方赔偿实际损失。</w:t>
            </w:r>
          </w:p>
        </w:tc>
        <w:tc>
          <w:tcPr>
            <w:tcW w:w="1990" w:type="dxa"/>
            <w:tcBorders>
              <w:tl2br w:val="nil"/>
              <w:tr2bl w:val="nil"/>
            </w:tcBorders>
            <w:shd w:val="clear" w:color="auto" w:fill="auto"/>
            <w:vAlign w:val="center"/>
          </w:tcPr>
          <w:p w14:paraId="6B14B462">
            <w:pPr>
              <w:jc w:val="left"/>
              <w:rPr>
                <w:rFonts w:ascii="宋体" w:hAnsi="宋体" w:eastAsia="宋体"/>
                <w:sz w:val="21"/>
                <w:szCs w:val="21"/>
                <w:highlight w:val="none"/>
              </w:rPr>
            </w:pPr>
          </w:p>
        </w:tc>
        <w:tc>
          <w:tcPr>
            <w:tcW w:w="1134" w:type="dxa"/>
            <w:tcBorders>
              <w:tl2br w:val="nil"/>
              <w:tr2bl w:val="nil"/>
            </w:tcBorders>
            <w:shd w:val="clear" w:color="auto" w:fill="auto"/>
            <w:vAlign w:val="center"/>
          </w:tcPr>
          <w:p w14:paraId="13AF425D">
            <w:pPr>
              <w:jc w:val="left"/>
              <w:rPr>
                <w:rFonts w:ascii="宋体" w:hAnsi="宋体" w:eastAsia="宋体"/>
                <w:sz w:val="21"/>
                <w:szCs w:val="21"/>
                <w:highlight w:val="none"/>
              </w:rPr>
            </w:pPr>
          </w:p>
        </w:tc>
      </w:tr>
      <w:tr w14:paraId="6EE3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12E92B1">
            <w:pPr>
              <w:jc w:val="center"/>
              <w:rPr>
                <w:rFonts w:ascii="宋体" w:hAnsi="宋体" w:eastAsia="宋体"/>
                <w:sz w:val="21"/>
                <w:szCs w:val="21"/>
                <w:highlight w:val="none"/>
              </w:rPr>
            </w:pPr>
            <w:r>
              <w:rPr>
                <w:rFonts w:hint="eastAsia" w:ascii="宋体" w:hAnsi="宋体" w:eastAsia="宋体"/>
                <w:sz w:val="21"/>
                <w:szCs w:val="21"/>
                <w:highlight w:val="none"/>
              </w:rPr>
              <w:t>7</w:t>
            </w:r>
          </w:p>
        </w:tc>
        <w:tc>
          <w:tcPr>
            <w:tcW w:w="700" w:type="dxa"/>
            <w:vMerge w:val="continue"/>
            <w:tcBorders>
              <w:tl2br w:val="nil"/>
              <w:tr2bl w:val="nil"/>
            </w:tcBorders>
            <w:shd w:val="clear" w:color="auto" w:fill="auto"/>
          </w:tcPr>
          <w:p w14:paraId="3E0CAF82">
            <w:pPr>
              <w:rPr>
                <w:highlight w:val="none"/>
              </w:rPr>
            </w:pPr>
          </w:p>
        </w:tc>
        <w:tc>
          <w:tcPr>
            <w:tcW w:w="1060" w:type="dxa"/>
            <w:tcBorders>
              <w:tl2br w:val="nil"/>
              <w:tr2bl w:val="nil"/>
            </w:tcBorders>
            <w:shd w:val="clear" w:color="auto" w:fill="auto"/>
            <w:vAlign w:val="center"/>
          </w:tcPr>
          <w:p w14:paraId="04807E8A">
            <w:pPr>
              <w:ind w:left="0" w:firstLine="0" w:firstLineChars="0"/>
              <w:rPr>
                <w:rFonts w:ascii="宋体" w:hAnsi="宋体" w:eastAsia="宋体"/>
                <w:sz w:val="21"/>
                <w:szCs w:val="21"/>
                <w:highlight w:val="none"/>
              </w:rPr>
            </w:pPr>
            <w:r>
              <w:rPr>
                <w:rFonts w:hint="eastAsia" w:ascii="宋体" w:hAnsi="宋体" w:eastAsia="宋体"/>
                <w:sz w:val="21"/>
                <w:szCs w:val="21"/>
                <w:highlight w:val="none"/>
              </w:rPr>
              <w:t>响应与解决及时性</w:t>
            </w:r>
          </w:p>
        </w:tc>
        <w:tc>
          <w:tcPr>
            <w:tcW w:w="2720" w:type="dxa"/>
            <w:tcBorders>
              <w:tl2br w:val="nil"/>
              <w:tr2bl w:val="nil"/>
            </w:tcBorders>
            <w:shd w:val="clear" w:color="auto" w:fill="auto"/>
            <w:vAlign w:val="center"/>
          </w:tcPr>
          <w:p w14:paraId="258049EE">
            <w:pPr>
              <w:ind w:left="0" w:firstLine="0" w:firstLineChars="0"/>
              <w:rPr>
                <w:rFonts w:ascii="宋体" w:hAnsi="宋体" w:eastAsia="宋体"/>
                <w:sz w:val="21"/>
                <w:szCs w:val="21"/>
                <w:highlight w:val="none"/>
              </w:rPr>
            </w:pPr>
            <w:r>
              <w:rPr>
                <w:rFonts w:ascii="宋体" w:hAnsi="宋体" w:eastAsia="宋体"/>
                <w:sz w:val="21"/>
                <w:szCs w:val="21"/>
                <w:highlight w:val="none"/>
              </w:rPr>
              <w:t>用于记录</w:t>
            </w:r>
            <w:r>
              <w:rPr>
                <w:rFonts w:hint="eastAsia" w:ascii="宋体" w:hAnsi="宋体" w:eastAsia="宋体"/>
                <w:sz w:val="21"/>
                <w:szCs w:val="21"/>
                <w:highlight w:val="none"/>
              </w:rPr>
              <w:t>乙方</w:t>
            </w:r>
            <w:r>
              <w:rPr>
                <w:rFonts w:ascii="宋体" w:hAnsi="宋体" w:eastAsia="宋体"/>
                <w:sz w:val="21"/>
                <w:szCs w:val="21"/>
                <w:highlight w:val="none"/>
              </w:rPr>
              <w:t>或服务项目对</w:t>
            </w:r>
            <w:r>
              <w:rPr>
                <w:rFonts w:hint="eastAsia" w:ascii="宋体" w:hAnsi="宋体" w:eastAsia="宋体"/>
                <w:sz w:val="21"/>
                <w:szCs w:val="21"/>
                <w:highlight w:val="none"/>
              </w:rPr>
              <w:t>甲方</w:t>
            </w:r>
            <w:r>
              <w:rPr>
                <w:rFonts w:ascii="宋体" w:hAnsi="宋体" w:eastAsia="宋体"/>
                <w:sz w:val="21"/>
                <w:szCs w:val="21"/>
                <w:highlight w:val="none"/>
              </w:rPr>
              <w:t>的响应与解决的及时性；</w:t>
            </w:r>
            <w:r>
              <w:rPr>
                <w:rFonts w:hint="eastAsia" w:ascii="宋体"/>
                <w:color w:val="000000"/>
                <w:sz w:val="21"/>
                <w:szCs w:val="21"/>
                <w:highlight w:val="none"/>
              </w:rPr>
              <w:t>乙方在整个服务期内，应积极响应包括检测、复测、问题清单出具、认证证书出具的服务事项，主动完成与检测机构检测事项对接、协助完成认证证书在中国互联网金融协会的备案事宜。</w:t>
            </w:r>
          </w:p>
        </w:tc>
        <w:tc>
          <w:tcPr>
            <w:tcW w:w="3660" w:type="dxa"/>
            <w:tcBorders>
              <w:tl2br w:val="nil"/>
              <w:tr2bl w:val="nil"/>
            </w:tcBorders>
            <w:shd w:val="clear" w:color="auto" w:fill="auto"/>
            <w:vAlign w:val="center"/>
          </w:tcPr>
          <w:p w14:paraId="15DBFA0A">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优秀：</w:t>
            </w:r>
            <w:r>
              <w:rPr>
                <w:rFonts w:hint="eastAsia" w:ascii="宋体" w:hAnsi="宋体" w:eastAsia="宋体"/>
                <w:sz w:val="21"/>
                <w:szCs w:val="21"/>
                <w:highlight w:val="none"/>
              </w:rPr>
              <w:t>10分，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或服务项目能够迅速响应需求，主动快速与</w:t>
            </w:r>
            <w:r>
              <w:rPr>
                <w:rFonts w:hint="eastAsia" w:ascii="宋体" w:hAnsi="宋体" w:eastAsia="宋体"/>
                <w:sz w:val="21"/>
                <w:szCs w:val="21"/>
                <w:highlight w:val="none"/>
              </w:rPr>
              <w:t>甲方</w:t>
            </w:r>
            <w:r>
              <w:rPr>
                <w:rFonts w:ascii="宋体" w:hAnsi="宋体" w:eastAsia="宋体"/>
                <w:sz w:val="21"/>
                <w:szCs w:val="21"/>
                <w:highlight w:val="none"/>
              </w:rPr>
              <w:t>进行有效的沟通，第一时间从专业角度给出解决方案并解决问题</w:t>
            </w:r>
            <w:r>
              <w:rPr>
                <w:rFonts w:hint="eastAsia" w:ascii="宋体" w:hAnsi="宋体" w:eastAsia="宋体"/>
                <w:sz w:val="21"/>
                <w:szCs w:val="21"/>
                <w:highlight w:val="none"/>
              </w:rPr>
              <w:t>；</w:t>
            </w:r>
          </w:p>
          <w:p w14:paraId="08325E65">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良好：</w:t>
            </w:r>
            <w:r>
              <w:rPr>
                <w:rFonts w:hint="eastAsia" w:ascii="宋体" w:hAnsi="宋体" w:eastAsia="宋体"/>
                <w:sz w:val="21"/>
                <w:szCs w:val="21"/>
                <w:highlight w:val="none"/>
              </w:rPr>
              <w:t>8分，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或服务项目能够按要求响应需求，及时与</w:t>
            </w:r>
            <w:r>
              <w:rPr>
                <w:rFonts w:hint="eastAsia" w:ascii="宋体" w:hAnsi="宋体" w:eastAsia="宋体"/>
                <w:sz w:val="21"/>
                <w:szCs w:val="21"/>
                <w:highlight w:val="none"/>
              </w:rPr>
              <w:t>甲方</w:t>
            </w:r>
            <w:r>
              <w:rPr>
                <w:rFonts w:ascii="宋体" w:hAnsi="宋体" w:eastAsia="宋体"/>
                <w:sz w:val="21"/>
                <w:szCs w:val="21"/>
                <w:highlight w:val="none"/>
              </w:rPr>
              <w:t>进行有效的沟通，快速给出处理方案并解决问题</w:t>
            </w:r>
            <w:r>
              <w:rPr>
                <w:rFonts w:hint="eastAsia" w:ascii="宋体" w:hAnsi="宋体" w:eastAsia="宋体"/>
                <w:sz w:val="21"/>
                <w:szCs w:val="21"/>
                <w:highlight w:val="none"/>
              </w:rPr>
              <w:t>；</w:t>
            </w:r>
          </w:p>
          <w:p w14:paraId="0896C447">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合格：6</w:t>
            </w:r>
            <w:r>
              <w:rPr>
                <w:rFonts w:hint="eastAsia" w:ascii="宋体" w:hAnsi="宋体" w:eastAsia="宋体"/>
                <w:sz w:val="21"/>
                <w:szCs w:val="21"/>
                <w:highlight w:val="none"/>
              </w:rPr>
              <w:t>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或服务项目能够基本按要求响应需求</w:t>
            </w:r>
            <w:r>
              <w:rPr>
                <w:rFonts w:hint="eastAsia" w:ascii="宋体" w:hAnsi="宋体" w:eastAsia="宋体"/>
                <w:sz w:val="21"/>
                <w:szCs w:val="21"/>
                <w:highlight w:val="none"/>
              </w:rPr>
              <w:t>，</w:t>
            </w:r>
            <w:r>
              <w:rPr>
                <w:rFonts w:ascii="宋体" w:hAnsi="宋体" w:eastAsia="宋体"/>
                <w:sz w:val="21"/>
                <w:szCs w:val="21"/>
                <w:highlight w:val="none"/>
              </w:rPr>
              <w:t>保持与</w:t>
            </w:r>
            <w:r>
              <w:rPr>
                <w:rFonts w:hint="eastAsia" w:ascii="宋体" w:hAnsi="宋体" w:eastAsia="宋体"/>
                <w:sz w:val="21"/>
                <w:szCs w:val="21"/>
                <w:highlight w:val="none"/>
              </w:rPr>
              <w:t>甲方</w:t>
            </w:r>
            <w:r>
              <w:rPr>
                <w:rFonts w:ascii="宋体" w:hAnsi="宋体" w:eastAsia="宋体"/>
                <w:sz w:val="21"/>
                <w:szCs w:val="21"/>
                <w:highlight w:val="none"/>
              </w:rPr>
              <w:t>的沟通，按时解决问题</w:t>
            </w:r>
            <w:r>
              <w:rPr>
                <w:rFonts w:hint="eastAsia" w:ascii="宋体" w:hAnsi="宋体" w:eastAsia="宋体"/>
                <w:sz w:val="21"/>
                <w:szCs w:val="21"/>
                <w:highlight w:val="none"/>
              </w:rPr>
              <w:t>；</w:t>
            </w:r>
          </w:p>
          <w:p w14:paraId="0B006618">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较差/差：</w:t>
            </w:r>
            <w:r>
              <w:rPr>
                <w:rFonts w:hint="eastAsia" w:ascii="宋体" w:hAnsi="宋体" w:eastAsia="宋体"/>
                <w:sz w:val="21"/>
                <w:szCs w:val="21"/>
                <w:highlight w:val="none"/>
              </w:rPr>
              <w:t>0分，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或服务项目未及时响应需求，或响应需求后无法</w:t>
            </w:r>
            <w:r>
              <w:rPr>
                <w:rFonts w:hint="eastAsia" w:ascii="宋体" w:hAnsi="宋体" w:eastAsia="宋体"/>
                <w:sz w:val="21"/>
                <w:szCs w:val="21"/>
                <w:highlight w:val="none"/>
              </w:rPr>
              <w:t>及时</w:t>
            </w:r>
            <w:r>
              <w:rPr>
                <w:rFonts w:ascii="宋体" w:hAnsi="宋体" w:eastAsia="宋体"/>
                <w:sz w:val="21"/>
                <w:szCs w:val="21"/>
                <w:highlight w:val="none"/>
              </w:rPr>
              <w:t>解决问题</w:t>
            </w:r>
            <w:r>
              <w:rPr>
                <w:rFonts w:hint="eastAsia" w:ascii="宋体" w:hAnsi="宋体" w:eastAsia="宋体"/>
                <w:sz w:val="21"/>
                <w:szCs w:val="21"/>
                <w:highlight w:val="none"/>
              </w:rPr>
              <w:t>。</w:t>
            </w:r>
          </w:p>
        </w:tc>
        <w:tc>
          <w:tcPr>
            <w:tcW w:w="2460" w:type="dxa"/>
            <w:tcBorders>
              <w:tl2br w:val="nil"/>
              <w:tr2bl w:val="nil"/>
            </w:tcBorders>
            <w:shd w:val="clear" w:color="auto" w:fill="auto"/>
            <w:vAlign w:val="center"/>
          </w:tcPr>
          <w:p w14:paraId="43611A42">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评价为较差/差，即乙方</w:t>
            </w:r>
            <w:r>
              <w:rPr>
                <w:rFonts w:ascii="宋体" w:hAnsi="宋体" w:eastAsia="宋体"/>
                <w:sz w:val="21"/>
                <w:szCs w:val="21"/>
                <w:highlight w:val="none"/>
              </w:rPr>
              <w:t>或服务项目未及时响应需求，或响应需求后无法</w:t>
            </w:r>
            <w:r>
              <w:rPr>
                <w:rFonts w:hint="eastAsia" w:ascii="宋体" w:hAnsi="宋体" w:eastAsia="宋体"/>
                <w:sz w:val="21"/>
                <w:szCs w:val="21"/>
                <w:highlight w:val="none"/>
              </w:rPr>
              <w:t>及时</w:t>
            </w:r>
            <w:r>
              <w:rPr>
                <w:rFonts w:ascii="宋体" w:hAnsi="宋体" w:eastAsia="宋体"/>
                <w:sz w:val="21"/>
                <w:szCs w:val="21"/>
                <w:highlight w:val="none"/>
              </w:rPr>
              <w:t>解决问题</w:t>
            </w:r>
            <w:r>
              <w:rPr>
                <w:rFonts w:hint="eastAsia" w:ascii="宋体" w:hAnsi="宋体" w:eastAsia="宋体"/>
                <w:sz w:val="21"/>
                <w:szCs w:val="21"/>
                <w:highlight w:val="none"/>
              </w:rPr>
              <w:t>，扣除乙方金额人民币不低于1000元。</w:t>
            </w:r>
          </w:p>
        </w:tc>
        <w:tc>
          <w:tcPr>
            <w:tcW w:w="1990" w:type="dxa"/>
            <w:tcBorders>
              <w:tl2br w:val="nil"/>
              <w:tr2bl w:val="nil"/>
            </w:tcBorders>
            <w:shd w:val="clear" w:color="auto" w:fill="auto"/>
            <w:vAlign w:val="center"/>
          </w:tcPr>
          <w:p w14:paraId="1C1A19D7">
            <w:pPr>
              <w:jc w:val="left"/>
              <w:rPr>
                <w:rFonts w:ascii="宋体" w:hAnsi="宋体" w:eastAsia="宋体"/>
                <w:sz w:val="21"/>
                <w:szCs w:val="21"/>
                <w:highlight w:val="none"/>
              </w:rPr>
            </w:pPr>
          </w:p>
        </w:tc>
        <w:tc>
          <w:tcPr>
            <w:tcW w:w="1134" w:type="dxa"/>
            <w:tcBorders>
              <w:tl2br w:val="nil"/>
              <w:tr2bl w:val="nil"/>
            </w:tcBorders>
            <w:shd w:val="clear" w:color="auto" w:fill="auto"/>
            <w:vAlign w:val="center"/>
          </w:tcPr>
          <w:p w14:paraId="04AA76A1">
            <w:pPr>
              <w:jc w:val="left"/>
              <w:rPr>
                <w:rFonts w:ascii="宋体" w:hAnsi="宋体" w:eastAsia="宋体"/>
                <w:sz w:val="21"/>
                <w:szCs w:val="21"/>
                <w:highlight w:val="none"/>
              </w:rPr>
            </w:pPr>
          </w:p>
        </w:tc>
      </w:tr>
      <w:tr w14:paraId="6647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07BE860B">
            <w:pPr>
              <w:jc w:val="center"/>
              <w:rPr>
                <w:rFonts w:ascii="宋体" w:hAnsi="宋体" w:eastAsia="宋体"/>
                <w:sz w:val="21"/>
                <w:szCs w:val="21"/>
                <w:highlight w:val="none"/>
              </w:rPr>
            </w:pPr>
            <w:r>
              <w:rPr>
                <w:rFonts w:hint="eastAsia" w:ascii="宋体" w:hAnsi="宋体" w:eastAsia="宋体"/>
                <w:sz w:val="21"/>
                <w:szCs w:val="21"/>
                <w:highlight w:val="none"/>
              </w:rPr>
              <w:t>8</w:t>
            </w:r>
          </w:p>
        </w:tc>
        <w:tc>
          <w:tcPr>
            <w:tcW w:w="700" w:type="dxa"/>
            <w:vMerge w:val="continue"/>
            <w:tcBorders>
              <w:tl2br w:val="nil"/>
              <w:tr2bl w:val="nil"/>
            </w:tcBorders>
            <w:shd w:val="clear" w:color="auto" w:fill="auto"/>
          </w:tcPr>
          <w:p w14:paraId="1E3BD2BF">
            <w:pPr>
              <w:rPr>
                <w:highlight w:val="none"/>
              </w:rPr>
            </w:pPr>
          </w:p>
        </w:tc>
        <w:tc>
          <w:tcPr>
            <w:tcW w:w="1060" w:type="dxa"/>
            <w:tcBorders>
              <w:tl2br w:val="nil"/>
              <w:tr2bl w:val="nil"/>
            </w:tcBorders>
            <w:shd w:val="clear" w:color="auto" w:fill="auto"/>
            <w:vAlign w:val="center"/>
          </w:tcPr>
          <w:p w14:paraId="12C86291">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人员行为规范性</w:t>
            </w:r>
          </w:p>
        </w:tc>
        <w:tc>
          <w:tcPr>
            <w:tcW w:w="2720" w:type="dxa"/>
            <w:tcBorders>
              <w:tl2br w:val="nil"/>
              <w:tr2bl w:val="nil"/>
            </w:tcBorders>
            <w:shd w:val="clear" w:color="auto" w:fill="auto"/>
            <w:vAlign w:val="center"/>
          </w:tcPr>
          <w:p w14:paraId="25E2E6D7">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用</w:t>
            </w:r>
            <w:r>
              <w:rPr>
                <w:rFonts w:ascii="宋体" w:hAnsi="宋体" w:eastAsia="宋体"/>
                <w:sz w:val="21"/>
                <w:szCs w:val="21"/>
                <w:highlight w:val="none"/>
              </w:rPr>
              <w:t>于记录外包场地日常管理或</w:t>
            </w:r>
            <w:r>
              <w:rPr>
                <w:rFonts w:hint="eastAsia" w:ascii="宋体" w:hAnsi="宋体" w:eastAsia="宋体"/>
                <w:sz w:val="21"/>
                <w:szCs w:val="21"/>
                <w:highlight w:val="none"/>
              </w:rPr>
              <w:t>检查</w:t>
            </w:r>
            <w:r>
              <w:rPr>
                <w:rFonts w:ascii="宋体" w:hAnsi="宋体" w:eastAsia="宋体"/>
                <w:sz w:val="21"/>
                <w:szCs w:val="21"/>
                <w:highlight w:val="none"/>
              </w:rPr>
              <w:t>过程中发现外包人员</w:t>
            </w:r>
            <w:r>
              <w:rPr>
                <w:rFonts w:hint="eastAsia" w:ascii="宋体" w:hAnsi="宋体" w:eastAsia="宋体"/>
                <w:sz w:val="21"/>
                <w:szCs w:val="21"/>
                <w:highlight w:val="none"/>
              </w:rPr>
              <w:t>行为</w:t>
            </w:r>
            <w:r>
              <w:rPr>
                <w:rFonts w:ascii="宋体" w:hAnsi="宋体" w:eastAsia="宋体"/>
                <w:sz w:val="21"/>
                <w:szCs w:val="21"/>
                <w:highlight w:val="none"/>
              </w:rPr>
              <w:t>违</w:t>
            </w:r>
            <w:r>
              <w:rPr>
                <w:rFonts w:hint="eastAsia" w:ascii="宋体" w:hAnsi="宋体" w:eastAsia="宋体"/>
                <w:sz w:val="21"/>
                <w:szCs w:val="21"/>
                <w:highlight w:val="none"/>
              </w:rPr>
              <w:t>规（包括但不限于办公纪律、造成办公环境物理安全隐患等）</w:t>
            </w:r>
            <w:r>
              <w:rPr>
                <w:rFonts w:ascii="宋体" w:hAnsi="宋体" w:eastAsia="宋体"/>
                <w:sz w:val="21"/>
                <w:szCs w:val="21"/>
                <w:highlight w:val="none"/>
              </w:rPr>
              <w:t>的次数</w:t>
            </w:r>
          </w:p>
        </w:tc>
        <w:tc>
          <w:tcPr>
            <w:tcW w:w="3660" w:type="dxa"/>
            <w:tcBorders>
              <w:tl2br w:val="nil"/>
              <w:tr2bl w:val="nil"/>
            </w:tcBorders>
            <w:shd w:val="clear" w:color="auto" w:fill="auto"/>
            <w:vAlign w:val="center"/>
          </w:tcPr>
          <w:p w14:paraId="2D455FEC">
            <w:pPr>
              <w:ind w:left="0" w:firstLine="0" w:firstLineChars="0"/>
              <w:rPr>
                <w:rFonts w:ascii="宋体" w:hAnsi="宋体" w:eastAsia="宋体"/>
                <w:b/>
                <w:bCs/>
                <w:sz w:val="21"/>
                <w:szCs w:val="21"/>
                <w:highlight w:val="none"/>
              </w:rPr>
            </w:pPr>
            <w:r>
              <w:rPr>
                <w:rFonts w:hint="eastAsia" w:ascii="宋体" w:hAnsi="宋体" w:eastAsia="宋体"/>
                <w:b/>
                <w:bCs/>
                <w:sz w:val="21"/>
                <w:szCs w:val="21"/>
                <w:highlight w:val="none"/>
              </w:rPr>
              <w:t>【得分上限1</w:t>
            </w:r>
            <w:r>
              <w:rPr>
                <w:rFonts w:ascii="宋体" w:hAnsi="宋体" w:eastAsia="宋体"/>
                <w:b/>
                <w:bCs/>
                <w:sz w:val="21"/>
                <w:szCs w:val="21"/>
                <w:highlight w:val="none"/>
              </w:rPr>
              <w:t>0</w:t>
            </w:r>
            <w:r>
              <w:rPr>
                <w:rFonts w:hint="eastAsia" w:ascii="宋体" w:hAnsi="宋体" w:eastAsia="宋体"/>
                <w:b/>
                <w:bCs/>
                <w:sz w:val="21"/>
                <w:szCs w:val="21"/>
                <w:highlight w:val="none"/>
              </w:rPr>
              <w:t>分】</w:t>
            </w:r>
          </w:p>
          <w:p w14:paraId="506AA46B">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0次：</w:t>
            </w:r>
            <w:r>
              <w:rPr>
                <w:rFonts w:hint="eastAsia" w:ascii="宋体" w:hAnsi="宋体" w:eastAsia="宋体"/>
                <w:sz w:val="21"/>
                <w:szCs w:val="21"/>
                <w:highlight w:val="none"/>
              </w:rPr>
              <w:t>指未出现外包人员行为违规，该项指标满分；</w:t>
            </w:r>
          </w:p>
          <w:p w14:paraId="1308937F">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1次及以上：</w:t>
            </w:r>
            <w:r>
              <w:rPr>
                <w:rFonts w:hint="eastAsia" w:ascii="宋体" w:hAnsi="宋体" w:eastAsia="宋体"/>
                <w:sz w:val="21"/>
                <w:szCs w:val="21"/>
                <w:highlight w:val="none"/>
              </w:rPr>
              <w:t>指检查发现外包人员行为违规1次及以上（每人次扣5分，最高扣除1</w:t>
            </w:r>
            <w:r>
              <w:rPr>
                <w:rFonts w:ascii="宋体" w:hAnsi="宋体" w:eastAsia="宋体"/>
                <w:sz w:val="21"/>
                <w:szCs w:val="21"/>
                <w:highlight w:val="none"/>
              </w:rPr>
              <w:t>0</w:t>
            </w:r>
            <w:r>
              <w:rPr>
                <w:rFonts w:hint="eastAsia" w:ascii="宋体" w:hAnsi="宋体" w:eastAsia="宋体"/>
                <w:sz w:val="21"/>
                <w:szCs w:val="21"/>
                <w:highlight w:val="none"/>
              </w:rPr>
              <w:t>分）</w:t>
            </w:r>
          </w:p>
        </w:tc>
        <w:tc>
          <w:tcPr>
            <w:tcW w:w="2460" w:type="dxa"/>
            <w:tcBorders>
              <w:tl2br w:val="nil"/>
              <w:tr2bl w:val="nil"/>
            </w:tcBorders>
            <w:shd w:val="clear" w:color="auto" w:fill="auto"/>
            <w:vAlign w:val="center"/>
          </w:tcPr>
          <w:p w14:paraId="4F8DC1AF">
            <w:pPr>
              <w:ind w:left="0" w:firstLine="0" w:firstLineChars="0"/>
              <w:rPr>
                <w:rFonts w:ascii="宋体" w:hAnsi="宋体" w:eastAsia="宋体"/>
                <w:sz w:val="21"/>
                <w:szCs w:val="21"/>
                <w:highlight w:val="none"/>
              </w:rPr>
            </w:pPr>
            <w:r>
              <w:rPr>
                <w:rFonts w:hint="eastAsia" w:ascii="宋体" w:hAnsi="宋体" w:eastAsia="宋体"/>
                <w:sz w:val="21"/>
                <w:szCs w:val="21"/>
                <w:highlight w:val="none"/>
              </w:rPr>
              <w:t>每出现一次人员行为</w:t>
            </w:r>
            <w:r>
              <w:rPr>
                <w:rFonts w:ascii="宋体" w:hAnsi="宋体" w:eastAsia="宋体"/>
                <w:sz w:val="21"/>
                <w:szCs w:val="21"/>
                <w:highlight w:val="none"/>
              </w:rPr>
              <w:t>违规</w:t>
            </w:r>
            <w:r>
              <w:rPr>
                <w:rFonts w:hint="eastAsia" w:ascii="宋体" w:hAnsi="宋体" w:eastAsia="宋体"/>
                <w:sz w:val="21"/>
                <w:szCs w:val="21"/>
                <w:highlight w:val="none"/>
              </w:rPr>
              <w:t>，扣除乙方金额人民币不低于500元。</w:t>
            </w:r>
          </w:p>
        </w:tc>
        <w:tc>
          <w:tcPr>
            <w:tcW w:w="1990" w:type="dxa"/>
            <w:tcBorders>
              <w:tl2br w:val="nil"/>
              <w:tr2bl w:val="nil"/>
            </w:tcBorders>
            <w:shd w:val="clear" w:color="auto" w:fill="auto"/>
            <w:vAlign w:val="center"/>
          </w:tcPr>
          <w:p w14:paraId="340F9ED9">
            <w:pPr>
              <w:jc w:val="left"/>
              <w:rPr>
                <w:rFonts w:ascii="宋体" w:hAnsi="宋体" w:eastAsia="宋体"/>
                <w:sz w:val="21"/>
                <w:szCs w:val="21"/>
                <w:highlight w:val="none"/>
              </w:rPr>
            </w:pPr>
          </w:p>
        </w:tc>
        <w:tc>
          <w:tcPr>
            <w:tcW w:w="1134" w:type="dxa"/>
            <w:tcBorders>
              <w:tl2br w:val="nil"/>
              <w:tr2bl w:val="nil"/>
            </w:tcBorders>
            <w:shd w:val="clear" w:color="auto" w:fill="auto"/>
            <w:vAlign w:val="center"/>
          </w:tcPr>
          <w:p w14:paraId="774B1DA6">
            <w:pPr>
              <w:jc w:val="left"/>
              <w:rPr>
                <w:rFonts w:ascii="宋体" w:hAnsi="宋体" w:eastAsia="宋体"/>
                <w:sz w:val="21"/>
                <w:szCs w:val="21"/>
                <w:highlight w:val="none"/>
              </w:rPr>
            </w:pPr>
          </w:p>
        </w:tc>
      </w:tr>
      <w:tr w14:paraId="3148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4DC9D805">
            <w:pPr>
              <w:jc w:val="center"/>
              <w:rPr>
                <w:rFonts w:ascii="宋体" w:hAnsi="宋体" w:eastAsia="宋体"/>
                <w:sz w:val="21"/>
                <w:szCs w:val="21"/>
                <w:highlight w:val="none"/>
              </w:rPr>
            </w:pPr>
            <w:r>
              <w:rPr>
                <w:rFonts w:hint="eastAsia" w:ascii="宋体" w:hAnsi="宋体" w:eastAsia="宋体"/>
                <w:sz w:val="21"/>
                <w:szCs w:val="21"/>
                <w:highlight w:val="none"/>
              </w:rPr>
              <w:t>9</w:t>
            </w:r>
          </w:p>
        </w:tc>
        <w:tc>
          <w:tcPr>
            <w:tcW w:w="700" w:type="dxa"/>
            <w:vMerge w:val="continue"/>
            <w:tcBorders>
              <w:tl2br w:val="nil"/>
              <w:tr2bl w:val="nil"/>
            </w:tcBorders>
            <w:shd w:val="clear" w:color="auto" w:fill="auto"/>
          </w:tcPr>
          <w:p w14:paraId="27F290C9">
            <w:pPr>
              <w:rPr>
                <w:highlight w:val="none"/>
              </w:rPr>
            </w:pPr>
          </w:p>
        </w:tc>
        <w:tc>
          <w:tcPr>
            <w:tcW w:w="1060" w:type="dxa"/>
            <w:tcBorders>
              <w:tl2br w:val="nil"/>
              <w:tr2bl w:val="nil"/>
            </w:tcBorders>
            <w:shd w:val="clear" w:color="auto" w:fill="auto"/>
            <w:vAlign w:val="center"/>
          </w:tcPr>
          <w:p w14:paraId="1F02AF2F">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人员变动率</w:t>
            </w:r>
          </w:p>
        </w:tc>
        <w:tc>
          <w:tcPr>
            <w:tcW w:w="2720" w:type="dxa"/>
            <w:tcBorders>
              <w:tl2br w:val="nil"/>
              <w:tr2bl w:val="nil"/>
            </w:tcBorders>
            <w:shd w:val="clear" w:color="auto" w:fill="auto"/>
            <w:vAlign w:val="center"/>
          </w:tcPr>
          <w:p w14:paraId="249EA053">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用</w:t>
            </w:r>
            <w:r>
              <w:rPr>
                <w:rFonts w:ascii="宋体" w:hAnsi="宋体" w:eastAsia="宋体"/>
                <w:sz w:val="21"/>
                <w:szCs w:val="21"/>
                <w:highlight w:val="none"/>
              </w:rPr>
              <w:t>于记录统计周期内</w:t>
            </w:r>
            <w:r>
              <w:rPr>
                <w:rFonts w:hint="eastAsia" w:ascii="宋体" w:hAnsi="宋体" w:eastAsia="宋体"/>
                <w:sz w:val="21"/>
                <w:szCs w:val="21"/>
                <w:highlight w:val="none"/>
              </w:rPr>
              <w:t>乙方未经甲方同意</w:t>
            </w:r>
            <w:r>
              <w:rPr>
                <w:rFonts w:ascii="宋体" w:hAnsi="宋体" w:eastAsia="宋体"/>
                <w:sz w:val="21"/>
                <w:szCs w:val="21"/>
                <w:highlight w:val="none"/>
              </w:rPr>
              <w:t>更换</w:t>
            </w:r>
            <w:r>
              <w:rPr>
                <w:rFonts w:hint="eastAsia" w:ascii="宋体" w:hAnsi="宋体" w:eastAsia="宋体"/>
                <w:sz w:val="21"/>
                <w:szCs w:val="21"/>
                <w:highlight w:val="none"/>
              </w:rPr>
              <w:t>及退出</w:t>
            </w:r>
            <w:r>
              <w:rPr>
                <w:rFonts w:ascii="宋体" w:hAnsi="宋体" w:eastAsia="宋体"/>
                <w:sz w:val="21"/>
                <w:szCs w:val="21"/>
                <w:highlight w:val="none"/>
              </w:rPr>
              <w:t>外包人员数量占</w:t>
            </w:r>
            <w:r>
              <w:rPr>
                <w:rFonts w:hint="eastAsia" w:ascii="宋体" w:hAnsi="宋体" w:eastAsia="宋体"/>
                <w:sz w:val="21"/>
                <w:szCs w:val="21"/>
                <w:highlight w:val="none"/>
              </w:rPr>
              <w:t>乙方</w:t>
            </w:r>
            <w:r>
              <w:rPr>
                <w:rFonts w:ascii="宋体" w:hAnsi="宋体" w:eastAsia="宋体"/>
                <w:sz w:val="21"/>
                <w:szCs w:val="21"/>
                <w:highlight w:val="none"/>
              </w:rPr>
              <w:t>驻场外包人员总数量的比率</w:t>
            </w:r>
          </w:p>
        </w:tc>
        <w:tc>
          <w:tcPr>
            <w:tcW w:w="3660" w:type="dxa"/>
            <w:tcBorders>
              <w:tl2br w:val="nil"/>
              <w:tr2bl w:val="nil"/>
            </w:tcBorders>
            <w:shd w:val="clear" w:color="auto" w:fill="auto"/>
            <w:vAlign w:val="center"/>
          </w:tcPr>
          <w:p w14:paraId="1F043B72">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人</w:t>
            </w:r>
            <w:r>
              <w:rPr>
                <w:rFonts w:ascii="宋体" w:hAnsi="宋体" w:eastAsia="宋体"/>
                <w:sz w:val="21"/>
                <w:szCs w:val="21"/>
                <w:highlight w:val="none"/>
              </w:rPr>
              <w:t>员变动率=</w:t>
            </w:r>
            <w:r>
              <w:rPr>
                <w:rFonts w:hint="eastAsia" w:ascii="宋体" w:hAnsi="宋体" w:eastAsia="宋体"/>
                <w:sz w:val="21"/>
                <w:szCs w:val="21"/>
                <w:highlight w:val="none"/>
              </w:rPr>
              <w:t>乙方未经甲方同意</w:t>
            </w:r>
            <w:r>
              <w:rPr>
                <w:rFonts w:ascii="宋体" w:hAnsi="宋体" w:eastAsia="宋体"/>
                <w:sz w:val="21"/>
                <w:szCs w:val="21"/>
                <w:highlight w:val="none"/>
              </w:rPr>
              <w:t>更换</w:t>
            </w:r>
            <w:r>
              <w:rPr>
                <w:rFonts w:hint="eastAsia" w:ascii="宋体" w:hAnsi="宋体" w:eastAsia="宋体"/>
                <w:sz w:val="21"/>
                <w:szCs w:val="21"/>
                <w:highlight w:val="none"/>
              </w:rPr>
              <w:t>及退出</w:t>
            </w:r>
            <w:r>
              <w:rPr>
                <w:rFonts w:ascii="宋体" w:hAnsi="宋体" w:eastAsia="宋体"/>
                <w:sz w:val="21"/>
                <w:szCs w:val="21"/>
                <w:highlight w:val="none"/>
              </w:rPr>
              <w:t>外包人员数量/</w:t>
            </w:r>
            <w:r>
              <w:rPr>
                <w:rFonts w:hint="eastAsia" w:ascii="宋体" w:hAnsi="宋体" w:eastAsia="宋体"/>
                <w:sz w:val="21"/>
                <w:szCs w:val="21"/>
                <w:highlight w:val="none"/>
              </w:rPr>
              <w:t>乙方</w:t>
            </w:r>
            <w:r>
              <w:rPr>
                <w:rFonts w:ascii="宋体" w:hAnsi="宋体" w:eastAsia="宋体"/>
                <w:sz w:val="21"/>
                <w:szCs w:val="21"/>
                <w:highlight w:val="none"/>
              </w:rPr>
              <w:t>驻场外包人员总数量</w:t>
            </w:r>
          </w:p>
          <w:p w14:paraId="39D12EB4">
            <w:pPr>
              <w:ind w:left="0" w:firstLine="0" w:firstLineChars="0"/>
              <w:rPr>
                <w:rFonts w:ascii="宋体" w:hAnsi="宋体" w:eastAsia="宋体"/>
                <w:b/>
                <w:sz w:val="21"/>
                <w:szCs w:val="21"/>
                <w:highlight w:val="none"/>
              </w:rPr>
            </w:pPr>
            <w:r>
              <w:rPr>
                <w:rFonts w:hint="eastAsia" w:ascii="宋体" w:hAnsi="宋体" w:eastAsia="宋体"/>
                <w:b/>
                <w:sz w:val="21"/>
                <w:szCs w:val="21"/>
                <w:highlight w:val="none"/>
              </w:rPr>
              <w:t>10分【0-20%】</w:t>
            </w:r>
          </w:p>
          <w:p w14:paraId="45BB3159">
            <w:pPr>
              <w:ind w:left="0" w:firstLine="0" w:firstLineChars="0"/>
              <w:rPr>
                <w:rFonts w:ascii="宋体" w:hAnsi="宋体" w:eastAsia="宋体"/>
                <w:b/>
                <w:sz w:val="21"/>
                <w:szCs w:val="21"/>
                <w:highlight w:val="none"/>
              </w:rPr>
            </w:pPr>
            <w:r>
              <w:rPr>
                <w:rFonts w:hint="eastAsia" w:ascii="宋体" w:hAnsi="宋体" w:eastAsia="宋体"/>
                <w:b/>
                <w:sz w:val="21"/>
                <w:szCs w:val="21"/>
                <w:highlight w:val="none"/>
              </w:rPr>
              <w:t>5分【20%-40%】</w:t>
            </w:r>
          </w:p>
          <w:p w14:paraId="640F9791">
            <w:pPr>
              <w:ind w:left="0" w:firstLine="0" w:firstLineChars="0"/>
              <w:rPr>
                <w:rFonts w:ascii="宋体" w:hAnsi="宋体" w:eastAsia="宋体"/>
                <w:b/>
                <w:sz w:val="21"/>
                <w:szCs w:val="21"/>
                <w:highlight w:val="none"/>
              </w:rPr>
            </w:pPr>
            <w:r>
              <w:rPr>
                <w:rFonts w:hint="eastAsia" w:ascii="宋体" w:hAnsi="宋体" w:eastAsia="宋体"/>
                <w:b/>
                <w:sz w:val="21"/>
                <w:szCs w:val="21"/>
                <w:highlight w:val="none"/>
              </w:rPr>
              <w:t>0分【超过40%】</w:t>
            </w:r>
          </w:p>
        </w:tc>
        <w:tc>
          <w:tcPr>
            <w:tcW w:w="2460" w:type="dxa"/>
            <w:tcBorders>
              <w:tl2br w:val="nil"/>
              <w:tr2bl w:val="nil"/>
            </w:tcBorders>
            <w:shd w:val="clear" w:color="auto" w:fill="auto"/>
            <w:vAlign w:val="center"/>
          </w:tcPr>
          <w:p w14:paraId="1CB0BD47">
            <w:pPr>
              <w:ind w:left="0" w:firstLine="0" w:firstLineChars="0"/>
              <w:rPr>
                <w:rFonts w:ascii="宋体" w:hAnsi="宋体" w:eastAsia="宋体"/>
                <w:sz w:val="21"/>
                <w:szCs w:val="21"/>
                <w:highlight w:val="none"/>
              </w:rPr>
            </w:pPr>
            <w:r>
              <w:rPr>
                <w:rFonts w:ascii="宋体" w:hAnsi="宋体" w:eastAsia="宋体"/>
                <w:sz w:val="21"/>
                <w:szCs w:val="21"/>
                <w:highlight w:val="none"/>
              </w:rPr>
              <w:t>项目经理</w:t>
            </w:r>
            <w:r>
              <w:rPr>
                <w:rFonts w:hint="eastAsia" w:ascii="宋体" w:hAnsi="宋体" w:eastAsia="宋体"/>
                <w:sz w:val="21"/>
                <w:szCs w:val="21"/>
                <w:highlight w:val="none"/>
              </w:rPr>
              <w:t>未经甲方同意变动或退出，扣除乙方金额人民币不低于3万元；其余人员变动率超过40</w:t>
            </w:r>
            <w:r>
              <w:rPr>
                <w:rFonts w:ascii="宋体" w:hAnsi="宋体" w:eastAsia="宋体"/>
                <w:sz w:val="21"/>
                <w:szCs w:val="21"/>
                <w:highlight w:val="none"/>
              </w:rPr>
              <w:t>%</w:t>
            </w:r>
            <w:r>
              <w:rPr>
                <w:rFonts w:hint="eastAsia" w:ascii="宋体" w:hAnsi="宋体" w:eastAsia="宋体"/>
                <w:sz w:val="21"/>
                <w:szCs w:val="21"/>
                <w:highlight w:val="none"/>
              </w:rPr>
              <w:t>，扣除</w:t>
            </w:r>
            <w:r>
              <w:rPr>
                <w:rFonts w:ascii="宋体" w:hAnsi="宋体" w:eastAsia="宋体"/>
                <w:sz w:val="21"/>
                <w:szCs w:val="21"/>
                <w:highlight w:val="none"/>
              </w:rPr>
              <w:t>乙方金额人民币不低于1万元</w:t>
            </w:r>
            <w:r>
              <w:rPr>
                <w:rFonts w:hint="eastAsia" w:ascii="宋体" w:hAnsi="宋体" w:eastAsia="宋体"/>
                <w:sz w:val="21"/>
                <w:szCs w:val="21"/>
                <w:highlight w:val="none"/>
              </w:rPr>
              <w:t>。</w:t>
            </w:r>
          </w:p>
        </w:tc>
        <w:tc>
          <w:tcPr>
            <w:tcW w:w="1990" w:type="dxa"/>
            <w:tcBorders>
              <w:tl2br w:val="nil"/>
              <w:tr2bl w:val="nil"/>
            </w:tcBorders>
            <w:shd w:val="clear" w:color="auto" w:fill="auto"/>
            <w:vAlign w:val="center"/>
          </w:tcPr>
          <w:p w14:paraId="78108B65">
            <w:pPr>
              <w:jc w:val="left"/>
              <w:rPr>
                <w:rFonts w:ascii="宋体" w:hAnsi="宋体" w:eastAsia="宋体"/>
                <w:sz w:val="21"/>
                <w:szCs w:val="21"/>
                <w:highlight w:val="none"/>
              </w:rPr>
            </w:pPr>
          </w:p>
        </w:tc>
        <w:tc>
          <w:tcPr>
            <w:tcW w:w="1134" w:type="dxa"/>
            <w:tcBorders>
              <w:tl2br w:val="nil"/>
              <w:tr2bl w:val="nil"/>
            </w:tcBorders>
            <w:shd w:val="clear" w:color="auto" w:fill="auto"/>
            <w:vAlign w:val="center"/>
          </w:tcPr>
          <w:p w14:paraId="0A62DF71">
            <w:pPr>
              <w:jc w:val="left"/>
              <w:rPr>
                <w:rFonts w:ascii="宋体" w:hAnsi="宋体" w:eastAsia="宋体"/>
                <w:sz w:val="21"/>
                <w:szCs w:val="21"/>
                <w:highlight w:val="none"/>
              </w:rPr>
            </w:pPr>
          </w:p>
        </w:tc>
      </w:tr>
      <w:tr w14:paraId="753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B5BC93A">
            <w:pPr>
              <w:ind w:firstLine="0" w:firstLineChars="0"/>
              <w:jc w:val="right"/>
              <w:rPr>
                <w:rFonts w:ascii="宋体" w:hAnsi="宋体" w:eastAsia="宋体"/>
                <w:sz w:val="21"/>
                <w:szCs w:val="21"/>
                <w:highlight w:val="none"/>
              </w:rPr>
            </w:pPr>
            <w:r>
              <w:rPr>
                <w:rFonts w:hint="eastAsia" w:ascii="宋体" w:hAnsi="宋体" w:eastAsia="宋体"/>
                <w:sz w:val="21"/>
                <w:szCs w:val="21"/>
                <w:highlight w:val="none"/>
              </w:rPr>
              <w:t>10</w:t>
            </w:r>
          </w:p>
        </w:tc>
        <w:tc>
          <w:tcPr>
            <w:tcW w:w="700" w:type="dxa"/>
            <w:vMerge w:val="continue"/>
            <w:tcBorders>
              <w:tl2br w:val="nil"/>
              <w:tr2bl w:val="nil"/>
            </w:tcBorders>
            <w:shd w:val="clear" w:color="auto" w:fill="auto"/>
          </w:tcPr>
          <w:p w14:paraId="326CBD4A">
            <w:pPr>
              <w:rPr>
                <w:highlight w:val="none"/>
              </w:rPr>
            </w:pPr>
          </w:p>
        </w:tc>
        <w:tc>
          <w:tcPr>
            <w:tcW w:w="1060" w:type="dxa"/>
            <w:tcBorders>
              <w:tl2br w:val="nil"/>
              <w:tr2bl w:val="nil"/>
            </w:tcBorders>
            <w:shd w:val="clear" w:color="auto" w:fill="auto"/>
            <w:vAlign w:val="center"/>
          </w:tcPr>
          <w:p w14:paraId="2684CC01">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人员满意度评价</w:t>
            </w:r>
          </w:p>
        </w:tc>
        <w:tc>
          <w:tcPr>
            <w:tcW w:w="2720" w:type="dxa"/>
            <w:tcBorders>
              <w:tl2br w:val="nil"/>
              <w:tr2bl w:val="nil"/>
            </w:tcBorders>
            <w:shd w:val="clear" w:color="auto" w:fill="auto"/>
            <w:vAlign w:val="center"/>
          </w:tcPr>
          <w:p w14:paraId="1421F14E">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甲方</w:t>
            </w:r>
            <w:r>
              <w:rPr>
                <w:rFonts w:ascii="宋体" w:hAnsi="宋体" w:eastAsia="宋体"/>
                <w:sz w:val="21"/>
                <w:szCs w:val="21"/>
                <w:highlight w:val="none"/>
              </w:rPr>
              <w:t>对</w:t>
            </w:r>
            <w:r>
              <w:rPr>
                <w:rFonts w:hint="eastAsia" w:ascii="宋体" w:hAnsi="宋体" w:eastAsia="宋体"/>
                <w:sz w:val="21"/>
                <w:szCs w:val="21"/>
                <w:highlight w:val="none"/>
              </w:rPr>
              <w:t>乙方</w:t>
            </w:r>
            <w:r>
              <w:rPr>
                <w:rFonts w:ascii="宋体" w:hAnsi="宋体" w:eastAsia="宋体"/>
                <w:sz w:val="21"/>
                <w:szCs w:val="21"/>
                <w:highlight w:val="none"/>
              </w:rPr>
              <w:t>外包人员表现的满意度评价</w:t>
            </w:r>
          </w:p>
        </w:tc>
        <w:tc>
          <w:tcPr>
            <w:tcW w:w="3660" w:type="dxa"/>
            <w:tcBorders>
              <w:tl2br w:val="nil"/>
              <w:tr2bl w:val="nil"/>
            </w:tcBorders>
            <w:shd w:val="clear" w:color="auto" w:fill="auto"/>
            <w:vAlign w:val="center"/>
          </w:tcPr>
          <w:p w14:paraId="3F916FBE">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优秀：</w:t>
            </w:r>
            <w:r>
              <w:rPr>
                <w:rFonts w:hint="eastAsia" w:ascii="宋体" w:hAnsi="宋体" w:eastAsia="宋体"/>
                <w:sz w:val="21"/>
                <w:szCs w:val="21"/>
                <w:highlight w:val="none"/>
              </w:rPr>
              <w:t>10分，</w:t>
            </w:r>
            <w:r>
              <w:rPr>
                <w:rFonts w:ascii="宋体" w:hAnsi="宋体" w:eastAsia="宋体"/>
                <w:sz w:val="21"/>
                <w:szCs w:val="21"/>
                <w:highlight w:val="none"/>
              </w:rPr>
              <w:t>指</w:t>
            </w:r>
            <w:r>
              <w:rPr>
                <w:rFonts w:hint="eastAsia" w:ascii="宋体" w:hAnsi="宋体" w:eastAsia="宋体"/>
                <w:sz w:val="21"/>
                <w:szCs w:val="21"/>
                <w:highlight w:val="none"/>
              </w:rPr>
              <w:t>工作效率高，态度积极主动，</w:t>
            </w:r>
            <w:r>
              <w:rPr>
                <w:rFonts w:ascii="宋体" w:hAnsi="宋体" w:eastAsia="宋体"/>
                <w:sz w:val="21"/>
                <w:szCs w:val="21"/>
                <w:highlight w:val="none"/>
              </w:rPr>
              <w:t>保质保量完成工作任务</w:t>
            </w:r>
            <w:r>
              <w:rPr>
                <w:rFonts w:hint="eastAsia" w:ascii="宋体" w:hAnsi="宋体" w:eastAsia="宋体"/>
                <w:sz w:val="21"/>
                <w:szCs w:val="21"/>
                <w:highlight w:val="none"/>
              </w:rPr>
              <w:t>，</w:t>
            </w:r>
            <w:r>
              <w:rPr>
                <w:rFonts w:ascii="宋体" w:hAnsi="宋体" w:eastAsia="宋体"/>
                <w:sz w:val="21"/>
                <w:szCs w:val="21"/>
                <w:highlight w:val="none"/>
              </w:rPr>
              <w:t>对团队有突出贡献，日常行为能起到模范带头作用</w:t>
            </w:r>
            <w:r>
              <w:rPr>
                <w:rFonts w:hint="eastAsia" w:ascii="宋体" w:hAnsi="宋体" w:eastAsia="宋体"/>
                <w:sz w:val="21"/>
                <w:szCs w:val="21"/>
                <w:highlight w:val="none"/>
              </w:rPr>
              <w:t>的；</w:t>
            </w:r>
          </w:p>
          <w:p w14:paraId="1F058B67">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良好：</w:t>
            </w:r>
            <w:r>
              <w:rPr>
                <w:rFonts w:hint="eastAsia" w:ascii="宋体" w:hAnsi="宋体" w:eastAsia="宋体"/>
                <w:sz w:val="21"/>
                <w:szCs w:val="21"/>
                <w:highlight w:val="none"/>
              </w:rPr>
              <w:t>8分，</w:t>
            </w:r>
            <w:r>
              <w:rPr>
                <w:rFonts w:ascii="宋体" w:hAnsi="宋体" w:eastAsia="宋体"/>
                <w:sz w:val="21"/>
                <w:szCs w:val="21"/>
                <w:highlight w:val="none"/>
              </w:rPr>
              <w:t>指</w:t>
            </w:r>
            <w:r>
              <w:rPr>
                <w:rFonts w:hint="eastAsia" w:ascii="宋体" w:hAnsi="宋体" w:eastAsia="宋体"/>
                <w:sz w:val="21"/>
                <w:szCs w:val="21"/>
                <w:highlight w:val="none"/>
              </w:rPr>
              <w:t>工作效率较高，态度比较主动，较好</w:t>
            </w:r>
            <w:r>
              <w:rPr>
                <w:rFonts w:ascii="宋体" w:hAnsi="宋体" w:eastAsia="宋体"/>
                <w:sz w:val="21"/>
                <w:szCs w:val="21"/>
                <w:highlight w:val="none"/>
              </w:rPr>
              <w:t>完成工作任务</w:t>
            </w:r>
            <w:r>
              <w:rPr>
                <w:rFonts w:hint="eastAsia" w:ascii="宋体" w:hAnsi="宋体" w:eastAsia="宋体"/>
                <w:sz w:val="21"/>
                <w:szCs w:val="21"/>
                <w:highlight w:val="none"/>
              </w:rPr>
              <w:t>，</w:t>
            </w:r>
            <w:r>
              <w:rPr>
                <w:rFonts w:ascii="宋体" w:hAnsi="宋体" w:eastAsia="宋体"/>
                <w:sz w:val="21"/>
                <w:szCs w:val="21"/>
                <w:highlight w:val="none"/>
              </w:rPr>
              <w:t>对团队有</w:t>
            </w:r>
            <w:r>
              <w:rPr>
                <w:rFonts w:hint="eastAsia" w:ascii="宋体" w:hAnsi="宋体" w:eastAsia="宋体"/>
                <w:sz w:val="21"/>
                <w:szCs w:val="21"/>
                <w:highlight w:val="none"/>
              </w:rPr>
              <w:t>一定</w:t>
            </w:r>
            <w:r>
              <w:rPr>
                <w:rFonts w:ascii="宋体" w:hAnsi="宋体" w:eastAsia="宋体"/>
                <w:sz w:val="21"/>
                <w:szCs w:val="21"/>
                <w:highlight w:val="none"/>
              </w:rPr>
              <w:t>贡献，日常行为</w:t>
            </w:r>
            <w:r>
              <w:rPr>
                <w:rFonts w:hint="eastAsia" w:ascii="宋体" w:hAnsi="宋体" w:eastAsia="宋体"/>
                <w:sz w:val="21"/>
                <w:szCs w:val="21"/>
                <w:highlight w:val="none"/>
              </w:rPr>
              <w:t>表现较好的；</w:t>
            </w:r>
          </w:p>
          <w:p w14:paraId="2A20ED4A">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合格：</w:t>
            </w:r>
            <w:r>
              <w:rPr>
                <w:rFonts w:hint="eastAsia" w:ascii="宋体" w:hAnsi="宋体" w:eastAsia="宋体"/>
                <w:sz w:val="21"/>
                <w:szCs w:val="21"/>
                <w:highlight w:val="none"/>
              </w:rPr>
              <w:t>6分，</w:t>
            </w:r>
            <w:r>
              <w:rPr>
                <w:rFonts w:ascii="宋体" w:hAnsi="宋体" w:eastAsia="宋体"/>
                <w:sz w:val="21"/>
                <w:szCs w:val="21"/>
                <w:highlight w:val="none"/>
              </w:rPr>
              <w:t>指</w:t>
            </w:r>
            <w:r>
              <w:rPr>
                <w:rFonts w:hint="eastAsia" w:ascii="宋体" w:hAnsi="宋体" w:eastAsia="宋体"/>
                <w:sz w:val="21"/>
                <w:szCs w:val="21"/>
                <w:highlight w:val="none"/>
              </w:rPr>
              <w:t>工作效率一般，态度合格，能够按时</w:t>
            </w:r>
            <w:r>
              <w:rPr>
                <w:rFonts w:ascii="宋体" w:hAnsi="宋体" w:eastAsia="宋体"/>
                <w:sz w:val="21"/>
                <w:szCs w:val="21"/>
                <w:highlight w:val="none"/>
              </w:rPr>
              <w:t>完成工作任务</w:t>
            </w:r>
            <w:r>
              <w:rPr>
                <w:rFonts w:hint="eastAsia" w:ascii="宋体" w:hAnsi="宋体" w:eastAsia="宋体"/>
                <w:sz w:val="21"/>
                <w:szCs w:val="21"/>
                <w:highlight w:val="none"/>
              </w:rPr>
              <w:t>的；</w:t>
            </w:r>
          </w:p>
          <w:p w14:paraId="19544621">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较差/差：</w:t>
            </w:r>
            <w:r>
              <w:rPr>
                <w:rFonts w:hint="eastAsia" w:ascii="宋体" w:hAnsi="宋体" w:eastAsia="宋体"/>
                <w:sz w:val="21"/>
                <w:szCs w:val="21"/>
                <w:highlight w:val="none"/>
              </w:rPr>
              <w:t>0分，</w:t>
            </w:r>
            <w:r>
              <w:rPr>
                <w:rFonts w:ascii="宋体" w:hAnsi="宋体" w:eastAsia="宋体"/>
                <w:sz w:val="21"/>
                <w:szCs w:val="21"/>
                <w:highlight w:val="none"/>
              </w:rPr>
              <w:t>指</w:t>
            </w:r>
            <w:r>
              <w:rPr>
                <w:rFonts w:hint="eastAsia" w:ascii="宋体" w:hAnsi="宋体" w:eastAsia="宋体"/>
                <w:sz w:val="21"/>
                <w:szCs w:val="21"/>
                <w:highlight w:val="none"/>
              </w:rPr>
              <w:t>工作效率低下，态度懈怠散漫，不能按时</w:t>
            </w:r>
            <w:r>
              <w:rPr>
                <w:rFonts w:ascii="宋体" w:hAnsi="宋体" w:eastAsia="宋体"/>
                <w:sz w:val="21"/>
                <w:szCs w:val="21"/>
                <w:highlight w:val="none"/>
              </w:rPr>
              <w:t>完成工作任务</w:t>
            </w:r>
            <w:r>
              <w:rPr>
                <w:rFonts w:hint="eastAsia" w:ascii="宋体" w:hAnsi="宋体" w:eastAsia="宋体"/>
                <w:sz w:val="21"/>
                <w:szCs w:val="21"/>
                <w:highlight w:val="none"/>
              </w:rPr>
              <w:t>的。</w:t>
            </w:r>
          </w:p>
        </w:tc>
        <w:tc>
          <w:tcPr>
            <w:tcW w:w="2460" w:type="dxa"/>
            <w:tcBorders>
              <w:tl2br w:val="nil"/>
              <w:tr2bl w:val="nil"/>
            </w:tcBorders>
            <w:shd w:val="clear" w:color="auto" w:fill="auto"/>
            <w:vAlign w:val="center"/>
          </w:tcPr>
          <w:p w14:paraId="0248AC75">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评价为较差/差时，甲方有权要求乙方更换人员并赔偿实际损失。</w:t>
            </w:r>
          </w:p>
        </w:tc>
        <w:tc>
          <w:tcPr>
            <w:tcW w:w="1990" w:type="dxa"/>
            <w:tcBorders>
              <w:tl2br w:val="nil"/>
              <w:tr2bl w:val="nil"/>
            </w:tcBorders>
            <w:shd w:val="clear" w:color="auto" w:fill="auto"/>
            <w:vAlign w:val="center"/>
          </w:tcPr>
          <w:p w14:paraId="5BA59143">
            <w:pPr>
              <w:jc w:val="left"/>
              <w:rPr>
                <w:rFonts w:ascii="宋体" w:hAnsi="宋体" w:eastAsia="宋体"/>
                <w:sz w:val="21"/>
                <w:szCs w:val="21"/>
                <w:highlight w:val="none"/>
              </w:rPr>
            </w:pPr>
          </w:p>
        </w:tc>
        <w:tc>
          <w:tcPr>
            <w:tcW w:w="1134" w:type="dxa"/>
            <w:tcBorders>
              <w:tl2br w:val="nil"/>
              <w:tr2bl w:val="nil"/>
            </w:tcBorders>
            <w:shd w:val="clear" w:color="auto" w:fill="auto"/>
            <w:vAlign w:val="center"/>
          </w:tcPr>
          <w:p w14:paraId="08ADC7FF">
            <w:pPr>
              <w:jc w:val="left"/>
              <w:rPr>
                <w:rFonts w:ascii="宋体" w:hAnsi="宋体" w:eastAsia="宋体"/>
                <w:sz w:val="21"/>
                <w:szCs w:val="21"/>
                <w:highlight w:val="none"/>
              </w:rPr>
            </w:pPr>
          </w:p>
        </w:tc>
      </w:tr>
      <w:tr w14:paraId="40C7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94" w:type="dxa"/>
            <w:gridSpan w:val="7"/>
            <w:tcBorders>
              <w:tl2br w:val="nil"/>
              <w:tr2bl w:val="nil"/>
            </w:tcBorders>
            <w:shd w:val="clear" w:color="auto" w:fill="auto"/>
            <w:vAlign w:val="center"/>
          </w:tcPr>
          <w:p w14:paraId="6D34158C">
            <w:pPr>
              <w:jc w:val="right"/>
              <w:rPr>
                <w:rFonts w:ascii="宋体" w:hAnsi="宋体" w:eastAsia="宋体"/>
                <w:color w:val="FF0000"/>
                <w:sz w:val="21"/>
                <w:szCs w:val="21"/>
                <w:highlight w:val="none"/>
              </w:rPr>
            </w:pPr>
            <w:r>
              <w:rPr>
                <w:rFonts w:hint="eastAsia" w:ascii="宋体" w:hAnsi="宋体" w:eastAsia="宋体"/>
                <w:sz w:val="21"/>
                <w:szCs w:val="21"/>
                <w:highlight w:val="none"/>
              </w:rPr>
              <w:t>综合得分：</w:t>
            </w:r>
          </w:p>
        </w:tc>
        <w:tc>
          <w:tcPr>
            <w:tcW w:w="1134" w:type="dxa"/>
            <w:tcBorders>
              <w:tl2br w:val="nil"/>
              <w:tr2bl w:val="nil"/>
            </w:tcBorders>
            <w:shd w:val="clear" w:color="auto" w:fill="auto"/>
          </w:tcPr>
          <w:p w14:paraId="57E1CAD6">
            <w:pPr>
              <w:jc w:val="left"/>
              <w:rPr>
                <w:rFonts w:ascii="宋体" w:hAnsi="宋体" w:eastAsia="宋体"/>
                <w:color w:val="FF0000"/>
                <w:sz w:val="21"/>
                <w:szCs w:val="21"/>
                <w:highlight w:val="none"/>
              </w:rPr>
            </w:pPr>
          </w:p>
        </w:tc>
      </w:tr>
      <w:tr w14:paraId="3963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4428" w:type="dxa"/>
            <w:gridSpan w:val="8"/>
            <w:tcBorders>
              <w:tl2br w:val="nil"/>
              <w:tr2bl w:val="nil"/>
            </w:tcBorders>
            <w:shd w:val="clear" w:color="auto" w:fill="auto"/>
          </w:tcPr>
          <w:p w14:paraId="235995F2">
            <w:pPr>
              <w:jc w:val="left"/>
              <w:rPr>
                <w:rFonts w:ascii="宋体" w:hAnsi="宋体" w:eastAsia="宋体"/>
                <w:sz w:val="21"/>
                <w:szCs w:val="21"/>
                <w:highlight w:val="none"/>
              </w:rPr>
            </w:pPr>
            <w:r>
              <w:rPr>
                <w:rFonts w:hint="eastAsia" w:ascii="宋体" w:hAnsi="宋体" w:eastAsia="宋体"/>
                <w:sz w:val="21"/>
                <w:szCs w:val="21"/>
                <w:highlight w:val="none"/>
              </w:rPr>
              <w:t>综合评价结果：</w:t>
            </w:r>
          </w:p>
          <w:p w14:paraId="586C9743">
            <w:pPr>
              <w:jc w:val="left"/>
              <w:rPr>
                <w:rFonts w:ascii="宋体" w:hAnsi="宋体" w:eastAsia="宋体"/>
                <w:color w:val="FFC000"/>
                <w:sz w:val="21"/>
                <w:szCs w:val="21"/>
                <w:highlight w:val="none"/>
              </w:rPr>
            </w:pPr>
            <w:r>
              <w:rPr>
                <w:rFonts w:hint="eastAsia" w:ascii="宋体" w:hAnsi="宋体" w:eastAsia="宋体"/>
                <w:color w:val="FFC000"/>
                <w:sz w:val="21"/>
                <w:szCs w:val="21"/>
                <w:highlight w:val="none"/>
              </w:rPr>
              <w:t>（注：根据评价得分填写评价等级，填写完成后删除此内容）</w:t>
            </w:r>
          </w:p>
          <w:p w14:paraId="20E57821">
            <w:pPr>
              <w:jc w:val="left"/>
              <w:rPr>
                <w:rFonts w:ascii="宋体" w:hAnsi="宋体" w:eastAsia="宋体"/>
                <w:sz w:val="21"/>
                <w:szCs w:val="21"/>
                <w:highlight w:val="none"/>
              </w:rPr>
            </w:pPr>
            <w:r>
              <w:rPr>
                <w:rFonts w:hint="eastAsia" w:ascii="宋体" w:hAnsi="宋体" w:eastAsia="宋体"/>
                <w:sz w:val="21"/>
                <w:szCs w:val="21"/>
                <w:highlight w:val="none"/>
              </w:rPr>
              <w:t>综合评价描述：</w:t>
            </w:r>
          </w:p>
          <w:p w14:paraId="627A8C81">
            <w:pPr>
              <w:jc w:val="left"/>
              <w:rPr>
                <w:rFonts w:ascii="宋体" w:hAnsi="宋体" w:eastAsia="宋体"/>
                <w:color w:val="FFC000"/>
                <w:sz w:val="21"/>
                <w:szCs w:val="21"/>
                <w:highlight w:val="none"/>
              </w:rPr>
            </w:pPr>
            <w:r>
              <w:rPr>
                <w:rFonts w:hint="eastAsia" w:ascii="宋体" w:hAnsi="宋体" w:eastAsia="宋体"/>
                <w:color w:val="FFC000"/>
                <w:sz w:val="21"/>
                <w:szCs w:val="21"/>
                <w:highlight w:val="none"/>
              </w:rPr>
              <w:t>（注：不满足服务要求的情况，需详细阐述不满足的内容及扣除合同违约金，填写完成后删除此内容）</w:t>
            </w:r>
          </w:p>
          <w:p w14:paraId="055CA816">
            <w:pPr>
              <w:jc w:val="left"/>
              <w:rPr>
                <w:rFonts w:ascii="宋体" w:hAnsi="宋体" w:eastAsia="宋体"/>
                <w:sz w:val="21"/>
                <w:szCs w:val="21"/>
                <w:highlight w:val="none"/>
              </w:rPr>
            </w:pPr>
          </w:p>
          <w:p w14:paraId="2EF17E79">
            <w:pPr>
              <w:wordWrap w:val="0"/>
              <w:autoSpaceDE w:val="0"/>
              <w:autoSpaceDN w:val="0"/>
              <w:jc w:val="right"/>
              <w:rPr>
                <w:rFonts w:ascii="宋体" w:hAnsi="宋体" w:eastAsia="宋体"/>
                <w:sz w:val="21"/>
                <w:szCs w:val="21"/>
                <w:highlight w:val="none"/>
              </w:rPr>
            </w:pPr>
            <w:r>
              <w:rPr>
                <w:rFonts w:hint="eastAsia" w:ascii="宋体" w:hAnsi="宋体" w:eastAsia="宋体"/>
                <w:sz w:val="21"/>
                <w:szCs w:val="21"/>
                <w:highlight w:val="none"/>
              </w:rPr>
              <w:t xml:space="preserve">评价人：                                 </w:t>
            </w:r>
          </w:p>
        </w:tc>
      </w:tr>
    </w:tbl>
    <w:p w14:paraId="5DFF1085">
      <w:pPr>
        <w:snapToGrid w:val="0"/>
        <w:spacing w:line="520" w:lineRule="exact"/>
        <w:rPr>
          <w:rFonts w:hint="eastAsia" w:ascii="宋体"/>
          <w:highlight w:val="none"/>
        </w:rPr>
      </w:pPr>
      <w:r>
        <w:rPr>
          <w:rFonts w:hint="eastAsia" w:ascii="宋体"/>
          <w:highlight w:val="none"/>
        </w:rPr>
        <w:t>注：综合评价等级划分优秀、良好、合格、差</w:t>
      </w:r>
    </w:p>
    <w:p w14:paraId="432634DB">
      <w:pPr>
        <w:snapToGrid w:val="0"/>
        <w:spacing w:line="520" w:lineRule="exact"/>
        <w:rPr>
          <w:rFonts w:hint="eastAsia" w:ascii="宋体"/>
          <w:highlight w:val="none"/>
        </w:rPr>
      </w:pPr>
      <w:r>
        <w:rPr>
          <w:rFonts w:hint="eastAsia" w:ascii="宋体"/>
          <w:highlight w:val="none"/>
        </w:rPr>
        <w:t>优秀：评价得分达90分以上；</w:t>
      </w:r>
    </w:p>
    <w:p w14:paraId="4CB01858">
      <w:pPr>
        <w:snapToGrid w:val="0"/>
        <w:spacing w:line="520" w:lineRule="exact"/>
        <w:rPr>
          <w:rFonts w:hint="eastAsia" w:ascii="宋体"/>
          <w:highlight w:val="none"/>
        </w:rPr>
      </w:pPr>
      <w:r>
        <w:rPr>
          <w:rFonts w:hint="eastAsia" w:ascii="宋体"/>
          <w:highlight w:val="none"/>
        </w:rPr>
        <w:t>良好：评价得分达75-90分；</w:t>
      </w:r>
    </w:p>
    <w:p w14:paraId="241315EF">
      <w:pPr>
        <w:snapToGrid w:val="0"/>
        <w:spacing w:line="520" w:lineRule="exact"/>
        <w:rPr>
          <w:rFonts w:hint="eastAsia" w:ascii="宋体"/>
          <w:highlight w:val="none"/>
        </w:rPr>
      </w:pPr>
      <w:r>
        <w:rPr>
          <w:rFonts w:hint="eastAsia" w:ascii="宋体"/>
          <w:highlight w:val="none"/>
        </w:rPr>
        <w:t>合格：评价得分达60-75分；</w:t>
      </w:r>
    </w:p>
    <w:p w14:paraId="6D252936">
      <w:pPr>
        <w:snapToGrid w:val="0"/>
        <w:spacing w:line="520" w:lineRule="exact"/>
        <w:rPr>
          <w:highlight w:val="none"/>
        </w:rPr>
      </w:pPr>
      <w:r>
        <w:rPr>
          <w:rFonts w:hint="eastAsia" w:ascii="宋体"/>
          <w:highlight w:val="none"/>
        </w:rPr>
        <w:t>差：评价得分在60分以下。</w:t>
      </w:r>
    </w:p>
    <w:p w14:paraId="01298F75">
      <w:pPr>
        <w:rPr>
          <w:highlight w:val="none"/>
        </w:rPr>
      </w:pPr>
    </w:p>
    <w:p w14:paraId="2E6320FF">
      <w:pPr>
        <w:rPr>
          <w:highlight w:val="none"/>
        </w:rPr>
      </w:pPr>
    </w:p>
    <w:p w14:paraId="7F8E9340">
      <w:pPr>
        <w:rPr>
          <w:highlight w:val="none"/>
        </w:rPr>
      </w:pPr>
    </w:p>
    <w:p w14:paraId="6F54E0F8">
      <w:pPr>
        <w:rPr>
          <w:highlight w:val="none"/>
        </w:rPr>
        <w:sectPr>
          <w:pgSz w:w="16838" w:h="11906" w:orient="landscape"/>
          <w:pgMar w:top="1800" w:right="1440" w:bottom="1800" w:left="1440" w:header="851" w:footer="992" w:gutter="0"/>
          <w:cols w:space="720" w:num="1"/>
          <w:docGrid w:type="lines" w:linePitch="312" w:charSpace="0"/>
        </w:sectPr>
      </w:pPr>
    </w:p>
    <w:p w14:paraId="15656857">
      <w:pPr>
        <w:pStyle w:val="21"/>
        <w:snapToGrid w:val="0"/>
        <w:spacing w:before="0" w:after="0" w:line="520" w:lineRule="exact"/>
        <w:jc w:val="left"/>
        <w:rPr>
          <w:snapToGrid w:val="0"/>
          <w:highlight w:val="none"/>
        </w:rPr>
      </w:pPr>
      <w:bookmarkStart w:id="127" w:name="_Toc30155"/>
      <w:r>
        <w:rPr>
          <w:rFonts w:hint="eastAsia"/>
          <w:snapToGrid w:val="0"/>
          <w:sz w:val="24"/>
          <w:highlight w:val="none"/>
        </w:rPr>
        <w:t>附件</w:t>
      </w:r>
      <w:r>
        <w:rPr>
          <w:rFonts w:hint="eastAsia" w:ascii="宋体"/>
          <w:snapToGrid w:val="0"/>
          <w:sz w:val="24"/>
          <w:highlight w:val="none"/>
        </w:rPr>
        <w:t>4</w:t>
      </w:r>
      <w:bookmarkEnd w:id="127"/>
    </w:p>
    <w:p w14:paraId="5ECB61A8">
      <w:pPr>
        <w:pStyle w:val="21"/>
        <w:snapToGrid w:val="0"/>
        <w:spacing w:before="0" w:after="0" w:line="520" w:lineRule="exact"/>
        <w:rPr>
          <w:snapToGrid w:val="0"/>
          <w:highlight w:val="none"/>
        </w:rPr>
      </w:pPr>
      <w:bookmarkStart w:id="128" w:name="_Toc21720"/>
      <w:r>
        <w:rPr>
          <w:rStyle w:val="52"/>
          <w:rFonts w:hint="eastAsia" w:ascii="宋体"/>
          <w:kern w:val="0"/>
          <w:sz w:val="30"/>
          <w:highlight w:val="none"/>
        </w:rPr>
        <w:t>服务连续性预案</w:t>
      </w:r>
      <w:bookmarkEnd w:id="128"/>
    </w:p>
    <w:p w14:paraId="3756D443">
      <w:pPr>
        <w:jc w:val="center"/>
        <w:rPr>
          <w:rFonts w:hint="eastAsia" w:ascii="方正小标宋_GBK" w:hAnsi="方正小标宋_GBK" w:eastAsia="方正小标宋_GBK"/>
          <w:color w:val="FF0000"/>
          <w:sz w:val="24"/>
          <w:highlight w:val="none"/>
        </w:rPr>
      </w:pPr>
      <w:r>
        <w:rPr>
          <w:rFonts w:hint="eastAsia" w:ascii="方正小标宋_GBK" w:hAnsi="方正小标宋_GBK" w:eastAsia="方正小标宋_GBK"/>
          <w:color w:val="FF0000"/>
          <w:sz w:val="24"/>
          <w:highlight w:val="none"/>
        </w:rPr>
        <w:t>（应考虑供应链风险产生的影响）</w:t>
      </w:r>
    </w:p>
    <w:p w14:paraId="2CA4ABCC">
      <w:pPr>
        <w:rPr>
          <w:rFonts w:hint="eastAsia"/>
          <w:highlight w:val="none"/>
        </w:rPr>
      </w:pPr>
    </w:p>
    <w:p w14:paraId="4771372C">
      <w:pPr>
        <w:rPr>
          <w:highlight w:val="none"/>
        </w:rPr>
      </w:pPr>
    </w:p>
    <w:p w14:paraId="020B1B76">
      <w:pPr>
        <w:rPr>
          <w:highlight w:val="none"/>
        </w:rPr>
        <w:sectPr>
          <w:pgSz w:w="11906" w:h="16838"/>
          <w:pgMar w:top="1440" w:right="1800" w:bottom="1440" w:left="1800" w:header="851" w:footer="992" w:gutter="0"/>
          <w:cols w:space="720" w:num="1"/>
          <w:docGrid w:type="lines" w:linePitch="312" w:charSpace="0"/>
        </w:sectPr>
      </w:pPr>
    </w:p>
    <w:p w14:paraId="70B4E038">
      <w:pPr>
        <w:pStyle w:val="2"/>
        <w:rPr>
          <w:highlight w:val="none"/>
        </w:rPr>
      </w:pPr>
      <w:bookmarkStart w:id="129" w:name="_Toc15923"/>
      <w:r>
        <w:rPr>
          <w:rFonts w:hint="eastAsia"/>
          <w:highlight w:val="none"/>
        </w:rPr>
        <w:t xml:space="preserve">第六章 </w:t>
      </w:r>
      <w:bookmarkEnd w:id="87"/>
      <w:bookmarkEnd w:id="88"/>
      <w:bookmarkStart w:id="130" w:name="_Toc303066035"/>
      <w:r>
        <w:rPr>
          <w:rFonts w:hint="eastAsia"/>
          <w:highlight w:val="none"/>
        </w:rPr>
        <w:t>响应文件格式</w:t>
      </w:r>
      <w:bookmarkEnd w:id="119"/>
      <w:bookmarkEnd w:id="129"/>
    </w:p>
    <w:bookmarkEnd w:id="130"/>
    <w:p w14:paraId="712D07CD">
      <w:pPr>
        <w:tabs>
          <w:tab w:val="left" w:pos="6516"/>
        </w:tabs>
        <w:adjustRightInd w:val="0"/>
        <w:snapToGrid w:val="0"/>
        <w:ind w:firstLine="0" w:firstLineChars="0"/>
        <w:jc w:val="center"/>
        <w:rPr>
          <w:rFonts w:ascii="宋体" w:hAnsi="宋体"/>
          <w:b/>
          <w:kern w:val="0"/>
          <w:highlight w:val="none"/>
          <w:u w:val="single"/>
        </w:rPr>
      </w:pPr>
    </w:p>
    <w:p w14:paraId="5A30F6BB">
      <w:pPr>
        <w:tabs>
          <w:tab w:val="left" w:pos="6516"/>
        </w:tabs>
        <w:adjustRightInd w:val="0"/>
        <w:snapToGrid w:val="0"/>
        <w:ind w:firstLine="0" w:firstLineChars="0"/>
        <w:jc w:val="center"/>
        <w:rPr>
          <w:rFonts w:ascii="宋体" w:hAnsi="宋体"/>
          <w:b/>
          <w:kern w:val="0"/>
          <w:highlight w:val="none"/>
          <w:u w:val="single"/>
        </w:rPr>
      </w:pPr>
    </w:p>
    <w:p w14:paraId="305DB435">
      <w:pPr>
        <w:tabs>
          <w:tab w:val="left" w:pos="6516"/>
        </w:tabs>
        <w:adjustRightInd w:val="0"/>
        <w:snapToGrid w:val="0"/>
        <w:ind w:firstLine="0" w:firstLineChars="0"/>
        <w:jc w:val="center"/>
        <w:rPr>
          <w:rFonts w:ascii="宋体" w:hAnsi="宋体"/>
          <w:b/>
          <w:kern w:val="0"/>
          <w:highlight w:val="none"/>
          <w:u w:val="single"/>
        </w:rPr>
      </w:pPr>
    </w:p>
    <w:p w14:paraId="413EE95C">
      <w:pPr>
        <w:pStyle w:val="47"/>
        <w:outlineLvl w:val="1"/>
        <w:rPr>
          <w:highlight w:val="none"/>
        </w:rPr>
      </w:pPr>
      <w:r>
        <w:rPr>
          <w:highlight w:val="none"/>
        </w:rPr>
        <w:t>重庆三峡银行</w:t>
      </w:r>
    </w:p>
    <w:p w14:paraId="2C7DF428">
      <w:pPr>
        <w:pStyle w:val="47"/>
        <w:rPr>
          <w:highlight w:val="none"/>
        </w:rPr>
      </w:pPr>
      <w:r>
        <w:rPr>
          <w:highlight w:val="none"/>
        </w:rPr>
        <w:t>移动APP金融科技产品认证服务项目</w:t>
      </w:r>
    </w:p>
    <w:p w14:paraId="6F705676">
      <w:pPr>
        <w:rPr>
          <w:highlight w:val="none"/>
        </w:rPr>
      </w:pPr>
    </w:p>
    <w:p w14:paraId="689C535B">
      <w:pPr>
        <w:rPr>
          <w:highlight w:val="none"/>
        </w:rPr>
      </w:pPr>
    </w:p>
    <w:p w14:paraId="09397207">
      <w:pPr>
        <w:rPr>
          <w:highlight w:val="none"/>
        </w:rPr>
      </w:pPr>
    </w:p>
    <w:p w14:paraId="3B0CF771">
      <w:pPr>
        <w:rPr>
          <w:highlight w:val="none"/>
        </w:rPr>
      </w:pPr>
    </w:p>
    <w:p w14:paraId="794B47A8">
      <w:pPr>
        <w:rPr>
          <w:highlight w:val="none"/>
        </w:rPr>
      </w:pPr>
    </w:p>
    <w:p w14:paraId="3A8E6E97">
      <w:pPr>
        <w:rPr>
          <w:highlight w:val="none"/>
        </w:rPr>
      </w:pPr>
    </w:p>
    <w:p w14:paraId="25F0569A">
      <w:pPr>
        <w:pStyle w:val="48"/>
        <w:rPr>
          <w:highlight w:val="none"/>
        </w:rPr>
      </w:pPr>
      <w:r>
        <w:rPr>
          <w:highlight w:val="none"/>
        </w:rPr>
        <w:t>响  应  文  件</w:t>
      </w:r>
    </w:p>
    <w:p w14:paraId="77B61C6A">
      <w:pPr>
        <w:rPr>
          <w:highlight w:val="none"/>
        </w:rPr>
      </w:pPr>
    </w:p>
    <w:p w14:paraId="4D83C37B">
      <w:pPr>
        <w:rPr>
          <w:highlight w:val="none"/>
        </w:rPr>
      </w:pPr>
    </w:p>
    <w:p w14:paraId="4C9A91E1">
      <w:pPr>
        <w:rPr>
          <w:highlight w:val="none"/>
        </w:rPr>
      </w:pPr>
    </w:p>
    <w:p w14:paraId="7BEF81D7">
      <w:pPr>
        <w:rPr>
          <w:highlight w:val="none"/>
        </w:rPr>
      </w:pPr>
    </w:p>
    <w:p w14:paraId="424F1E5E">
      <w:pPr>
        <w:rPr>
          <w:highlight w:val="none"/>
        </w:rPr>
      </w:pPr>
    </w:p>
    <w:p w14:paraId="3BD93086">
      <w:pPr>
        <w:rPr>
          <w:highlight w:val="none"/>
        </w:rPr>
      </w:pPr>
    </w:p>
    <w:p w14:paraId="7EB942D3">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06923ACE">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7BCBFB8E">
      <w:pPr>
        <w:rPr>
          <w:highlight w:val="none"/>
        </w:rPr>
      </w:pPr>
    </w:p>
    <w:p w14:paraId="452A3934">
      <w:pPr>
        <w:rPr>
          <w:highlight w:val="none"/>
        </w:rPr>
      </w:pPr>
    </w:p>
    <w:p w14:paraId="7CCD1429">
      <w:pPr>
        <w:rPr>
          <w:highlight w:val="none"/>
        </w:rPr>
      </w:pPr>
    </w:p>
    <w:p w14:paraId="49C35A5B">
      <w:pPr>
        <w:rPr>
          <w:highlight w:val="none"/>
        </w:rPr>
        <w:sectPr>
          <w:pgSz w:w="11906" w:h="16838"/>
          <w:pgMar w:top="1440" w:right="1800" w:bottom="1440" w:left="1800" w:header="851" w:footer="992" w:gutter="0"/>
          <w:cols w:space="720" w:num="1"/>
          <w:docGrid w:type="lines" w:linePitch="312" w:charSpace="0"/>
        </w:sectPr>
      </w:pPr>
    </w:p>
    <w:p w14:paraId="6D061EE9">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2076AB5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highlight w:val="none"/>
        </w:rPr>
      </w:pPr>
      <w:r>
        <w:rPr>
          <w:rFonts w:hint="eastAsia"/>
          <w:highlight w:val="none"/>
        </w:rPr>
        <w:t>一、响应函</w:t>
      </w:r>
    </w:p>
    <w:p w14:paraId="3678D1A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highlight w:val="none"/>
        </w:rPr>
      </w:pPr>
      <w:r>
        <w:rPr>
          <w:rFonts w:hint="eastAsia"/>
          <w:highlight w:val="none"/>
        </w:rPr>
        <w:t>二、报价一览表</w:t>
      </w:r>
    </w:p>
    <w:p w14:paraId="7303BB3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highlight w:val="none"/>
        </w:rPr>
      </w:pPr>
      <w:r>
        <w:rPr>
          <w:highlight w:val="none"/>
        </w:rPr>
        <w:t>三</w:t>
      </w:r>
      <w:r>
        <w:rPr>
          <w:rFonts w:hint="eastAsia"/>
          <w:highlight w:val="none"/>
        </w:rPr>
        <w:t>、资格性文件</w:t>
      </w:r>
    </w:p>
    <w:p w14:paraId="1090B19F">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highlight w:val="none"/>
        </w:rPr>
      </w:pPr>
      <w:r>
        <w:rPr>
          <w:rFonts w:hint="eastAsia"/>
          <w:highlight w:val="none"/>
        </w:rPr>
        <w:t>（一）响应人基本情况介绍，资质证明等</w:t>
      </w:r>
    </w:p>
    <w:p w14:paraId="41D8AB57">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highlight w:val="none"/>
        </w:rPr>
      </w:pPr>
      <w:r>
        <w:rPr>
          <w:rFonts w:hint="eastAsia"/>
          <w:highlight w:val="none"/>
        </w:rPr>
        <w:t>（二）法定代表人身份证明及授权委托书</w:t>
      </w:r>
    </w:p>
    <w:p w14:paraId="5B8FFE2F">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highlight w:val="none"/>
        </w:rPr>
      </w:pPr>
      <w:r>
        <w:rPr>
          <w:rFonts w:hint="eastAsia"/>
          <w:highlight w:val="none"/>
        </w:rPr>
        <w:t>（三）书面声明</w:t>
      </w:r>
    </w:p>
    <w:p w14:paraId="7716719F">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highlight w:val="none"/>
        </w:rPr>
      </w:pPr>
      <w:r>
        <w:rPr>
          <w:rFonts w:hint="eastAsia"/>
          <w:highlight w:val="none"/>
        </w:rPr>
        <w:t>（四）中国执行信息公开网截图</w:t>
      </w:r>
    </w:p>
    <w:p w14:paraId="5D96D0B3">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highlight w:val="none"/>
        </w:rPr>
      </w:pPr>
      <w:r>
        <w:rPr>
          <w:rFonts w:hint="eastAsia"/>
          <w:highlight w:val="none"/>
        </w:rPr>
        <w:t>（五）项目案例和业绩证明文件复印件</w:t>
      </w:r>
    </w:p>
    <w:p w14:paraId="57FBF850">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highlight w:val="none"/>
        </w:rPr>
      </w:pPr>
      <w:r>
        <w:rPr>
          <w:highlight w:val="none"/>
        </w:rPr>
        <w:t>（六）</w:t>
      </w:r>
      <w:r>
        <w:rPr>
          <w:rFonts w:hint="eastAsia"/>
          <w:highlight w:val="none"/>
        </w:rPr>
        <w:t>金融科技产品认证批准书</w:t>
      </w:r>
    </w:p>
    <w:p w14:paraId="28ECE955">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highlight w:val="none"/>
        </w:rPr>
      </w:pPr>
      <w:r>
        <w:rPr>
          <w:rFonts w:hint="eastAsia"/>
          <w:highlight w:val="none"/>
        </w:rPr>
        <w:t>（</w:t>
      </w:r>
      <w:r>
        <w:rPr>
          <w:highlight w:val="none"/>
        </w:rPr>
        <w:t>七</w:t>
      </w:r>
      <w:r>
        <w:rPr>
          <w:rFonts w:hint="eastAsia"/>
          <w:highlight w:val="none"/>
        </w:rPr>
        <w:t>）其他（如有）</w:t>
      </w:r>
    </w:p>
    <w:p w14:paraId="490F362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9"/>
        <w:rPr>
          <w:highlight w:val="none"/>
        </w:rPr>
      </w:pPr>
      <w:r>
        <w:rPr>
          <w:rFonts w:hint="eastAsia"/>
          <w:highlight w:val="none"/>
          <w:lang w:val="en-US" w:eastAsia="zh-CN"/>
        </w:rPr>
        <w:t>四</w:t>
      </w:r>
      <w:r>
        <w:rPr>
          <w:rFonts w:hint="eastAsia"/>
          <w:highlight w:val="none"/>
        </w:rPr>
        <w:t>、响应性文件</w:t>
      </w:r>
    </w:p>
    <w:p w14:paraId="400CD47C">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highlight w:val="none"/>
        </w:rPr>
      </w:pPr>
      <w:r>
        <w:rPr>
          <w:rFonts w:hint="eastAsia"/>
          <w:highlight w:val="none"/>
        </w:rPr>
        <w:t>（一）响应承诺函</w:t>
      </w:r>
    </w:p>
    <w:p w14:paraId="0C0CA51F">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highlight w:val="none"/>
          <w:lang w:val="en-US" w:eastAsia="zh-CN"/>
        </w:rPr>
      </w:pPr>
      <w:r>
        <w:rPr>
          <w:rFonts w:hint="eastAsia"/>
          <w:highlight w:val="none"/>
        </w:rPr>
        <w:t>（</w:t>
      </w:r>
      <w:r>
        <w:rPr>
          <w:highlight w:val="none"/>
        </w:rPr>
        <w:t>二</w:t>
      </w:r>
      <w:r>
        <w:rPr>
          <w:rFonts w:hint="eastAsia"/>
          <w:highlight w:val="none"/>
        </w:rPr>
        <w:t>）</w:t>
      </w:r>
      <w:r>
        <w:rPr>
          <w:rFonts w:hint="eastAsia"/>
          <w:highlight w:val="none"/>
          <w:lang w:val="en-US" w:eastAsia="zh-CN"/>
        </w:rPr>
        <w:t>社保缴纳证明及相关材料</w:t>
      </w:r>
    </w:p>
    <w:p w14:paraId="5187E746">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highlight w:val="none"/>
          <w:lang w:val="en-US" w:eastAsia="zh-CN"/>
        </w:rPr>
      </w:pPr>
      <w:r>
        <w:rPr>
          <w:rFonts w:hint="eastAsia"/>
          <w:highlight w:val="none"/>
        </w:rPr>
        <w:t>（</w:t>
      </w:r>
      <w:r>
        <w:rPr>
          <w:highlight w:val="none"/>
        </w:rPr>
        <w:t>三</w:t>
      </w:r>
      <w:r>
        <w:rPr>
          <w:rFonts w:hint="eastAsia"/>
          <w:highlight w:val="none"/>
        </w:rPr>
        <w:t>）</w:t>
      </w:r>
      <w:r>
        <w:rPr>
          <w:rFonts w:hint="eastAsia"/>
          <w:highlight w:val="none"/>
          <w:lang w:val="en-US" w:eastAsia="zh-CN"/>
        </w:rPr>
        <w:t>项目经理个人简历</w:t>
      </w:r>
    </w:p>
    <w:p w14:paraId="2B4E95F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highlight w:val="none"/>
        </w:rPr>
        <w:t>服务连续性预案</w:t>
      </w:r>
    </w:p>
    <w:p w14:paraId="73A9E5B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项目实施方案</w:t>
      </w:r>
    </w:p>
    <w:p w14:paraId="7B5CF4C8">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highlight w:val="none"/>
        </w:rPr>
      </w:pPr>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服务水平协议（SLA）</w:t>
      </w:r>
    </w:p>
    <w:p w14:paraId="21AA00D6">
      <w:pPr>
        <w:keepNext w:val="0"/>
        <w:keepLines w:val="0"/>
        <w:pageBreakBefore w:val="0"/>
        <w:widowControl/>
        <w:kinsoku/>
        <w:wordWrap/>
        <w:overflowPunct/>
        <w:topLinePunct w:val="0"/>
        <w:autoSpaceDE/>
        <w:autoSpaceDN/>
        <w:bidi w:val="0"/>
        <w:adjustRightInd/>
        <w:snapToGrid/>
        <w:spacing w:line="360" w:lineRule="auto"/>
        <w:ind w:firstLine="420" w:firstLineChars="0"/>
        <w:jc w:val="left"/>
        <w:textAlignment w:val="auto"/>
        <w:rPr>
          <w:highlight w:val="none"/>
        </w:rPr>
      </w:pPr>
      <w:r>
        <w:rPr>
          <w:rFonts w:hint="eastAsia"/>
          <w:highlight w:val="none"/>
          <w:lang w:eastAsia="zh-CN"/>
        </w:rPr>
        <w:t>（</w:t>
      </w:r>
      <w:r>
        <w:rPr>
          <w:rFonts w:hint="eastAsia"/>
          <w:highlight w:val="none"/>
          <w:lang w:val="en-US" w:eastAsia="zh-CN"/>
        </w:rPr>
        <w:t>七</w:t>
      </w:r>
      <w:r>
        <w:rPr>
          <w:rFonts w:hint="eastAsia"/>
          <w:highlight w:val="none"/>
          <w:lang w:eastAsia="zh-CN"/>
        </w:rPr>
        <w:t>）</w:t>
      </w:r>
      <w:r>
        <w:rPr>
          <w:rFonts w:hint="eastAsia"/>
          <w:highlight w:val="none"/>
        </w:rPr>
        <w:t>其他（如有）</w:t>
      </w:r>
    </w:p>
    <w:p w14:paraId="7A16451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highlight w:val="none"/>
        </w:rPr>
      </w:pPr>
      <w:r>
        <w:rPr>
          <w:rFonts w:hint="eastAsia"/>
          <w:highlight w:val="none"/>
          <w:lang w:val="en-US" w:eastAsia="zh-CN"/>
        </w:rPr>
        <w:t>五</w:t>
      </w:r>
      <w:r>
        <w:rPr>
          <w:rFonts w:hint="eastAsia"/>
          <w:highlight w:val="none"/>
        </w:rPr>
        <w:t>、其他（如有）</w:t>
      </w:r>
    </w:p>
    <w:p w14:paraId="5F140AF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highlight w:val="none"/>
        </w:rPr>
      </w:pPr>
      <w:r>
        <w:rPr>
          <w:rFonts w:hint="eastAsia"/>
          <w:highlight w:val="none"/>
        </w:rPr>
        <w:br w:type="page"/>
      </w:r>
    </w:p>
    <w:p w14:paraId="59C7D2A2">
      <w:pPr>
        <w:widowControl/>
        <w:autoSpaceDE/>
        <w:autoSpaceDN/>
        <w:spacing w:line="240" w:lineRule="auto"/>
        <w:ind w:firstLine="0" w:firstLineChars="0"/>
        <w:jc w:val="left"/>
        <w:rPr>
          <w:highlight w:val="none"/>
        </w:rPr>
      </w:pPr>
    </w:p>
    <w:p w14:paraId="03A2DD9E">
      <w:pPr>
        <w:pStyle w:val="16"/>
        <w:rPr>
          <w:highlight w:val="none"/>
        </w:rPr>
      </w:pPr>
      <w:r>
        <w:rPr>
          <w:highlight w:val="none"/>
        </w:rPr>
        <w:t>一、响应函</w:t>
      </w:r>
    </w:p>
    <w:p w14:paraId="14079EAE">
      <w:pPr>
        <w:rPr>
          <w:highlight w:val="none"/>
        </w:rPr>
      </w:pPr>
    </w:p>
    <w:p w14:paraId="29B9BD91">
      <w:pPr>
        <w:ind w:firstLine="0" w:firstLineChars="0"/>
        <w:rPr>
          <w:highlight w:val="none"/>
        </w:rPr>
      </w:pPr>
      <w:r>
        <w:rPr>
          <w:rFonts w:hint="eastAsia"/>
          <w:highlight w:val="none"/>
        </w:rPr>
        <w:t>重庆三峡银行股份有限公司：</w:t>
      </w:r>
    </w:p>
    <w:p w14:paraId="5FDAFDE1">
      <w:pPr>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0CB8A685">
      <w:pPr>
        <w:rPr>
          <w:highlight w:val="none"/>
        </w:rPr>
      </w:pPr>
      <w:r>
        <w:rPr>
          <w:rFonts w:hint="eastAsia"/>
          <w:highlight w:val="none"/>
        </w:rPr>
        <w:t>1、愿意按照询比文件中的一切要求，以响应文件中的内容和报价承担和完成本项目。</w:t>
      </w:r>
    </w:p>
    <w:p w14:paraId="1D21B82F">
      <w:pPr>
        <w:rPr>
          <w:highlight w:val="none"/>
        </w:rPr>
      </w:pPr>
      <w:r>
        <w:rPr>
          <w:rFonts w:hint="eastAsia"/>
          <w:highlight w:val="none"/>
        </w:rPr>
        <w:t>2、我方现提交的响应文件为：响应文件正本一份，副本一份，电子文件一份。</w:t>
      </w:r>
    </w:p>
    <w:p w14:paraId="73210346">
      <w:pPr>
        <w:rPr>
          <w:highlight w:val="none"/>
        </w:rPr>
      </w:pPr>
      <w:r>
        <w:rPr>
          <w:rFonts w:hint="eastAsia"/>
          <w:highlight w:val="none"/>
        </w:rPr>
        <w:t>3、如果我方响应文件被接受，我方将履行询比文件中规定的各项要求，按相关法律法规和合同约定条款承担我方的责任。</w:t>
      </w:r>
    </w:p>
    <w:p w14:paraId="41B0D889">
      <w:pPr>
        <w:rPr>
          <w:highlight w:val="none"/>
        </w:rPr>
      </w:pPr>
      <w:r>
        <w:rPr>
          <w:rFonts w:hint="eastAsia"/>
          <w:highlight w:val="none"/>
        </w:rPr>
        <w:t>4、我方愿意提供询比文件中要求的所有资料，并对其真实性负责。</w:t>
      </w:r>
    </w:p>
    <w:p w14:paraId="29602C72">
      <w:pPr>
        <w:rPr>
          <w:highlight w:val="none"/>
        </w:rPr>
      </w:pPr>
      <w:r>
        <w:rPr>
          <w:rFonts w:hint="eastAsia"/>
          <w:highlight w:val="none"/>
        </w:rPr>
        <w:t>5、我方理解最低价格不是成交的唯一条件。</w:t>
      </w:r>
    </w:p>
    <w:p w14:paraId="359C6A23">
      <w:pPr>
        <w:rPr>
          <w:highlight w:val="none"/>
        </w:rPr>
      </w:pPr>
      <w:r>
        <w:rPr>
          <w:rFonts w:hint="eastAsia"/>
          <w:highlight w:val="none"/>
        </w:rPr>
        <w:t>6、响应有效期为响应截止日期后90天内。</w:t>
      </w:r>
    </w:p>
    <w:p w14:paraId="5EAC16AE">
      <w:pPr>
        <w:rPr>
          <w:highlight w:val="none"/>
        </w:rPr>
      </w:pPr>
      <w:r>
        <w:rPr>
          <w:rFonts w:hint="eastAsia"/>
          <w:highlight w:val="none"/>
        </w:rPr>
        <w:t>7、若我方成交，我方开具税率为</w:t>
      </w:r>
      <w:r>
        <w:rPr>
          <w:highlight w:val="none"/>
          <w:u w:val="single"/>
        </w:rPr>
        <w:t xml:space="preserve"> 6</w:t>
      </w:r>
      <w:r>
        <w:rPr>
          <w:rFonts w:hint="eastAsia"/>
          <w:highlight w:val="none"/>
          <w:u w:val="single"/>
        </w:rPr>
        <w:t xml:space="preserve"> %</w:t>
      </w:r>
      <w:r>
        <w:rPr>
          <w:rFonts w:hint="eastAsia"/>
          <w:highlight w:val="none"/>
        </w:rPr>
        <w:t>的增值税专用发票；</w:t>
      </w:r>
    </w:p>
    <w:p w14:paraId="13214E75">
      <w:pPr>
        <w:rPr>
          <w:highlight w:val="none"/>
        </w:rPr>
      </w:pPr>
    </w:p>
    <w:p w14:paraId="16D90318">
      <w:pPr>
        <w:rPr>
          <w:highlight w:val="none"/>
        </w:rPr>
      </w:pPr>
      <w:r>
        <w:rPr>
          <w:rFonts w:hint="eastAsia"/>
          <w:highlight w:val="none"/>
        </w:rPr>
        <w:t>响应人（公章）：</w:t>
      </w:r>
    </w:p>
    <w:p w14:paraId="0A8104B7">
      <w:pPr>
        <w:rPr>
          <w:highlight w:val="none"/>
        </w:rPr>
      </w:pPr>
      <w:r>
        <w:rPr>
          <w:rFonts w:hint="eastAsia"/>
          <w:highlight w:val="none"/>
        </w:rPr>
        <w:t xml:space="preserve">响应人联系人：  </w:t>
      </w:r>
    </w:p>
    <w:p w14:paraId="71A3257E">
      <w:pPr>
        <w:rPr>
          <w:highlight w:val="none"/>
        </w:rPr>
      </w:pPr>
      <w:r>
        <w:rPr>
          <w:rFonts w:hint="eastAsia"/>
          <w:highlight w:val="none"/>
        </w:rPr>
        <w:t xml:space="preserve">响应人联系人联系电话：     </w:t>
      </w:r>
    </w:p>
    <w:p w14:paraId="304A999B">
      <w:pPr>
        <w:jc w:val="right"/>
        <w:rPr>
          <w:highlight w:val="none"/>
        </w:rPr>
      </w:pPr>
      <w:r>
        <w:rPr>
          <w:rFonts w:hint="eastAsia"/>
          <w:highlight w:val="none"/>
        </w:rPr>
        <w:t>年     月     日</w:t>
      </w:r>
    </w:p>
    <w:p w14:paraId="5A9C1373">
      <w:pPr>
        <w:rPr>
          <w:highlight w:val="none"/>
        </w:rPr>
      </w:pPr>
    </w:p>
    <w:p w14:paraId="52AF7312">
      <w:pPr>
        <w:widowControl/>
        <w:jc w:val="left"/>
        <w:rPr>
          <w:rFonts w:ascii="宋体"/>
          <w:snapToGrid w:val="0"/>
          <w:kern w:val="0"/>
          <w:sz w:val="24"/>
          <w:szCs w:val="24"/>
          <w:highlight w:val="none"/>
        </w:rPr>
      </w:pPr>
    </w:p>
    <w:p w14:paraId="5E52C15B">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cols w:space="720" w:num="1"/>
          <w:docGrid w:type="lines" w:linePitch="312" w:charSpace="0"/>
        </w:sectPr>
      </w:pPr>
    </w:p>
    <w:p w14:paraId="04DB37C0">
      <w:pPr>
        <w:ind w:firstLine="0" w:firstLineChars="0"/>
        <w:rPr>
          <w:highlight w:val="none"/>
        </w:rPr>
      </w:pPr>
    </w:p>
    <w:p w14:paraId="1DE73799">
      <w:pPr>
        <w:pStyle w:val="16"/>
        <w:rPr>
          <w:highlight w:val="none"/>
        </w:rPr>
      </w:pPr>
      <w:r>
        <w:rPr>
          <w:highlight w:val="none"/>
        </w:rPr>
        <w:t>二、报价一览表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1"/>
      </w:tblGrid>
      <w:tr w14:paraId="5A71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8D1176F">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075251AE">
            <w:pPr>
              <w:autoSpaceDE/>
              <w:autoSpaceDN/>
              <w:ind w:firstLine="0" w:firstLineChars="0"/>
              <w:jc w:val="center"/>
              <w:rPr>
                <w:rFonts w:ascii="宋体" w:hAnsi="宋体"/>
                <w:szCs w:val="24"/>
                <w:highlight w:val="none"/>
              </w:rPr>
            </w:pPr>
          </w:p>
        </w:tc>
      </w:tr>
      <w:tr w14:paraId="5E54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85E84C3">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w:t>
            </w:r>
          </w:p>
        </w:tc>
        <w:tc>
          <w:tcPr>
            <w:tcW w:w="3751" w:type="pct"/>
            <w:tcBorders>
              <w:top w:val="single" w:color="auto" w:sz="4" w:space="0"/>
              <w:left w:val="single" w:color="auto" w:sz="4" w:space="0"/>
              <w:bottom w:val="single" w:color="auto" w:sz="4" w:space="0"/>
              <w:right w:val="single" w:color="auto" w:sz="4" w:space="0"/>
            </w:tcBorders>
            <w:vAlign w:val="center"/>
          </w:tcPr>
          <w:p w14:paraId="291B4180">
            <w:pPr>
              <w:autoSpaceDE/>
              <w:autoSpaceDN/>
              <w:ind w:firstLine="0" w:firstLineChars="0"/>
              <w:jc w:val="center"/>
              <w:rPr>
                <w:rFonts w:ascii="宋体" w:hAnsi="宋体" w:cs="Cambria"/>
                <w:szCs w:val="21"/>
                <w:highlight w:val="none"/>
              </w:rPr>
            </w:pPr>
          </w:p>
        </w:tc>
      </w:tr>
      <w:tr w14:paraId="5EB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1D91539">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响应报价</w:t>
            </w:r>
            <w:r>
              <w:rPr>
                <w:rFonts w:hint="eastAsia" w:ascii="宋体" w:hAnsi="宋体"/>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68F64C52">
            <w:pPr>
              <w:pStyle w:val="43"/>
              <w:rPr>
                <w:highlight w:val="none"/>
              </w:rPr>
            </w:pPr>
            <w:r>
              <w:rPr>
                <w:highlight w:val="none"/>
              </w:rPr>
              <w:t>小写</w:t>
            </w:r>
            <w:r>
              <w:rPr>
                <w:rFonts w:hint="eastAsia"/>
                <w:highlight w:val="none"/>
              </w:rPr>
              <w:t xml:space="preserve">：           </w:t>
            </w:r>
            <w:r>
              <w:rPr>
                <w:highlight w:val="none"/>
              </w:rPr>
              <w:t>万元/版本</w:t>
            </w:r>
            <w:r>
              <w:rPr>
                <w:rFonts w:hint="eastAsia"/>
                <w:highlight w:val="none"/>
              </w:rPr>
              <w:t xml:space="preserve"> </w:t>
            </w:r>
            <w:r>
              <w:rPr>
                <w:highlight w:val="none"/>
              </w:rPr>
              <w:t>人民币</w:t>
            </w:r>
          </w:p>
          <w:p w14:paraId="37D7C04B">
            <w:pPr>
              <w:pStyle w:val="43"/>
              <w:rPr>
                <w:highlight w:val="none"/>
              </w:rPr>
            </w:pPr>
            <w:r>
              <w:rPr>
                <w:rFonts w:hint="eastAsia"/>
                <w:highlight w:val="none"/>
              </w:rPr>
              <w:t xml:space="preserve">大写：           </w:t>
            </w:r>
            <w:r>
              <w:rPr>
                <w:highlight w:val="none"/>
              </w:rPr>
              <w:t>万元/版本</w:t>
            </w:r>
            <w:r>
              <w:rPr>
                <w:rFonts w:hint="eastAsia"/>
                <w:highlight w:val="none"/>
                <w:lang w:val="en-US" w:eastAsia="zh-CN"/>
              </w:rPr>
              <w:t xml:space="preserve"> </w:t>
            </w:r>
            <w:r>
              <w:rPr>
                <w:rFonts w:hint="eastAsia"/>
                <w:highlight w:val="none"/>
              </w:rPr>
              <w:t>人民币</w:t>
            </w:r>
          </w:p>
        </w:tc>
      </w:tr>
      <w:tr w14:paraId="300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0277EC5">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7DBDFE1D">
            <w:pPr>
              <w:autoSpaceDE/>
              <w:autoSpaceDN/>
              <w:ind w:firstLine="0" w:firstLineChars="0"/>
              <w:jc w:val="center"/>
              <w:rPr>
                <w:rFonts w:ascii="宋体" w:hAnsi="宋体"/>
                <w:szCs w:val="24"/>
                <w:highlight w:val="none"/>
              </w:rPr>
            </w:pPr>
            <w:r>
              <w:rPr>
                <w:rFonts w:hint="eastAsia" w:ascii="宋体" w:hAnsi="宋体"/>
                <w:szCs w:val="24"/>
                <w:highlight w:val="none"/>
              </w:rPr>
              <w:t>税率为</w:t>
            </w:r>
            <w:r>
              <w:rPr>
                <w:rFonts w:ascii="宋体" w:hAnsi="宋体"/>
                <w:szCs w:val="24"/>
                <w:highlight w:val="none"/>
                <w:u w:val="single"/>
              </w:rPr>
              <w:t>6</w:t>
            </w:r>
            <w:r>
              <w:rPr>
                <w:rFonts w:hint="eastAsia" w:ascii="宋体" w:hAnsi="宋体"/>
                <w:szCs w:val="24"/>
                <w:highlight w:val="none"/>
              </w:rPr>
              <w:t>%的增值税专用发票</w:t>
            </w:r>
          </w:p>
        </w:tc>
      </w:tr>
      <w:tr w14:paraId="50FF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D5664C7">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1BDB6B75">
      <w:pPr>
        <w:rPr>
          <w:highlight w:val="none"/>
        </w:rPr>
      </w:pPr>
    </w:p>
    <w:p w14:paraId="72EAA6CF">
      <w:pPr>
        <w:rPr>
          <w:highlight w:val="none"/>
        </w:rPr>
      </w:pPr>
    </w:p>
    <w:p w14:paraId="1FFB1BBF">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6260834D">
      <w:pPr>
        <w:rPr>
          <w:highlight w:val="none"/>
        </w:rPr>
      </w:pPr>
    </w:p>
    <w:p w14:paraId="00FF1B7E">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20295C6A">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1FD929DA">
      <w:pPr>
        <w:ind w:right="-29" w:rightChars="-14"/>
        <w:jc w:val="right"/>
        <w:rPr>
          <w:snapToGrid w:val="0"/>
          <w:kern w:val="0"/>
          <w:szCs w:val="24"/>
          <w:highlight w:val="none"/>
        </w:rPr>
      </w:pPr>
      <w:r>
        <w:rPr>
          <w:rFonts w:hint="eastAsia"/>
          <w:snapToGrid w:val="0"/>
          <w:kern w:val="0"/>
          <w:szCs w:val="24"/>
          <w:highlight w:val="none"/>
        </w:rPr>
        <w:t xml:space="preserve">       年     月     日</w:t>
      </w:r>
    </w:p>
    <w:p w14:paraId="528F7B65">
      <w:pPr>
        <w:rPr>
          <w:highlight w:val="none"/>
        </w:rPr>
      </w:pPr>
      <w:r>
        <w:rPr>
          <w:rFonts w:hint="eastAsia"/>
          <w:highlight w:val="none"/>
        </w:rPr>
        <w:t>有关说明：</w:t>
      </w:r>
    </w:p>
    <w:p w14:paraId="3290462B">
      <w:pPr>
        <w:rPr>
          <w:highlight w:val="none"/>
        </w:rPr>
      </w:pPr>
      <w:r>
        <w:rPr>
          <w:rFonts w:hint="eastAsia"/>
          <w:highlight w:val="none"/>
        </w:rPr>
        <w:t>报价一览表在开标大会上当众宣读，务必填写清楚，准确无误。表格可扩展。</w:t>
      </w:r>
    </w:p>
    <w:p w14:paraId="4F150CAA">
      <w:pPr>
        <w:rPr>
          <w:highlight w:val="none"/>
        </w:rPr>
      </w:pPr>
      <w:r>
        <w:rPr>
          <w:rFonts w:hint="eastAsia"/>
          <w:highlight w:val="none"/>
        </w:rPr>
        <w:t>本次报价包含上述维护期的，采购人不再另行支付该维护期内维护费用。</w:t>
      </w:r>
    </w:p>
    <w:p w14:paraId="5440E86A">
      <w:pPr>
        <w:rPr>
          <w:highlight w:val="none"/>
        </w:rPr>
      </w:pPr>
    </w:p>
    <w:p w14:paraId="0B352FBB">
      <w:pPr>
        <w:ind w:firstLine="0" w:firstLineChars="0"/>
        <w:rPr>
          <w:highlight w:val="none"/>
        </w:rPr>
        <w:sectPr>
          <w:pgSz w:w="11906" w:h="16838"/>
          <w:pgMar w:top="1440" w:right="1800" w:bottom="1440" w:left="1800" w:header="851" w:footer="992" w:gutter="0"/>
          <w:cols w:space="720" w:num="1"/>
          <w:docGrid w:type="lines" w:linePitch="312" w:charSpace="0"/>
        </w:sectPr>
      </w:pPr>
    </w:p>
    <w:p w14:paraId="3AFDEBA3">
      <w:pPr>
        <w:pStyle w:val="16"/>
        <w:rPr>
          <w:highlight w:val="none"/>
        </w:rPr>
      </w:pPr>
      <w:r>
        <w:rPr>
          <w:highlight w:val="none"/>
        </w:rPr>
        <w:t>三、资格性文件</w:t>
      </w:r>
    </w:p>
    <w:p w14:paraId="5C2A7D25">
      <w:pPr>
        <w:pStyle w:val="39"/>
        <w:rPr>
          <w:highlight w:val="none"/>
        </w:rPr>
      </w:pPr>
      <w:r>
        <w:rPr>
          <w:highlight w:val="none"/>
        </w:rPr>
        <w:t>（一）</w:t>
      </w:r>
      <w:r>
        <w:rPr>
          <w:rFonts w:hint="eastAsia"/>
          <w:highlight w:val="none"/>
        </w:rPr>
        <w:t>响应人</w:t>
      </w:r>
      <w:r>
        <w:rPr>
          <w:highlight w:val="none"/>
        </w:rPr>
        <w:t>基本情况介绍，资质证明等</w:t>
      </w:r>
    </w:p>
    <w:tbl>
      <w:tblPr>
        <w:tblStyle w:val="2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F59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980" w:type="dxa"/>
            <w:vAlign w:val="center"/>
          </w:tcPr>
          <w:p w14:paraId="7255158C">
            <w:pPr>
              <w:pStyle w:val="43"/>
              <w:jc w:val="center"/>
              <w:rPr>
                <w:highlight w:val="none"/>
              </w:rPr>
            </w:pPr>
            <w:r>
              <w:rPr>
                <w:rFonts w:hint="eastAsia"/>
                <w:highlight w:val="none"/>
              </w:rPr>
              <w:t>响应人名称</w:t>
            </w:r>
          </w:p>
        </w:tc>
        <w:tc>
          <w:tcPr>
            <w:tcW w:w="7114" w:type="dxa"/>
            <w:gridSpan w:val="8"/>
          </w:tcPr>
          <w:p w14:paraId="546205A1">
            <w:pPr>
              <w:pStyle w:val="43"/>
              <w:jc w:val="center"/>
              <w:rPr>
                <w:highlight w:val="none"/>
              </w:rPr>
            </w:pPr>
          </w:p>
        </w:tc>
      </w:tr>
      <w:tr w14:paraId="51B0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593BDEC">
            <w:pPr>
              <w:pStyle w:val="43"/>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2A3C9744">
            <w:pPr>
              <w:pStyle w:val="43"/>
              <w:jc w:val="center"/>
              <w:rPr>
                <w:highlight w:val="none"/>
              </w:rPr>
            </w:pPr>
          </w:p>
        </w:tc>
        <w:tc>
          <w:tcPr>
            <w:tcW w:w="1325" w:type="dxa"/>
            <w:tcBorders>
              <w:top w:val="single" w:color="auto" w:sz="4" w:space="0"/>
              <w:left w:val="single" w:color="auto" w:sz="4" w:space="0"/>
              <w:right w:val="single" w:color="auto" w:sz="4" w:space="0"/>
            </w:tcBorders>
            <w:vAlign w:val="center"/>
          </w:tcPr>
          <w:p w14:paraId="5890F365">
            <w:pPr>
              <w:pStyle w:val="43"/>
              <w:jc w:val="center"/>
              <w:rPr>
                <w:highlight w:val="none"/>
              </w:rPr>
            </w:pPr>
            <w:r>
              <w:rPr>
                <w:rFonts w:hint="eastAsia"/>
                <w:highlight w:val="none"/>
              </w:rPr>
              <w:t>邮政编码</w:t>
            </w:r>
          </w:p>
        </w:tc>
        <w:tc>
          <w:tcPr>
            <w:tcW w:w="1657" w:type="dxa"/>
            <w:gridSpan w:val="3"/>
            <w:tcBorders>
              <w:left w:val="single" w:color="auto" w:sz="4" w:space="0"/>
            </w:tcBorders>
          </w:tcPr>
          <w:p w14:paraId="1EC34FC2">
            <w:pPr>
              <w:pStyle w:val="43"/>
              <w:jc w:val="center"/>
              <w:rPr>
                <w:highlight w:val="none"/>
              </w:rPr>
            </w:pPr>
          </w:p>
        </w:tc>
      </w:tr>
      <w:tr w14:paraId="0EEC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980" w:type="dxa"/>
            <w:vMerge w:val="restart"/>
            <w:vAlign w:val="center"/>
          </w:tcPr>
          <w:p w14:paraId="623653CE">
            <w:pPr>
              <w:pStyle w:val="43"/>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48AADA91">
            <w:pPr>
              <w:pStyle w:val="43"/>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27EF8DB5">
            <w:pPr>
              <w:pStyle w:val="43"/>
              <w:jc w:val="center"/>
              <w:rPr>
                <w:highlight w:val="none"/>
              </w:rPr>
            </w:pPr>
          </w:p>
        </w:tc>
        <w:tc>
          <w:tcPr>
            <w:tcW w:w="1325" w:type="dxa"/>
            <w:tcBorders>
              <w:top w:val="single" w:color="auto" w:sz="4" w:space="0"/>
              <w:left w:val="single" w:color="auto" w:sz="4" w:space="0"/>
              <w:right w:val="single" w:color="auto" w:sz="4" w:space="0"/>
            </w:tcBorders>
            <w:vAlign w:val="center"/>
          </w:tcPr>
          <w:p w14:paraId="1AA60061">
            <w:pPr>
              <w:pStyle w:val="43"/>
              <w:jc w:val="center"/>
              <w:rPr>
                <w:highlight w:val="none"/>
              </w:rPr>
            </w:pPr>
            <w:r>
              <w:rPr>
                <w:rFonts w:hint="eastAsia"/>
                <w:highlight w:val="none"/>
              </w:rPr>
              <w:t>电话</w:t>
            </w:r>
          </w:p>
        </w:tc>
        <w:tc>
          <w:tcPr>
            <w:tcW w:w="1657" w:type="dxa"/>
            <w:gridSpan w:val="3"/>
            <w:tcBorders>
              <w:left w:val="single" w:color="auto" w:sz="4" w:space="0"/>
            </w:tcBorders>
          </w:tcPr>
          <w:p w14:paraId="03A3A1EB">
            <w:pPr>
              <w:pStyle w:val="43"/>
              <w:jc w:val="center"/>
              <w:rPr>
                <w:highlight w:val="none"/>
              </w:rPr>
            </w:pPr>
          </w:p>
        </w:tc>
      </w:tr>
      <w:tr w14:paraId="2327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2D4CE23">
            <w:pPr>
              <w:rPr>
                <w:highlight w:val="none"/>
              </w:rPr>
            </w:pPr>
          </w:p>
        </w:tc>
        <w:tc>
          <w:tcPr>
            <w:tcW w:w="1077" w:type="dxa"/>
            <w:tcBorders>
              <w:top w:val="single" w:color="auto" w:sz="4" w:space="0"/>
              <w:left w:val="single" w:color="auto" w:sz="4" w:space="0"/>
              <w:right w:val="single" w:color="auto" w:sz="4" w:space="0"/>
            </w:tcBorders>
            <w:vAlign w:val="center"/>
          </w:tcPr>
          <w:p w14:paraId="6C34445F">
            <w:pPr>
              <w:pStyle w:val="43"/>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52645B48">
            <w:pPr>
              <w:pStyle w:val="43"/>
              <w:jc w:val="center"/>
              <w:rPr>
                <w:highlight w:val="none"/>
              </w:rPr>
            </w:pPr>
          </w:p>
        </w:tc>
        <w:tc>
          <w:tcPr>
            <w:tcW w:w="1325" w:type="dxa"/>
            <w:tcBorders>
              <w:top w:val="single" w:color="auto" w:sz="4" w:space="0"/>
              <w:left w:val="single" w:color="auto" w:sz="4" w:space="0"/>
              <w:right w:val="single" w:color="auto" w:sz="4" w:space="0"/>
            </w:tcBorders>
            <w:vAlign w:val="center"/>
          </w:tcPr>
          <w:p w14:paraId="4EAF2CEA">
            <w:pPr>
              <w:pStyle w:val="43"/>
              <w:jc w:val="center"/>
              <w:rPr>
                <w:highlight w:val="none"/>
              </w:rPr>
            </w:pPr>
            <w:r>
              <w:rPr>
                <w:rFonts w:hint="eastAsia"/>
                <w:highlight w:val="none"/>
              </w:rPr>
              <w:t>网址</w:t>
            </w:r>
          </w:p>
        </w:tc>
        <w:tc>
          <w:tcPr>
            <w:tcW w:w="1657" w:type="dxa"/>
            <w:gridSpan w:val="3"/>
            <w:tcBorders>
              <w:left w:val="single" w:color="auto" w:sz="4" w:space="0"/>
            </w:tcBorders>
          </w:tcPr>
          <w:p w14:paraId="37D64625">
            <w:pPr>
              <w:pStyle w:val="43"/>
              <w:jc w:val="center"/>
              <w:rPr>
                <w:highlight w:val="none"/>
              </w:rPr>
            </w:pPr>
          </w:p>
        </w:tc>
      </w:tr>
      <w:tr w14:paraId="35C6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4913E69A">
            <w:pPr>
              <w:pStyle w:val="43"/>
              <w:jc w:val="center"/>
              <w:rPr>
                <w:highlight w:val="none"/>
              </w:rPr>
            </w:pPr>
            <w:r>
              <w:rPr>
                <w:rFonts w:hint="eastAsia"/>
                <w:highlight w:val="none"/>
              </w:rPr>
              <w:t>组织结构</w:t>
            </w:r>
          </w:p>
        </w:tc>
        <w:tc>
          <w:tcPr>
            <w:tcW w:w="7114" w:type="dxa"/>
            <w:gridSpan w:val="8"/>
            <w:tcBorders>
              <w:left w:val="single" w:color="auto" w:sz="4" w:space="0"/>
            </w:tcBorders>
            <w:vAlign w:val="center"/>
          </w:tcPr>
          <w:p w14:paraId="0E922DAA">
            <w:pPr>
              <w:pStyle w:val="43"/>
              <w:jc w:val="center"/>
              <w:rPr>
                <w:highlight w:val="none"/>
              </w:rPr>
            </w:pPr>
          </w:p>
        </w:tc>
      </w:tr>
      <w:tr w14:paraId="5BDE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0E3A28C">
            <w:pPr>
              <w:pStyle w:val="43"/>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5BEFA07C">
            <w:pPr>
              <w:pStyle w:val="43"/>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7E71672D">
            <w:pPr>
              <w:pStyle w:val="43"/>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06EDFFAD">
            <w:pPr>
              <w:pStyle w:val="43"/>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BBBFD41">
            <w:pPr>
              <w:pStyle w:val="43"/>
              <w:jc w:val="center"/>
              <w:rPr>
                <w:highlight w:val="none"/>
              </w:rPr>
            </w:pPr>
          </w:p>
        </w:tc>
        <w:tc>
          <w:tcPr>
            <w:tcW w:w="723" w:type="dxa"/>
            <w:tcBorders>
              <w:top w:val="single" w:color="auto" w:sz="4" w:space="0"/>
              <w:left w:val="single" w:color="auto" w:sz="4" w:space="0"/>
              <w:right w:val="single" w:color="auto" w:sz="4" w:space="0"/>
            </w:tcBorders>
            <w:vAlign w:val="center"/>
          </w:tcPr>
          <w:p w14:paraId="5591FC75">
            <w:pPr>
              <w:pStyle w:val="43"/>
              <w:jc w:val="center"/>
              <w:rPr>
                <w:highlight w:val="none"/>
              </w:rPr>
            </w:pPr>
            <w:r>
              <w:rPr>
                <w:rFonts w:hint="eastAsia"/>
                <w:highlight w:val="none"/>
              </w:rPr>
              <w:t>电话</w:t>
            </w:r>
          </w:p>
        </w:tc>
        <w:tc>
          <w:tcPr>
            <w:tcW w:w="758" w:type="dxa"/>
            <w:tcBorders>
              <w:left w:val="single" w:color="auto" w:sz="4" w:space="0"/>
            </w:tcBorders>
          </w:tcPr>
          <w:p w14:paraId="5586A05F">
            <w:pPr>
              <w:pStyle w:val="43"/>
              <w:jc w:val="center"/>
              <w:rPr>
                <w:highlight w:val="none"/>
              </w:rPr>
            </w:pPr>
          </w:p>
        </w:tc>
      </w:tr>
      <w:tr w14:paraId="6443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0D37B5F">
            <w:pPr>
              <w:pStyle w:val="43"/>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50EF2EDD">
            <w:pPr>
              <w:pStyle w:val="43"/>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55F7E602">
            <w:pPr>
              <w:pStyle w:val="43"/>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4DBA775B">
            <w:pPr>
              <w:pStyle w:val="43"/>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1968DEE">
            <w:pPr>
              <w:pStyle w:val="43"/>
              <w:jc w:val="center"/>
              <w:rPr>
                <w:highlight w:val="none"/>
              </w:rPr>
            </w:pPr>
          </w:p>
        </w:tc>
        <w:tc>
          <w:tcPr>
            <w:tcW w:w="723" w:type="dxa"/>
            <w:tcBorders>
              <w:top w:val="single" w:color="auto" w:sz="4" w:space="0"/>
              <w:left w:val="single" w:color="auto" w:sz="4" w:space="0"/>
              <w:right w:val="single" w:color="auto" w:sz="4" w:space="0"/>
            </w:tcBorders>
            <w:vAlign w:val="center"/>
          </w:tcPr>
          <w:p w14:paraId="0246B66A">
            <w:pPr>
              <w:pStyle w:val="43"/>
              <w:jc w:val="center"/>
              <w:rPr>
                <w:highlight w:val="none"/>
              </w:rPr>
            </w:pPr>
            <w:r>
              <w:rPr>
                <w:rFonts w:hint="eastAsia"/>
                <w:highlight w:val="none"/>
              </w:rPr>
              <w:t>电话</w:t>
            </w:r>
          </w:p>
        </w:tc>
        <w:tc>
          <w:tcPr>
            <w:tcW w:w="758" w:type="dxa"/>
            <w:tcBorders>
              <w:left w:val="single" w:color="auto" w:sz="4" w:space="0"/>
            </w:tcBorders>
          </w:tcPr>
          <w:p w14:paraId="499E7EB0">
            <w:pPr>
              <w:pStyle w:val="43"/>
              <w:jc w:val="center"/>
              <w:rPr>
                <w:highlight w:val="none"/>
              </w:rPr>
            </w:pPr>
          </w:p>
        </w:tc>
      </w:tr>
      <w:tr w14:paraId="5B37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59E6365">
            <w:pPr>
              <w:pStyle w:val="43"/>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57D410CA">
            <w:pPr>
              <w:pStyle w:val="43"/>
              <w:jc w:val="center"/>
              <w:rPr>
                <w:highlight w:val="none"/>
              </w:rPr>
            </w:pPr>
          </w:p>
        </w:tc>
        <w:tc>
          <w:tcPr>
            <w:tcW w:w="4234" w:type="dxa"/>
            <w:gridSpan w:val="6"/>
            <w:tcBorders>
              <w:left w:val="single" w:color="auto" w:sz="4" w:space="0"/>
            </w:tcBorders>
          </w:tcPr>
          <w:p w14:paraId="279FB228">
            <w:pPr>
              <w:pStyle w:val="43"/>
              <w:jc w:val="center"/>
              <w:rPr>
                <w:highlight w:val="none"/>
              </w:rPr>
            </w:pPr>
            <w:r>
              <w:rPr>
                <w:rFonts w:hint="eastAsia"/>
                <w:highlight w:val="none"/>
              </w:rPr>
              <w:t>员工总人数：</w:t>
            </w:r>
          </w:p>
        </w:tc>
      </w:tr>
      <w:tr w14:paraId="1042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C8FD425">
            <w:pPr>
              <w:pStyle w:val="43"/>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5369F0CD">
            <w:pPr>
              <w:pStyle w:val="43"/>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73013EB0">
            <w:pPr>
              <w:pStyle w:val="43"/>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4CC92254">
            <w:pPr>
              <w:pStyle w:val="43"/>
              <w:jc w:val="center"/>
              <w:rPr>
                <w:highlight w:val="none"/>
              </w:rPr>
            </w:pPr>
            <w:r>
              <w:rPr>
                <w:rFonts w:hint="eastAsia"/>
                <w:highlight w:val="none"/>
              </w:rPr>
              <w:t>项目经理</w:t>
            </w:r>
          </w:p>
        </w:tc>
        <w:tc>
          <w:tcPr>
            <w:tcW w:w="1481" w:type="dxa"/>
            <w:gridSpan w:val="2"/>
            <w:tcBorders>
              <w:left w:val="single" w:color="auto" w:sz="4" w:space="0"/>
            </w:tcBorders>
          </w:tcPr>
          <w:p w14:paraId="78551613">
            <w:pPr>
              <w:pStyle w:val="43"/>
              <w:jc w:val="center"/>
              <w:rPr>
                <w:highlight w:val="none"/>
              </w:rPr>
            </w:pPr>
          </w:p>
        </w:tc>
      </w:tr>
      <w:tr w14:paraId="3651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5370B27">
            <w:pPr>
              <w:pStyle w:val="43"/>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5A2C950F">
            <w:pPr>
              <w:pStyle w:val="43"/>
              <w:jc w:val="center"/>
              <w:rPr>
                <w:highlight w:val="none"/>
              </w:rPr>
            </w:pPr>
          </w:p>
        </w:tc>
        <w:tc>
          <w:tcPr>
            <w:tcW w:w="714" w:type="dxa"/>
            <w:vMerge w:val="continue"/>
            <w:tcBorders>
              <w:top w:val="single" w:color="auto" w:sz="4" w:space="0"/>
              <w:left w:val="single" w:color="auto" w:sz="4" w:space="0"/>
              <w:right w:val="single" w:color="auto" w:sz="4" w:space="0"/>
            </w:tcBorders>
          </w:tcPr>
          <w:p w14:paraId="6B2E931C">
            <w:pPr>
              <w:rPr>
                <w:highlight w:val="none"/>
              </w:rPr>
            </w:pPr>
          </w:p>
        </w:tc>
        <w:tc>
          <w:tcPr>
            <w:tcW w:w="2039" w:type="dxa"/>
            <w:gridSpan w:val="3"/>
            <w:tcBorders>
              <w:top w:val="single" w:color="auto" w:sz="4" w:space="0"/>
              <w:left w:val="single" w:color="auto" w:sz="4" w:space="0"/>
              <w:right w:val="single" w:color="auto" w:sz="4" w:space="0"/>
            </w:tcBorders>
            <w:vAlign w:val="center"/>
          </w:tcPr>
          <w:p w14:paraId="2AA38CD0">
            <w:pPr>
              <w:pStyle w:val="43"/>
              <w:jc w:val="center"/>
              <w:rPr>
                <w:highlight w:val="none"/>
              </w:rPr>
            </w:pPr>
            <w:r>
              <w:rPr>
                <w:rFonts w:hint="eastAsia"/>
                <w:highlight w:val="none"/>
              </w:rPr>
              <w:t>高级职称人员</w:t>
            </w:r>
          </w:p>
        </w:tc>
        <w:tc>
          <w:tcPr>
            <w:tcW w:w="1481" w:type="dxa"/>
            <w:gridSpan w:val="2"/>
            <w:tcBorders>
              <w:left w:val="single" w:color="auto" w:sz="4" w:space="0"/>
            </w:tcBorders>
          </w:tcPr>
          <w:p w14:paraId="53D86435">
            <w:pPr>
              <w:pStyle w:val="43"/>
              <w:jc w:val="center"/>
              <w:rPr>
                <w:highlight w:val="none"/>
              </w:rPr>
            </w:pPr>
          </w:p>
        </w:tc>
      </w:tr>
      <w:tr w14:paraId="66ED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D68BD4D">
            <w:pPr>
              <w:pStyle w:val="43"/>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58001C22">
            <w:pPr>
              <w:pStyle w:val="43"/>
              <w:jc w:val="center"/>
              <w:rPr>
                <w:highlight w:val="none"/>
              </w:rPr>
            </w:pPr>
          </w:p>
        </w:tc>
        <w:tc>
          <w:tcPr>
            <w:tcW w:w="714" w:type="dxa"/>
            <w:vMerge w:val="continue"/>
            <w:tcBorders>
              <w:top w:val="single" w:color="auto" w:sz="4" w:space="0"/>
              <w:left w:val="single" w:color="auto" w:sz="4" w:space="0"/>
              <w:right w:val="single" w:color="auto" w:sz="4" w:space="0"/>
            </w:tcBorders>
          </w:tcPr>
          <w:p w14:paraId="54A9E343">
            <w:pPr>
              <w:rPr>
                <w:highlight w:val="none"/>
              </w:rPr>
            </w:pPr>
          </w:p>
        </w:tc>
        <w:tc>
          <w:tcPr>
            <w:tcW w:w="2039" w:type="dxa"/>
            <w:gridSpan w:val="3"/>
            <w:tcBorders>
              <w:top w:val="single" w:color="auto" w:sz="4" w:space="0"/>
              <w:left w:val="single" w:color="auto" w:sz="4" w:space="0"/>
              <w:right w:val="single" w:color="auto" w:sz="4" w:space="0"/>
            </w:tcBorders>
            <w:vAlign w:val="center"/>
          </w:tcPr>
          <w:p w14:paraId="3BE8A1C3">
            <w:pPr>
              <w:pStyle w:val="43"/>
              <w:jc w:val="center"/>
              <w:rPr>
                <w:highlight w:val="none"/>
              </w:rPr>
            </w:pPr>
            <w:r>
              <w:rPr>
                <w:rFonts w:hint="eastAsia"/>
                <w:highlight w:val="none"/>
              </w:rPr>
              <w:t>中级职称人员</w:t>
            </w:r>
          </w:p>
        </w:tc>
        <w:tc>
          <w:tcPr>
            <w:tcW w:w="1481" w:type="dxa"/>
            <w:gridSpan w:val="2"/>
            <w:tcBorders>
              <w:left w:val="single" w:color="auto" w:sz="4" w:space="0"/>
            </w:tcBorders>
          </w:tcPr>
          <w:p w14:paraId="7C3FFC0E">
            <w:pPr>
              <w:pStyle w:val="43"/>
              <w:jc w:val="center"/>
              <w:rPr>
                <w:highlight w:val="none"/>
              </w:rPr>
            </w:pPr>
          </w:p>
        </w:tc>
      </w:tr>
      <w:tr w14:paraId="6021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14:paraId="4315EF80">
            <w:pPr>
              <w:pStyle w:val="43"/>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3B5A2CD8">
            <w:pPr>
              <w:pStyle w:val="43"/>
              <w:jc w:val="center"/>
              <w:rPr>
                <w:highlight w:val="none"/>
              </w:rPr>
            </w:pPr>
          </w:p>
        </w:tc>
        <w:tc>
          <w:tcPr>
            <w:tcW w:w="714" w:type="dxa"/>
            <w:vMerge w:val="continue"/>
            <w:tcBorders>
              <w:top w:val="single" w:color="auto" w:sz="4" w:space="0"/>
              <w:left w:val="single" w:color="auto" w:sz="4" w:space="0"/>
              <w:right w:val="single" w:color="auto" w:sz="4" w:space="0"/>
            </w:tcBorders>
          </w:tcPr>
          <w:p w14:paraId="483A8711">
            <w:pPr>
              <w:rPr>
                <w:highlight w:val="none"/>
              </w:rPr>
            </w:pPr>
          </w:p>
        </w:tc>
        <w:tc>
          <w:tcPr>
            <w:tcW w:w="2039" w:type="dxa"/>
            <w:gridSpan w:val="3"/>
            <w:tcBorders>
              <w:top w:val="single" w:color="auto" w:sz="4" w:space="0"/>
              <w:left w:val="single" w:color="auto" w:sz="4" w:space="0"/>
              <w:right w:val="single" w:color="auto" w:sz="4" w:space="0"/>
            </w:tcBorders>
            <w:vAlign w:val="center"/>
          </w:tcPr>
          <w:p w14:paraId="6006A140">
            <w:pPr>
              <w:pStyle w:val="43"/>
              <w:jc w:val="center"/>
              <w:rPr>
                <w:highlight w:val="none"/>
              </w:rPr>
            </w:pPr>
            <w:r>
              <w:rPr>
                <w:rFonts w:hint="eastAsia"/>
                <w:highlight w:val="none"/>
              </w:rPr>
              <w:t>初级职称人员</w:t>
            </w:r>
          </w:p>
        </w:tc>
        <w:tc>
          <w:tcPr>
            <w:tcW w:w="1481" w:type="dxa"/>
            <w:gridSpan w:val="2"/>
            <w:tcBorders>
              <w:left w:val="single" w:color="auto" w:sz="4" w:space="0"/>
            </w:tcBorders>
          </w:tcPr>
          <w:p w14:paraId="26040A94">
            <w:pPr>
              <w:pStyle w:val="43"/>
              <w:jc w:val="center"/>
              <w:rPr>
                <w:highlight w:val="none"/>
              </w:rPr>
            </w:pPr>
          </w:p>
        </w:tc>
      </w:tr>
      <w:tr w14:paraId="3C19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B4EC4CE">
            <w:pPr>
              <w:pStyle w:val="43"/>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7D15294A">
            <w:pPr>
              <w:pStyle w:val="43"/>
              <w:jc w:val="center"/>
              <w:rPr>
                <w:highlight w:val="none"/>
              </w:rPr>
            </w:pPr>
          </w:p>
        </w:tc>
        <w:tc>
          <w:tcPr>
            <w:tcW w:w="714" w:type="dxa"/>
            <w:vMerge w:val="continue"/>
            <w:tcBorders>
              <w:top w:val="single" w:color="auto" w:sz="4" w:space="0"/>
              <w:left w:val="single" w:color="auto" w:sz="4" w:space="0"/>
              <w:right w:val="single" w:color="auto" w:sz="4" w:space="0"/>
            </w:tcBorders>
          </w:tcPr>
          <w:p w14:paraId="0F676A40">
            <w:pPr>
              <w:rPr>
                <w:highlight w:val="none"/>
              </w:rPr>
            </w:pPr>
          </w:p>
        </w:tc>
        <w:tc>
          <w:tcPr>
            <w:tcW w:w="2039" w:type="dxa"/>
            <w:gridSpan w:val="3"/>
            <w:tcBorders>
              <w:top w:val="single" w:color="auto" w:sz="4" w:space="0"/>
              <w:left w:val="single" w:color="auto" w:sz="4" w:space="0"/>
              <w:right w:val="single" w:color="auto" w:sz="4" w:space="0"/>
            </w:tcBorders>
            <w:vAlign w:val="center"/>
          </w:tcPr>
          <w:p w14:paraId="3CCD4FE4">
            <w:pPr>
              <w:pStyle w:val="43"/>
              <w:jc w:val="center"/>
              <w:rPr>
                <w:highlight w:val="none"/>
              </w:rPr>
            </w:pPr>
            <w:r>
              <w:rPr>
                <w:rFonts w:hint="eastAsia"/>
                <w:highlight w:val="none"/>
              </w:rPr>
              <w:t>技工</w:t>
            </w:r>
          </w:p>
        </w:tc>
        <w:tc>
          <w:tcPr>
            <w:tcW w:w="1481" w:type="dxa"/>
            <w:gridSpan w:val="2"/>
            <w:tcBorders>
              <w:left w:val="single" w:color="auto" w:sz="4" w:space="0"/>
            </w:tcBorders>
          </w:tcPr>
          <w:p w14:paraId="35428F38">
            <w:pPr>
              <w:pStyle w:val="43"/>
              <w:jc w:val="center"/>
              <w:rPr>
                <w:highlight w:val="none"/>
              </w:rPr>
            </w:pPr>
          </w:p>
        </w:tc>
      </w:tr>
      <w:tr w14:paraId="305B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6" w:hRule="atLeast"/>
          <w:jc w:val="center"/>
        </w:trPr>
        <w:tc>
          <w:tcPr>
            <w:tcW w:w="1980" w:type="dxa"/>
            <w:vAlign w:val="center"/>
          </w:tcPr>
          <w:p w14:paraId="5673850E">
            <w:pPr>
              <w:pStyle w:val="43"/>
              <w:jc w:val="center"/>
              <w:rPr>
                <w:highlight w:val="none"/>
              </w:rPr>
            </w:pPr>
            <w:r>
              <w:rPr>
                <w:rFonts w:hint="eastAsia"/>
                <w:highlight w:val="none"/>
              </w:rPr>
              <w:t>经营范围</w:t>
            </w:r>
          </w:p>
        </w:tc>
        <w:tc>
          <w:tcPr>
            <w:tcW w:w="7114" w:type="dxa"/>
            <w:gridSpan w:val="8"/>
            <w:tcBorders>
              <w:left w:val="single" w:color="auto" w:sz="4" w:space="0"/>
            </w:tcBorders>
          </w:tcPr>
          <w:p w14:paraId="04182D54">
            <w:pPr>
              <w:pStyle w:val="43"/>
              <w:jc w:val="center"/>
              <w:rPr>
                <w:highlight w:val="none"/>
              </w:rPr>
            </w:pPr>
          </w:p>
        </w:tc>
      </w:tr>
      <w:tr w14:paraId="0110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E2562E8">
            <w:pPr>
              <w:pStyle w:val="43"/>
              <w:jc w:val="center"/>
              <w:rPr>
                <w:highlight w:val="none"/>
              </w:rPr>
            </w:pPr>
            <w:r>
              <w:rPr>
                <w:rFonts w:hint="eastAsia"/>
                <w:highlight w:val="none"/>
              </w:rPr>
              <w:t>备注</w:t>
            </w:r>
          </w:p>
        </w:tc>
        <w:tc>
          <w:tcPr>
            <w:tcW w:w="7114" w:type="dxa"/>
            <w:gridSpan w:val="8"/>
            <w:tcBorders>
              <w:left w:val="single" w:color="auto" w:sz="4" w:space="0"/>
            </w:tcBorders>
          </w:tcPr>
          <w:p w14:paraId="48FA9E24">
            <w:pPr>
              <w:pStyle w:val="43"/>
              <w:jc w:val="center"/>
              <w:rPr>
                <w:highlight w:val="none"/>
              </w:rPr>
            </w:pPr>
          </w:p>
        </w:tc>
      </w:tr>
    </w:tbl>
    <w:p w14:paraId="79CBF1B3">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注：附营业执照（副本）、资质证明复印件等。</w:t>
      </w:r>
    </w:p>
    <w:p w14:paraId="11887C0D">
      <w:pPr>
        <w:pStyle w:val="39"/>
        <w:rPr>
          <w:highlight w:val="none"/>
        </w:rPr>
      </w:pPr>
      <w:bookmarkStart w:id="131" w:name="_Toc14270"/>
      <w:bookmarkStart w:id="132" w:name="_Toc8213"/>
      <w:bookmarkStart w:id="133" w:name="_Toc478053903"/>
      <w:bookmarkStart w:id="134" w:name="_Toc378234770"/>
      <w:bookmarkStart w:id="135" w:name="_Toc478054435"/>
      <w:bookmarkStart w:id="136" w:name="_Toc472780356"/>
      <w:bookmarkStart w:id="137" w:name="_Toc378234584"/>
      <w:r>
        <w:rPr>
          <w:highlight w:val="none"/>
        </w:rPr>
        <w:t>（二）法定代表人身份证明及授权委托书</w:t>
      </w:r>
      <w:bookmarkEnd w:id="131"/>
      <w:bookmarkEnd w:id="132"/>
    </w:p>
    <w:p w14:paraId="5925FDA1">
      <w:pPr>
        <w:pStyle w:val="40"/>
        <w:outlineLvl w:val="9"/>
        <w:rPr>
          <w:rFonts w:ascii="Times New Roman" w:hAnsi="Times New Roman"/>
          <w:highlight w:val="none"/>
        </w:rPr>
      </w:pPr>
      <w:r>
        <w:rPr>
          <w:rFonts w:ascii="Times New Roman" w:hAnsi="Times New Roman"/>
          <w:highlight w:val="none"/>
        </w:rPr>
        <w:t>法定代表人身份证明书</w:t>
      </w:r>
    </w:p>
    <w:p w14:paraId="41C25141">
      <w:pPr>
        <w:tabs>
          <w:tab w:val="left" w:pos="6300"/>
        </w:tabs>
        <w:snapToGrid w:val="0"/>
        <w:rPr>
          <w:snapToGrid w:val="0"/>
          <w:kern w:val="0"/>
          <w:highlight w:val="none"/>
        </w:rPr>
      </w:pPr>
    </w:p>
    <w:p w14:paraId="406810EE">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30EAAC50">
      <w:pPr>
        <w:tabs>
          <w:tab w:val="left" w:pos="6300"/>
        </w:tabs>
        <w:snapToGrid w:val="0"/>
        <w:rPr>
          <w:snapToGrid w:val="0"/>
          <w:kern w:val="0"/>
          <w:highlight w:val="none"/>
        </w:rPr>
      </w:pPr>
    </w:p>
    <w:p w14:paraId="68D268CD">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661942A6">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30F9AB7F">
      <w:pPr>
        <w:tabs>
          <w:tab w:val="left" w:pos="6300"/>
        </w:tabs>
        <w:snapToGrid w:val="0"/>
        <w:rPr>
          <w:snapToGrid w:val="0"/>
          <w:kern w:val="0"/>
          <w:highlight w:val="none"/>
        </w:rPr>
      </w:pPr>
    </w:p>
    <w:p w14:paraId="383F793D">
      <w:pPr>
        <w:tabs>
          <w:tab w:val="left" w:pos="6300"/>
        </w:tabs>
        <w:snapToGrid w:val="0"/>
        <w:rPr>
          <w:snapToGrid w:val="0"/>
          <w:kern w:val="0"/>
          <w:highlight w:val="none"/>
        </w:rPr>
      </w:pPr>
      <w:r>
        <w:rPr>
          <w:rFonts w:hint="eastAsia"/>
          <w:snapToGrid w:val="0"/>
          <w:kern w:val="0"/>
          <w:highlight w:val="none"/>
        </w:rPr>
        <w:t>特此证明。</w:t>
      </w:r>
    </w:p>
    <w:p w14:paraId="593A0E11">
      <w:pPr>
        <w:tabs>
          <w:tab w:val="left" w:pos="6300"/>
        </w:tabs>
        <w:snapToGrid w:val="0"/>
        <w:rPr>
          <w:snapToGrid w:val="0"/>
          <w:kern w:val="0"/>
          <w:highlight w:val="none"/>
        </w:rPr>
      </w:pPr>
    </w:p>
    <w:p w14:paraId="13232810">
      <w:pPr>
        <w:tabs>
          <w:tab w:val="left" w:pos="6300"/>
        </w:tabs>
        <w:snapToGrid w:val="0"/>
        <w:rPr>
          <w:snapToGrid w:val="0"/>
          <w:kern w:val="0"/>
          <w:highlight w:val="none"/>
        </w:rPr>
      </w:pPr>
    </w:p>
    <w:p w14:paraId="51177294">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39CF8801">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2ECC121E">
      <w:pPr>
        <w:tabs>
          <w:tab w:val="left" w:pos="6300"/>
        </w:tabs>
        <w:snapToGrid w:val="0"/>
        <w:rPr>
          <w:snapToGrid w:val="0"/>
          <w:kern w:val="0"/>
          <w:highlight w:val="none"/>
        </w:rPr>
      </w:pPr>
    </w:p>
    <w:p w14:paraId="63814B3B">
      <w:pPr>
        <w:tabs>
          <w:tab w:val="left" w:pos="6300"/>
        </w:tabs>
        <w:snapToGrid w:val="0"/>
        <w:rPr>
          <w:snapToGrid w:val="0"/>
          <w:kern w:val="0"/>
          <w:highlight w:val="none"/>
        </w:rPr>
      </w:pPr>
      <w:r>
        <w:rPr>
          <w:rFonts w:hint="eastAsia"/>
          <w:snapToGrid w:val="0"/>
          <w:kern w:val="0"/>
          <w:highlight w:val="none"/>
        </w:rPr>
        <w:t xml:space="preserve">                                             年   月   日</w:t>
      </w:r>
    </w:p>
    <w:p w14:paraId="0C92E489">
      <w:pPr>
        <w:tabs>
          <w:tab w:val="left" w:pos="6300"/>
        </w:tabs>
        <w:snapToGrid w:val="0"/>
        <w:rPr>
          <w:snapToGrid w:val="0"/>
          <w:kern w:val="0"/>
          <w:highlight w:val="none"/>
        </w:rPr>
      </w:pPr>
    </w:p>
    <w:p w14:paraId="199AA5E1">
      <w:pPr>
        <w:tabs>
          <w:tab w:val="left" w:pos="6300"/>
        </w:tabs>
        <w:snapToGrid w:val="0"/>
        <w:rPr>
          <w:snapToGrid w:val="0"/>
          <w:kern w:val="0"/>
          <w:highlight w:val="none"/>
        </w:rPr>
      </w:pPr>
      <w:r>
        <w:rPr>
          <w:rFonts w:hint="eastAsia"/>
          <w:snapToGrid w:val="0"/>
          <w:kern w:val="0"/>
          <w:highlight w:val="none"/>
        </w:rPr>
        <w:t>（附：法定代表人身份证正反面复印件）</w:t>
      </w:r>
    </w:p>
    <w:p w14:paraId="2B6FA0B4">
      <w:pPr>
        <w:tabs>
          <w:tab w:val="left" w:pos="6300"/>
        </w:tabs>
        <w:snapToGrid w:val="0"/>
        <w:rPr>
          <w:snapToGrid w:val="0"/>
          <w:kern w:val="0"/>
          <w:highlight w:val="none"/>
        </w:rPr>
      </w:pPr>
    </w:p>
    <w:p w14:paraId="5D737990">
      <w:pPr>
        <w:tabs>
          <w:tab w:val="left" w:pos="6300"/>
        </w:tabs>
        <w:snapToGrid w:val="0"/>
        <w:rPr>
          <w:snapToGrid w:val="0"/>
          <w:kern w:val="0"/>
          <w:highlight w:val="none"/>
        </w:rPr>
      </w:pPr>
    </w:p>
    <w:p w14:paraId="2E4FB46C">
      <w:pPr>
        <w:tabs>
          <w:tab w:val="left" w:pos="6300"/>
        </w:tabs>
        <w:snapToGrid w:val="0"/>
        <w:rPr>
          <w:snapToGrid w:val="0"/>
          <w:kern w:val="0"/>
          <w:highlight w:val="none"/>
        </w:rPr>
      </w:pPr>
    </w:p>
    <w:p w14:paraId="26706EEB">
      <w:pPr>
        <w:jc w:val="center"/>
        <w:rPr>
          <w:rStyle w:val="41"/>
          <w:rFonts w:ascii="Times New Roman" w:hAnsi="Times New Roman"/>
          <w:highlight w:val="none"/>
        </w:rPr>
      </w:pPr>
      <w:r>
        <w:rPr>
          <w:rFonts w:hint="eastAsia"/>
          <w:snapToGrid w:val="0"/>
          <w:kern w:val="0"/>
          <w:highlight w:val="none"/>
        </w:rPr>
        <w:br w:type="column"/>
      </w:r>
      <w:r>
        <w:rPr>
          <w:rStyle w:val="41"/>
          <w:rFonts w:ascii="Times New Roman" w:hAnsi="Times New Roman"/>
          <w:highlight w:val="none"/>
        </w:rPr>
        <w:t>授权委托书</w:t>
      </w:r>
    </w:p>
    <w:p w14:paraId="72B68996">
      <w:pPr>
        <w:jc w:val="center"/>
        <w:rPr>
          <w:rStyle w:val="41"/>
          <w:rFonts w:ascii="Times New Roman" w:hAnsi="Times New Roman"/>
          <w:highlight w:val="none"/>
        </w:rPr>
      </w:pPr>
    </w:p>
    <w:p w14:paraId="4E6207D6">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69D987A8">
      <w:pPr>
        <w:tabs>
          <w:tab w:val="left" w:pos="6300"/>
        </w:tabs>
        <w:snapToGrid w:val="0"/>
        <w:rPr>
          <w:snapToGrid w:val="0"/>
          <w:kern w:val="0"/>
          <w:highlight w:val="none"/>
        </w:rPr>
      </w:pPr>
    </w:p>
    <w:p w14:paraId="3CE9F94C">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3D0E37D1">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721226A3">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39F7BA79">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6A942753">
      <w:pPr>
        <w:tabs>
          <w:tab w:val="left" w:pos="6300"/>
        </w:tabs>
        <w:snapToGrid w:val="0"/>
        <w:rPr>
          <w:snapToGrid w:val="0"/>
          <w:kern w:val="0"/>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B13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8AD235B">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11F3ECA6">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06D5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778DA6A">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3697ACF1">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01954030">
      <w:pPr>
        <w:tabs>
          <w:tab w:val="left" w:pos="6300"/>
        </w:tabs>
        <w:snapToGrid w:val="0"/>
        <w:rPr>
          <w:snapToGrid w:val="0"/>
          <w:kern w:val="0"/>
          <w:highlight w:val="none"/>
        </w:rPr>
      </w:pPr>
    </w:p>
    <w:p w14:paraId="64BB70BF">
      <w:pPr>
        <w:tabs>
          <w:tab w:val="left" w:pos="6300"/>
        </w:tabs>
        <w:snapToGrid w:val="0"/>
        <w:rPr>
          <w:snapToGrid w:val="0"/>
          <w:kern w:val="0"/>
          <w:szCs w:val="28"/>
          <w:highlight w:val="none"/>
        </w:rPr>
      </w:pPr>
    </w:p>
    <w:p w14:paraId="3257EA98">
      <w:pPr>
        <w:tabs>
          <w:tab w:val="left" w:pos="6300"/>
        </w:tabs>
        <w:snapToGrid w:val="0"/>
        <w:rPr>
          <w:snapToGrid w:val="0"/>
          <w:kern w:val="0"/>
          <w:highlight w:val="none"/>
        </w:rPr>
      </w:pPr>
    </w:p>
    <w:p w14:paraId="6E11278E">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3ED7480A">
      <w:pPr>
        <w:tabs>
          <w:tab w:val="left" w:pos="6300"/>
        </w:tabs>
        <w:snapToGrid w:val="0"/>
        <w:rPr>
          <w:snapToGrid w:val="0"/>
          <w:kern w:val="0"/>
          <w:highlight w:val="none"/>
        </w:rPr>
      </w:pPr>
    </w:p>
    <w:p w14:paraId="2319521A">
      <w:pPr>
        <w:tabs>
          <w:tab w:val="left" w:pos="6300"/>
        </w:tabs>
        <w:snapToGrid w:val="0"/>
        <w:rPr>
          <w:snapToGrid w:val="0"/>
          <w:kern w:val="0"/>
          <w:highlight w:val="none"/>
        </w:rPr>
      </w:pPr>
    </w:p>
    <w:p w14:paraId="030549CD">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72AF8111">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43B49CCC">
      <w:pPr>
        <w:tabs>
          <w:tab w:val="left" w:pos="6300"/>
        </w:tabs>
        <w:snapToGrid w:val="0"/>
        <w:ind w:right="480"/>
        <w:jc w:val="right"/>
        <w:rPr>
          <w:snapToGrid w:val="0"/>
          <w:kern w:val="0"/>
          <w:highlight w:val="none"/>
        </w:rPr>
      </w:pPr>
      <w:r>
        <w:rPr>
          <w:rFonts w:hint="eastAsia"/>
          <w:snapToGrid w:val="0"/>
          <w:kern w:val="0"/>
          <w:highlight w:val="none"/>
        </w:rPr>
        <w:t>年   月   日</w:t>
      </w:r>
    </w:p>
    <w:p w14:paraId="798A08DD">
      <w:pPr>
        <w:tabs>
          <w:tab w:val="left" w:pos="6300"/>
        </w:tabs>
        <w:snapToGrid w:val="0"/>
        <w:rPr>
          <w:snapToGrid w:val="0"/>
          <w:kern w:val="0"/>
          <w:highlight w:val="none"/>
        </w:rPr>
      </w:pPr>
    </w:p>
    <w:p w14:paraId="42306D49">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14:paraId="578342CA">
      <w:pPr>
        <w:rPr>
          <w:highlight w:val="none"/>
        </w:rPr>
      </w:pPr>
    </w:p>
    <w:p w14:paraId="0F35399C">
      <w:pPr>
        <w:rPr>
          <w:highlight w:val="none"/>
        </w:rPr>
        <w:sectPr>
          <w:pgSz w:w="11906" w:h="16838"/>
          <w:pgMar w:top="1440" w:right="1800" w:bottom="1440" w:left="1800" w:header="851" w:footer="992" w:gutter="0"/>
          <w:cols w:space="720" w:num="1"/>
          <w:docGrid w:type="lines" w:linePitch="312" w:charSpace="0"/>
        </w:sectPr>
      </w:pPr>
    </w:p>
    <w:bookmarkEnd w:id="133"/>
    <w:bookmarkEnd w:id="134"/>
    <w:bookmarkEnd w:id="135"/>
    <w:bookmarkEnd w:id="136"/>
    <w:bookmarkEnd w:id="137"/>
    <w:p w14:paraId="3A8EF2ED">
      <w:pPr>
        <w:pStyle w:val="39"/>
        <w:rPr>
          <w:highlight w:val="none"/>
        </w:rPr>
      </w:pPr>
      <w:r>
        <w:rPr>
          <w:rFonts w:hint="eastAsia"/>
          <w:highlight w:val="none"/>
        </w:rPr>
        <w:t>（三）书面声明</w:t>
      </w:r>
    </w:p>
    <w:p w14:paraId="08616A63">
      <w:pPr>
        <w:tabs>
          <w:tab w:val="left" w:pos="6300"/>
        </w:tabs>
        <w:snapToGrid w:val="0"/>
        <w:rPr>
          <w:rFonts w:ascii="宋体"/>
          <w:sz w:val="24"/>
          <w:highlight w:val="none"/>
        </w:rPr>
      </w:pPr>
    </w:p>
    <w:p w14:paraId="776E2A01">
      <w:pPr>
        <w:tabs>
          <w:tab w:val="left" w:pos="6300"/>
        </w:tabs>
        <w:snapToGrid w:val="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__________________</w:t>
      </w:r>
    </w:p>
    <w:p w14:paraId="17074CC5">
      <w:pPr>
        <w:tabs>
          <w:tab w:val="left" w:pos="6300"/>
        </w:tabs>
        <w:snapToGrid w:val="0"/>
        <w:rPr>
          <w:rFonts w:ascii="宋体"/>
          <w:sz w:val="24"/>
          <w:highlight w:val="none"/>
        </w:rPr>
      </w:pPr>
    </w:p>
    <w:p w14:paraId="271E850A">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2548F81F">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资格条件；我方对以上声明负全部法律责任</w:t>
      </w:r>
      <w:r>
        <w:rPr>
          <w:rFonts w:ascii="宋体"/>
          <w:sz w:val="24"/>
          <w:highlight w:val="none"/>
        </w:rPr>
        <w:t>。</w:t>
      </w:r>
    </w:p>
    <w:p w14:paraId="454FB3DE">
      <w:pPr>
        <w:tabs>
          <w:tab w:val="left" w:pos="6300"/>
        </w:tabs>
        <w:snapToGrid w:val="0"/>
        <w:rPr>
          <w:rFonts w:ascii="宋体"/>
          <w:sz w:val="24"/>
          <w:highlight w:val="none"/>
        </w:rPr>
      </w:pPr>
      <w:r>
        <w:rPr>
          <w:rFonts w:hint="eastAsia" w:ascii="宋体"/>
          <w:sz w:val="24"/>
          <w:highlight w:val="none"/>
        </w:rPr>
        <w:t>特此声明。</w:t>
      </w:r>
    </w:p>
    <w:p w14:paraId="5E5DE4DF">
      <w:pPr>
        <w:tabs>
          <w:tab w:val="left" w:pos="6300"/>
        </w:tabs>
        <w:snapToGrid w:val="0"/>
        <w:rPr>
          <w:rFonts w:ascii="宋体"/>
          <w:sz w:val="24"/>
          <w:highlight w:val="none"/>
        </w:rPr>
      </w:pPr>
    </w:p>
    <w:p w14:paraId="138ED72A">
      <w:pPr>
        <w:tabs>
          <w:tab w:val="left" w:pos="6300"/>
        </w:tabs>
        <w:snapToGrid w:val="0"/>
        <w:rPr>
          <w:rFonts w:ascii="宋体"/>
          <w:sz w:val="24"/>
          <w:highlight w:val="none"/>
        </w:rPr>
      </w:pPr>
    </w:p>
    <w:p w14:paraId="33576A13">
      <w:pPr>
        <w:tabs>
          <w:tab w:val="left" w:pos="6300"/>
        </w:tabs>
        <w:snapToGrid w:val="0"/>
        <w:rPr>
          <w:rFonts w:ascii="宋体"/>
          <w:sz w:val="24"/>
          <w:highlight w:val="none"/>
        </w:rPr>
      </w:pPr>
    </w:p>
    <w:p w14:paraId="30CF4CEF">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1105886E">
      <w:pPr>
        <w:tabs>
          <w:tab w:val="left" w:pos="6300"/>
        </w:tabs>
        <w:snapToGrid w:val="0"/>
        <w:ind w:right="480"/>
        <w:jc w:val="right"/>
        <w:rPr>
          <w:rFonts w:ascii="宋体"/>
          <w:sz w:val="24"/>
          <w:highlight w:val="none"/>
        </w:rPr>
      </w:pPr>
      <w:r>
        <w:rPr>
          <w:rFonts w:hint="eastAsia" w:ascii="宋体"/>
          <w:sz w:val="24"/>
          <w:highlight w:val="none"/>
        </w:rPr>
        <w:t>年   月   日</w:t>
      </w:r>
    </w:p>
    <w:p w14:paraId="2AFA642A">
      <w:pPr>
        <w:jc w:val="left"/>
        <w:rPr>
          <w:rFonts w:ascii="宋体" w:cs="等线 Light"/>
          <w:snapToGrid w:val="0"/>
          <w:kern w:val="0"/>
          <w:sz w:val="24"/>
          <w:szCs w:val="24"/>
          <w:highlight w:val="none"/>
        </w:rPr>
      </w:pPr>
    </w:p>
    <w:p w14:paraId="289A4397">
      <w:pPr>
        <w:jc w:val="left"/>
        <w:rPr>
          <w:rFonts w:ascii="宋体" w:cs="等线 Light"/>
          <w:snapToGrid w:val="0"/>
          <w:kern w:val="0"/>
          <w:sz w:val="24"/>
          <w:szCs w:val="24"/>
          <w:highlight w:val="none"/>
        </w:rPr>
      </w:pPr>
    </w:p>
    <w:p w14:paraId="7D5A83FC">
      <w:pPr>
        <w:jc w:val="left"/>
        <w:rPr>
          <w:rFonts w:ascii="宋体" w:cs="等线 Light"/>
          <w:snapToGrid w:val="0"/>
          <w:kern w:val="0"/>
          <w:sz w:val="24"/>
          <w:szCs w:val="24"/>
          <w:highlight w:val="none"/>
        </w:rPr>
      </w:pPr>
    </w:p>
    <w:p w14:paraId="7DFB1F6F">
      <w:pPr>
        <w:rPr>
          <w:b/>
          <w:bCs/>
          <w:highlight w:val="none"/>
        </w:rPr>
      </w:pPr>
      <w:r>
        <w:rPr>
          <w:rFonts w:hint="eastAsia"/>
          <w:kern w:val="0"/>
          <w:highlight w:val="none"/>
        </w:rPr>
        <w:br w:type="page"/>
      </w:r>
    </w:p>
    <w:p w14:paraId="4C4BF49B">
      <w:pPr>
        <w:pStyle w:val="39"/>
        <w:rPr>
          <w:highlight w:val="none"/>
        </w:rPr>
      </w:pPr>
      <w:r>
        <w:rPr>
          <w:highlight w:val="none"/>
        </w:rPr>
        <w:t>（</w:t>
      </w:r>
      <w:r>
        <w:rPr>
          <w:rFonts w:hint="eastAsia"/>
          <w:highlight w:val="none"/>
        </w:rPr>
        <w:t>四</w:t>
      </w:r>
      <w:r>
        <w:rPr>
          <w:highlight w:val="none"/>
        </w:rPr>
        <w:t>）中国执行信息公开网截图</w:t>
      </w:r>
    </w:p>
    <w:p w14:paraId="252A77ED">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104CBF8D">
      <w:pPr>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19FC5505">
      <w:pPr>
        <w:rPr>
          <w:highlight w:val="none"/>
        </w:rPr>
      </w:pPr>
    </w:p>
    <w:p w14:paraId="62BB8267">
      <w:pPr>
        <w:rPr>
          <w:highlight w:val="none"/>
        </w:rPr>
      </w:pPr>
    </w:p>
    <w:p w14:paraId="09A8A297">
      <w:pPr>
        <w:rPr>
          <w:highlight w:val="none"/>
        </w:rPr>
      </w:pPr>
    </w:p>
    <w:p w14:paraId="09790494">
      <w:pPr>
        <w:rPr>
          <w:highlight w:val="none"/>
        </w:rPr>
      </w:pPr>
      <w:r>
        <w:rPr>
          <w:rFonts w:hint="eastAsia"/>
          <w:highlight w:val="none"/>
        </w:rPr>
        <w:br w:type="page"/>
      </w:r>
    </w:p>
    <w:p w14:paraId="05F7F79E">
      <w:pPr>
        <w:pStyle w:val="39"/>
        <w:rPr>
          <w:highlight w:val="none"/>
        </w:rPr>
      </w:pPr>
      <w:r>
        <w:rPr>
          <w:rFonts w:hint="eastAsia"/>
          <w:highlight w:val="none"/>
          <w:lang w:val="zh-CN"/>
        </w:rPr>
        <w:t>（</w:t>
      </w:r>
      <w:r>
        <w:rPr>
          <w:rFonts w:hint="eastAsia"/>
          <w:highlight w:val="none"/>
        </w:rPr>
        <w:t>五</w:t>
      </w:r>
      <w:r>
        <w:rPr>
          <w:rFonts w:hint="eastAsia"/>
          <w:highlight w:val="none"/>
          <w:lang w:val="zh-CN"/>
        </w:rPr>
        <w:t>）项目案例</w:t>
      </w:r>
      <w:r>
        <w:rPr>
          <w:rFonts w:hint="eastAsia"/>
          <w:highlight w:val="none"/>
        </w:rPr>
        <w:t>和业绩证明文件复印件</w:t>
      </w:r>
    </w:p>
    <w:p w14:paraId="1CF04689">
      <w:pPr>
        <w:rPr>
          <w:highlight w:val="none"/>
        </w:rPr>
      </w:pPr>
      <w:r>
        <w:rPr>
          <w:rFonts w:hint="eastAsia"/>
          <w:highlight w:val="none"/>
        </w:rPr>
        <w:t>1、合同关键页（合同关键页</w:t>
      </w:r>
      <w:r>
        <w:rPr>
          <w:highlight w:val="none"/>
        </w:rPr>
        <w:t>包含：甲乙双方名称、双方印章、项目名称、合同签订时间</w:t>
      </w:r>
      <w:r>
        <w:rPr>
          <w:rFonts w:hint="eastAsia"/>
          <w:highlight w:val="none"/>
        </w:rPr>
        <w:t>、服务范围。）</w:t>
      </w:r>
    </w:p>
    <w:p w14:paraId="5CC41B2A">
      <w:pPr>
        <w:outlineLvl w:val="9"/>
        <w:rPr>
          <w:highlight w:val="none"/>
        </w:rPr>
      </w:pPr>
      <w:r>
        <w:rPr>
          <w:rFonts w:hint="eastAsia"/>
          <w:highlight w:val="none"/>
        </w:rPr>
        <w:t>2、项目简介（格式自拟）</w:t>
      </w:r>
    </w:p>
    <w:p w14:paraId="660E8F0C">
      <w:pPr>
        <w:rPr>
          <w:highlight w:val="none"/>
        </w:rPr>
      </w:pPr>
      <w:r>
        <w:rPr>
          <w:rFonts w:hint="eastAsia"/>
          <w:highlight w:val="none"/>
        </w:rPr>
        <w:t>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33E1F193">
      <w:pPr>
        <w:rPr>
          <w:highlight w:val="none"/>
        </w:rPr>
      </w:pPr>
    </w:p>
    <w:p w14:paraId="66D475BE">
      <w:pPr>
        <w:rPr>
          <w:highlight w:val="none"/>
          <w:lang w:val="zh-CN"/>
        </w:rPr>
      </w:pPr>
    </w:p>
    <w:p w14:paraId="1174DBFB">
      <w:pPr>
        <w:rPr>
          <w:highlight w:val="none"/>
        </w:rPr>
      </w:pPr>
      <w:r>
        <w:rPr>
          <w:highlight w:val="none"/>
        </w:rPr>
        <w:br w:type="page"/>
      </w:r>
    </w:p>
    <w:p w14:paraId="06B7D5FE">
      <w:pPr>
        <w:rPr>
          <w:highlight w:val="none"/>
        </w:rPr>
      </w:pPr>
    </w:p>
    <w:p w14:paraId="32DCDFC8">
      <w:pPr>
        <w:pStyle w:val="39"/>
        <w:rPr>
          <w:highlight w:val="none"/>
        </w:rPr>
      </w:pPr>
      <w:r>
        <w:rPr>
          <w:rFonts w:hint="eastAsia"/>
          <w:highlight w:val="none"/>
          <w:lang w:val="zh-CN"/>
        </w:rPr>
        <w:t>（</w:t>
      </w:r>
      <w:r>
        <w:rPr>
          <w:highlight w:val="none"/>
        </w:rPr>
        <w:t>六</w:t>
      </w:r>
      <w:r>
        <w:rPr>
          <w:rFonts w:hint="eastAsia"/>
          <w:highlight w:val="none"/>
          <w:lang w:val="zh-CN"/>
        </w:rPr>
        <w:t>）金融科技产品认证批准书</w:t>
      </w:r>
    </w:p>
    <w:p w14:paraId="3C06AD8D">
      <w:pPr>
        <w:rPr>
          <w:highlight w:val="none"/>
          <w:lang w:val="zh-CN"/>
        </w:rPr>
        <w:sectPr>
          <w:pgSz w:w="11906" w:h="16838"/>
          <w:pgMar w:top="1440" w:right="1800" w:bottom="1440" w:left="1800" w:header="851" w:footer="992" w:gutter="0"/>
          <w:cols w:space="720" w:num="1"/>
          <w:docGrid w:type="lines" w:linePitch="312" w:charSpace="0"/>
        </w:sectPr>
      </w:pPr>
    </w:p>
    <w:p w14:paraId="3261BB1F">
      <w:pPr>
        <w:pStyle w:val="39"/>
        <w:rPr>
          <w:highlight w:val="none"/>
          <w:lang w:val="zh-CN"/>
        </w:rPr>
      </w:pPr>
      <w:r>
        <w:rPr>
          <w:rFonts w:hint="eastAsia"/>
          <w:highlight w:val="none"/>
          <w:lang w:val="zh-CN"/>
        </w:rPr>
        <w:t>（</w:t>
      </w:r>
      <w:r>
        <w:rPr>
          <w:highlight w:val="none"/>
          <w:lang w:val="zh-CN"/>
        </w:rPr>
        <w:t>七</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0BC6617D">
      <w:pPr>
        <w:rPr>
          <w:highlight w:val="none"/>
          <w:lang w:val="zh-CN"/>
        </w:rPr>
      </w:pPr>
    </w:p>
    <w:p w14:paraId="4126C13F">
      <w:pPr>
        <w:rPr>
          <w:highlight w:val="none"/>
          <w:lang w:val="zh-CN"/>
        </w:rPr>
      </w:pPr>
    </w:p>
    <w:p w14:paraId="50D34CC0">
      <w:pPr>
        <w:rPr>
          <w:highlight w:val="none"/>
          <w:lang w:val="zh-CN"/>
        </w:rPr>
        <w:sectPr>
          <w:pgSz w:w="11906" w:h="16838"/>
          <w:pgMar w:top="1440" w:right="1800" w:bottom="1440" w:left="1800" w:header="851" w:footer="992" w:gutter="0"/>
          <w:cols w:space="720" w:num="1"/>
          <w:docGrid w:type="lines" w:linePitch="312" w:charSpace="0"/>
        </w:sectPr>
      </w:pPr>
    </w:p>
    <w:p w14:paraId="5F0CC22A">
      <w:pPr>
        <w:pStyle w:val="16"/>
        <w:rPr>
          <w:highlight w:val="none"/>
        </w:rPr>
      </w:pPr>
      <w:r>
        <w:rPr>
          <w:rFonts w:hint="eastAsia"/>
          <w:highlight w:val="none"/>
          <w:lang w:val="en-US" w:eastAsia="zh-CN"/>
        </w:rPr>
        <w:t>四</w:t>
      </w:r>
      <w:r>
        <w:rPr>
          <w:highlight w:val="none"/>
        </w:rPr>
        <w:t>、响应性文件</w:t>
      </w:r>
    </w:p>
    <w:p w14:paraId="1D751F7B">
      <w:pPr>
        <w:pStyle w:val="39"/>
        <w:rPr>
          <w:highlight w:val="none"/>
        </w:rPr>
      </w:pPr>
      <w:r>
        <w:rPr>
          <w:rFonts w:hint="eastAsia"/>
          <w:highlight w:val="none"/>
        </w:rPr>
        <w:t>（一）响应承诺函</w:t>
      </w:r>
    </w:p>
    <w:p w14:paraId="3A0A42DE">
      <w:pPr>
        <w:shd w:val="clear"/>
        <w:ind w:firstLine="480"/>
        <w:rPr>
          <w:rFonts w:hint="eastAsia"/>
          <w:color w:val="000000" w:themeColor="text1"/>
          <w:highlight w:val="none"/>
          <w14:textFill>
            <w14:solidFill>
              <w14:schemeClr w14:val="tx1"/>
            </w14:solidFill>
          </w14:textFill>
        </w:rPr>
      </w:pPr>
      <w:r>
        <w:rPr>
          <w:rFonts w:hint="eastAsia" w:ascii="宋体"/>
          <w:color w:val="000000" w:themeColor="text1"/>
          <w:szCs w:val="28"/>
          <w:highlight w:val="none"/>
          <w14:textFill>
            <w14:solidFill>
              <w14:schemeClr w14:val="tx1"/>
            </w14:solidFill>
          </w14:textFill>
        </w:rPr>
        <w:t>项目名称</w:t>
      </w:r>
      <w:r>
        <w:rPr>
          <w:rFonts w:hint="eastAsia" w:ascii="宋体"/>
          <w:color w:val="000000" w:themeColor="text1"/>
          <w:highlight w:val="none"/>
          <w14:textFill>
            <w14:solidFill>
              <w14:schemeClr w14:val="tx1"/>
            </w14:solidFill>
          </w14:textFill>
        </w:rPr>
        <w:t>：</w:t>
      </w:r>
    </w:p>
    <w:p w14:paraId="7259159B">
      <w:pPr>
        <w:shd w:val="clear"/>
        <w:autoSpaceDE/>
        <w:autoSpaceDN/>
        <w:ind w:firstLine="360"/>
        <w:rPr>
          <w:rFonts w:ascii="Times New Roman" w:hAnsi="Times New Roman" w:cs="Times New Roman"/>
          <w:color w:val="000000" w:themeColor="text1"/>
          <w:sz w:val="18"/>
          <w:szCs w:val="18"/>
          <w:highlight w:val="none"/>
          <w14:textFill>
            <w14:solidFill>
              <w14:schemeClr w14:val="tx1"/>
            </w14:solidFill>
          </w14:textFill>
        </w:rPr>
      </w:pPr>
    </w:p>
    <w:p w14:paraId="42B9FB7E">
      <w:pPr>
        <w:pStyle w:val="39"/>
        <w:shd w:val="clear"/>
        <w:ind w:firstLine="420" w:firstLineChars="200"/>
        <w:jc w:val="left"/>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致：重庆三峡银行股份有限公司：</w:t>
      </w:r>
    </w:p>
    <w:p w14:paraId="7E890250">
      <w:pPr>
        <w:shd w:val="clear"/>
        <w:ind w:firstLine="480"/>
        <w:rPr>
          <w:rFonts w:hint="eastAsia"/>
          <w:color w:val="000000" w:themeColor="text1"/>
          <w:highlight w:val="none"/>
          <w:lang w:val="zh-CN"/>
          <w14:textFill>
            <w14:solidFill>
              <w14:schemeClr w14:val="tx1"/>
            </w14:solidFill>
          </w14:textFill>
        </w:rPr>
      </w:pPr>
    </w:p>
    <w:p w14:paraId="389BED68">
      <w:pPr>
        <w:shd w:val="clear"/>
        <w:ind w:firstLine="480"/>
        <w:rPr>
          <w:rFonts w:ascii="Times New Roman" w:hAnsi="Times New Roman" w:cs="Times New Roman"/>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我公司郑重承诺，完全满足第三章“项目要求”所有内容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并</w:t>
      </w:r>
      <w:r>
        <w:rPr>
          <w:rFonts w:hint="eastAsia"/>
          <w:highlight w:val="none"/>
        </w:rPr>
        <w:t>承诺未征得采购人同意的情况下不得更换项目成员。</w:t>
      </w:r>
    </w:p>
    <w:p w14:paraId="09819F8F">
      <w:pPr>
        <w:shd w:val="clear"/>
        <w:spacing w:line="480" w:lineRule="exact"/>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特此承诺。</w:t>
      </w:r>
    </w:p>
    <w:p w14:paraId="5EED4B2B">
      <w:pPr>
        <w:shd w:val="clear"/>
        <w:ind w:firstLine="480"/>
        <w:rPr>
          <w:rFonts w:ascii="Times New Roman" w:hAnsi="Times New Roman" w:cs="Times New Roman"/>
          <w:color w:val="000000" w:themeColor="text1"/>
          <w:highlight w:val="none"/>
          <w:lang w:val="zh-CN"/>
          <w14:textFill>
            <w14:solidFill>
              <w14:schemeClr w14:val="tx1"/>
            </w14:solidFill>
          </w14:textFill>
        </w:rPr>
      </w:pPr>
    </w:p>
    <w:p w14:paraId="39CFA7D1">
      <w:pPr>
        <w:shd w:val="clear"/>
        <w:ind w:firstLine="480"/>
        <w:rPr>
          <w:rFonts w:ascii="Times New Roman" w:hAnsi="Times New Roman" w:cs="Times New Roman"/>
          <w:color w:val="000000" w:themeColor="text1"/>
          <w:highlight w:val="none"/>
          <w14:textFill>
            <w14:solidFill>
              <w14:schemeClr w14:val="tx1"/>
            </w14:solidFill>
          </w14:textFill>
        </w:rPr>
      </w:pPr>
    </w:p>
    <w:p w14:paraId="346C1A98">
      <w:pPr>
        <w:shd w:val="clear"/>
        <w:tabs>
          <w:tab w:val="left" w:pos="6300"/>
        </w:tabs>
        <w:snapToGrid w:val="0"/>
        <w:spacing w:line="480" w:lineRule="exact"/>
        <w:ind w:right="424" w:firstLine="480"/>
        <w:jc w:val="right"/>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w:t>
      </w:r>
      <w:r>
        <w:rPr>
          <w:rFonts w:hint="eastAsia" w:ascii="宋体" w:cs="等线 Light"/>
          <w:snapToGrid w:val="0"/>
          <w:color w:val="000000" w:themeColor="text1"/>
          <w:kern w:val="0"/>
          <w:szCs w:val="24"/>
          <w:highlight w:val="none"/>
          <w14:textFill>
            <w14:solidFill>
              <w14:schemeClr w14:val="tx1"/>
            </w14:solidFill>
          </w14:textFill>
        </w:rPr>
        <w:t>参选</w:t>
      </w:r>
      <w:r>
        <w:rPr>
          <w:rFonts w:hint="eastAsia" w:ascii="宋体"/>
          <w:color w:val="000000" w:themeColor="text1"/>
          <w:highlight w:val="none"/>
          <w14:textFill>
            <w14:solidFill>
              <w14:schemeClr w14:val="tx1"/>
            </w14:solidFill>
          </w14:textFill>
        </w:rPr>
        <w:t>人公章）</w:t>
      </w:r>
    </w:p>
    <w:p w14:paraId="055469DF">
      <w:pPr>
        <w:tabs>
          <w:tab w:val="left" w:pos="6300"/>
        </w:tabs>
        <w:snapToGrid w:val="0"/>
        <w:spacing w:line="480" w:lineRule="exact"/>
        <w:ind w:right="480" w:firstLine="480"/>
        <w:jc w:val="right"/>
        <w:rPr>
          <w:highlight w:val="none"/>
        </w:rPr>
      </w:pPr>
      <w:r>
        <w:rPr>
          <w:rFonts w:hint="eastAsia" w:ascii="宋体"/>
          <w:color w:val="000000" w:themeColor="text1"/>
          <w:highlight w:val="none"/>
          <w14:textFill>
            <w14:solidFill>
              <w14:schemeClr w14:val="tx1"/>
            </w14:solidFill>
          </w14:textFill>
        </w:rPr>
        <w:t>年   月   日</w:t>
      </w:r>
    </w:p>
    <w:p w14:paraId="4F357D02">
      <w:pPr>
        <w:rPr>
          <w:highlight w:val="none"/>
        </w:rPr>
        <w:sectPr>
          <w:pgSz w:w="11906" w:h="16838"/>
          <w:pgMar w:top="1440" w:right="1800" w:bottom="1440" w:left="1800" w:header="851" w:footer="992" w:gutter="0"/>
          <w:cols w:space="720" w:num="1"/>
          <w:docGrid w:type="lines" w:linePitch="312" w:charSpace="0"/>
        </w:sectPr>
      </w:pPr>
    </w:p>
    <w:p w14:paraId="37816FC3">
      <w:pPr>
        <w:widowControl/>
        <w:autoSpaceDE/>
        <w:autoSpaceDN/>
        <w:ind w:firstLine="420" w:firstLineChars="0"/>
        <w:jc w:val="center"/>
        <w:outlineLvl w:val="2"/>
        <w:rPr>
          <w:rFonts w:hint="eastAsia"/>
          <w:highlight w:val="none"/>
          <w:lang w:val="en-US" w:eastAsia="zh-CN"/>
        </w:rPr>
        <w:sectPr>
          <w:pgSz w:w="11906" w:h="16838"/>
          <w:pgMar w:top="1440" w:right="1800" w:bottom="1440" w:left="1800" w:header="851" w:footer="992" w:gutter="0"/>
          <w:cols w:space="720" w:num="1"/>
          <w:docGrid w:type="lines" w:linePitch="312" w:charSpace="0"/>
        </w:sectPr>
      </w:pPr>
      <w:r>
        <w:rPr>
          <w:rFonts w:hint="eastAsia"/>
          <w:highlight w:val="none"/>
        </w:rPr>
        <w:t>（</w:t>
      </w:r>
      <w:r>
        <w:rPr>
          <w:highlight w:val="none"/>
        </w:rPr>
        <w:t>二</w:t>
      </w:r>
      <w:r>
        <w:rPr>
          <w:rFonts w:hint="eastAsia"/>
          <w:highlight w:val="none"/>
        </w:rPr>
        <w:t>）</w:t>
      </w:r>
      <w:r>
        <w:rPr>
          <w:rFonts w:hint="eastAsia"/>
          <w:highlight w:val="none"/>
          <w:lang w:val="en-US" w:eastAsia="zh-CN"/>
        </w:rPr>
        <w:t>社保缴纳证明及相关材料</w:t>
      </w:r>
    </w:p>
    <w:p w14:paraId="5C51AC77">
      <w:pPr>
        <w:widowControl/>
        <w:autoSpaceDE/>
        <w:autoSpaceDN/>
        <w:ind w:firstLine="420" w:firstLineChars="0"/>
        <w:jc w:val="center"/>
        <w:outlineLvl w:val="2"/>
        <w:rPr>
          <w:rFonts w:hint="eastAsia"/>
          <w:highlight w:val="none"/>
          <w:lang w:val="en-US" w:eastAsia="zh-CN"/>
        </w:rPr>
      </w:pPr>
      <w:r>
        <w:rPr>
          <w:rFonts w:hint="eastAsia"/>
          <w:highlight w:val="none"/>
        </w:rPr>
        <w:t>（</w:t>
      </w:r>
      <w:r>
        <w:rPr>
          <w:highlight w:val="none"/>
        </w:rPr>
        <w:t>三</w:t>
      </w:r>
      <w:r>
        <w:rPr>
          <w:rFonts w:hint="eastAsia"/>
          <w:highlight w:val="none"/>
        </w:rPr>
        <w:t>）</w:t>
      </w:r>
      <w:r>
        <w:rPr>
          <w:rFonts w:hint="eastAsia"/>
          <w:highlight w:val="none"/>
          <w:lang w:val="en-US" w:eastAsia="zh-CN"/>
        </w:rPr>
        <w:t>项目经理个人简历</w:t>
      </w:r>
    </w:p>
    <w:p w14:paraId="13F90E09">
      <w:pPr>
        <w:widowControl/>
        <w:autoSpaceDE/>
        <w:autoSpaceDN/>
        <w:ind w:firstLine="420" w:firstLineChars="0"/>
        <w:jc w:val="center"/>
        <w:outlineLvl w:val="9"/>
        <w:rPr>
          <w:rFonts w:hint="eastAsia"/>
          <w:highlight w:val="none"/>
          <w:lang w:val="en-US" w:eastAsia="zh-CN"/>
        </w:rPr>
        <w:sectPr>
          <w:pgSz w:w="11906" w:h="16838"/>
          <w:pgMar w:top="1440" w:right="1800" w:bottom="1440" w:left="1800" w:header="851" w:footer="992" w:gutter="0"/>
          <w:cols w:space="720" w:num="1"/>
          <w:docGrid w:type="lines" w:linePitch="312" w:charSpace="0"/>
        </w:sectPr>
      </w:pPr>
      <w:r>
        <w:rPr>
          <w:rFonts w:hint="eastAsia"/>
          <w:highlight w:val="none"/>
          <w:lang w:val="en-US" w:eastAsia="zh-CN"/>
        </w:rPr>
        <w:t>（格式自拟）</w:t>
      </w:r>
    </w:p>
    <w:p w14:paraId="6303B810">
      <w:pPr>
        <w:widowControl/>
        <w:autoSpaceDE/>
        <w:autoSpaceDN/>
        <w:ind w:firstLine="420" w:firstLineChars="0"/>
        <w:jc w:val="left"/>
        <w:rPr>
          <w:rFonts w:hint="eastAsia"/>
          <w:highlight w:val="none"/>
          <w:lang w:val="en-US" w:eastAsia="zh-CN"/>
        </w:rPr>
      </w:pPr>
    </w:p>
    <w:p w14:paraId="2ED60D8C">
      <w:pPr>
        <w:pStyle w:val="39"/>
        <w:widowControl/>
        <w:autoSpaceDE/>
        <w:autoSpaceDN/>
        <w:ind w:firstLineChars="200"/>
        <w:jc w:val="center"/>
        <w:rPr>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highlight w:val="none"/>
        </w:rPr>
        <w:t>服务连续性预案</w:t>
      </w:r>
    </w:p>
    <w:p w14:paraId="1AA08677">
      <w:pPr>
        <w:ind w:firstLine="0" w:firstLineChars="0"/>
        <w:jc w:val="center"/>
        <w:outlineLvl w:val="9"/>
        <w:rPr>
          <w:highlight w:val="none"/>
        </w:rPr>
      </w:pPr>
      <w:r>
        <w:rPr>
          <w:rFonts w:hint="eastAsia"/>
          <w:highlight w:val="none"/>
        </w:rPr>
        <w:t>（应考虑供应链风险产生的影响）</w:t>
      </w:r>
    </w:p>
    <w:p w14:paraId="7A8F3AFD">
      <w:pPr>
        <w:jc w:val="center"/>
        <w:rPr>
          <w:highlight w:val="none"/>
        </w:rPr>
        <w:sectPr>
          <w:pgSz w:w="11906" w:h="16838"/>
          <w:pgMar w:top="1440" w:right="1800" w:bottom="1440" w:left="1800" w:header="851" w:footer="992" w:gutter="0"/>
          <w:cols w:space="720" w:num="1"/>
          <w:docGrid w:type="lines" w:linePitch="312" w:charSpace="0"/>
        </w:sectPr>
      </w:pPr>
    </w:p>
    <w:p w14:paraId="4A6B73E7">
      <w:pPr>
        <w:pStyle w:val="39"/>
        <w:rPr>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项目实施方案</w:t>
      </w:r>
    </w:p>
    <w:p w14:paraId="745AFF39">
      <w:pPr>
        <w:jc w:val="center"/>
        <w:rPr>
          <w:highlight w:val="none"/>
        </w:rPr>
        <w:sectPr>
          <w:pgSz w:w="11906" w:h="16838"/>
          <w:pgMar w:top="1440" w:right="1800" w:bottom="1440" w:left="1800" w:header="851" w:footer="992" w:gutter="0"/>
          <w:cols w:space="720" w:num="1"/>
          <w:docGrid w:type="lines" w:linePitch="312" w:charSpace="0"/>
        </w:sectPr>
      </w:pPr>
      <w:r>
        <w:rPr>
          <w:rFonts w:hint="eastAsia"/>
          <w:highlight w:val="none"/>
          <w:lang w:eastAsia="zh-CN"/>
        </w:rPr>
        <w:t>（</w:t>
      </w:r>
      <w:r>
        <w:rPr>
          <w:rFonts w:hint="eastAsia"/>
          <w:highlight w:val="none"/>
        </w:rPr>
        <w:t>方案应包含实施人员表（需明确项目经理和</w:t>
      </w:r>
      <w:r>
        <w:rPr>
          <w:highlight w:val="none"/>
        </w:rPr>
        <w:t>认证</w:t>
      </w:r>
      <w:r>
        <w:rPr>
          <w:rFonts w:hint="eastAsia"/>
          <w:highlight w:val="none"/>
        </w:rPr>
        <w:t>人员）、项目交付物清单等。</w:t>
      </w:r>
      <w:r>
        <w:rPr>
          <w:rFonts w:hint="eastAsia"/>
          <w:highlight w:val="none"/>
          <w:lang w:eastAsia="zh-CN"/>
        </w:rPr>
        <w:t>）</w:t>
      </w:r>
    </w:p>
    <w:p w14:paraId="260A384A">
      <w:pPr>
        <w:pStyle w:val="39"/>
        <w:rPr>
          <w:highlight w:val="none"/>
          <w:lang w:val="zh-CN"/>
        </w:rPr>
      </w:pPr>
      <w:r>
        <w:rPr>
          <w:rFonts w:hint="eastAsia"/>
          <w:highlight w:val="none"/>
          <w:lang w:val="zh-CN"/>
        </w:rPr>
        <w:t>（</w:t>
      </w:r>
      <w:r>
        <w:rPr>
          <w:rFonts w:hint="eastAsia"/>
          <w:highlight w:val="none"/>
          <w:lang w:val="en-US" w:eastAsia="zh-CN"/>
        </w:rPr>
        <w:t>六</w:t>
      </w:r>
      <w:r>
        <w:rPr>
          <w:rFonts w:hint="eastAsia"/>
          <w:highlight w:val="none"/>
          <w:lang w:val="zh-CN"/>
        </w:rPr>
        <w:t>）</w:t>
      </w:r>
      <w:r>
        <w:rPr>
          <w:highlight w:val="none"/>
        </w:rPr>
        <w:t>服务水平协议（SLA）</w:t>
      </w:r>
    </w:p>
    <w:p w14:paraId="5871EE58">
      <w:pPr>
        <w:rPr>
          <w:highlight w:val="none"/>
          <w:lang w:val="zh-CN"/>
        </w:rPr>
      </w:pPr>
    </w:p>
    <w:p w14:paraId="5624F92A">
      <w:pPr>
        <w:rPr>
          <w:highlight w:val="none"/>
          <w:lang w:val="zh-CN"/>
        </w:rPr>
      </w:pPr>
    </w:p>
    <w:tbl>
      <w:tblPr>
        <w:tblStyle w:val="23"/>
        <w:tblW w:w="13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07"/>
        <w:gridCol w:w="1401"/>
        <w:gridCol w:w="2685"/>
        <w:gridCol w:w="4934"/>
        <w:gridCol w:w="2170"/>
      </w:tblGrid>
      <w:tr w14:paraId="4D25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tcBorders>
              <w:tl2br w:val="nil"/>
              <w:tr2bl w:val="nil"/>
            </w:tcBorders>
            <w:shd w:val="clear" w:color="auto" w:fill="auto"/>
            <w:vAlign w:val="center"/>
          </w:tcPr>
          <w:p w14:paraId="3C17551F">
            <w:pPr>
              <w:ind w:left="0" w:firstLine="0" w:firstLineChars="0"/>
              <w:jc w:val="both"/>
              <w:rPr>
                <w:rFonts w:ascii="宋体" w:hAnsi="宋体" w:eastAsia="宋体"/>
                <w:b/>
                <w:sz w:val="21"/>
                <w:szCs w:val="21"/>
                <w:highlight w:val="none"/>
              </w:rPr>
            </w:pPr>
            <w:r>
              <w:rPr>
                <w:rFonts w:ascii="宋体" w:hAnsi="宋体" w:eastAsia="宋体"/>
                <w:b/>
                <w:sz w:val="21"/>
                <w:szCs w:val="21"/>
                <w:highlight w:val="none"/>
              </w:rPr>
              <w:t>序号</w:t>
            </w:r>
          </w:p>
        </w:tc>
        <w:tc>
          <w:tcPr>
            <w:tcW w:w="1110" w:type="dxa"/>
            <w:tcBorders>
              <w:tl2br w:val="nil"/>
              <w:tr2bl w:val="nil"/>
            </w:tcBorders>
            <w:shd w:val="clear" w:color="auto" w:fill="auto"/>
            <w:vAlign w:val="center"/>
          </w:tcPr>
          <w:p w14:paraId="607B26A0">
            <w:pPr>
              <w:ind w:left="0" w:firstLine="0" w:firstLineChars="0"/>
              <w:jc w:val="both"/>
              <w:rPr>
                <w:rFonts w:ascii="宋体" w:hAnsi="宋体" w:eastAsia="宋体"/>
                <w:b/>
                <w:sz w:val="21"/>
                <w:szCs w:val="21"/>
                <w:highlight w:val="none"/>
              </w:rPr>
            </w:pPr>
            <w:r>
              <w:rPr>
                <w:rFonts w:ascii="宋体" w:hAnsi="宋体" w:eastAsia="宋体"/>
                <w:b/>
                <w:sz w:val="21"/>
                <w:szCs w:val="21"/>
                <w:highlight w:val="none"/>
              </w:rPr>
              <w:t>评价维度</w:t>
            </w:r>
          </w:p>
        </w:tc>
        <w:tc>
          <w:tcPr>
            <w:tcW w:w="1405" w:type="dxa"/>
            <w:tcBorders>
              <w:tl2br w:val="nil"/>
              <w:tr2bl w:val="nil"/>
            </w:tcBorders>
            <w:shd w:val="clear" w:color="auto" w:fill="auto"/>
            <w:vAlign w:val="center"/>
          </w:tcPr>
          <w:p w14:paraId="6C6771DF">
            <w:pPr>
              <w:ind w:left="0" w:firstLine="0" w:firstLineChars="0"/>
              <w:jc w:val="both"/>
              <w:rPr>
                <w:rFonts w:ascii="宋体" w:hAnsi="宋体" w:eastAsia="宋体"/>
                <w:b/>
                <w:sz w:val="21"/>
                <w:szCs w:val="21"/>
                <w:highlight w:val="none"/>
              </w:rPr>
            </w:pPr>
            <w:r>
              <w:rPr>
                <w:rFonts w:ascii="宋体" w:hAnsi="宋体" w:eastAsia="宋体"/>
                <w:b/>
                <w:sz w:val="21"/>
                <w:szCs w:val="21"/>
                <w:highlight w:val="none"/>
              </w:rPr>
              <w:t>评价指标</w:t>
            </w:r>
          </w:p>
        </w:tc>
        <w:tc>
          <w:tcPr>
            <w:tcW w:w="2693" w:type="dxa"/>
            <w:tcBorders>
              <w:tl2br w:val="nil"/>
              <w:tr2bl w:val="nil"/>
            </w:tcBorders>
            <w:shd w:val="clear" w:color="auto" w:fill="auto"/>
            <w:vAlign w:val="center"/>
          </w:tcPr>
          <w:p w14:paraId="0F302D58">
            <w:pPr>
              <w:jc w:val="center"/>
              <w:rPr>
                <w:rFonts w:ascii="宋体" w:hAnsi="宋体" w:eastAsia="宋体"/>
                <w:b/>
                <w:sz w:val="21"/>
                <w:szCs w:val="21"/>
                <w:highlight w:val="none"/>
              </w:rPr>
            </w:pPr>
            <w:r>
              <w:rPr>
                <w:rFonts w:ascii="宋体" w:hAnsi="宋体" w:eastAsia="宋体"/>
                <w:b/>
                <w:sz w:val="21"/>
                <w:szCs w:val="21"/>
                <w:highlight w:val="none"/>
              </w:rPr>
              <w:t>指标定义</w:t>
            </w:r>
          </w:p>
        </w:tc>
        <w:tc>
          <w:tcPr>
            <w:tcW w:w="4950" w:type="dxa"/>
            <w:tcBorders>
              <w:tl2br w:val="nil"/>
              <w:tr2bl w:val="nil"/>
            </w:tcBorders>
            <w:shd w:val="clear" w:color="auto" w:fill="auto"/>
            <w:vAlign w:val="center"/>
          </w:tcPr>
          <w:p w14:paraId="262E08C7">
            <w:pPr>
              <w:jc w:val="center"/>
              <w:rPr>
                <w:rFonts w:ascii="宋体" w:hAnsi="宋体" w:eastAsia="宋体"/>
                <w:b/>
                <w:sz w:val="21"/>
                <w:szCs w:val="21"/>
                <w:highlight w:val="none"/>
              </w:rPr>
            </w:pPr>
            <w:r>
              <w:rPr>
                <w:rFonts w:ascii="宋体" w:hAnsi="宋体" w:eastAsia="宋体"/>
                <w:b/>
                <w:sz w:val="21"/>
                <w:szCs w:val="21"/>
                <w:highlight w:val="none"/>
              </w:rPr>
              <w:t>评分</w:t>
            </w:r>
            <w:r>
              <w:rPr>
                <w:rFonts w:hint="eastAsia" w:ascii="宋体" w:hAnsi="宋体" w:eastAsia="宋体"/>
                <w:b/>
                <w:sz w:val="21"/>
                <w:szCs w:val="21"/>
                <w:highlight w:val="none"/>
              </w:rPr>
              <w:t>/价</w:t>
            </w:r>
            <w:r>
              <w:rPr>
                <w:rFonts w:ascii="宋体" w:hAnsi="宋体" w:eastAsia="宋体"/>
                <w:b/>
                <w:sz w:val="21"/>
                <w:szCs w:val="21"/>
                <w:highlight w:val="none"/>
              </w:rPr>
              <w:t>标准</w:t>
            </w:r>
          </w:p>
        </w:tc>
        <w:tc>
          <w:tcPr>
            <w:tcW w:w="2176" w:type="dxa"/>
            <w:tcBorders>
              <w:tl2br w:val="nil"/>
              <w:tr2bl w:val="nil"/>
            </w:tcBorders>
            <w:shd w:val="clear" w:color="auto" w:fill="auto"/>
            <w:vAlign w:val="center"/>
          </w:tcPr>
          <w:p w14:paraId="1B36646F">
            <w:pPr>
              <w:jc w:val="center"/>
              <w:rPr>
                <w:rFonts w:ascii="宋体" w:hAnsi="宋体" w:eastAsia="宋体"/>
                <w:b/>
                <w:sz w:val="21"/>
                <w:szCs w:val="21"/>
                <w:highlight w:val="none"/>
              </w:rPr>
            </w:pPr>
            <w:r>
              <w:rPr>
                <w:rFonts w:hint="eastAsia" w:ascii="宋体" w:hAnsi="宋体" w:eastAsia="宋体"/>
                <w:b/>
                <w:sz w:val="21"/>
                <w:szCs w:val="21"/>
                <w:highlight w:val="none"/>
              </w:rPr>
              <w:t>违约金标准</w:t>
            </w:r>
          </w:p>
        </w:tc>
      </w:tr>
      <w:tr w14:paraId="0F1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1D720909">
            <w:pPr>
              <w:jc w:val="center"/>
              <w:rPr>
                <w:rFonts w:ascii="宋体" w:hAnsi="宋体" w:eastAsia="宋体"/>
                <w:sz w:val="21"/>
                <w:szCs w:val="21"/>
                <w:highlight w:val="none"/>
              </w:rPr>
            </w:pPr>
            <w:r>
              <w:rPr>
                <w:rFonts w:hint="eastAsia" w:ascii="宋体" w:hAnsi="宋体" w:eastAsia="宋体"/>
                <w:sz w:val="21"/>
                <w:szCs w:val="21"/>
                <w:highlight w:val="none"/>
              </w:rPr>
              <w:t>1</w:t>
            </w:r>
          </w:p>
        </w:tc>
        <w:tc>
          <w:tcPr>
            <w:tcW w:w="1110" w:type="dxa"/>
            <w:vMerge w:val="restart"/>
            <w:tcBorders>
              <w:tl2br w:val="nil"/>
              <w:tr2bl w:val="nil"/>
            </w:tcBorders>
            <w:shd w:val="clear" w:color="auto" w:fill="auto"/>
            <w:vAlign w:val="center"/>
          </w:tcPr>
          <w:p w14:paraId="3FB43C58">
            <w:pPr>
              <w:ind w:left="0" w:firstLine="0" w:firstLineChars="0"/>
              <w:jc w:val="both"/>
              <w:rPr>
                <w:rFonts w:ascii="宋体" w:hAnsi="宋体" w:eastAsia="宋体"/>
                <w:sz w:val="21"/>
                <w:szCs w:val="21"/>
                <w:highlight w:val="none"/>
              </w:rPr>
            </w:pPr>
            <w:r>
              <w:rPr>
                <w:rFonts w:hint="eastAsia" w:ascii="宋体" w:hAnsi="宋体" w:eastAsia="宋体"/>
                <w:sz w:val="21"/>
                <w:szCs w:val="21"/>
                <w:highlight w:val="none"/>
              </w:rPr>
              <w:t>服务质量</w:t>
            </w:r>
          </w:p>
        </w:tc>
        <w:tc>
          <w:tcPr>
            <w:tcW w:w="1405" w:type="dxa"/>
            <w:tcBorders>
              <w:tl2br w:val="nil"/>
              <w:tr2bl w:val="nil"/>
            </w:tcBorders>
            <w:shd w:val="clear" w:color="auto" w:fill="auto"/>
            <w:vAlign w:val="center"/>
          </w:tcPr>
          <w:p w14:paraId="18EA71F3">
            <w:pPr>
              <w:ind w:left="0" w:firstLine="0" w:firstLineChars="0"/>
              <w:jc w:val="both"/>
              <w:rPr>
                <w:rFonts w:ascii="宋体" w:hAnsi="宋体" w:eastAsia="宋体"/>
                <w:sz w:val="21"/>
                <w:szCs w:val="21"/>
                <w:highlight w:val="none"/>
              </w:rPr>
            </w:pPr>
            <w:r>
              <w:rPr>
                <w:rFonts w:ascii="宋体" w:hAnsi="宋体"/>
                <w:szCs w:val="21"/>
                <w:highlight w:val="none"/>
                <w:shd w:val="clear" w:color="auto" w:fill="auto"/>
              </w:rPr>
              <w:t>交付成果质量</w:t>
            </w:r>
          </w:p>
        </w:tc>
        <w:tc>
          <w:tcPr>
            <w:tcW w:w="2693" w:type="dxa"/>
            <w:tcBorders>
              <w:tl2br w:val="nil"/>
              <w:tr2bl w:val="nil"/>
            </w:tcBorders>
            <w:shd w:val="clear" w:color="auto" w:fill="auto"/>
            <w:vAlign w:val="center"/>
          </w:tcPr>
          <w:p w14:paraId="79E594E1">
            <w:pPr>
              <w:spacing w:beforeAutospacing="0" w:afterAutospacing="0" w:line="240" w:lineRule="auto"/>
              <w:ind w:left="0" w:firstLine="0" w:firstLineChars="0"/>
              <w:rPr>
                <w:rFonts w:ascii="宋体" w:hAnsi="宋体" w:eastAsia="宋体"/>
                <w:sz w:val="21"/>
                <w:szCs w:val="21"/>
                <w:highlight w:val="none"/>
              </w:rPr>
            </w:pPr>
            <w:r>
              <w:rPr>
                <w:rFonts w:ascii="宋体" w:hAnsi="宋体" w:eastAsia="宋体"/>
                <w:sz w:val="21"/>
                <w:szCs w:val="21"/>
                <w:highlight w:val="none"/>
              </w:rPr>
              <w:t>用于记录</w:t>
            </w:r>
            <w:r>
              <w:rPr>
                <w:rFonts w:hint="eastAsia" w:ascii="宋体" w:hAnsi="宋体" w:eastAsia="宋体"/>
                <w:sz w:val="21"/>
                <w:szCs w:val="21"/>
                <w:highlight w:val="none"/>
              </w:rPr>
              <w:t>乙方</w:t>
            </w:r>
            <w:r>
              <w:rPr>
                <w:rFonts w:ascii="宋体" w:hAnsi="宋体" w:eastAsia="宋体"/>
                <w:sz w:val="21"/>
                <w:szCs w:val="21"/>
                <w:highlight w:val="none"/>
              </w:rPr>
              <w:t>所提交的项目交付成果与</w:t>
            </w:r>
            <w:r>
              <w:rPr>
                <w:rFonts w:hint="eastAsia" w:ascii="宋体" w:hAnsi="宋体" w:eastAsia="宋体"/>
                <w:sz w:val="21"/>
                <w:szCs w:val="21"/>
                <w:highlight w:val="none"/>
              </w:rPr>
              <w:t>甲方</w:t>
            </w:r>
            <w:r>
              <w:rPr>
                <w:rFonts w:ascii="宋体" w:hAnsi="宋体" w:eastAsia="宋体"/>
                <w:sz w:val="21"/>
                <w:szCs w:val="21"/>
                <w:highlight w:val="none"/>
              </w:rPr>
              <w:t>要求的项目交付成果的契合度或交付成果质量与合同所约定要求的项目交付成果质量的满足程度</w:t>
            </w:r>
          </w:p>
        </w:tc>
        <w:tc>
          <w:tcPr>
            <w:tcW w:w="4950" w:type="dxa"/>
            <w:tcBorders>
              <w:tl2br w:val="nil"/>
              <w:tr2bl w:val="nil"/>
            </w:tcBorders>
            <w:shd w:val="clear" w:color="auto" w:fill="auto"/>
            <w:vAlign w:val="center"/>
          </w:tcPr>
          <w:p w14:paraId="1F4E1031">
            <w:pPr>
              <w:ind w:left="0" w:firstLine="0" w:firstLineChars="0"/>
              <w:rPr>
                <w:rFonts w:ascii="宋体" w:hAnsi="宋体"/>
                <w:szCs w:val="21"/>
                <w:highlight w:val="none"/>
              </w:rPr>
            </w:pPr>
            <w:r>
              <w:rPr>
                <w:rFonts w:hint="eastAsia" w:ascii="宋体" w:hAnsi="宋体" w:eastAsia="宋体"/>
                <w:b/>
                <w:bCs/>
                <w:sz w:val="21"/>
                <w:szCs w:val="21"/>
                <w:highlight w:val="none"/>
              </w:rPr>
              <w:t>优秀：</w:t>
            </w:r>
            <w:r>
              <w:rPr>
                <w:rFonts w:hint="eastAsia" w:ascii="宋体" w:hAnsi="宋体"/>
                <w:szCs w:val="21"/>
                <w:highlight w:val="none"/>
              </w:rPr>
              <w:t>10分，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能够主动快速与</w:t>
            </w:r>
            <w:r>
              <w:rPr>
                <w:rFonts w:hint="eastAsia" w:ascii="宋体" w:hAnsi="宋体"/>
                <w:szCs w:val="21"/>
                <w:highlight w:val="none"/>
              </w:rPr>
              <w:t>甲方</w:t>
            </w:r>
            <w:r>
              <w:rPr>
                <w:rFonts w:ascii="宋体" w:hAnsi="宋体"/>
                <w:szCs w:val="21"/>
                <w:highlight w:val="none"/>
              </w:rPr>
              <w:t>进行有效的沟通，交付成果高度契合需求，完全满足并超出合同约定的预期目标，给</w:t>
            </w:r>
            <w:r>
              <w:rPr>
                <w:rFonts w:hint="eastAsia" w:ascii="宋体" w:hAnsi="宋体"/>
                <w:szCs w:val="21"/>
                <w:highlight w:val="none"/>
              </w:rPr>
              <w:t>甲方</w:t>
            </w:r>
            <w:r>
              <w:rPr>
                <w:rFonts w:ascii="宋体" w:hAnsi="宋体"/>
                <w:szCs w:val="21"/>
                <w:highlight w:val="none"/>
              </w:rPr>
              <w:t>带来显著的附加价值</w:t>
            </w:r>
            <w:r>
              <w:rPr>
                <w:rFonts w:hint="eastAsia" w:ascii="宋体" w:hAnsi="宋体"/>
                <w:szCs w:val="21"/>
                <w:highlight w:val="none"/>
              </w:rPr>
              <w:t>；</w:t>
            </w:r>
          </w:p>
          <w:p w14:paraId="2F5E3F6E">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良好：</w:t>
            </w:r>
            <w:r>
              <w:rPr>
                <w:rFonts w:hint="eastAsia" w:ascii="宋体" w:hAnsi="宋体" w:eastAsia="宋体"/>
                <w:sz w:val="21"/>
                <w:szCs w:val="21"/>
                <w:highlight w:val="none"/>
              </w:rPr>
              <w:t>8分，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能够快速响应需求，交付成果达到合同约定的预期目标，基本契合需求，满足合同约定的预期目标</w:t>
            </w:r>
            <w:r>
              <w:rPr>
                <w:rFonts w:hint="eastAsia" w:ascii="宋体" w:hAnsi="宋体" w:eastAsia="宋体"/>
                <w:sz w:val="21"/>
                <w:szCs w:val="21"/>
                <w:highlight w:val="none"/>
              </w:rPr>
              <w:t>；</w:t>
            </w:r>
          </w:p>
          <w:p w14:paraId="48612192">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合格：</w:t>
            </w:r>
            <w:r>
              <w:rPr>
                <w:rFonts w:hint="eastAsia" w:ascii="宋体" w:hAnsi="宋体" w:eastAsia="宋体"/>
                <w:sz w:val="21"/>
                <w:szCs w:val="21"/>
                <w:highlight w:val="none"/>
              </w:rPr>
              <w:t>6分，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能够按要求响应需求，交付成果</w:t>
            </w:r>
            <w:r>
              <w:rPr>
                <w:rFonts w:hint="eastAsia" w:ascii="宋体" w:hAnsi="宋体" w:eastAsia="宋体"/>
                <w:sz w:val="21"/>
                <w:szCs w:val="21"/>
                <w:highlight w:val="none"/>
              </w:rPr>
              <w:t>基本满足</w:t>
            </w:r>
            <w:r>
              <w:rPr>
                <w:rFonts w:ascii="宋体" w:hAnsi="宋体" w:eastAsia="宋体"/>
                <w:sz w:val="21"/>
                <w:szCs w:val="21"/>
                <w:highlight w:val="none"/>
              </w:rPr>
              <w:t>需求，但是总体可满足合同约定的预期目标</w:t>
            </w:r>
            <w:r>
              <w:rPr>
                <w:rFonts w:hint="eastAsia" w:ascii="宋体" w:hAnsi="宋体" w:eastAsia="宋体"/>
                <w:sz w:val="21"/>
                <w:szCs w:val="21"/>
                <w:highlight w:val="none"/>
              </w:rPr>
              <w:t>；</w:t>
            </w:r>
          </w:p>
          <w:p w14:paraId="0BE0F878">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较差/差：</w:t>
            </w:r>
            <w:r>
              <w:rPr>
                <w:rFonts w:hint="eastAsia" w:ascii="宋体" w:hAnsi="宋体" w:eastAsia="宋体"/>
                <w:sz w:val="21"/>
                <w:szCs w:val="21"/>
                <w:highlight w:val="none"/>
              </w:rPr>
              <w:t>0分，</w:t>
            </w:r>
            <w:r>
              <w:rPr>
                <w:rFonts w:ascii="宋体" w:hAnsi="宋体" w:eastAsia="宋体"/>
                <w:sz w:val="21"/>
                <w:szCs w:val="21"/>
                <w:highlight w:val="none"/>
              </w:rPr>
              <w:t>指</w:t>
            </w:r>
            <w:r>
              <w:rPr>
                <w:rFonts w:hint="eastAsia" w:ascii="宋体" w:hAnsi="宋体" w:eastAsia="宋体"/>
                <w:sz w:val="21"/>
                <w:szCs w:val="21"/>
                <w:highlight w:val="none"/>
              </w:rPr>
              <w:t>乙方未</w:t>
            </w:r>
            <w:r>
              <w:rPr>
                <w:rFonts w:ascii="宋体" w:hAnsi="宋体" w:eastAsia="宋体"/>
                <w:sz w:val="21"/>
                <w:szCs w:val="21"/>
                <w:highlight w:val="none"/>
              </w:rPr>
              <w:t>能够按要求响应需求，</w:t>
            </w:r>
            <w:r>
              <w:rPr>
                <w:rFonts w:hint="eastAsia" w:ascii="宋体" w:hAnsi="宋体" w:eastAsia="宋体"/>
                <w:sz w:val="21"/>
                <w:szCs w:val="21"/>
                <w:highlight w:val="none"/>
              </w:rPr>
              <w:t>或</w:t>
            </w:r>
            <w:r>
              <w:rPr>
                <w:rFonts w:ascii="宋体" w:hAnsi="宋体" w:eastAsia="宋体"/>
                <w:sz w:val="21"/>
                <w:szCs w:val="21"/>
                <w:highlight w:val="none"/>
              </w:rPr>
              <w:t>交付成果与需求</w:t>
            </w:r>
            <w:r>
              <w:rPr>
                <w:rFonts w:hint="eastAsia" w:ascii="宋体" w:hAnsi="宋体" w:eastAsia="宋体"/>
                <w:sz w:val="21"/>
                <w:szCs w:val="21"/>
                <w:highlight w:val="none"/>
              </w:rPr>
              <w:t>契合度</w:t>
            </w:r>
            <w:r>
              <w:rPr>
                <w:rFonts w:ascii="宋体" w:hAnsi="宋体" w:eastAsia="宋体"/>
                <w:sz w:val="21"/>
                <w:szCs w:val="21"/>
                <w:highlight w:val="none"/>
              </w:rPr>
              <w:t>差距较大，无法达到合同约定的预期目标。</w:t>
            </w:r>
          </w:p>
        </w:tc>
        <w:tc>
          <w:tcPr>
            <w:tcW w:w="2176" w:type="dxa"/>
            <w:tcBorders>
              <w:tl2br w:val="nil"/>
              <w:tr2bl w:val="nil"/>
            </w:tcBorders>
            <w:shd w:val="clear" w:color="auto" w:fill="auto"/>
            <w:vAlign w:val="center"/>
          </w:tcPr>
          <w:p w14:paraId="4A4ACBF1">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交付成果每缺少一项扣除乙方金额人民币2</w:t>
            </w:r>
            <w:r>
              <w:rPr>
                <w:rFonts w:ascii="宋体" w:hAnsi="宋体" w:eastAsia="宋体"/>
                <w:sz w:val="21"/>
                <w:szCs w:val="21"/>
                <w:highlight w:val="none"/>
              </w:rPr>
              <w:t>000</w:t>
            </w:r>
            <w:r>
              <w:rPr>
                <w:rFonts w:hint="eastAsia" w:ascii="宋体" w:hAnsi="宋体" w:eastAsia="宋体"/>
                <w:sz w:val="21"/>
                <w:szCs w:val="21"/>
                <w:highlight w:val="none"/>
              </w:rPr>
              <w:t>元；每有一项交付成果质量不合格扣除乙方金额人民币2</w:t>
            </w:r>
            <w:r>
              <w:rPr>
                <w:rFonts w:ascii="宋体" w:hAnsi="宋体" w:eastAsia="宋体"/>
                <w:sz w:val="21"/>
                <w:szCs w:val="21"/>
                <w:highlight w:val="none"/>
              </w:rPr>
              <w:t>000</w:t>
            </w:r>
            <w:r>
              <w:rPr>
                <w:rFonts w:hint="eastAsia" w:ascii="宋体" w:hAnsi="宋体" w:eastAsia="宋体"/>
                <w:sz w:val="21"/>
                <w:szCs w:val="21"/>
                <w:highlight w:val="none"/>
              </w:rPr>
              <w:t>元。</w:t>
            </w:r>
          </w:p>
        </w:tc>
      </w:tr>
      <w:tr w14:paraId="6C9E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BAC5769">
            <w:pPr>
              <w:jc w:val="center"/>
              <w:rPr>
                <w:rFonts w:ascii="宋体" w:hAnsi="宋体" w:eastAsia="宋体"/>
                <w:sz w:val="21"/>
                <w:szCs w:val="21"/>
                <w:highlight w:val="none"/>
              </w:rPr>
            </w:pPr>
            <w:r>
              <w:rPr>
                <w:rFonts w:hint="eastAsia" w:ascii="宋体" w:hAnsi="宋体" w:eastAsia="宋体"/>
                <w:sz w:val="21"/>
                <w:szCs w:val="21"/>
                <w:highlight w:val="none"/>
              </w:rPr>
              <w:t>2</w:t>
            </w:r>
          </w:p>
        </w:tc>
        <w:tc>
          <w:tcPr>
            <w:tcW w:w="700" w:type="dxa"/>
            <w:vMerge w:val="continue"/>
            <w:tcBorders>
              <w:tl2br w:val="nil"/>
              <w:tr2bl w:val="nil"/>
            </w:tcBorders>
            <w:shd w:val="clear" w:color="auto" w:fill="auto"/>
          </w:tcPr>
          <w:p w14:paraId="3BCF3629">
            <w:pPr>
              <w:rPr>
                <w:highlight w:val="none"/>
              </w:rPr>
            </w:pPr>
          </w:p>
        </w:tc>
        <w:tc>
          <w:tcPr>
            <w:tcW w:w="1405" w:type="dxa"/>
            <w:tcBorders>
              <w:tl2br w:val="nil"/>
              <w:tr2bl w:val="nil"/>
            </w:tcBorders>
            <w:shd w:val="clear" w:color="auto" w:fill="auto"/>
            <w:vAlign w:val="center"/>
          </w:tcPr>
          <w:p w14:paraId="5D70FF2D">
            <w:pPr>
              <w:spacing w:beforeAutospacing="0" w:afterAutospacing="0" w:line="240" w:lineRule="auto"/>
              <w:ind w:left="0" w:firstLine="0" w:firstLineChars="0"/>
              <w:rPr>
                <w:rFonts w:ascii="宋体" w:hAnsi="宋体" w:eastAsia="宋体"/>
                <w:sz w:val="21"/>
                <w:szCs w:val="21"/>
                <w:highlight w:val="none"/>
              </w:rPr>
            </w:pPr>
            <w:r>
              <w:rPr>
                <w:rFonts w:ascii="宋体" w:hAnsi="宋体"/>
                <w:szCs w:val="21"/>
                <w:highlight w:val="none"/>
              </w:rPr>
              <w:t>证书暂停、撤销风险</w:t>
            </w:r>
          </w:p>
        </w:tc>
        <w:tc>
          <w:tcPr>
            <w:tcW w:w="2693" w:type="dxa"/>
            <w:tcBorders>
              <w:tl2br w:val="nil"/>
              <w:tr2bl w:val="nil"/>
            </w:tcBorders>
            <w:shd w:val="clear" w:color="auto" w:fill="auto"/>
            <w:vAlign w:val="center"/>
          </w:tcPr>
          <w:p w14:paraId="7EE36DAD">
            <w:pPr>
              <w:spacing w:beforeAutospacing="0" w:afterAutospacing="0" w:line="240" w:lineRule="auto"/>
              <w:ind w:left="0" w:firstLine="0" w:firstLineChars="0"/>
              <w:rPr>
                <w:rFonts w:ascii="宋体" w:hAnsi="宋体" w:eastAsia="宋体"/>
                <w:sz w:val="21"/>
                <w:szCs w:val="21"/>
                <w:highlight w:val="none"/>
              </w:rPr>
            </w:pPr>
            <w:r>
              <w:rPr>
                <w:rFonts w:ascii="宋体" w:hAnsi="宋体"/>
                <w:szCs w:val="21"/>
                <w:highlight w:val="none"/>
              </w:rPr>
              <w:t>用于记录</w:t>
            </w:r>
            <w:r>
              <w:rPr>
                <w:rFonts w:hint="eastAsia" w:ascii="宋体" w:hAnsi="宋体"/>
                <w:szCs w:val="21"/>
                <w:highlight w:val="none"/>
              </w:rPr>
              <w:t>因乙方原因</w:t>
            </w:r>
            <w:r>
              <w:rPr>
                <w:rFonts w:ascii="宋体" w:hAnsi="宋体"/>
                <w:szCs w:val="21"/>
                <w:highlight w:val="none"/>
              </w:rPr>
              <w:t>未充分评估服务实施周期等原因，出现获证后证书暂停、撤销事件</w:t>
            </w:r>
          </w:p>
        </w:tc>
        <w:tc>
          <w:tcPr>
            <w:tcW w:w="4950" w:type="dxa"/>
            <w:tcBorders>
              <w:tl2br w:val="nil"/>
              <w:tr2bl w:val="nil"/>
            </w:tcBorders>
            <w:shd w:val="clear" w:color="auto" w:fill="auto"/>
            <w:vAlign w:val="center"/>
          </w:tcPr>
          <w:p w14:paraId="372457D3">
            <w:pPr>
              <w:ind w:left="0" w:firstLine="0" w:firstLineChars="0"/>
              <w:rPr>
                <w:rFonts w:ascii="宋体" w:hAnsi="宋体" w:eastAsia="宋体"/>
                <w:sz w:val="21"/>
                <w:szCs w:val="21"/>
                <w:highlight w:val="none"/>
              </w:rPr>
            </w:pPr>
            <w:r>
              <w:rPr>
                <w:rFonts w:ascii="宋体" w:hAnsi="宋体" w:eastAsia="宋体"/>
                <w:sz w:val="21"/>
                <w:szCs w:val="21"/>
                <w:highlight w:val="none"/>
              </w:rPr>
              <w:t>出现证书暂停、撤销事件</w:t>
            </w:r>
            <w:r>
              <w:rPr>
                <w:rFonts w:hint="eastAsia" w:ascii="宋体" w:hAnsi="宋体" w:eastAsia="宋体"/>
                <w:b/>
                <w:bCs/>
                <w:sz w:val="21"/>
                <w:szCs w:val="21"/>
                <w:highlight w:val="none"/>
              </w:rPr>
              <w:t>【得分上限10分】</w:t>
            </w:r>
          </w:p>
          <w:p w14:paraId="42AC9FF3">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无</w:t>
            </w:r>
            <w:r>
              <w:rPr>
                <w:rFonts w:ascii="宋体" w:hAnsi="宋体" w:eastAsia="宋体"/>
                <w:b/>
                <w:bCs/>
                <w:sz w:val="21"/>
                <w:szCs w:val="21"/>
                <w:highlight w:val="none"/>
              </w:rPr>
              <w:t>风险</w:t>
            </w:r>
            <w:r>
              <w:rPr>
                <w:rFonts w:hint="eastAsia" w:ascii="宋体" w:hAnsi="宋体" w:eastAsia="宋体"/>
                <w:b/>
                <w:bCs/>
                <w:sz w:val="21"/>
                <w:szCs w:val="21"/>
                <w:highlight w:val="none"/>
              </w:rPr>
              <w:t>：</w:t>
            </w:r>
            <w:r>
              <w:rPr>
                <w:rFonts w:ascii="宋体" w:hAnsi="宋体" w:eastAsia="宋体"/>
                <w:sz w:val="21"/>
                <w:szCs w:val="21"/>
                <w:highlight w:val="none"/>
              </w:rPr>
              <w:t>10分，</w:t>
            </w:r>
            <w:r>
              <w:rPr>
                <w:rFonts w:hint="eastAsia" w:ascii="宋体" w:hAnsi="宋体" w:eastAsia="宋体"/>
                <w:sz w:val="21"/>
                <w:szCs w:val="21"/>
                <w:highlight w:val="none"/>
              </w:rPr>
              <w:t>指</w:t>
            </w:r>
            <w:r>
              <w:rPr>
                <w:rFonts w:ascii="宋体" w:hAnsi="宋体" w:eastAsia="宋体"/>
                <w:sz w:val="21"/>
                <w:szCs w:val="21"/>
                <w:highlight w:val="none"/>
              </w:rPr>
              <w:t>证书未出现暂停、撤销事件</w:t>
            </w:r>
            <w:r>
              <w:rPr>
                <w:rFonts w:hint="eastAsia" w:ascii="宋体" w:hAnsi="宋体" w:eastAsia="宋体"/>
                <w:sz w:val="21"/>
                <w:szCs w:val="21"/>
                <w:highlight w:val="none"/>
              </w:rPr>
              <w:t>，该项指标满分；</w:t>
            </w:r>
          </w:p>
          <w:p w14:paraId="0E4986AD">
            <w:pPr>
              <w:ind w:left="0" w:firstLine="0" w:firstLineChars="0"/>
              <w:rPr>
                <w:rFonts w:ascii="宋体" w:hAnsi="宋体" w:eastAsia="宋体"/>
                <w:sz w:val="21"/>
                <w:szCs w:val="21"/>
                <w:highlight w:val="none"/>
              </w:rPr>
            </w:pPr>
            <w:r>
              <w:rPr>
                <w:rFonts w:ascii="宋体" w:hAnsi="宋体" w:eastAsia="宋体"/>
                <w:b/>
                <w:bCs/>
                <w:sz w:val="21"/>
                <w:szCs w:val="21"/>
                <w:highlight w:val="none"/>
              </w:rPr>
              <w:t>证书暂停</w:t>
            </w:r>
            <w:r>
              <w:rPr>
                <w:rFonts w:hint="eastAsia" w:ascii="宋体" w:hAnsi="宋体" w:eastAsia="宋体"/>
                <w:b/>
                <w:bCs/>
                <w:sz w:val="21"/>
                <w:szCs w:val="21"/>
                <w:highlight w:val="none"/>
              </w:rPr>
              <w:t>：</w:t>
            </w:r>
            <w:r>
              <w:rPr>
                <w:rFonts w:ascii="宋体" w:hAnsi="宋体" w:eastAsia="宋体"/>
                <w:sz w:val="21"/>
                <w:szCs w:val="21"/>
                <w:highlight w:val="none"/>
              </w:rPr>
              <w:t>5</w:t>
            </w:r>
            <w:r>
              <w:rPr>
                <w:rFonts w:hint="eastAsia" w:ascii="宋体" w:hAnsi="宋体" w:eastAsia="宋体"/>
                <w:sz w:val="21"/>
                <w:szCs w:val="21"/>
                <w:highlight w:val="none"/>
              </w:rPr>
              <w:t>分</w:t>
            </w:r>
            <w:r>
              <w:rPr>
                <w:rFonts w:ascii="宋体" w:hAnsi="宋体" w:eastAsia="宋体"/>
                <w:sz w:val="21"/>
                <w:szCs w:val="21"/>
                <w:highlight w:val="none"/>
              </w:rPr>
              <w:t>，出现了证书暂停事件；</w:t>
            </w:r>
          </w:p>
          <w:p w14:paraId="58007C17">
            <w:pPr>
              <w:ind w:left="0" w:firstLine="0" w:firstLineChars="0"/>
              <w:rPr>
                <w:rFonts w:ascii="宋体" w:hAnsi="宋体"/>
                <w:szCs w:val="21"/>
                <w:highlight w:val="none"/>
              </w:rPr>
            </w:pPr>
            <w:r>
              <w:rPr>
                <w:rFonts w:ascii="宋体" w:hAnsi="宋体" w:eastAsia="宋体"/>
                <w:b/>
                <w:bCs/>
                <w:sz w:val="21"/>
                <w:szCs w:val="21"/>
                <w:highlight w:val="none"/>
              </w:rPr>
              <w:t>证书撤销</w:t>
            </w:r>
            <w:r>
              <w:rPr>
                <w:rFonts w:hint="eastAsia" w:ascii="宋体" w:hAnsi="宋体" w:eastAsia="宋体"/>
                <w:b/>
                <w:bCs/>
                <w:sz w:val="21"/>
                <w:szCs w:val="21"/>
                <w:highlight w:val="none"/>
              </w:rPr>
              <w:t>：</w:t>
            </w:r>
            <w:r>
              <w:rPr>
                <w:rFonts w:ascii="宋体" w:hAnsi="宋体" w:eastAsia="宋体"/>
                <w:sz w:val="21"/>
                <w:szCs w:val="21"/>
                <w:highlight w:val="none"/>
              </w:rPr>
              <w:t>0</w:t>
            </w:r>
            <w:r>
              <w:rPr>
                <w:rFonts w:hint="eastAsia" w:ascii="宋体" w:hAnsi="宋体" w:eastAsia="宋体"/>
                <w:sz w:val="21"/>
                <w:szCs w:val="21"/>
                <w:highlight w:val="none"/>
              </w:rPr>
              <w:t>分</w:t>
            </w:r>
            <w:r>
              <w:rPr>
                <w:rFonts w:ascii="宋体" w:hAnsi="宋体" w:eastAsia="宋体"/>
                <w:sz w:val="21"/>
                <w:szCs w:val="21"/>
                <w:highlight w:val="none"/>
              </w:rPr>
              <w:t>，出现了证书撤销事件。</w:t>
            </w:r>
          </w:p>
        </w:tc>
        <w:tc>
          <w:tcPr>
            <w:tcW w:w="2176" w:type="dxa"/>
            <w:tcBorders>
              <w:tl2br w:val="nil"/>
              <w:tr2bl w:val="nil"/>
            </w:tcBorders>
            <w:shd w:val="clear" w:color="auto" w:fill="auto"/>
            <w:vAlign w:val="center"/>
          </w:tcPr>
          <w:p w14:paraId="64B05390">
            <w:pPr>
              <w:ind w:left="0" w:firstLine="0" w:firstLineChars="0"/>
              <w:rPr>
                <w:rFonts w:ascii="宋体" w:hAnsi="宋体" w:eastAsia="宋体"/>
                <w:b/>
                <w:bCs/>
                <w:sz w:val="21"/>
                <w:szCs w:val="21"/>
                <w:highlight w:val="none"/>
              </w:rPr>
            </w:pPr>
            <w:r>
              <w:rPr>
                <w:rFonts w:ascii="宋体" w:hAnsi="宋体" w:eastAsia="宋体"/>
                <w:sz w:val="21"/>
                <w:szCs w:val="21"/>
                <w:highlight w:val="none"/>
              </w:rPr>
              <w:t>若出现证书暂停现象，扣除该项移动APP认证服务费用的20%；若出现证书撤销现象，扣除该项移动APP全部认证服务费用,并要求乙方赔偿实际损失。</w:t>
            </w:r>
          </w:p>
        </w:tc>
      </w:tr>
      <w:tr w14:paraId="7F1F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743A56AA">
            <w:pPr>
              <w:jc w:val="center"/>
              <w:rPr>
                <w:rFonts w:ascii="宋体" w:hAnsi="宋体" w:eastAsia="宋体"/>
                <w:sz w:val="21"/>
                <w:szCs w:val="21"/>
                <w:highlight w:val="none"/>
              </w:rPr>
            </w:pPr>
            <w:r>
              <w:rPr>
                <w:rFonts w:hint="eastAsia" w:ascii="宋体" w:hAnsi="宋体" w:eastAsia="宋体"/>
                <w:sz w:val="21"/>
                <w:szCs w:val="21"/>
                <w:highlight w:val="none"/>
              </w:rPr>
              <w:t>3</w:t>
            </w:r>
          </w:p>
        </w:tc>
        <w:tc>
          <w:tcPr>
            <w:tcW w:w="700" w:type="dxa"/>
            <w:vMerge w:val="continue"/>
            <w:tcBorders>
              <w:tl2br w:val="nil"/>
              <w:tr2bl w:val="nil"/>
            </w:tcBorders>
            <w:shd w:val="clear" w:color="auto" w:fill="auto"/>
          </w:tcPr>
          <w:p w14:paraId="6E4355D8">
            <w:pPr>
              <w:rPr>
                <w:highlight w:val="none"/>
              </w:rPr>
            </w:pPr>
          </w:p>
        </w:tc>
        <w:tc>
          <w:tcPr>
            <w:tcW w:w="1405" w:type="dxa"/>
            <w:tcBorders>
              <w:tl2br w:val="nil"/>
              <w:tr2bl w:val="nil"/>
            </w:tcBorders>
            <w:shd w:val="clear" w:color="auto" w:fill="auto"/>
            <w:vAlign w:val="center"/>
          </w:tcPr>
          <w:p w14:paraId="2FC98573">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信息</w:t>
            </w:r>
            <w:r>
              <w:rPr>
                <w:rFonts w:ascii="宋体" w:hAnsi="宋体" w:eastAsia="宋体"/>
                <w:sz w:val="21"/>
                <w:szCs w:val="21"/>
                <w:highlight w:val="none"/>
              </w:rPr>
              <w:t>安全</w:t>
            </w:r>
            <w:r>
              <w:rPr>
                <w:rFonts w:hint="eastAsia" w:ascii="宋体" w:hAnsi="宋体" w:eastAsia="宋体"/>
                <w:sz w:val="21"/>
                <w:szCs w:val="21"/>
                <w:highlight w:val="none"/>
              </w:rPr>
              <w:t>管理</w:t>
            </w:r>
          </w:p>
        </w:tc>
        <w:tc>
          <w:tcPr>
            <w:tcW w:w="2693" w:type="dxa"/>
            <w:tcBorders>
              <w:tl2br w:val="nil"/>
              <w:tr2bl w:val="nil"/>
            </w:tcBorders>
            <w:shd w:val="clear" w:color="auto" w:fill="auto"/>
            <w:vAlign w:val="center"/>
          </w:tcPr>
          <w:p w14:paraId="02297B43">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用</w:t>
            </w:r>
            <w:r>
              <w:rPr>
                <w:rFonts w:ascii="宋体" w:hAnsi="宋体" w:eastAsia="宋体"/>
                <w:sz w:val="21"/>
                <w:szCs w:val="21"/>
                <w:highlight w:val="none"/>
              </w:rPr>
              <w:t>于记录在外包人员安全防护意识方面的管理有效</w:t>
            </w:r>
            <w:r>
              <w:rPr>
                <w:rFonts w:hint="eastAsia" w:ascii="宋体" w:hAnsi="宋体" w:eastAsia="宋体"/>
                <w:sz w:val="21"/>
                <w:szCs w:val="21"/>
                <w:highlight w:val="none"/>
              </w:rPr>
              <w:t>性</w:t>
            </w:r>
          </w:p>
        </w:tc>
        <w:tc>
          <w:tcPr>
            <w:tcW w:w="4950" w:type="dxa"/>
            <w:tcBorders>
              <w:tl2br w:val="nil"/>
              <w:tr2bl w:val="nil"/>
            </w:tcBorders>
            <w:shd w:val="clear" w:color="auto" w:fill="auto"/>
            <w:vAlign w:val="center"/>
          </w:tcPr>
          <w:p w14:paraId="1463437E">
            <w:pPr>
              <w:ind w:left="0" w:firstLine="0" w:firstLineChars="0"/>
              <w:rPr>
                <w:rFonts w:ascii="宋体" w:hAnsi="宋体" w:eastAsia="宋体"/>
                <w:sz w:val="21"/>
                <w:szCs w:val="21"/>
                <w:highlight w:val="none"/>
              </w:rPr>
            </w:pPr>
            <w:r>
              <w:rPr>
                <w:rFonts w:ascii="宋体" w:hAnsi="宋体" w:eastAsia="宋体"/>
                <w:sz w:val="21"/>
                <w:szCs w:val="21"/>
                <w:highlight w:val="none"/>
              </w:rPr>
              <w:t>统计周期内安全防护失效的次数。</w:t>
            </w:r>
          </w:p>
          <w:p w14:paraId="6D407D13">
            <w:pPr>
              <w:ind w:left="0" w:firstLine="0" w:firstLineChars="0"/>
              <w:rPr>
                <w:rFonts w:ascii="宋体" w:hAnsi="宋体" w:eastAsia="宋体"/>
                <w:sz w:val="21"/>
                <w:szCs w:val="21"/>
                <w:highlight w:val="none"/>
              </w:rPr>
            </w:pPr>
            <w:r>
              <w:rPr>
                <w:rFonts w:hint="eastAsia" w:ascii="宋体" w:hAnsi="宋体" w:eastAsia="宋体"/>
                <w:sz w:val="21"/>
                <w:szCs w:val="21"/>
                <w:highlight w:val="none"/>
              </w:rPr>
              <w:t>（</w:t>
            </w:r>
            <w:r>
              <w:rPr>
                <w:rFonts w:ascii="宋体" w:hAnsi="宋体" w:eastAsia="宋体"/>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eastAsia="宋体"/>
                <w:sz w:val="21"/>
                <w:szCs w:val="21"/>
                <w:highlight w:val="none"/>
              </w:rPr>
              <w:t>c）</w:t>
            </w:r>
            <w:r>
              <w:rPr>
                <w:rFonts w:ascii="宋体" w:hAnsi="宋体" w:eastAsia="宋体"/>
                <w:sz w:val="21"/>
                <w:szCs w:val="21"/>
                <w:highlight w:val="none"/>
              </w:rPr>
              <w:t>随意搭建测试环境导致信息泄露或被作为攻击入口</w:t>
            </w:r>
            <w:r>
              <w:rPr>
                <w:rFonts w:hint="eastAsia" w:ascii="宋体" w:hAnsi="宋体" w:eastAsia="宋体"/>
                <w:sz w:val="21"/>
                <w:szCs w:val="21"/>
                <w:highlight w:val="none"/>
              </w:rPr>
              <w:t>。d）在生产运营系统上违反规定进行操作或在实施过程中留下信息系统后门等</w:t>
            </w:r>
            <w:r>
              <w:rPr>
                <w:rFonts w:ascii="宋体" w:hAnsi="宋体" w:eastAsia="宋体"/>
                <w:sz w:val="21"/>
                <w:szCs w:val="21"/>
                <w:highlight w:val="none"/>
              </w:rPr>
              <w:t>。</w:t>
            </w:r>
          </w:p>
          <w:p w14:paraId="3BBC8EB6">
            <w:pPr>
              <w:ind w:left="0" w:firstLine="0" w:firstLineChars="0"/>
              <w:rPr>
                <w:rFonts w:ascii="宋体" w:hAnsi="宋体"/>
                <w:szCs w:val="21"/>
                <w:highlight w:val="none"/>
              </w:rPr>
            </w:pPr>
            <w:r>
              <w:rPr>
                <w:rFonts w:hint="eastAsia" w:ascii="宋体" w:hAnsi="宋体" w:eastAsia="宋体"/>
                <w:b/>
                <w:bCs/>
                <w:sz w:val="21"/>
                <w:szCs w:val="21"/>
                <w:highlight w:val="none"/>
              </w:rPr>
              <w:t>【得分上限10分】</w:t>
            </w:r>
          </w:p>
          <w:p w14:paraId="7F52EC38">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0次：</w:t>
            </w:r>
            <w:r>
              <w:rPr>
                <w:rFonts w:hint="eastAsia" w:ascii="宋体" w:hAnsi="宋体" w:eastAsia="宋体"/>
                <w:sz w:val="21"/>
                <w:szCs w:val="21"/>
                <w:highlight w:val="none"/>
              </w:rPr>
              <w:t>未出现安全防护失效行为，10分；</w:t>
            </w:r>
          </w:p>
          <w:p w14:paraId="30D2F080">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1次及以上</w:t>
            </w:r>
            <w:r>
              <w:rPr>
                <w:rFonts w:hint="eastAsia" w:ascii="宋体" w:hAnsi="宋体" w:eastAsia="宋体"/>
                <w:sz w:val="21"/>
                <w:szCs w:val="21"/>
                <w:highlight w:val="none"/>
              </w:rPr>
              <w:t>：出现安全防护失效行为，每出现一次扣5分，最多扣10分。</w:t>
            </w:r>
          </w:p>
        </w:tc>
        <w:tc>
          <w:tcPr>
            <w:tcW w:w="2176" w:type="dxa"/>
            <w:tcBorders>
              <w:tl2br w:val="nil"/>
              <w:tr2bl w:val="nil"/>
            </w:tcBorders>
            <w:shd w:val="clear" w:color="auto" w:fill="auto"/>
            <w:vAlign w:val="center"/>
          </w:tcPr>
          <w:p w14:paraId="1F3D8014">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若出现信息安全防护失效行为未导致严重后果的，扣除乙方金额人民币不低于1万元；</w:t>
            </w:r>
          </w:p>
          <w:p w14:paraId="402BD687">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若出现信息安全防护失效行为导致严重后果，或被上级或监管单位通报的，扣除乙方</w:t>
            </w:r>
            <w:r>
              <w:rPr>
                <w:rFonts w:ascii="宋体" w:hAnsi="宋体" w:eastAsia="宋体"/>
                <w:sz w:val="21"/>
                <w:szCs w:val="21"/>
                <w:highlight w:val="none"/>
              </w:rPr>
              <w:t>金额人民币</w:t>
            </w:r>
            <w:r>
              <w:rPr>
                <w:rFonts w:hint="eastAsia" w:ascii="宋体" w:hAnsi="宋体" w:eastAsia="宋体"/>
                <w:sz w:val="21"/>
                <w:szCs w:val="21"/>
                <w:highlight w:val="none"/>
              </w:rPr>
              <w:t>不低于2万元，并要求乙方赔偿实际损失。</w:t>
            </w:r>
          </w:p>
        </w:tc>
      </w:tr>
      <w:tr w14:paraId="755E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0E193659">
            <w:pPr>
              <w:jc w:val="center"/>
              <w:rPr>
                <w:rFonts w:ascii="宋体" w:hAnsi="宋体" w:eastAsia="宋体"/>
                <w:sz w:val="21"/>
                <w:szCs w:val="21"/>
                <w:highlight w:val="none"/>
              </w:rPr>
            </w:pPr>
            <w:r>
              <w:rPr>
                <w:rFonts w:hint="eastAsia" w:ascii="宋体" w:hAnsi="宋体" w:eastAsia="宋体"/>
                <w:sz w:val="21"/>
                <w:szCs w:val="21"/>
                <w:highlight w:val="none"/>
              </w:rPr>
              <w:t>4</w:t>
            </w:r>
          </w:p>
        </w:tc>
        <w:tc>
          <w:tcPr>
            <w:tcW w:w="700" w:type="dxa"/>
            <w:vMerge w:val="continue"/>
            <w:tcBorders>
              <w:tl2br w:val="nil"/>
              <w:tr2bl w:val="nil"/>
            </w:tcBorders>
            <w:shd w:val="clear" w:color="auto" w:fill="auto"/>
          </w:tcPr>
          <w:p w14:paraId="21FB3B70">
            <w:pPr>
              <w:rPr>
                <w:highlight w:val="none"/>
              </w:rPr>
            </w:pPr>
          </w:p>
        </w:tc>
        <w:tc>
          <w:tcPr>
            <w:tcW w:w="1405" w:type="dxa"/>
            <w:tcBorders>
              <w:tl2br w:val="nil"/>
              <w:tr2bl w:val="nil"/>
            </w:tcBorders>
            <w:shd w:val="clear" w:color="auto" w:fill="auto"/>
            <w:vAlign w:val="center"/>
          </w:tcPr>
          <w:p w14:paraId="0064FB74">
            <w:pPr>
              <w:ind w:left="0" w:firstLine="0" w:firstLineChars="0"/>
              <w:rPr>
                <w:rFonts w:ascii="宋体" w:hAnsi="宋体" w:eastAsia="宋体"/>
                <w:sz w:val="21"/>
                <w:szCs w:val="21"/>
                <w:highlight w:val="none"/>
              </w:rPr>
            </w:pPr>
            <w:r>
              <w:rPr>
                <w:rFonts w:ascii="宋体" w:hAnsi="宋体" w:eastAsia="宋体"/>
                <w:sz w:val="21"/>
                <w:szCs w:val="21"/>
                <w:highlight w:val="none"/>
              </w:rPr>
              <w:t>安全测试违规情况</w:t>
            </w:r>
          </w:p>
        </w:tc>
        <w:tc>
          <w:tcPr>
            <w:tcW w:w="2693" w:type="dxa"/>
            <w:tcBorders>
              <w:tl2br w:val="nil"/>
              <w:tr2bl w:val="nil"/>
            </w:tcBorders>
            <w:shd w:val="clear" w:color="auto" w:fill="auto"/>
            <w:vAlign w:val="center"/>
          </w:tcPr>
          <w:p w14:paraId="377EED64">
            <w:pPr>
              <w:ind w:left="0" w:firstLine="0" w:firstLineChars="0"/>
              <w:rPr>
                <w:rFonts w:ascii="宋体" w:hAnsi="宋体" w:eastAsia="宋体"/>
                <w:sz w:val="21"/>
                <w:szCs w:val="21"/>
                <w:highlight w:val="none"/>
              </w:rPr>
            </w:pPr>
            <w:r>
              <w:rPr>
                <w:rFonts w:ascii="宋体" w:hAnsi="宋体" w:eastAsia="宋体"/>
                <w:sz w:val="21"/>
                <w:szCs w:val="21"/>
                <w:highlight w:val="none"/>
              </w:rPr>
              <w:t>用于记录</w:t>
            </w:r>
            <w:r>
              <w:rPr>
                <w:rFonts w:hint="eastAsia" w:ascii="宋体" w:hAnsi="宋体" w:eastAsia="宋体"/>
                <w:sz w:val="21"/>
                <w:szCs w:val="21"/>
                <w:highlight w:val="none"/>
              </w:rPr>
              <w:t>乙方</w:t>
            </w:r>
            <w:r>
              <w:rPr>
                <w:rFonts w:ascii="宋体" w:hAnsi="宋体" w:eastAsia="宋体"/>
                <w:sz w:val="21"/>
                <w:szCs w:val="21"/>
                <w:highlight w:val="none"/>
              </w:rPr>
              <w:t>安全测试管理措施的有效性</w:t>
            </w:r>
          </w:p>
        </w:tc>
        <w:tc>
          <w:tcPr>
            <w:tcW w:w="4950" w:type="dxa"/>
            <w:tcBorders>
              <w:tl2br w:val="nil"/>
              <w:tr2bl w:val="nil"/>
            </w:tcBorders>
            <w:shd w:val="clear" w:color="auto" w:fill="auto"/>
            <w:vAlign w:val="center"/>
          </w:tcPr>
          <w:p w14:paraId="4078E083">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统</w:t>
            </w:r>
            <w:r>
              <w:rPr>
                <w:rFonts w:ascii="宋体" w:hAnsi="宋体" w:eastAsia="宋体"/>
                <w:sz w:val="21"/>
                <w:szCs w:val="21"/>
                <w:highlight w:val="none"/>
              </w:rPr>
              <w:t>计周期内</w:t>
            </w:r>
            <w:r>
              <w:rPr>
                <w:rFonts w:hint="eastAsia" w:ascii="宋体" w:hAnsi="宋体" w:eastAsia="宋体"/>
                <w:sz w:val="21"/>
                <w:szCs w:val="21"/>
                <w:highlight w:val="none"/>
              </w:rPr>
              <w:t>甲方</w:t>
            </w:r>
            <w:r>
              <w:rPr>
                <w:rFonts w:ascii="宋体" w:hAnsi="宋体" w:eastAsia="宋体"/>
                <w:sz w:val="21"/>
                <w:szCs w:val="21"/>
                <w:highlight w:val="none"/>
              </w:rPr>
              <w:t>发生安全测试违规行为的次数。服务人员在为</w:t>
            </w:r>
            <w:r>
              <w:rPr>
                <w:rFonts w:hint="eastAsia" w:ascii="宋体" w:hAnsi="宋体" w:eastAsia="宋体"/>
                <w:sz w:val="21"/>
                <w:szCs w:val="21"/>
                <w:highlight w:val="none"/>
              </w:rPr>
              <w:t>甲方</w:t>
            </w:r>
            <w:r>
              <w:rPr>
                <w:rFonts w:ascii="宋体" w:hAnsi="宋体" w:eastAsia="宋体"/>
                <w:sz w:val="21"/>
                <w:szCs w:val="21"/>
                <w:highlight w:val="none"/>
              </w:rPr>
              <w:t>提供安全测试等服务期间，不遵守安全测试要求和规范，出现以下行为，即为违规：a）向其他平台提交、泄漏客户漏洞情况和资产等相关信息。</w:t>
            </w:r>
            <w:r>
              <w:rPr>
                <w:rFonts w:hint="eastAsia" w:ascii="宋体" w:hAnsi="宋体" w:eastAsia="宋体"/>
                <w:sz w:val="21"/>
                <w:szCs w:val="21"/>
                <w:highlight w:val="none"/>
              </w:rPr>
              <w:t>b</w:t>
            </w:r>
            <w:r>
              <w:rPr>
                <w:rFonts w:ascii="宋体" w:hAnsi="宋体" w:eastAsia="宋体"/>
                <w:sz w:val="21"/>
                <w:szCs w:val="21"/>
                <w:highlight w:val="none"/>
              </w:rPr>
              <w:t>）向金融机构隐瞒漏洞情况，如：发现漏洞不上报等行为。</w:t>
            </w:r>
            <w:r>
              <w:rPr>
                <w:rFonts w:hint="eastAsia" w:ascii="宋体" w:hAnsi="宋体" w:eastAsia="宋体"/>
                <w:sz w:val="21"/>
                <w:szCs w:val="21"/>
                <w:highlight w:val="none"/>
              </w:rPr>
              <w:t>c</w:t>
            </w:r>
            <w:r>
              <w:rPr>
                <w:rFonts w:ascii="宋体" w:hAnsi="宋体" w:eastAsia="宋体"/>
                <w:sz w:val="21"/>
                <w:szCs w:val="21"/>
                <w:highlight w:val="none"/>
              </w:rPr>
              <w:t>）攻击过程中，客户要求停止时，未立刻停止攻击行为。</w:t>
            </w:r>
            <w:r>
              <w:rPr>
                <w:rFonts w:hint="eastAsia" w:ascii="宋体" w:hAnsi="宋体" w:eastAsia="宋体"/>
                <w:sz w:val="21"/>
                <w:szCs w:val="21"/>
                <w:highlight w:val="none"/>
              </w:rPr>
              <w:t>d</w:t>
            </w:r>
            <w:r>
              <w:rPr>
                <w:rFonts w:ascii="宋体" w:hAnsi="宋体" w:eastAsia="宋体"/>
                <w:sz w:val="21"/>
                <w:szCs w:val="21"/>
                <w:highlight w:val="none"/>
              </w:rPr>
              <w:t>）攻击过程中，系统出现异常，如宕机、访问缓慢等，未第一时间停止任何操作 并与金融机构汇报沟通反馈。</w:t>
            </w:r>
            <w:r>
              <w:rPr>
                <w:rFonts w:hint="eastAsia" w:ascii="宋体" w:hAnsi="宋体" w:eastAsia="宋体"/>
                <w:sz w:val="21"/>
                <w:szCs w:val="21"/>
                <w:highlight w:val="none"/>
              </w:rPr>
              <w:t>e</w:t>
            </w:r>
            <w:r>
              <w:rPr>
                <w:rFonts w:ascii="宋体" w:hAnsi="宋体" w:eastAsia="宋体"/>
                <w:sz w:val="21"/>
                <w:szCs w:val="21"/>
                <w:highlight w:val="none"/>
              </w:rPr>
              <w:t>）对登录页弱口令进行穷举爆破时，未判断锁定策略即大批量用户的密码穷举测试。</w:t>
            </w:r>
            <w:r>
              <w:rPr>
                <w:rFonts w:hint="eastAsia" w:ascii="宋体" w:hAnsi="宋体" w:eastAsia="宋体"/>
                <w:sz w:val="21"/>
                <w:szCs w:val="21"/>
                <w:highlight w:val="none"/>
              </w:rPr>
              <w:t>f</w:t>
            </w:r>
            <w:r>
              <w:rPr>
                <w:rFonts w:ascii="宋体" w:hAnsi="宋体" w:eastAsia="宋体"/>
                <w:sz w:val="21"/>
                <w:szCs w:val="21"/>
                <w:highlight w:val="none"/>
              </w:rPr>
              <w:t>）攻击队员采用网络后台管理脚本（webshell）或其他远控木马版本后留存后门。</w:t>
            </w:r>
            <w:r>
              <w:rPr>
                <w:rFonts w:hint="eastAsia" w:ascii="宋体" w:hAnsi="宋体" w:eastAsia="宋体"/>
                <w:sz w:val="21"/>
                <w:szCs w:val="21"/>
                <w:highlight w:val="none"/>
              </w:rPr>
              <w:t>g</w:t>
            </w:r>
            <w:r>
              <w:rPr>
                <w:rFonts w:ascii="宋体" w:hAnsi="宋体" w:eastAsia="宋体"/>
                <w:sz w:val="21"/>
                <w:szCs w:val="21"/>
                <w:highlight w:val="none"/>
              </w:rPr>
              <w:t>）暴力破解、上传webshell、利用webshell横向渗透前未向负责人请示说明取得同意后进行。</w:t>
            </w:r>
            <w:r>
              <w:rPr>
                <w:rFonts w:hint="eastAsia" w:ascii="宋体" w:hAnsi="宋体" w:eastAsia="宋体"/>
                <w:sz w:val="21"/>
                <w:szCs w:val="21"/>
                <w:highlight w:val="none"/>
              </w:rPr>
              <w:t>h</w:t>
            </w:r>
            <w:r>
              <w:rPr>
                <w:rFonts w:ascii="宋体" w:hAnsi="宋体" w:eastAsia="宋体"/>
                <w:sz w:val="21"/>
                <w:szCs w:val="21"/>
                <w:highlight w:val="none"/>
              </w:rPr>
              <w:t>）造成木马等有害文件遗留，攻击测试过程中在对用户数据、操作系统密码做修改前未向负责人请示说明并取得同意。</w:t>
            </w:r>
          </w:p>
          <w:p w14:paraId="18673894">
            <w:pPr>
              <w:ind w:left="0" w:firstLine="0" w:firstLineChars="0"/>
              <w:rPr>
                <w:rFonts w:ascii="宋体" w:hAnsi="宋体" w:eastAsia="宋体"/>
                <w:b/>
                <w:bCs/>
                <w:sz w:val="21"/>
                <w:szCs w:val="21"/>
                <w:highlight w:val="none"/>
              </w:rPr>
            </w:pPr>
            <w:r>
              <w:rPr>
                <w:rFonts w:hint="eastAsia" w:ascii="宋体" w:hAnsi="宋体" w:eastAsia="宋体"/>
                <w:b/>
                <w:bCs/>
                <w:sz w:val="21"/>
                <w:szCs w:val="21"/>
                <w:highlight w:val="none"/>
              </w:rPr>
              <w:t>【得分上限15分】</w:t>
            </w:r>
          </w:p>
          <w:p w14:paraId="21879D19">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0次：</w:t>
            </w:r>
            <w:r>
              <w:rPr>
                <w:rFonts w:hint="eastAsia" w:ascii="宋体" w:hAnsi="宋体" w:eastAsia="宋体"/>
                <w:sz w:val="21"/>
                <w:szCs w:val="21"/>
                <w:highlight w:val="none"/>
              </w:rPr>
              <w:t>未出现</w:t>
            </w:r>
            <w:r>
              <w:rPr>
                <w:rFonts w:ascii="宋体" w:hAnsi="宋体" w:eastAsia="宋体"/>
                <w:sz w:val="21"/>
                <w:szCs w:val="21"/>
                <w:highlight w:val="none"/>
              </w:rPr>
              <w:t>安全测试违规行为</w:t>
            </w:r>
            <w:r>
              <w:rPr>
                <w:rFonts w:hint="eastAsia" w:ascii="宋体" w:hAnsi="宋体" w:eastAsia="宋体"/>
                <w:sz w:val="21"/>
                <w:szCs w:val="21"/>
                <w:highlight w:val="none"/>
              </w:rPr>
              <w:t>，15分</w:t>
            </w:r>
          </w:p>
          <w:p w14:paraId="5D2AC70C">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1次及以上</w:t>
            </w:r>
            <w:r>
              <w:rPr>
                <w:rFonts w:hint="eastAsia" w:ascii="宋体" w:hAnsi="宋体" w:eastAsia="宋体"/>
                <w:sz w:val="21"/>
                <w:szCs w:val="21"/>
                <w:highlight w:val="none"/>
              </w:rPr>
              <w:t>：每出现1次</w:t>
            </w:r>
            <w:r>
              <w:rPr>
                <w:rFonts w:ascii="宋体" w:hAnsi="宋体" w:eastAsia="宋体"/>
                <w:sz w:val="21"/>
                <w:szCs w:val="21"/>
                <w:highlight w:val="none"/>
              </w:rPr>
              <w:t>安全测试违规行为</w:t>
            </w:r>
            <w:r>
              <w:rPr>
                <w:rFonts w:hint="eastAsia" w:ascii="宋体" w:hAnsi="宋体" w:eastAsia="宋体"/>
                <w:sz w:val="21"/>
                <w:szCs w:val="21"/>
                <w:highlight w:val="none"/>
              </w:rPr>
              <w:t>，扣5分，最多扣15分。</w:t>
            </w:r>
          </w:p>
        </w:tc>
        <w:tc>
          <w:tcPr>
            <w:tcW w:w="2176" w:type="dxa"/>
            <w:tcBorders>
              <w:tl2br w:val="nil"/>
              <w:tr2bl w:val="nil"/>
            </w:tcBorders>
            <w:shd w:val="clear" w:color="auto" w:fill="auto"/>
            <w:vAlign w:val="center"/>
          </w:tcPr>
          <w:p w14:paraId="785CD13A">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若出现</w:t>
            </w:r>
            <w:r>
              <w:rPr>
                <w:rFonts w:ascii="宋体" w:hAnsi="宋体" w:eastAsia="宋体"/>
                <w:sz w:val="21"/>
                <w:szCs w:val="21"/>
                <w:highlight w:val="none"/>
              </w:rPr>
              <w:t>安全测试违规</w:t>
            </w:r>
            <w:r>
              <w:rPr>
                <w:rFonts w:hint="eastAsia" w:ascii="宋体" w:hAnsi="宋体" w:eastAsia="宋体"/>
                <w:sz w:val="21"/>
                <w:szCs w:val="21"/>
                <w:highlight w:val="none"/>
              </w:rPr>
              <w:t>行为未导致严重后果的，扣除乙方金额人民币不低于1万元；</w:t>
            </w:r>
          </w:p>
          <w:p w14:paraId="64E4CEB8">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若出现</w:t>
            </w:r>
            <w:r>
              <w:rPr>
                <w:rFonts w:ascii="宋体" w:hAnsi="宋体" w:eastAsia="宋体"/>
                <w:sz w:val="21"/>
                <w:szCs w:val="21"/>
                <w:highlight w:val="none"/>
              </w:rPr>
              <w:t>安全测试违规</w:t>
            </w:r>
            <w:r>
              <w:rPr>
                <w:rFonts w:hint="eastAsia" w:ascii="宋体" w:hAnsi="宋体" w:eastAsia="宋体"/>
                <w:sz w:val="21"/>
                <w:szCs w:val="21"/>
                <w:highlight w:val="none"/>
              </w:rPr>
              <w:t>行为导致严重后果，或被上级或监管单位通报的，扣除乙方金额</w:t>
            </w:r>
            <w:r>
              <w:rPr>
                <w:rFonts w:ascii="宋体" w:hAnsi="宋体" w:eastAsia="宋体"/>
                <w:sz w:val="21"/>
                <w:szCs w:val="21"/>
                <w:highlight w:val="none"/>
              </w:rPr>
              <w:t>人民币</w:t>
            </w:r>
            <w:r>
              <w:rPr>
                <w:rFonts w:hint="eastAsia" w:ascii="宋体" w:hAnsi="宋体" w:eastAsia="宋体"/>
                <w:sz w:val="21"/>
                <w:szCs w:val="21"/>
                <w:highlight w:val="none"/>
              </w:rPr>
              <w:t>不低于2万元，并要求乙方赔偿实际损失。</w:t>
            </w:r>
          </w:p>
        </w:tc>
      </w:tr>
      <w:tr w14:paraId="4E2C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0423491B">
            <w:pPr>
              <w:jc w:val="center"/>
              <w:rPr>
                <w:rFonts w:ascii="宋体" w:hAnsi="宋体" w:eastAsia="宋体"/>
                <w:sz w:val="21"/>
                <w:szCs w:val="21"/>
                <w:highlight w:val="none"/>
              </w:rPr>
            </w:pPr>
            <w:r>
              <w:rPr>
                <w:rFonts w:hint="eastAsia" w:ascii="宋体" w:hAnsi="宋体" w:eastAsia="宋体"/>
                <w:sz w:val="21"/>
                <w:szCs w:val="21"/>
                <w:highlight w:val="none"/>
              </w:rPr>
              <w:t>5</w:t>
            </w:r>
          </w:p>
        </w:tc>
        <w:tc>
          <w:tcPr>
            <w:tcW w:w="1110" w:type="dxa"/>
            <w:vMerge w:val="restart"/>
            <w:tcBorders>
              <w:tl2br w:val="nil"/>
              <w:tr2bl w:val="nil"/>
            </w:tcBorders>
            <w:shd w:val="clear" w:color="auto" w:fill="auto"/>
            <w:vAlign w:val="center"/>
          </w:tcPr>
          <w:p w14:paraId="6879E0C5">
            <w:pPr>
              <w:ind w:left="0" w:firstLine="0" w:firstLineChars="0"/>
              <w:jc w:val="left"/>
              <w:rPr>
                <w:rFonts w:ascii="宋体" w:hAnsi="宋体" w:eastAsia="宋体"/>
                <w:sz w:val="21"/>
                <w:szCs w:val="21"/>
                <w:highlight w:val="none"/>
              </w:rPr>
            </w:pPr>
            <w:r>
              <w:rPr>
                <w:rFonts w:hint="eastAsia" w:ascii="宋体" w:hAnsi="宋体" w:eastAsia="宋体"/>
                <w:sz w:val="21"/>
                <w:szCs w:val="21"/>
                <w:highlight w:val="none"/>
              </w:rPr>
              <w:t>协议履行</w:t>
            </w:r>
          </w:p>
        </w:tc>
        <w:tc>
          <w:tcPr>
            <w:tcW w:w="1405" w:type="dxa"/>
            <w:tcBorders>
              <w:tl2br w:val="nil"/>
              <w:tr2bl w:val="nil"/>
            </w:tcBorders>
            <w:shd w:val="clear" w:color="auto" w:fill="auto"/>
            <w:vAlign w:val="center"/>
          </w:tcPr>
          <w:p w14:paraId="7AC90DA0">
            <w:pPr>
              <w:ind w:left="0" w:firstLine="0" w:firstLineChars="0"/>
              <w:rPr>
                <w:rFonts w:ascii="宋体" w:hAnsi="宋体" w:eastAsia="宋体"/>
                <w:sz w:val="21"/>
                <w:szCs w:val="21"/>
                <w:highlight w:val="none"/>
              </w:rPr>
            </w:pPr>
            <w:r>
              <w:rPr>
                <w:rFonts w:ascii="宋体" w:hAnsi="宋体" w:eastAsia="宋体"/>
                <w:sz w:val="21"/>
                <w:szCs w:val="21"/>
                <w:highlight w:val="none"/>
              </w:rPr>
              <w:t>重大事项报告</w:t>
            </w:r>
          </w:p>
        </w:tc>
        <w:tc>
          <w:tcPr>
            <w:tcW w:w="2693" w:type="dxa"/>
            <w:tcBorders>
              <w:tl2br w:val="nil"/>
              <w:tr2bl w:val="nil"/>
            </w:tcBorders>
            <w:shd w:val="clear" w:color="auto" w:fill="auto"/>
            <w:vAlign w:val="center"/>
          </w:tcPr>
          <w:p w14:paraId="5D5C7FF1">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4950" w:type="dxa"/>
            <w:tcBorders>
              <w:tl2br w:val="nil"/>
              <w:tr2bl w:val="nil"/>
            </w:tcBorders>
            <w:shd w:val="clear" w:color="auto" w:fill="auto"/>
            <w:vAlign w:val="center"/>
          </w:tcPr>
          <w:p w14:paraId="18C3FBC7">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优秀：</w:t>
            </w:r>
            <w:r>
              <w:rPr>
                <w:rFonts w:hint="eastAsia" w:ascii="宋体" w:hAnsi="宋体" w:eastAsia="宋体"/>
                <w:sz w:val="21"/>
                <w:szCs w:val="21"/>
                <w:highlight w:val="none"/>
              </w:rPr>
              <w:t>5分，</w:t>
            </w:r>
            <w:r>
              <w:rPr>
                <w:rFonts w:ascii="宋体" w:hAnsi="宋体" w:eastAsia="宋体"/>
                <w:sz w:val="21"/>
                <w:szCs w:val="21"/>
                <w:highlight w:val="none"/>
              </w:rPr>
              <w:t>指无重大事项或当发生重大事项时，能够于24小时内</w:t>
            </w:r>
            <w:r>
              <w:rPr>
                <w:rFonts w:hint="eastAsia" w:ascii="宋体" w:hAnsi="宋体" w:eastAsia="宋体"/>
                <w:sz w:val="21"/>
                <w:szCs w:val="21"/>
                <w:highlight w:val="none"/>
              </w:rPr>
              <w:t>告知甲方；</w:t>
            </w:r>
          </w:p>
          <w:p w14:paraId="7E7022C4">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良好：</w:t>
            </w:r>
            <w:r>
              <w:rPr>
                <w:rFonts w:hint="eastAsia" w:ascii="宋体" w:hAnsi="宋体" w:eastAsia="宋体"/>
                <w:sz w:val="21"/>
                <w:szCs w:val="21"/>
                <w:highlight w:val="none"/>
              </w:rPr>
              <w:t>4分，</w:t>
            </w:r>
            <w:r>
              <w:rPr>
                <w:rFonts w:ascii="宋体" w:hAnsi="宋体" w:eastAsia="宋体"/>
                <w:sz w:val="21"/>
                <w:szCs w:val="21"/>
                <w:highlight w:val="none"/>
              </w:rPr>
              <w:t>指当发生重大事项时，能够于一周内告知</w:t>
            </w:r>
            <w:r>
              <w:rPr>
                <w:rFonts w:hint="eastAsia" w:ascii="宋体" w:hAnsi="宋体" w:eastAsia="宋体"/>
                <w:sz w:val="21"/>
                <w:szCs w:val="21"/>
                <w:highlight w:val="none"/>
              </w:rPr>
              <w:t>甲方；</w:t>
            </w:r>
          </w:p>
          <w:p w14:paraId="1AEAC030">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合格：</w:t>
            </w:r>
            <w:r>
              <w:rPr>
                <w:rFonts w:hint="eastAsia" w:ascii="宋体" w:hAnsi="宋体" w:eastAsia="宋体"/>
                <w:sz w:val="21"/>
                <w:szCs w:val="21"/>
                <w:highlight w:val="none"/>
              </w:rPr>
              <w:t>3分，</w:t>
            </w:r>
            <w:r>
              <w:rPr>
                <w:rFonts w:ascii="宋体" w:hAnsi="宋体" w:eastAsia="宋体"/>
                <w:sz w:val="21"/>
                <w:szCs w:val="21"/>
                <w:highlight w:val="none"/>
              </w:rPr>
              <w:t>指当发生重大事项时，能够于一</w:t>
            </w:r>
            <w:r>
              <w:rPr>
                <w:rFonts w:hint="eastAsia" w:ascii="宋体" w:hAnsi="宋体" w:eastAsia="宋体"/>
                <w:sz w:val="21"/>
                <w:szCs w:val="21"/>
                <w:highlight w:val="none"/>
              </w:rPr>
              <w:t>月</w:t>
            </w:r>
            <w:r>
              <w:rPr>
                <w:rFonts w:ascii="宋体" w:hAnsi="宋体" w:eastAsia="宋体"/>
                <w:sz w:val="21"/>
                <w:szCs w:val="21"/>
                <w:highlight w:val="none"/>
              </w:rPr>
              <w:t>内告知</w:t>
            </w:r>
            <w:r>
              <w:rPr>
                <w:rFonts w:hint="eastAsia" w:ascii="宋体" w:hAnsi="宋体" w:eastAsia="宋体"/>
                <w:sz w:val="21"/>
                <w:szCs w:val="21"/>
                <w:highlight w:val="none"/>
              </w:rPr>
              <w:t>甲方；</w:t>
            </w:r>
          </w:p>
          <w:p w14:paraId="5647D836">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较差/差</w:t>
            </w:r>
            <w:r>
              <w:rPr>
                <w:rFonts w:hint="eastAsia" w:ascii="宋体" w:hAnsi="宋体" w:eastAsia="宋体"/>
                <w:sz w:val="21"/>
                <w:szCs w:val="21"/>
                <w:highlight w:val="none"/>
              </w:rPr>
              <w:t>：0分，</w:t>
            </w:r>
            <w:r>
              <w:rPr>
                <w:rFonts w:ascii="宋体" w:hAnsi="宋体" w:eastAsia="宋体"/>
                <w:sz w:val="21"/>
                <w:szCs w:val="21"/>
                <w:highlight w:val="none"/>
              </w:rPr>
              <w:t>指当发生重大事项时，</w:t>
            </w:r>
            <w:r>
              <w:rPr>
                <w:rFonts w:hint="eastAsia" w:ascii="宋体" w:hAnsi="宋体" w:eastAsia="宋体"/>
                <w:sz w:val="21"/>
                <w:szCs w:val="21"/>
                <w:highlight w:val="none"/>
              </w:rPr>
              <w:t>未</w:t>
            </w:r>
            <w:r>
              <w:rPr>
                <w:rFonts w:ascii="宋体" w:hAnsi="宋体" w:eastAsia="宋体"/>
                <w:sz w:val="21"/>
                <w:szCs w:val="21"/>
                <w:highlight w:val="none"/>
              </w:rPr>
              <w:t>告知</w:t>
            </w:r>
            <w:r>
              <w:rPr>
                <w:rFonts w:hint="eastAsia" w:ascii="宋体" w:hAnsi="宋体" w:eastAsia="宋体"/>
                <w:sz w:val="21"/>
                <w:szCs w:val="21"/>
                <w:highlight w:val="none"/>
              </w:rPr>
              <w:t>甲方。</w:t>
            </w:r>
          </w:p>
        </w:tc>
        <w:tc>
          <w:tcPr>
            <w:tcW w:w="2176" w:type="dxa"/>
            <w:tcBorders>
              <w:tl2br w:val="nil"/>
              <w:tr2bl w:val="nil"/>
            </w:tcBorders>
            <w:shd w:val="clear" w:color="auto" w:fill="auto"/>
            <w:vAlign w:val="center"/>
          </w:tcPr>
          <w:p w14:paraId="533487F7">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评价为较差/差时，甲方根据实际情况有权终止合同，并要求乙方赔偿实际损失。</w:t>
            </w:r>
          </w:p>
        </w:tc>
      </w:tr>
      <w:tr w14:paraId="6B97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7F1B47C1">
            <w:pPr>
              <w:jc w:val="center"/>
              <w:rPr>
                <w:rFonts w:ascii="宋体" w:hAnsi="宋体" w:eastAsia="宋体"/>
                <w:sz w:val="21"/>
                <w:szCs w:val="21"/>
                <w:highlight w:val="none"/>
              </w:rPr>
            </w:pPr>
            <w:r>
              <w:rPr>
                <w:rFonts w:hint="eastAsia" w:ascii="宋体" w:hAnsi="宋体" w:eastAsia="宋体"/>
                <w:sz w:val="21"/>
                <w:szCs w:val="21"/>
                <w:highlight w:val="none"/>
              </w:rPr>
              <w:t>6</w:t>
            </w:r>
          </w:p>
        </w:tc>
        <w:tc>
          <w:tcPr>
            <w:tcW w:w="700" w:type="dxa"/>
            <w:vMerge w:val="continue"/>
            <w:tcBorders>
              <w:tl2br w:val="nil"/>
              <w:tr2bl w:val="nil"/>
            </w:tcBorders>
            <w:shd w:val="clear" w:color="auto" w:fill="auto"/>
          </w:tcPr>
          <w:p w14:paraId="46315CE7">
            <w:pPr>
              <w:rPr>
                <w:highlight w:val="none"/>
              </w:rPr>
            </w:pPr>
          </w:p>
        </w:tc>
        <w:tc>
          <w:tcPr>
            <w:tcW w:w="1405" w:type="dxa"/>
            <w:tcBorders>
              <w:tl2br w:val="nil"/>
              <w:tr2bl w:val="nil"/>
            </w:tcBorders>
            <w:shd w:val="clear" w:color="auto" w:fill="auto"/>
            <w:vAlign w:val="center"/>
          </w:tcPr>
          <w:p w14:paraId="1035CF99">
            <w:pPr>
              <w:ind w:left="0" w:firstLine="0" w:firstLineChars="0"/>
              <w:rPr>
                <w:rFonts w:ascii="宋体" w:hAnsi="宋体" w:eastAsia="宋体"/>
                <w:sz w:val="21"/>
                <w:szCs w:val="21"/>
                <w:highlight w:val="none"/>
              </w:rPr>
            </w:pPr>
            <w:r>
              <w:rPr>
                <w:rFonts w:ascii="宋体" w:hAnsi="宋体" w:eastAsia="宋体"/>
                <w:sz w:val="21"/>
                <w:szCs w:val="21"/>
                <w:highlight w:val="none"/>
              </w:rPr>
              <w:t>重大</w:t>
            </w:r>
            <w:r>
              <w:rPr>
                <w:rFonts w:hint="eastAsia" w:ascii="宋体" w:hAnsi="宋体" w:eastAsia="宋体"/>
                <w:sz w:val="21"/>
                <w:szCs w:val="21"/>
                <w:highlight w:val="none"/>
              </w:rPr>
              <w:t>事件及质量缺陷</w:t>
            </w:r>
          </w:p>
        </w:tc>
        <w:tc>
          <w:tcPr>
            <w:tcW w:w="2693" w:type="dxa"/>
            <w:tcBorders>
              <w:tl2br w:val="nil"/>
              <w:tr2bl w:val="nil"/>
            </w:tcBorders>
            <w:shd w:val="clear" w:color="auto" w:fill="auto"/>
            <w:vAlign w:val="center"/>
          </w:tcPr>
          <w:p w14:paraId="7ACFFFC3">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用</w:t>
            </w:r>
            <w:r>
              <w:rPr>
                <w:rFonts w:ascii="宋体" w:hAnsi="宋体" w:eastAsia="宋体"/>
                <w:sz w:val="21"/>
                <w:szCs w:val="21"/>
                <w:highlight w:val="none"/>
              </w:rPr>
              <w:t>于记录</w:t>
            </w:r>
            <w:r>
              <w:rPr>
                <w:rFonts w:hint="eastAsia" w:ascii="宋体" w:hAnsi="宋体" w:eastAsia="宋体"/>
                <w:sz w:val="21"/>
                <w:szCs w:val="21"/>
                <w:highlight w:val="none"/>
              </w:rPr>
              <w:t>乙方在服务</w:t>
            </w:r>
            <w:r>
              <w:rPr>
                <w:rFonts w:ascii="宋体" w:hAnsi="宋体" w:eastAsia="宋体"/>
                <w:sz w:val="21"/>
                <w:szCs w:val="21"/>
                <w:highlight w:val="none"/>
              </w:rPr>
              <w:t>期内出现</w:t>
            </w:r>
            <w:r>
              <w:rPr>
                <w:rFonts w:hint="eastAsia" w:ascii="宋体" w:hAnsi="宋体" w:eastAsia="宋体"/>
                <w:sz w:val="21"/>
                <w:szCs w:val="21"/>
                <w:highlight w:val="none"/>
              </w:rPr>
              <w:t>以下重大事件及质量缺陷次数：</w:t>
            </w:r>
          </w:p>
          <w:p w14:paraId="7BAC58FA">
            <w:pPr>
              <w:ind w:left="0" w:firstLine="0" w:firstLineChars="0"/>
              <w:rPr>
                <w:rFonts w:ascii="宋体" w:hAnsi="宋体" w:eastAsia="宋体"/>
                <w:sz w:val="21"/>
                <w:szCs w:val="21"/>
                <w:highlight w:val="none"/>
              </w:rPr>
            </w:pPr>
            <w:r>
              <w:rPr>
                <w:rFonts w:hint="eastAsia" w:ascii="宋体" w:hAnsi="宋体" w:eastAsia="宋体"/>
                <w:sz w:val="21"/>
                <w:szCs w:val="21"/>
                <w:highlight w:val="none"/>
              </w:rPr>
              <w:t>a.应用软件出现I</w:t>
            </w:r>
            <w:r>
              <w:rPr>
                <w:rFonts w:ascii="宋体" w:hAnsi="宋体" w:eastAsia="宋体"/>
                <w:sz w:val="21"/>
                <w:szCs w:val="21"/>
                <w:highlight w:val="none"/>
              </w:rPr>
              <w:t>II</w:t>
            </w:r>
            <w:r>
              <w:rPr>
                <w:rFonts w:hint="eastAsia" w:ascii="宋体" w:hAnsi="宋体" w:eastAsia="宋体"/>
                <w:sz w:val="21"/>
                <w:szCs w:val="21"/>
                <w:highlight w:val="none"/>
              </w:rPr>
              <w:t>级（含）以上的运营中断事件；</w:t>
            </w:r>
          </w:p>
          <w:p w14:paraId="2EE8520D">
            <w:pPr>
              <w:ind w:left="0" w:firstLine="0" w:firstLineChars="0"/>
              <w:rPr>
                <w:rFonts w:ascii="宋体" w:hAnsi="宋体" w:eastAsia="宋体"/>
                <w:sz w:val="21"/>
                <w:szCs w:val="21"/>
                <w:highlight w:val="none"/>
              </w:rPr>
            </w:pPr>
            <w:r>
              <w:rPr>
                <w:rFonts w:hint="eastAsia" w:ascii="宋体" w:hAnsi="宋体" w:eastAsia="宋体"/>
                <w:sz w:val="21"/>
                <w:szCs w:val="21"/>
                <w:highlight w:val="none"/>
              </w:rPr>
              <w:t>b.因乙方原因（含乙方合作的第三方）导致甲方发生网络安全事件；</w:t>
            </w:r>
          </w:p>
          <w:p w14:paraId="05E97BA6">
            <w:pPr>
              <w:ind w:left="0" w:firstLine="0" w:firstLineChars="0"/>
              <w:rPr>
                <w:rFonts w:ascii="宋体" w:hAnsi="宋体" w:eastAsia="宋体"/>
                <w:sz w:val="21"/>
                <w:szCs w:val="21"/>
                <w:highlight w:val="none"/>
              </w:rPr>
            </w:pPr>
            <w:r>
              <w:rPr>
                <w:rFonts w:hint="eastAsia" w:ascii="宋体" w:hAnsi="宋体" w:eastAsia="宋体"/>
                <w:sz w:val="21"/>
                <w:szCs w:val="21"/>
                <w:highlight w:val="none"/>
              </w:rPr>
              <w:t>c.应用软件出现严重缺陷和致命缺陷。</w:t>
            </w:r>
          </w:p>
          <w:p w14:paraId="296BB220">
            <w:pPr>
              <w:ind w:left="0" w:firstLine="0" w:firstLineChars="0"/>
              <w:rPr>
                <w:rFonts w:ascii="宋体" w:hAnsi="宋体" w:eastAsia="宋体"/>
                <w:sz w:val="21"/>
                <w:szCs w:val="21"/>
                <w:highlight w:val="none"/>
              </w:rPr>
            </w:pPr>
            <w:r>
              <w:rPr>
                <w:rFonts w:ascii="宋体" w:hAnsi="宋体" w:eastAsia="宋体"/>
                <w:sz w:val="21"/>
                <w:szCs w:val="21"/>
                <w:highlight w:val="none"/>
              </w:rPr>
              <w:t>d.乙方在检测认证版本范围内应发现而未发现的问题，导致甲方被监管机构发现或通报的事件次数。</w:t>
            </w:r>
          </w:p>
        </w:tc>
        <w:tc>
          <w:tcPr>
            <w:tcW w:w="4950" w:type="dxa"/>
            <w:tcBorders>
              <w:tl2br w:val="nil"/>
              <w:tr2bl w:val="nil"/>
            </w:tcBorders>
            <w:shd w:val="clear" w:color="auto" w:fill="auto"/>
            <w:vAlign w:val="center"/>
          </w:tcPr>
          <w:p w14:paraId="320D13B6">
            <w:pPr>
              <w:ind w:left="0" w:firstLine="0" w:firstLineChars="0"/>
              <w:rPr>
                <w:rFonts w:ascii="宋体" w:hAnsi="宋体" w:eastAsia="宋体"/>
                <w:b/>
                <w:bCs/>
                <w:sz w:val="21"/>
                <w:szCs w:val="21"/>
                <w:highlight w:val="none"/>
              </w:rPr>
            </w:pPr>
            <w:r>
              <w:rPr>
                <w:rFonts w:hint="eastAsia" w:ascii="宋体" w:hAnsi="宋体" w:eastAsia="宋体"/>
                <w:b/>
                <w:bCs/>
                <w:sz w:val="21"/>
                <w:szCs w:val="21"/>
                <w:highlight w:val="none"/>
              </w:rPr>
              <w:t>【得分上限10分】</w:t>
            </w:r>
          </w:p>
          <w:p w14:paraId="2E359078">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0次：</w:t>
            </w:r>
            <w:r>
              <w:rPr>
                <w:rFonts w:hint="eastAsia" w:ascii="宋体" w:hAnsi="宋体" w:eastAsia="宋体"/>
                <w:sz w:val="21"/>
                <w:szCs w:val="21"/>
                <w:highlight w:val="none"/>
              </w:rPr>
              <w:t>指未出现</w:t>
            </w:r>
            <w:r>
              <w:rPr>
                <w:rFonts w:ascii="宋体" w:hAnsi="宋体" w:eastAsia="宋体"/>
                <w:sz w:val="21"/>
                <w:szCs w:val="21"/>
                <w:highlight w:val="none"/>
              </w:rPr>
              <w:t>重大事件</w:t>
            </w:r>
            <w:r>
              <w:rPr>
                <w:rFonts w:hint="eastAsia" w:ascii="宋体" w:hAnsi="宋体" w:eastAsia="宋体"/>
                <w:sz w:val="21"/>
                <w:szCs w:val="21"/>
                <w:highlight w:val="none"/>
              </w:rPr>
              <w:t>及质量缺陷，该项指标满分；</w:t>
            </w:r>
          </w:p>
          <w:p w14:paraId="7A11A2A8">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1次及以上：</w:t>
            </w:r>
            <w:r>
              <w:rPr>
                <w:rFonts w:hint="eastAsia" w:ascii="宋体" w:hAnsi="宋体" w:eastAsia="宋体"/>
                <w:sz w:val="21"/>
                <w:szCs w:val="21"/>
                <w:highlight w:val="none"/>
              </w:rPr>
              <w:t>0分，指出现1次及以上任意一项</w:t>
            </w:r>
            <w:r>
              <w:rPr>
                <w:rFonts w:ascii="宋体" w:hAnsi="宋体" w:eastAsia="宋体"/>
                <w:sz w:val="21"/>
                <w:szCs w:val="21"/>
                <w:highlight w:val="none"/>
              </w:rPr>
              <w:t>重大事件</w:t>
            </w:r>
            <w:r>
              <w:rPr>
                <w:rFonts w:hint="eastAsia" w:ascii="宋体" w:hAnsi="宋体" w:eastAsia="宋体"/>
                <w:sz w:val="21"/>
                <w:szCs w:val="21"/>
                <w:highlight w:val="none"/>
              </w:rPr>
              <w:t>或质量缺陷。</w:t>
            </w:r>
          </w:p>
        </w:tc>
        <w:tc>
          <w:tcPr>
            <w:tcW w:w="2176" w:type="dxa"/>
            <w:tcBorders>
              <w:tl2br w:val="nil"/>
              <w:tr2bl w:val="nil"/>
            </w:tcBorders>
            <w:shd w:val="clear" w:color="auto" w:fill="auto"/>
            <w:vAlign w:val="center"/>
          </w:tcPr>
          <w:p w14:paraId="7324B349">
            <w:pPr>
              <w:ind w:left="0" w:firstLine="0" w:firstLineChars="0"/>
              <w:rPr>
                <w:rFonts w:ascii="宋体" w:hAnsi="宋体" w:eastAsia="宋体"/>
                <w:sz w:val="21"/>
                <w:szCs w:val="21"/>
                <w:highlight w:val="none"/>
              </w:rPr>
            </w:pPr>
            <w:r>
              <w:rPr>
                <w:rFonts w:hint="eastAsia" w:ascii="宋体" w:hAnsi="宋体" w:eastAsia="宋体"/>
                <w:sz w:val="21"/>
                <w:szCs w:val="21"/>
                <w:highlight w:val="none"/>
              </w:rPr>
              <w:t>每出现一次</w:t>
            </w:r>
            <w:r>
              <w:rPr>
                <w:rFonts w:ascii="宋体" w:hAnsi="宋体" w:eastAsia="宋体"/>
                <w:sz w:val="21"/>
                <w:szCs w:val="21"/>
                <w:highlight w:val="none"/>
              </w:rPr>
              <w:t>重大事件</w:t>
            </w:r>
            <w:r>
              <w:rPr>
                <w:rFonts w:hint="eastAsia" w:ascii="宋体" w:hAnsi="宋体" w:eastAsia="宋体"/>
                <w:sz w:val="21"/>
                <w:szCs w:val="21"/>
                <w:highlight w:val="none"/>
              </w:rPr>
              <w:t>或质量缺陷，扣除乙方金额</w:t>
            </w:r>
            <w:r>
              <w:rPr>
                <w:rFonts w:ascii="宋体" w:hAnsi="宋体" w:eastAsia="宋体"/>
                <w:sz w:val="21"/>
                <w:szCs w:val="21"/>
                <w:highlight w:val="none"/>
              </w:rPr>
              <w:t>人民币</w:t>
            </w:r>
            <w:r>
              <w:rPr>
                <w:rFonts w:hint="eastAsia" w:ascii="宋体" w:hAnsi="宋体" w:eastAsia="宋体"/>
                <w:sz w:val="21"/>
                <w:szCs w:val="21"/>
                <w:highlight w:val="none"/>
              </w:rPr>
              <w:t>不低于2万元，并要求乙方赔偿实际损失。</w:t>
            </w:r>
          </w:p>
        </w:tc>
      </w:tr>
      <w:tr w14:paraId="3D24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239391F7">
            <w:pPr>
              <w:jc w:val="center"/>
              <w:rPr>
                <w:rFonts w:ascii="宋体" w:hAnsi="宋体" w:eastAsia="宋体"/>
                <w:sz w:val="21"/>
                <w:szCs w:val="21"/>
                <w:highlight w:val="none"/>
              </w:rPr>
            </w:pPr>
            <w:r>
              <w:rPr>
                <w:rFonts w:hint="eastAsia" w:ascii="宋体" w:hAnsi="宋体" w:eastAsia="宋体"/>
                <w:sz w:val="21"/>
                <w:szCs w:val="21"/>
                <w:highlight w:val="none"/>
              </w:rPr>
              <w:t>7</w:t>
            </w:r>
          </w:p>
        </w:tc>
        <w:tc>
          <w:tcPr>
            <w:tcW w:w="700" w:type="dxa"/>
            <w:vMerge w:val="continue"/>
            <w:tcBorders>
              <w:tl2br w:val="nil"/>
              <w:tr2bl w:val="nil"/>
            </w:tcBorders>
            <w:shd w:val="clear" w:color="auto" w:fill="auto"/>
          </w:tcPr>
          <w:p w14:paraId="13B937A2">
            <w:pPr>
              <w:rPr>
                <w:highlight w:val="none"/>
              </w:rPr>
            </w:pPr>
          </w:p>
        </w:tc>
        <w:tc>
          <w:tcPr>
            <w:tcW w:w="1405" w:type="dxa"/>
            <w:tcBorders>
              <w:tl2br w:val="nil"/>
              <w:tr2bl w:val="nil"/>
            </w:tcBorders>
            <w:shd w:val="clear" w:color="auto" w:fill="auto"/>
            <w:vAlign w:val="center"/>
          </w:tcPr>
          <w:p w14:paraId="7AC72960">
            <w:pPr>
              <w:ind w:left="0" w:firstLine="0" w:firstLineChars="0"/>
              <w:rPr>
                <w:rFonts w:ascii="宋体" w:hAnsi="宋体" w:eastAsia="宋体"/>
                <w:sz w:val="21"/>
                <w:szCs w:val="21"/>
                <w:highlight w:val="none"/>
              </w:rPr>
            </w:pPr>
            <w:r>
              <w:rPr>
                <w:rFonts w:hint="eastAsia" w:ascii="宋体" w:hAnsi="宋体" w:eastAsia="宋体"/>
                <w:sz w:val="21"/>
                <w:szCs w:val="21"/>
                <w:highlight w:val="none"/>
              </w:rPr>
              <w:t>响应与解决及时性</w:t>
            </w:r>
          </w:p>
        </w:tc>
        <w:tc>
          <w:tcPr>
            <w:tcW w:w="2693" w:type="dxa"/>
            <w:tcBorders>
              <w:tl2br w:val="nil"/>
              <w:tr2bl w:val="nil"/>
            </w:tcBorders>
            <w:shd w:val="clear" w:color="auto" w:fill="auto"/>
            <w:vAlign w:val="center"/>
          </w:tcPr>
          <w:p w14:paraId="359327D8">
            <w:pPr>
              <w:ind w:left="0" w:firstLine="0" w:firstLineChars="0"/>
              <w:rPr>
                <w:rFonts w:ascii="宋体" w:hAnsi="宋体" w:eastAsia="宋体"/>
                <w:sz w:val="21"/>
                <w:szCs w:val="21"/>
                <w:highlight w:val="none"/>
              </w:rPr>
            </w:pPr>
            <w:r>
              <w:rPr>
                <w:rFonts w:ascii="宋体" w:hAnsi="宋体" w:eastAsia="宋体"/>
                <w:sz w:val="21"/>
                <w:szCs w:val="21"/>
                <w:highlight w:val="none"/>
              </w:rPr>
              <w:t>用于记录</w:t>
            </w:r>
            <w:r>
              <w:rPr>
                <w:rFonts w:hint="eastAsia" w:ascii="宋体" w:hAnsi="宋体" w:eastAsia="宋体"/>
                <w:sz w:val="21"/>
                <w:szCs w:val="21"/>
                <w:highlight w:val="none"/>
              </w:rPr>
              <w:t>乙方</w:t>
            </w:r>
            <w:r>
              <w:rPr>
                <w:rFonts w:ascii="宋体" w:hAnsi="宋体" w:eastAsia="宋体"/>
                <w:sz w:val="21"/>
                <w:szCs w:val="21"/>
                <w:highlight w:val="none"/>
              </w:rPr>
              <w:t>或服务项目对</w:t>
            </w:r>
            <w:r>
              <w:rPr>
                <w:rFonts w:hint="eastAsia" w:ascii="宋体" w:hAnsi="宋体" w:eastAsia="宋体"/>
                <w:sz w:val="21"/>
                <w:szCs w:val="21"/>
                <w:highlight w:val="none"/>
              </w:rPr>
              <w:t>甲方</w:t>
            </w:r>
            <w:r>
              <w:rPr>
                <w:rFonts w:ascii="宋体" w:hAnsi="宋体" w:eastAsia="宋体"/>
                <w:sz w:val="21"/>
                <w:szCs w:val="21"/>
                <w:highlight w:val="none"/>
              </w:rPr>
              <w:t>的响应与解决的及时性；</w:t>
            </w:r>
            <w:r>
              <w:rPr>
                <w:rFonts w:hint="eastAsia" w:ascii="宋体"/>
                <w:color w:val="000000"/>
                <w:sz w:val="21"/>
                <w:szCs w:val="21"/>
                <w:highlight w:val="none"/>
              </w:rPr>
              <w:t>乙方在整个服务期内，应积极响应包括检测、复测、问题清单出具、认证证书出具的服务事项，主动完成与检测机构检测事项对接、协助完成认证证书在中国互联网金融协会的备案事宜。</w:t>
            </w:r>
          </w:p>
        </w:tc>
        <w:tc>
          <w:tcPr>
            <w:tcW w:w="4950" w:type="dxa"/>
            <w:tcBorders>
              <w:tl2br w:val="nil"/>
              <w:tr2bl w:val="nil"/>
            </w:tcBorders>
            <w:shd w:val="clear" w:color="auto" w:fill="auto"/>
            <w:vAlign w:val="center"/>
          </w:tcPr>
          <w:p w14:paraId="194D60C9">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优秀：</w:t>
            </w:r>
            <w:r>
              <w:rPr>
                <w:rFonts w:hint="eastAsia" w:ascii="宋体" w:hAnsi="宋体" w:eastAsia="宋体"/>
                <w:sz w:val="21"/>
                <w:szCs w:val="21"/>
                <w:highlight w:val="none"/>
              </w:rPr>
              <w:t>10分，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或服务项目能够迅速响应需求，主动快速与</w:t>
            </w:r>
            <w:r>
              <w:rPr>
                <w:rFonts w:hint="eastAsia" w:ascii="宋体" w:hAnsi="宋体" w:eastAsia="宋体"/>
                <w:sz w:val="21"/>
                <w:szCs w:val="21"/>
                <w:highlight w:val="none"/>
              </w:rPr>
              <w:t>甲方</w:t>
            </w:r>
            <w:r>
              <w:rPr>
                <w:rFonts w:ascii="宋体" w:hAnsi="宋体" w:eastAsia="宋体"/>
                <w:sz w:val="21"/>
                <w:szCs w:val="21"/>
                <w:highlight w:val="none"/>
              </w:rPr>
              <w:t>进行有效的沟通，第一时间从专业角度给出解决方案并解决问题</w:t>
            </w:r>
            <w:r>
              <w:rPr>
                <w:rFonts w:hint="eastAsia" w:ascii="宋体" w:hAnsi="宋体" w:eastAsia="宋体"/>
                <w:sz w:val="21"/>
                <w:szCs w:val="21"/>
                <w:highlight w:val="none"/>
              </w:rPr>
              <w:t>；</w:t>
            </w:r>
          </w:p>
          <w:p w14:paraId="709B2D9A">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良好：</w:t>
            </w:r>
            <w:r>
              <w:rPr>
                <w:rFonts w:hint="eastAsia" w:ascii="宋体" w:hAnsi="宋体" w:eastAsia="宋体"/>
                <w:sz w:val="21"/>
                <w:szCs w:val="21"/>
                <w:highlight w:val="none"/>
              </w:rPr>
              <w:t>8分，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或服务项目能够按要求响应需求，及时与</w:t>
            </w:r>
            <w:r>
              <w:rPr>
                <w:rFonts w:hint="eastAsia" w:ascii="宋体" w:hAnsi="宋体" w:eastAsia="宋体"/>
                <w:sz w:val="21"/>
                <w:szCs w:val="21"/>
                <w:highlight w:val="none"/>
              </w:rPr>
              <w:t>甲方</w:t>
            </w:r>
            <w:r>
              <w:rPr>
                <w:rFonts w:ascii="宋体" w:hAnsi="宋体" w:eastAsia="宋体"/>
                <w:sz w:val="21"/>
                <w:szCs w:val="21"/>
                <w:highlight w:val="none"/>
              </w:rPr>
              <w:t>进行有效的沟通，快速给出处理方案并解决问题</w:t>
            </w:r>
            <w:r>
              <w:rPr>
                <w:rFonts w:hint="eastAsia" w:ascii="宋体" w:hAnsi="宋体" w:eastAsia="宋体"/>
                <w:sz w:val="21"/>
                <w:szCs w:val="21"/>
                <w:highlight w:val="none"/>
              </w:rPr>
              <w:t>；</w:t>
            </w:r>
          </w:p>
          <w:p w14:paraId="726D8058">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合格：6</w:t>
            </w:r>
            <w:r>
              <w:rPr>
                <w:rFonts w:hint="eastAsia" w:ascii="宋体" w:hAnsi="宋体" w:eastAsia="宋体"/>
                <w:sz w:val="21"/>
                <w:szCs w:val="21"/>
                <w:highlight w:val="none"/>
              </w:rPr>
              <w:t>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或服务项目能够基本按要求响应需求</w:t>
            </w:r>
            <w:r>
              <w:rPr>
                <w:rFonts w:hint="eastAsia" w:ascii="宋体" w:hAnsi="宋体" w:eastAsia="宋体"/>
                <w:sz w:val="21"/>
                <w:szCs w:val="21"/>
                <w:highlight w:val="none"/>
              </w:rPr>
              <w:t>，</w:t>
            </w:r>
            <w:r>
              <w:rPr>
                <w:rFonts w:ascii="宋体" w:hAnsi="宋体" w:eastAsia="宋体"/>
                <w:sz w:val="21"/>
                <w:szCs w:val="21"/>
                <w:highlight w:val="none"/>
              </w:rPr>
              <w:t>保持与</w:t>
            </w:r>
            <w:r>
              <w:rPr>
                <w:rFonts w:hint="eastAsia" w:ascii="宋体" w:hAnsi="宋体" w:eastAsia="宋体"/>
                <w:sz w:val="21"/>
                <w:szCs w:val="21"/>
                <w:highlight w:val="none"/>
              </w:rPr>
              <w:t>甲方</w:t>
            </w:r>
            <w:r>
              <w:rPr>
                <w:rFonts w:ascii="宋体" w:hAnsi="宋体" w:eastAsia="宋体"/>
                <w:sz w:val="21"/>
                <w:szCs w:val="21"/>
                <w:highlight w:val="none"/>
              </w:rPr>
              <w:t>的沟通，按时解决问题</w:t>
            </w:r>
            <w:r>
              <w:rPr>
                <w:rFonts w:hint="eastAsia" w:ascii="宋体" w:hAnsi="宋体" w:eastAsia="宋体"/>
                <w:sz w:val="21"/>
                <w:szCs w:val="21"/>
                <w:highlight w:val="none"/>
              </w:rPr>
              <w:t>；</w:t>
            </w:r>
          </w:p>
          <w:p w14:paraId="1FD77EFA">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较差/差：</w:t>
            </w:r>
            <w:r>
              <w:rPr>
                <w:rFonts w:hint="eastAsia" w:ascii="宋体" w:hAnsi="宋体" w:eastAsia="宋体"/>
                <w:sz w:val="21"/>
                <w:szCs w:val="21"/>
                <w:highlight w:val="none"/>
              </w:rPr>
              <w:t>0分，</w:t>
            </w:r>
            <w:r>
              <w:rPr>
                <w:rFonts w:ascii="宋体" w:hAnsi="宋体" w:eastAsia="宋体"/>
                <w:sz w:val="21"/>
                <w:szCs w:val="21"/>
                <w:highlight w:val="none"/>
              </w:rPr>
              <w:t>指</w:t>
            </w:r>
            <w:r>
              <w:rPr>
                <w:rFonts w:hint="eastAsia" w:ascii="宋体" w:hAnsi="宋体" w:eastAsia="宋体"/>
                <w:sz w:val="21"/>
                <w:szCs w:val="21"/>
                <w:highlight w:val="none"/>
              </w:rPr>
              <w:t>乙方</w:t>
            </w:r>
            <w:r>
              <w:rPr>
                <w:rFonts w:ascii="宋体" w:hAnsi="宋体" w:eastAsia="宋体"/>
                <w:sz w:val="21"/>
                <w:szCs w:val="21"/>
                <w:highlight w:val="none"/>
              </w:rPr>
              <w:t>或服务项目未及时响应需求，或响应需求后无法</w:t>
            </w:r>
            <w:r>
              <w:rPr>
                <w:rFonts w:hint="eastAsia" w:ascii="宋体" w:hAnsi="宋体" w:eastAsia="宋体"/>
                <w:sz w:val="21"/>
                <w:szCs w:val="21"/>
                <w:highlight w:val="none"/>
              </w:rPr>
              <w:t>及时</w:t>
            </w:r>
            <w:r>
              <w:rPr>
                <w:rFonts w:ascii="宋体" w:hAnsi="宋体" w:eastAsia="宋体"/>
                <w:sz w:val="21"/>
                <w:szCs w:val="21"/>
                <w:highlight w:val="none"/>
              </w:rPr>
              <w:t>解决问题</w:t>
            </w:r>
            <w:r>
              <w:rPr>
                <w:rFonts w:hint="eastAsia" w:ascii="宋体" w:hAnsi="宋体" w:eastAsia="宋体"/>
                <w:sz w:val="21"/>
                <w:szCs w:val="21"/>
                <w:highlight w:val="none"/>
              </w:rPr>
              <w:t>。</w:t>
            </w:r>
          </w:p>
        </w:tc>
        <w:tc>
          <w:tcPr>
            <w:tcW w:w="2176" w:type="dxa"/>
            <w:tcBorders>
              <w:tl2br w:val="nil"/>
              <w:tr2bl w:val="nil"/>
            </w:tcBorders>
            <w:shd w:val="clear" w:color="auto" w:fill="auto"/>
            <w:vAlign w:val="center"/>
          </w:tcPr>
          <w:p w14:paraId="5EC4D096">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评价为较差/差，即乙方</w:t>
            </w:r>
            <w:r>
              <w:rPr>
                <w:rFonts w:ascii="宋体" w:hAnsi="宋体" w:eastAsia="宋体"/>
                <w:sz w:val="21"/>
                <w:szCs w:val="21"/>
                <w:highlight w:val="none"/>
              </w:rPr>
              <w:t>或服务项目未及时响应需求，或响应需求后无法</w:t>
            </w:r>
            <w:r>
              <w:rPr>
                <w:rFonts w:hint="eastAsia" w:ascii="宋体" w:hAnsi="宋体" w:eastAsia="宋体"/>
                <w:sz w:val="21"/>
                <w:szCs w:val="21"/>
                <w:highlight w:val="none"/>
              </w:rPr>
              <w:t>及时</w:t>
            </w:r>
            <w:r>
              <w:rPr>
                <w:rFonts w:ascii="宋体" w:hAnsi="宋体" w:eastAsia="宋体"/>
                <w:sz w:val="21"/>
                <w:szCs w:val="21"/>
                <w:highlight w:val="none"/>
              </w:rPr>
              <w:t>解决问题</w:t>
            </w:r>
            <w:r>
              <w:rPr>
                <w:rFonts w:hint="eastAsia" w:ascii="宋体" w:hAnsi="宋体" w:eastAsia="宋体"/>
                <w:sz w:val="21"/>
                <w:szCs w:val="21"/>
                <w:highlight w:val="none"/>
              </w:rPr>
              <w:t>，扣除乙方金额人民币不低于1000元。</w:t>
            </w:r>
          </w:p>
        </w:tc>
      </w:tr>
      <w:tr w14:paraId="620D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7F236999">
            <w:pPr>
              <w:jc w:val="center"/>
              <w:rPr>
                <w:rFonts w:ascii="宋体" w:hAnsi="宋体" w:eastAsia="宋体"/>
                <w:sz w:val="21"/>
                <w:szCs w:val="21"/>
                <w:highlight w:val="none"/>
              </w:rPr>
            </w:pPr>
            <w:r>
              <w:rPr>
                <w:rFonts w:hint="eastAsia" w:ascii="宋体" w:hAnsi="宋体" w:eastAsia="宋体"/>
                <w:sz w:val="21"/>
                <w:szCs w:val="21"/>
                <w:highlight w:val="none"/>
              </w:rPr>
              <w:t>8</w:t>
            </w:r>
          </w:p>
        </w:tc>
        <w:tc>
          <w:tcPr>
            <w:tcW w:w="700" w:type="dxa"/>
            <w:vMerge w:val="continue"/>
            <w:tcBorders>
              <w:tl2br w:val="nil"/>
              <w:tr2bl w:val="nil"/>
            </w:tcBorders>
            <w:shd w:val="clear" w:color="auto" w:fill="auto"/>
          </w:tcPr>
          <w:p w14:paraId="3F275BA3">
            <w:pPr>
              <w:rPr>
                <w:highlight w:val="none"/>
              </w:rPr>
            </w:pPr>
          </w:p>
        </w:tc>
        <w:tc>
          <w:tcPr>
            <w:tcW w:w="1405" w:type="dxa"/>
            <w:tcBorders>
              <w:tl2br w:val="nil"/>
              <w:tr2bl w:val="nil"/>
            </w:tcBorders>
            <w:shd w:val="clear" w:color="auto" w:fill="auto"/>
            <w:vAlign w:val="center"/>
          </w:tcPr>
          <w:p w14:paraId="3B503DEF">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人员行为规范性</w:t>
            </w:r>
          </w:p>
        </w:tc>
        <w:tc>
          <w:tcPr>
            <w:tcW w:w="2693" w:type="dxa"/>
            <w:tcBorders>
              <w:tl2br w:val="nil"/>
              <w:tr2bl w:val="nil"/>
            </w:tcBorders>
            <w:shd w:val="clear" w:color="auto" w:fill="auto"/>
            <w:vAlign w:val="center"/>
          </w:tcPr>
          <w:p w14:paraId="74C014F9">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用</w:t>
            </w:r>
            <w:r>
              <w:rPr>
                <w:rFonts w:ascii="宋体" w:hAnsi="宋体" w:eastAsia="宋体"/>
                <w:sz w:val="21"/>
                <w:szCs w:val="21"/>
                <w:highlight w:val="none"/>
              </w:rPr>
              <w:t>于记录外包场地日常管理或</w:t>
            </w:r>
            <w:r>
              <w:rPr>
                <w:rFonts w:hint="eastAsia" w:ascii="宋体" w:hAnsi="宋体" w:eastAsia="宋体"/>
                <w:sz w:val="21"/>
                <w:szCs w:val="21"/>
                <w:highlight w:val="none"/>
              </w:rPr>
              <w:t>检查</w:t>
            </w:r>
            <w:r>
              <w:rPr>
                <w:rFonts w:ascii="宋体" w:hAnsi="宋体" w:eastAsia="宋体"/>
                <w:sz w:val="21"/>
                <w:szCs w:val="21"/>
                <w:highlight w:val="none"/>
              </w:rPr>
              <w:t>过程中发现外包人员</w:t>
            </w:r>
            <w:r>
              <w:rPr>
                <w:rFonts w:hint="eastAsia" w:ascii="宋体" w:hAnsi="宋体" w:eastAsia="宋体"/>
                <w:sz w:val="21"/>
                <w:szCs w:val="21"/>
                <w:highlight w:val="none"/>
              </w:rPr>
              <w:t>行为</w:t>
            </w:r>
            <w:r>
              <w:rPr>
                <w:rFonts w:ascii="宋体" w:hAnsi="宋体" w:eastAsia="宋体"/>
                <w:sz w:val="21"/>
                <w:szCs w:val="21"/>
                <w:highlight w:val="none"/>
              </w:rPr>
              <w:t>违</w:t>
            </w:r>
            <w:r>
              <w:rPr>
                <w:rFonts w:hint="eastAsia" w:ascii="宋体" w:hAnsi="宋体" w:eastAsia="宋体"/>
                <w:sz w:val="21"/>
                <w:szCs w:val="21"/>
                <w:highlight w:val="none"/>
              </w:rPr>
              <w:t>规（包括但不限于办公纪律、造成办公环境物理安全隐患等）</w:t>
            </w:r>
            <w:r>
              <w:rPr>
                <w:rFonts w:ascii="宋体" w:hAnsi="宋体" w:eastAsia="宋体"/>
                <w:sz w:val="21"/>
                <w:szCs w:val="21"/>
                <w:highlight w:val="none"/>
              </w:rPr>
              <w:t>的次数</w:t>
            </w:r>
          </w:p>
        </w:tc>
        <w:tc>
          <w:tcPr>
            <w:tcW w:w="4950" w:type="dxa"/>
            <w:tcBorders>
              <w:tl2br w:val="nil"/>
              <w:tr2bl w:val="nil"/>
            </w:tcBorders>
            <w:shd w:val="clear" w:color="auto" w:fill="auto"/>
            <w:vAlign w:val="center"/>
          </w:tcPr>
          <w:p w14:paraId="48DCD7A6">
            <w:pPr>
              <w:ind w:left="0" w:firstLine="0" w:firstLineChars="0"/>
              <w:rPr>
                <w:rFonts w:ascii="宋体" w:hAnsi="宋体" w:eastAsia="宋体"/>
                <w:b/>
                <w:bCs/>
                <w:sz w:val="21"/>
                <w:szCs w:val="21"/>
                <w:highlight w:val="none"/>
              </w:rPr>
            </w:pPr>
            <w:r>
              <w:rPr>
                <w:rFonts w:hint="eastAsia" w:ascii="宋体" w:hAnsi="宋体" w:eastAsia="宋体"/>
                <w:b/>
                <w:bCs/>
                <w:sz w:val="21"/>
                <w:szCs w:val="21"/>
                <w:highlight w:val="none"/>
              </w:rPr>
              <w:t>【得分上限1</w:t>
            </w:r>
            <w:r>
              <w:rPr>
                <w:rFonts w:ascii="宋体" w:hAnsi="宋体" w:eastAsia="宋体"/>
                <w:b/>
                <w:bCs/>
                <w:sz w:val="21"/>
                <w:szCs w:val="21"/>
                <w:highlight w:val="none"/>
              </w:rPr>
              <w:t>0</w:t>
            </w:r>
            <w:r>
              <w:rPr>
                <w:rFonts w:hint="eastAsia" w:ascii="宋体" w:hAnsi="宋体" w:eastAsia="宋体"/>
                <w:b/>
                <w:bCs/>
                <w:sz w:val="21"/>
                <w:szCs w:val="21"/>
                <w:highlight w:val="none"/>
              </w:rPr>
              <w:t>分】</w:t>
            </w:r>
          </w:p>
          <w:p w14:paraId="6DDDCDE1">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0次：</w:t>
            </w:r>
            <w:r>
              <w:rPr>
                <w:rFonts w:hint="eastAsia" w:ascii="宋体" w:hAnsi="宋体" w:eastAsia="宋体"/>
                <w:sz w:val="21"/>
                <w:szCs w:val="21"/>
                <w:highlight w:val="none"/>
              </w:rPr>
              <w:t>指未出现外包人员行为违规，该项指标满分；</w:t>
            </w:r>
          </w:p>
          <w:p w14:paraId="1B0F0D39">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1次及以上：</w:t>
            </w:r>
            <w:r>
              <w:rPr>
                <w:rFonts w:hint="eastAsia" w:ascii="宋体" w:hAnsi="宋体" w:eastAsia="宋体"/>
                <w:sz w:val="21"/>
                <w:szCs w:val="21"/>
                <w:highlight w:val="none"/>
              </w:rPr>
              <w:t>指检查发现外包人员行为违规1次及以上（每人次扣5分，最高扣除1</w:t>
            </w:r>
            <w:r>
              <w:rPr>
                <w:rFonts w:ascii="宋体" w:hAnsi="宋体" w:eastAsia="宋体"/>
                <w:sz w:val="21"/>
                <w:szCs w:val="21"/>
                <w:highlight w:val="none"/>
              </w:rPr>
              <w:t>0</w:t>
            </w:r>
            <w:r>
              <w:rPr>
                <w:rFonts w:hint="eastAsia" w:ascii="宋体" w:hAnsi="宋体" w:eastAsia="宋体"/>
                <w:sz w:val="21"/>
                <w:szCs w:val="21"/>
                <w:highlight w:val="none"/>
              </w:rPr>
              <w:t>分）</w:t>
            </w:r>
          </w:p>
        </w:tc>
        <w:tc>
          <w:tcPr>
            <w:tcW w:w="2176" w:type="dxa"/>
            <w:tcBorders>
              <w:tl2br w:val="nil"/>
              <w:tr2bl w:val="nil"/>
            </w:tcBorders>
            <w:shd w:val="clear" w:color="auto" w:fill="auto"/>
            <w:vAlign w:val="center"/>
          </w:tcPr>
          <w:p w14:paraId="3011F635">
            <w:pPr>
              <w:ind w:left="0" w:firstLine="0" w:firstLineChars="0"/>
              <w:rPr>
                <w:rFonts w:ascii="宋体" w:hAnsi="宋体" w:eastAsia="宋体"/>
                <w:sz w:val="21"/>
                <w:szCs w:val="21"/>
                <w:highlight w:val="none"/>
              </w:rPr>
            </w:pPr>
            <w:r>
              <w:rPr>
                <w:rFonts w:hint="eastAsia" w:ascii="宋体" w:hAnsi="宋体" w:eastAsia="宋体"/>
                <w:sz w:val="21"/>
                <w:szCs w:val="21"/>
                <w:highlight w:val="none"/>
              </w:rPr>
              <w:t>每出现一次人员行为</w:t>
            </w:r>
            <w:r>
              <w:rPr>
                <w:rFonts w:ascii="宋体" w:hAnsi="宋体" w:eastAsia="宋体"/>
                <w:sz w:val="21"/>
                <w:szCs w:val="21"/>
                <w:highlight w:val="none"/>
              </w:rPr>
              <w:t>违规</w:t>
            </w:r>
            <w:r>
              <w:rPr>
                <w:rFonts w:hint="eastAsia" w:ascii="宋体" w:hAnsi="宋体" w:eastAsia="宋体"/>
                <w:sz w:val="21"/>
                <w:szCs w:val="21"/>
                <w:highlight w:val="none"/>
              </w:rPr>
              <w:t>，扣除乙方金额人民币不低于500元。</w:t>
            </w:r>
          </w:p>
        </w:tc>
      </w:tr>
      <w:tr w14:paraId="5DF2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4C743A70">
            <w:pPr>
              <w:jc w:val="center"/>
              <w:rPr>
                <w:rFonts w:ascii="宋体" w:hAnsi="宋体" w:eastAsia="宋体"/>
                <w:sz w:val="21"/>
                <w:szCs w:val="21"/>
                <w:highlight w:val="none"/>
              </w:rPr>
            </w:pPr>
            <w:r>
              <w:rPr>
                <w:rFonts w:hint="eastAsia" w:ascii="宋体" w:hAnsi="宋体" w:eastAsia="宋体"/>
                <w:sz w:val="21"/>
                <w:szCs w:val="21"/>
                <w:highlight w:val="none"/>
              </w:rPr>
              <w:t>9</w:t>
            </w:r>
          </w:p>
        </w:tc>
        <w:tc>
          <w:tcPr>
            <w:tcW w:w="700" w:type="dxa"/>
            <w:vMerge w:val="continue"/>
            <w:tcBorders>
              <w:tl2br w:val="nil"/>
              <w:tr2bl w:val="nil"/>
            </w:tcBorders>
            <w:shd w:val="clear" w:color="auto" w:fill="auto"/>
          </w:tcPr>
          <w:p w14:paraId="273422B0">
            <w:pPr>
              <w:rPr>
                <w:highlight w:val="none"/>
              </w:rPr>
            </w:pPr>
          </w:p>
        </w:tc>
        <w:tc>
          <w:tcPr>
            <w:tcW w:w="1405" w:type="dxa"/>
            <w:tcBorders>
              <w:tl2br w:val="nil"/>
              <w:tr2bl w:val="nil"/>
            </w:tcBorders>
            <w:shd w:val="clear" w:color="auto" w:fill="auto"/>
            <w:vAlign w:val="center"/>
          </w:tcPr>
          <w:p w14:paraId="1AB170F5">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人员变动率</w:t>
            </w:r>
          </w:p>
        </w:tc>
        <w:tc>
          <w:tcPr>
            <w:tcW w:w="2693" w:type="dxa"/>
            <w:tcBorders>
              <w:tl2br w:val="nil"/>
              <w:tr2bl w:val="nil"/>
            </w:tcBorders>
            <w:shd w:val="clear" w:color="auto" w:fill="auto"/>
            <w:vAlign w:val="center"/>
          </w:tcPr>
          <w:p w14:paraId="7635CD25">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用</w:t>
            </w:r>
            <w:r>
              <w:rPr>
                <w:rFonts w:ascii="宋体" w:hAnsi="宋体" w:eastAsia="宋体"/>
                <w:sz w:val="21"/>
                <w:szCs w:val="21"/>
                <w:highlight w:val="none"/>
              </w:rPr>
              <w:t>于记录统计周期内</w:t>
            </w:r>
            <w:r>
              <w:rPr>
                <w:rFonts w:hint="eastAsia" w:ascii="宋体" w:hAnsi="宋体" w:eastAsia="宋体"/>
                <w:sz w:val="21"/>
                <w:szCs w:val="21"/>
                <w:highlight w:val="none"/>
              </w:rPr>
              <w:t>乙方未经甲方同意</w:t>
            </w:r>
            <w:r>
              <w:rPr>
                <w:rFonts w:ascii="宋体" w:hAnsi="宋体" w:eastAsia="宋体"/>
                <w:sz w:val="21"/>
                <w:szCs w:val="21"/>
                <w:highlight w:val="none"/>
              </w:rPr>
              <w:t>更换</w:t>
            </w:r>
            <w:r>
              <w:rPr>
                <w:rFonts w:hint="eastAsia" w:ascii="宋体" w:hAnsi="宋体" w:eastAsia="宋体"/>
                <w:sz w:val="21"/>
                <w:szCs w:val="21"/>
                <w:highlight w:val="none"/>
              </w:rPr>
              <w:t>及退出</w:t>
            </w:r>
            <w:r>
              <w:rPr>
                <w:rFonts w:ascii="宋体" w:hAnsi="宋体" w:eastAsia="宋体"/>
                <w:sz w:val="21"/>
                <w:szCs w:val="21"/>
                <w:highlight w:val="none"/>
              </w:rPr>
              <w:t>外包人员数量占</w:t>
            </w:r>
            <w:r>
              <w:rPr>
                <w:rFonts w:hint="eastAsia" w:ascii="宋体" w:hAnsi="宋体" w:eastAsia="宋体"/>
                <w:sz w:val="21"/>
                <w:szCs w:val="21"/>
                <w:highlight w:val="none"/>
              </w:rPr>
              <w:t>乙方</w:t>
            </w:r>
            <w:r>
              <w:rPr>
                <w:rFonts w:ascii="宋体" w:hAnsi="宋体" w:eastAsia="宋体"/>
                <w:sz w:val="21"/>
                <w:szCs w:val="21"/>
                <w:highlight w:val="none"/>
              </w:rPr>
              <w:t>驻场外包人员总数量的比率</w:t>
            </w:r>
          </w:p>
        </w:tc>
        <w:tc>
          <w:tcPr>
            <w:tcW w:w="4950" w:type="dxa"/>
            <w:tcBorders>
              <w:tl2br w:val="nil"/>
              <w:tr2bl w:val="nil"/>
            </w:tcBorders>
            <w:shd w:val="clear" w:color="auto" w:fill="auto"/>
            <w:vAlign w:val="center"/>
          </w:tcPr>
          <w:p w14:paraId="5F49AB3C">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人</w:t>
            </w:r>
            <w:r>
              <w:rPr>
                <w:rFonts w:ascii="宋体" w:hAnsi="宋体" w:eastAsia="宋体"/>
                <w:sz w:val="21"/>
                <w:szCs w:val="21"/>
                <w:highlight w:val="none"/>
              </w:rPr>
              <w:t>员变动率=</w:t>
            </w:r>
            <w:r>
              <w:rPr>
                <w:rFonts w:hint="eastAsia" w:ascii="宋体" w:hAnsi="宋体" w:eastAsia="宋体"/>
                <w:sz w:val="21"/>
                <w:szCs w:val="21"/>
                <w:highlight w:val="none"/>
              </w:rPr>
              <w:t>乙方未经甲方同意</w:t>
            </w:r>
            <w:r>
              <w:rPr>
                <w:rFonts w:ascii="宋体" w:hAnsi="宋体" w:eastAsia="宋体"/>
                <w:sz w:val="21"/>
                <w:szCs w:val="21"/>
                <w:highlight w:val="none"/>
              </w:rPr>
              <w:t>更换</w:t>
            </w:r>
            <w:r>
              <w:rPr>
                <w:rFonts w:hint="eastAsia" w:ascii="宋体" w:hAnsi="宋体" w:eastAsia="宋体"/>
                <w:sz w:val="21"/>
                <w:szCs w:val="21"/>
                <w:highlight w:val="none"/>
              </w:rPr>
              <w:t>及退出</w:t>
            </w:r>
            <w:r>
              <w:rPr>
                <w:rFonts w:ascii="宋体" w:hAnsi="宋体" w:eastAsia="宋体"/>
                <w:sz w:val="21"/>
                <w:szCs w:val="21"/>
                <w:highlight w:val="none"/>
              </w:rPr>
              <w:t>外包人员数量/</w:t>
            </w:r>
            <w:r>
              <w:rPr>
                <w:rFonts w:hint="eastAsia" w:ascii="宋体" w:hAnsi="宋体" w:eastAsia="宋体"/>
                <w:sz w:val="21"/>
                <w:szCs w:val="21"/>
                <w:highlight w:val="none"/>
              </w:rPr>
              <w:t>乙方</w:t>
            </w:r>
            <w:r>
              <w:rPr>
                <w:rFonts w:ascii="宋体" w:hAnsi="宋体" w:eastAsia="宋体"/>
                <w:sz w:val="21"/>
                <w:szCs w:val="21"/>
                <w:highlight w:val="none"/>
              </w:rPr>
              <w:t>驻场外包人员总数量</w:t>
            </w:r>
          </w:p>
          <w:p w14:paraId="4699190B">
            <w:pPr>
              <w:ind w:left="0" w:firstLine="0" w:firstLineChars="0"/>
              <w:rPr>
                <w:rFonts w:ascii="宋体" w:hAnsi="宋体" w:eastAsia="宋体"/>
                <w:b/>
                <w:sz w:val="21"/>
                <w:szCs w:val="21"/>
                <w:highlight w:val="none"/>
              </w:rPr>
            </w:pPr>
            <w:r>
              <w:rPr>
                <w:rFonts w:hint="eastAsia" w:ascii="宋体" w:hAnsi="宋体" w:eastAsia="宋体"/>
                <w:b/>
                <w:sz w:val="21"/>
                <w:szCs w:val="21"/>
                <w:highlight w:val="none"/>
              </w:rPr>
              <w:t>10分【0-20%】</w:t>
            </w:r>
          </w:p>
          <w:p w14:paraId="555056BB">
            <w:pPr>
              <w:ind w:left="0" w:firstLine="0" w:firstLineChars="0"/>
              <w:rPr>
                <w:rFonts w:ascii="宋体" w:hAnsi="宋体" w:eastAsia="宋体"/>
                <w:b/>
                <w:sz w:val="21"/>
                <w:szCs w:val="21"/>
                <w:highlight w:val="none"/>
              </w:rPr>
            </w:pPr>
            <w:r>
              <w:rPr>
                <w:rFonts w:hint="eastAsia" w:ascii="宋体" w:hAnsi="宋体" w:eastAsia="宋体"/>
                <w:b/>
                <w:sz w:val="21"/>
                <w:szCs w:val="21"/>
                <w:highlight w:val="none"/>
              </w:rPr>
              <w:t>5分【20%-40%】</w:t>
            </w:r>
          </w:p>
          <w:p w14:paraId="23212CBA">
            <w:pPr>
              <w:ind w:left="0" w:firstLine="0" w:firstLineChars="0"/>
              <w:rPr>
                <w:rFonts w:ascii="宋体" w:hAnsi="宋体" w:eastAsia="宋体"/>
                <w:b/>
                <w:sz w:val="21"/>
                <w:szCs w:val="21"/>
                <w:highlight w:val="none"/>
              </w:rPr>
            </w:pPr>
            <w:r>
              <w:rPr>
                <w:rFonts w:hint="eastAsia" w:ascii="宋体" w:hAnsi="宋体" w:eastAsia="宋体"/>
                <w:b/>
                <w:sz w:val="21"/>
                <w:szCs w:val="21"/>
                <w:highlight w:val="none"/>
              </w:rPr>
              <w:t>0分【超过40%】</w:t>
            </w:r>
          </w:p>
        </w:tc>
        <w:tc>
          <w:tcPr>
            <w:tcW w:w="2176" w:type="dxa"/>
            <w:tcBorders>
              <w:tl2br w:val="nil"/>
              <w:tr2bl w:val="nil"/>
            </w:tcBorders>
            <w:shd w:val="clear" w:color="auto" w:fill="auto"/>
            <w:vAlign w:val="center"/>
          </w:tcPr>
          <w:p w14:paraId="74C2AC47">
            <w:pPr>
              <w:ind w:left="0" w:firstLine="0" w:firstLineChars="0"/>
              <w:rPr>
                <w:rFonts w:ascii="宋体" w:hAnsi="宋体" w:eastAsia="宋体"/>
                <w:sz w:val="21"/>
                <w:szCs w:val="21"/>
                <w:highlight w:val="none"/>
              </w:rPr>
            </w:pPr>
            <w:r>
              <w:rPr>
                <w:rFonts w:ascii="宋体" w:hAnsi="宋体" w:eastAsia="宋体"/>
                <w:sz w:val="21"/>
                <w:szCs w:val="21"/>
                <w:highlight w:val="none"/>
              </w:rPr>
              <w:t>项目经理</w:t>
            </w:r>
            <w:r>
              <w:rPr>
                <w:rFonts w:hint="eastAsia" w:ascii="宋体" w:hAnsi="宋体" w:eastAsia="宋体"/>
                <w:sz w:val="21"/>
                <w:szCs w:val="21"/>
                <w:highlight w:val="none"/>
              </w:rPr>
              <w:t>未经甲方同意变动或退出，扣除乙方金额人民币不低于3万元；其余人员变动率超过40</w:t>
            </w:r>
            <w:r>
              <w:rPr>
                <w:rFonts w:ascii="宋体" w:hAnsi="宋体" w:eastAsia="宋体"/>
                <w:sz w:val="21"/>
                <w:szCs w:val="21"/>
                <w:highlight w:val="none"/>
              </w:rPr>
              <w:t>%</w:t>
            </w:r>
            <w:r>
              <w:rPr>
                <w:rFonts w:hint="eastAsia" w:ascii="宋体" w:hAnsi="宋体" w:eastAsia="宋体"/>
                <w:sz w:val="21"/>
                <w:szCs w:val="21"/>
                <w:highlight w:val="none"/>
              </w:rPr>
              <w:t>，扣除</w:t>
            </w:r>
            <w:r>
              <w:rPr>
                <w:rFonts w:ascii="宋体" w:hAnsi="宋体" w:eastAsia="宋体"/>
                <w:sz w:val="21"/>
                <w:szCs w:val="21"/>
                <w:highlight w:val="none"/>
              </w:rPr>
              <w:t>乙方金额人民币不低于1万元</w:t>
            </w:r>
            <w:r>
              <w:rPr>
                <w:rFonts w:hint="eastAsia" w:ascii="宋体" w:hAnsi="宋体" w:eastAsia="宋体"/>
                <w:sz w:val="21"/>
                <w:szCs w:val="21"/>
                <w:highlight w:val="none"/>
              </w:rPr>
              <w:t>。</w:t>
            </w:r>
          </w:p>
        </w:tc>
      </w:tr>
      <w:tr w14:paraId="70FA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42E41CBA">
            <w:pPr>
              <w:ind w:firstLine="0" w:firstLineChars="0"/>
              <w:jc w:val="right"/>
              <w:rPr>
                <w:rFonts w:ascii="宋体" w:hAnsi="宋体" w:eastAsia="宋体"/>
                <w:sz w:val="21"/>
                <w:szCs w:val="21"/>
                <w:highlight w:val="none"/>
              </w:rPr>
            </w:pPr>
            <w:r>
              <w:rPr>
                <w:rFonts w:hint="eastAsia" w:ascii="宋体" w:hAnsi="宋体" w:eastAsia="宋体"/>
                <w:sz w:val="21"/>
                <w:szCs w:val="21"/>
                <w:highlight w:val="none"/>
              </w:rPr>
              <w:t>10</w:t>
            </w:r>
          </w:p>
        </w:tc>
        <w:tc>
          <w:tcPr>
            <w:tcW w:w="700" w:type="dxa"/>
            <w:vMerge w:val="continue"/>
            <w:tcBorders>
              <w:tl2br w:val="nil"/>
              <w:tr2bl w:val="nil"/>
            </w:tcBorders>
            <w:shd w:val="clear" w:color="auto" w:fill="auto"/>
          </w:tcPr>
          <w:p w14:paraId="08278683">
            <w:pPr>
              <w:rPr>
                <w:highlight w:val="none"/>
              </w:rPr>
            </w:pPr>
          </w:p>
        </w:tc>
        <w:tc>
          <w:tcPr>
            <w:tcW w:w="1405" w:type="dxa"/>
            <w:tcBorders>
              <w:tl2br w:val="nil"/>
              <w:tr2bl w:val="nil"/>
            </w:tcBorders>
            <w:shd w:val="clear" w:color="auto" w:fill="auto"/>
            <w:vAlign w:val="center"/>
          </w:tcPr>
          <w:p w14:paraId="6F90146B">
            <w:pPr>
              <w:ind w:left="0" w:firstLine="0" w:firstLineChars="0"/>
              <w:rPr>
                <w:rFonts w:ascii="宋体" w:hAnsi="宋体" w:eastAsia="宋体"/>
                <w:sz w:val="21"/>
                <w:szCs w:val="21"/>
                <w:highlight w:val="none"/>
              </w:rPr>
            </w:pPr>
            <w:r>
              <w:rPr>
                <w:rFonts w:hint="eastAsia" w:ascii="宋体" w:hAnsi="宋体" w:eastAsia="宋体"/>
                <w:sz w:val="21"/>
                <w:szCs w:val="21"/>
                <w:highlight w:val="none"/>
              </w:rPr>
              <w:t>人员满意度评价</w:t>
            </w:r>
          </w:p>
        </w:tc>
        <w:tc>
          <w:tcPr>
            <w:tcW w:w="2693" w:type="dxa"/>
            <w:tcBorders>
              <w:tl2br w:val="nil"/>
              <w:tr2bl w:val="nil"/>
            </w:tcBorders>
            <w:shd w:val="clear" w:color="auto" w:fill="auto"/>
            <w:vAlign w:val="center"/>
          </w:tcPr>
          <w:p w14:paraId="4834C304">
            <w:pPr>
              <w:ind w:left="0" w:firstLine="0" w:firstLineChars="0"/>
              <w:rPr>
                <w:rFonts w:ascii="宋体" w:hAnsi="宋体" w:eastAsia="宋体"/>
                <w:sz w:val="21"/>
                <w:szCs w:val="21"/>
                <w:highlight w:val="none"/>
              </w:rPr>
            </w:pPr>
            <w:r>
              <w:rPr>
                <w:rFonts w:hint="eastAsia" w:ascii="宋体" w:hAnsi="宋体" w:eastAsia="宋体"/>
                <w:sz w:val="21"/>
                <w:szCs w:val="21"/>
                <w:highlight w:val="none"/>
              </w:rPr>
              <w:t>甲方</w:t>
            </w:r>
            <w:r>
              <w:rPr>
                <w:rFonts w:ascii="宋体" w:hAnsi="宋体" w:eastAsia="宋体"/>
                <w:sz w:val="21"/>
                <w:szCs w:val="21"/>
                <w:highlight w:val="none"/>
              </w:rPr>
              <w:t>对</w:t>
            </w:r>
            <w:r>
              <w:rPr>
                <w:rFonts w:hint="eastAsia" w:ascii="宋体" w:hAnsi="宋体" w:eastAsia="宋体"/>
                <w:sz w:val="21"/>
                <w:szCs w:val="21"/>
                <w:highlight w:val="none"/>
              </w:rPr>
              <w:t>乙方</w:t>
            </w:r>
            <w:r>
              <w:rPr>
                <w:rFonts w:ascii="宋体" w:hAnsi="宋体" w:eastAsia="宋体"/>
                <w:sz w:val="21"/>
                <w:szCs w:val="21"/>
                <w:highlight w:val="none"/>
              </w:rPr>
              <w:t>外包人员表现的满意度评价</w:t>
            </w:r>
          </w:p>
        </w:tc>
        <w:tc>
          <w:tcPr>
            <w:tcW w:w="4950" w:type="dxa"/>
            <w:tcBorders>
              <w:tl2br w:val="nil"/>
              <w:tr2bl w:val="nil"/>
            </w:tcBorders>
            <w:shd w:val="clear" w:color="auto" w:fill="auto"/>
            <w:vAlign w:val="center"/>
          </w:tcPr>
          <w:p w14:paraId="396FF2DE">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优秀：</w:t>
            </w:r>
            <w:r>
              <w:rPr>
                <w:rFonts w:hint="eastAsia" w:ascii="宋体" w:hAnsi="宋体" w:eastAsia="宋体"/>
                <w:sz w:val="21"/>
                <w:szCs w:val="21"/>
                <w:highlight w:val="none"/>
              </w:rPr>
              <w:t>10分，</w:t>
            </w:r>
            <w:r>
              <w:rPr>
                <w:rFonts w:ascii="宋体" w:hAnsi="宋体" w:eastAsia="宋体"/>
                <w:sz w:val="21"/>
                <w:szCs w:val="21"/>
                <w:highlight w:val="none"/>
              </w:rPr>
              <w:t>指</w:t>
            </w:r>
            <w:r>
              <w:rPr>
                <w:rFonts w:hint="eastAsia" w:ascii="宋体" w:hAnsi="宋体" w:eastAsia="宋体"/>
                <w:sz w:val="21"/>
                <w:szCs w:val="21"/>
                <w:highlight w:val="none"/>
              </w:rPr>
              <w:t>工作效率高，态度积极主动，</w:t>
            </w:r>
            <w:r>
              <w:rPr>
                <w:rFonts w:ascii="宋体" w:hAnsi="宋体" w:eastAsia="宋体"/>
                <w:sz w:val="21"/>
                <w:szCs w:val="21"/>
                <w:highlight w:val="none"/>
              </w:rPr>
              <w:t>保质保量完成工作任务</w:t>
            </w:r>
            <w:r>
              <w:rPr>
                <w:rFonts w:hint="eastAsia" w:ascii="宋体" w:hAnsi="宋体" w:eastAsia="宋体"/>
                <w:sz w:val="21"/>
                <w:szCs w:val="21"/>
                <w:highlight w:val="none"/>
              </w:rPr>
              <w:t>，</w:t>
            </w:r>
            <w:r>
              <w:rPr>
                <w:rFonts w:ascii="宋体" w:hAnsi="宋体" w:eastAsia="宋体"/>
                <w:sz w:val="21"/>
                <w:szCs w:val="21"/>
                <w:highlight w:val="none"/>
              </w:rPr>
              <w:t>对团队有突出贡献，日常行为能起到模范带头作用</w:t>
            </w:r>
            <w:r>
              <w:rPr>
                <w:rFonts w:hint="eastAsia" w:ascii="宋体" w:hAnsi="宋体" w:eastAsia="宋体"/>
                <w:sz w:val="21"/>
                <w:szCs w:val="21"/>
                <w:highlight w:val="none"/>
              </w:rPr>
              <w:t>的；</w:t>
            </w:r>
          </w:p>
          <w:p w14:paraId="36AF9A86">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良好：</w:t>
            </w:r>
            <w:r>
              <w:rPr>
                <w:rFonts w:hint="eastAsia" w:ascii="宋体" w:hAnsi="宋体" w:eastAsia="宋体"/>
                <w:sz w:val="21"/>
                <w:szCs w:val="21"/>
                <w:highlight w:val="none"/>
              </w:rPr>
              <w:t>8分，</w:t>
            </w:r>
            <w:r>
              <w:rPr>
                <w:rFonts w:ascii="宋体" w:hAnsi="宋体" w:eastAsia="宋体"/>
                <w:sz w:val="21"/>
                <w:szCs w:val="21"/>
                <w:highlight w:val="none"/>
              </w:rPr>
              <w:t>指</w:t>
            </w:r>
            <w:r>
              <w:rPr>
                <w:rFonts w:hint="eastAsia" w:ascii="宋体" w:hAnsi="宋体" w:eastAsia="宋体"/>
                <w:sz w:val="21"/>
                <w:szCs w:val="21"/>
                <w:highlight w:val="none"/>
              </w:rPr>
              <w:t>工作效率较高，态度比较主动，较好</w:t>
            </w:r>
            <w:r>
              <w:rPr>
                <w:rFonts w:ascii="宋体" w:hAnsi="宋体" w:eastAsia="宋体"/>
                <w:sz w:val="21"/>
                <w:szCs w:val="21"/>
                <w:highlight w:val="none"/>
              </w:rPr>
              <w:t>完成工作任务</w:t>
            </w:r>
            <w:r>
              <w:rPr>
                <w:rFonts w:hint="eastAsia" w:ascii="宋体" w:hAnsi="宋体" w:eastAsia="宋体"/>
                <w:sz w:val="21"/>
                <w:szCs w:val="21"/>
                <w:highlight w:val="none"/>
              </w:rPr>
              <w:t>，</w:t>
            </w:r>
            <w:r>
              <w:rPr>
                <w:rFonts w:ascii="宋体" w:hAnsi="宋体" w:eastAsia="宋体"/>
                <w:sz w:val="21"/>
                <w:szCs w:val="21"/>
                <w:highlight w:val="none"/>
              </w:rPr>
              <w:t>对团队有</w:t>
            </w:r>
            <w:r>
              <w:rPr>
                <w:rFonts w:hint="eastAsia" w:ascii="宋体" w:hAnsi="宋体" w:eastAsia="宋体"/>
                <w:sz w:val="21"/>
                <w:szCs w:val="21"/>
                <w:highlight w:val="none"/>
              </w:rPr>
              <w:t>一定</w:t>
            </w:r>
            <w:r>
              <w:rPr>
                <w:rFonts w:ascii="宋体" w:hAnsi="宋体" w:eastAsia="宋体"/>
                <w:sz w:val="21"/>
                <w:szCs w:val="21"/>
                <w:highlight w:val="none"/>
              </w:rPr>
              <w:t>贡献，日常行为</w:t>
            </w:r>
            <w:r>
              <w:rPr>
                <w:rFonts w:hint="eastAsia" w:ascii="宋体" w:hAnsi="宋体" w:eastAsia="宋体"/>
                <w:sz w:val="21"/>
                <w:szCs w:val="21"/>
                <w:highlight w:val="none"/>
              </w:rPr>
              <w:t>表现较好的；</w:t>
            </w:r>
          </w:p>
          <w:p w14:paraId="6A5EA8EC">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合格：</w:t>
            </w:r>
            <w:r>
              <w:rPr>
                <w:rFonts w:hint="eastAsia" w:ascii="宋体" w:hAnsi="宋体" w:eastAsia="宋体"/>
                <w:sz w:val="21"/>
                <w:szCs w:val="21"/>
                <w:highlight w:val="none"/>
              </w:rPr>
              <w:t>6分，</w:t>
            </w:r>
            <w:r>
              <w:rPr>
                <w:rFonts w:ascii="宋体" w:hAnsi="宋体" w:eastAsia="宋体"/>
                <w:sz w:val="21"/>
                <w:szCs w:val="21"/>
                <w:highlight w:val="none"/>
              </w:rPr>
              <w:t>指</w:t>
            </w:r>
            <w:r>
              <w:rPr>
                <w:rFonts w:hint="eastAsia" w:ascii="宋体" w:hAnsi="宋体" w:eastAsia="宋体"/>
                <w:sz w:val="21"/>
                <w:szCs w:val="21"/>
                <w:highlight w:val="none"/>
              </w:rPr>
              <w:t>工作效率一般，态度合格，能够按时</w:t>
            </w:r>
            <w:r>
              <w:rPr>
                <w:rFonts w:ascii="宋体" w:hAnsi="宋体" w:eastAsia="宋体"/>
                <w:sz w:val="21"/>
                <w:szCs w:val="21"/>
                <w:highlight w:val="none"/>
              </w:rPr>
              <w:t>完成工作任务</w:t>
            </w:r>
            <w:r>
              <w:rPr>
                <w:rFonts w:hint="eastAsia" w:ascii="宋体" w:hAnsi="宋体" w:eastAsia="宋体"/>
                <w:sz w:val="21"/>
                <w:szCs w:val="21"/>
                <w:highlight w:val="none"/>
              </w:rPr>
              <w:t>的；</w:t>
            </w:r>
          </w:p>
          <w:p w14:paraId="20E30076">
            <w:pPr>
              <w:ind w:left="0" w:firstLine="0" w:firstLineChars="0"/>
              <w:rPr>
                <w:rFonts w:ascii="宋体" w:hAnsi="宋体" w:eastAsia="宋体"/>
                <w:sz w:val="21"/>
                <w:szCs w:val="21"/>
                <w:highlight w:val="none"/>
              </w:rPr>
            </w:pPr>
            <w:r>
              <w:rPr>
                <w:rFonts w:hint="eastAsia" w:ascii="宋体" w:hAnsi="宋体" w:eastAsia="宋体"/>
                <w:b/>
                <w:bCs/>
                <w:sz w:val="21"/>
                <w:szCs w:val="21"/>
                <w:highlight w:val="none"/>
              </w:rPr>
              <w:t>较差/差：</w:t>
            </w:r>
            <w:r>
              <w:rPr>
                <w:rFonts w:hint="eastAsia" w:ascii="宋体" w:hAnsi="宋体" w:eastAsia="宋体"/>
                <w:sz w:val="21"/>
                <w:szCs w:val="21"/>
                <w:highlight w:val="none"/>
              </w:rPr>
              <w:t>0分，</w:t>
            </w:r>
            <w:r>
              <w:rPr>
                <w:rFonts w:ascii="宋体" w:hAnsi="宋体" w:eastAsia="宋体"/>
                <w:sz w:val="21"/>
                <w:szCs w:val="21"/>
                <w:highlight w:val="none"/>
              </w:rPr>
              <w:t>指</w:t>
            </w:r>
            <w:r>
              <w:rPr>
                <w:rFonts w:hint="eastAsia" w:ascii="宋体" w:hAnsi="宋体" w:eastAsia="宋体"/>
                <w:sz w:val="21"/>
                <w:szCs w:val="21"/>
                <w:highlight w:val="none"/>
              </w:rPr>
              <w:t>工作效率低下，态度懈怠散漫，不能按时</w:t>
            </w:r>
            <w:r>
              <w:rPr>
                <w:rFonts w:ascii="宋体" w:hAnsi="宋体" w:eastAsia="宋体"/>
                <w:sz w:val="21"/>
                <w:szCs w:val="21"/>
                <w:highlight w:val="none"/>
              </w:rPr>
              <w:t>完成工作任务</w:t>
            </w:r>
            <w:r>
              <w:rPr>
                <w:rFonts w:hint="eastAsia" w:ascii="宋体" w:hAnsi="宋体" w:eastAsia="宋体"/>
                <w:sz w:val="21"/>
                <w:szCs w:val="21"/>
                <w:highlight w:val="none"/>
              </w:rPr>
              <w:t>的。</w:t>
            </w:r>
          </w:p>
        </w:tc>
        <w:tc>
          <w:tcPr>
            <w:tcW w:w="2176" w:type="dxa"/>
            <w:tcBorders>
              <w:tl2br w:val="nil"/>
              <w:tr2bl w:val="nil"/>
            </w:tcBorders>
            <w:shd w:val="clear" w:color="auto" w:fill="auto"/>
            <w:vAlign w:val="center"/>
          </w:tcPr>
          <w:p w14:paraId="6F1E875F">
            <w:pPr>
              <w:ind w:left="0" w:firstLine="0" w:firstLineChars="0"/>
              <w:rPr>
                <w:rFonts w:ascii="宋体" w:hAnsi="宋体" w:eastAsia="宋体"/>
                <w:sz w:val="21"/>
                <w:szCs w:val="21"/>
                <w:highlight w:val="none"/>
              </w:rPr>
            </w:pPr>
            <w:r>
              <w:rPr>
                <w:rFonts w:hint="eastAsia" w:ascii="宋体" w:hAnsi="宋体" w:eastAsia="宋体"/>
                <w:sz w:val="21"/>
                <w:szCs w:val="21"/>
                <w:highlight w:val="none"/>
              </w:rPr>
              <w:t>评价为较差/差时，甲方有权要求乙方更换人员并赔偿实际损失。</w:t>
            </w:r>
          </w:p>
        </w:tc>
      </w:tr>
    </w:tbl>
    <w:p w14:paraId="1EDFC2BB">
      <w:pPr>
        <w:rPr>
          <w:highlight w:val="none"/>
          <w:lang w:val="zh-CN"/>
        </w:rPr>
        <w:sectPr>
          <w:pgSz w:w="16838" w:h="11906" w:orient="landscape"/>
          <w:pgMar w:top="1800" w:right="1440" w:bottom="1800" w:left="1440" w:header="851" w:footer="992" w:gutter="0"/>
          <w:cols w:space="425" w:num="1"/>
          <w:docGrid w:type="lines" w:linePitch="312" w:charSpace="0"/>
        </w:sectPr>
      </w:pPr>
    </w:p>
    <w:p w14:paraId="14F69A85">
      <w:pPr>
        <w:pStyle w:val="39"/>
        <w:rPr>
          <w:highlight w:val="none"/>
          <w:lang w:val="zh-CN"/>
        </w:rPr>
      </w:pPr>
      <w:r>
        <w:rPr>
          <w:rFonts w:hint="eastAsia"/>
          <w:highlight w:val="none"/>
          <w:lang w:val="zh-CN"/>
        </w:rPr>
        <w:t>（</w:t>
      </w:r>
      <w:r>
        <w:rPr>
          <w:rFonts w:hint="eastAsia"/>
          <w:highlight w:val="none"/>
          <w:lang w:val="en-US" w:eastAsia="zh-CN"/>
        </w:rPr>
        <w:t>七</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55486456">
      <w:pPr>
        <w:pStyle w:val="49"/>
        <w:rPr>
          <w:highlight w:val="none"/>
          <w:lang w:val="zh-CN"/>
        </w:rPr>
      </w:pPr>
      <w:r>
        <w:rPr>
          <w:highlight w:val="none"/>
          <w:lang w:val="zh-CN"/>
        </w:rPr>
        <w:t>（</w:t>
      </w:r>
      <w:r>
        <w:rPr>
          <w:highlight w:val="none"/>
        </w:rPr>
        <w:t>如第三章中要求提供的文件、方案等材料</w:t>
      </w:r>
      <w:r>
        <w:rPr>
          <w:highlight w:val="none"/>
          <w:lang w:val="zh-CN"/>
        </w:rPr>
        <w:t>）</w:t>
      </w:r>
    </w:p>
    <w:p w14:paraId="7441A78B">
      <w:pPr>
        <w:rPr>
          <w:highlight w:val="none"/>
          <w:lang w:val="zh-CN"/>
        </w:rPr>
      </w:pPr>
    </w:p>
    <w:p w14:paraId="5B87D637">
      <w:pPr>
        <w:rPr>
          <w:highlight w:val="none"/>
          <w:lang w:val="zh-CN"/>
        </w:rPr>
        <w:sectPr>
          <w:pgSz w:w="11906" w:h="16838"/>
          <w:pgMar w:top="1440" w:right="1800" w:bottom="1440" w:left="1800" w:header="851" w:footer="992" w:gutter="0"/>
          <w:cols w:space="425" w:num="1"/>
          <w:docGrid w:type="lines" w:linePitch="312" w:charSpace="0"/>
        </w:sectPr>
      </w:pPr>
    </w:p>
    <w:p w14:paraId="5C771B2A">
      <w:pPr>
        <w:pStyle w:val="16"/>
        <w:rPr>
          <w:highlight w:val="none"/>
        </w:rPr>
      </w:pPr>
      <w:r>
        <w:rPr>
          <w:rFonts w:hint="eastAsia"/>
          <w:highlight w:val="none"/>
          <w:lang w:val="en-US" w:eastAsia="zh-CN"/>
        </w:rPr>
        <w:t>五</w:t>
      </w:r>
      <w:r>
        <w:rPr>
          <w:highlight w:val="none"/>
        </w:rPr>
        <w:t>、其他（如有）</w:t>
      </w:r>
    </w:p>
    <w:p w14:paraId="30A5216F">
      <w:pPr>
        <w:rPr>
          <w:highlight w:val="none"/>
        </w:rPr>
      </w:pPr>
    </w:p>
    <w:p w14:paraId="125C3B2F">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G Times">
    <w:altName w:val="Times New Roman"/>
    <w:panose1 w:val="00000000000000000000"/>
    <w:charset w:val="00"/>
    <w:family w:val="roman"/>
    <w:pitch w:val="default"/>
    <w:sig w:usb0="00000000" w:usb1="00000000" w:usb2="00000000" w:usb3="00000000" w:csb0="00000093" w:csb1="00000000"/>
  </w:font>
  <w:font w:name="华文楷体">
    <w:altName w:val="宋体"/>
    <w:panose1 w:val="02010600040101010101"/>
    <w:charset w:val="86"/>
    <w:family w:val="auto"/>
    <w:pitch w:val="default"/>
    <w:sig w:usb0="00000000" w:usb1="00000000" w:usb2="00000016" w:usb3="00000000" w:csb0="0004001F" w:csb1="00000000"/>
  </w:font>
  <w:font w:name="彩虹黑体">
    <w:altName w:val="黑体"/>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D242">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2C3F5226">
                          <w:pPr>
                            <w:pStyle w:val="18"/>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46</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NJDUcUFAgAA9QMAAA4AAAAAAAAAAQAgAAAAJgEA&#10;AGRycy9lMm9Eb2MueG1sUEsFBgAAAAAGAAYAWQEAAJ0FAAAAAA==&#10;">
              <v:fill on="f" focussize="0,0"/>
              <v:stroke on="f" weight="0.5pt" joinstyle="round"/>
              <v:imagedata o:title=""/>
              <o:lock v:ext="edit" aspectratio="f"/>
              <v:textbox inset="0mm,0mm,0mm,0mm" style="mso-fit-shape-to-text:t;">
                <w:txbxContent>
                  <w:p w14:paraId="2C3F5226">
                    <w:pPr>
                      <w:pStyle w:val="18"/>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46</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17B11E4"/>
    <w:rsid w:val="034A3564"/>
    <w:rsid w:val="059E7B97"/>
    <w:rsid w:val="08A6304D"/>
    <w:rsid w:val="0B8E7D66"/>
    <w:rsid w:val="0D230FA0"/>
    <w:rsid w:val="0F0C3DC3"/>
    <w:rsid w:val="10441D9E"/>
    <w:rsid w:val="119A7465"/>
    <w:rsid w:val="12301B77"/>
    <w:rsid w:val="141334FE"/>
    <w:rsid w:val="157C073B"/>
    <w:rsid w:val="17E05AC4"/>
    <w:rsid w:val="19984D9E"/>
    <w:rsid w:val="1DD66EA0"/>
    <w:rsid w:val="1DFE521F"/>
    <w:rsid w:val="20F62E22"/>
    <w:rsid w:val="2241392C"/>
    <w:rsid w:val="25257535"/>
    <w:rsid w:val="27065AC5"/>
    <w:rsid w:val="2D183B14"/>
    <w:rsid w:val="2DEA4E78"/>
    <w:rsid w:val="2FDC6A42"/>
    <w:rsid w:val="30D065A7"/>
    <w:rsid w:val="36062A6B"/>
    <w:rsid w:val="372E4027"/>
    <w:rsid w:val="379D3306"/>
    <w:rsid w:val="39C649EB"/>
    <w:rsid w:val="39F94DC1"/>
    <w:rsid w:val="3DF064DB"/>
    <w:rsid w:val="3F6031EC"/>
    <w:rsid w:val="40267F92"/>
    <w:rsid w:val="48523F96"/>
    <w:rsid w:val="4BA060DB"/>
    <w:rsid w:val="4F2170AB"/>
    <w:rsid w:val="50A218B6"/>
    <w:rsid w:val="5B2B15BD"/>
    <w:rsid w:val="5B6F6839"/>
    <w:rsid w:val="5D1D22C5"/>
    <w:rsid w:val="5D322C7B"/>
    <w:rsid w:val="628F5A13"/>
    <w:rsid w:val="62BD60DC"/>
    <w:rsid w:val="63A454EE"/>
    <w:rsid w:val="65B17149"/>
    <w:rsid w:val="677667A3"/>
    <w:rsid w:val="6EC76143"/>
    <w:rsid w:val="71306613"/>
    <w:rsid w:val="72842772"/>
    <w:rsid w:val="762B1157"/>
    <w:rsid w:val="764861AD"/>
    <w:rsid w:val="765A32D4"/>
    <w:rsid w:val="78B673FD"/>
    <w:rsid w:val="7AB83901"/>
    <w:rsid w:val="7D3E5C13"/>
    <w:rsid w:val="7EE10F4C"/>
    <w:rsid w:val="7FB81CAD"/>
    <w:rsid w:val="DF3DD11D"/>
    <w:rsid w:val="FB9FD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qFormat="1" w:unhideWhenUsed="0" w:uiPriority="0"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qFormat="1" w:unhideWhenUsed="0" w:uiPriority="0"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unhideWhenUsed="0" w:uiPriority="4294967295" w:semiHidden="0" w:name="Body Text Indent 3"/>
    <w:lsdException w:unhideWhenUsed="0" w:uiPriority="4294967295" w:semiHidden="0" w:name="Block Text"/>
    <w:lsdException w:qFormat="1" w:unhideWhenUsed="0" w:uiPriority="0"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7"/>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8"/>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9"/>
    <w:autoRedefine/>
    <w:qFormat/>
    <w:locked/>
    <w:uiPriority w:val="0"/>
    <w:pPr>
      <w:outlineLvl w:val="2"/>
    </w:pPr>
    <w:rPr>
      <w:b/>
      <w:bCs/>
      <w:szCs w:val="32"/>
    </w:rPr>
  </w:style>
  <w:style w:type="paragraph" w:styleId="5">
    <w:name w:val="heading 4"/>
    <w:basedOn w:val="1"/>
    <w:next w:val="1"/>
    <w:link w:val="30"/>
    <w:autoRedefine/>
    <w:qFormat/>
    <w:locked/>
    <w:uiPriority w:val="0"/>
    <w:pPr>
      <w:outlineLvl w:val="3"/>
    </w:pPr>
    <w:rPr>
      <w:rFonts w:cs="Times New Roman"/>
      <w:bCs/>
      <w:szCs w:val="28"/>
    </w:rPr>
  </w:style>
  <w:style w:type="paragraph" w:styleId="6">
    <w:name w:val="heading 5"/>
    <w:basedOn w:val="1"/>
    <w:next w:val="1"/>
    <w:link w:val="31"/>
    <w:autoRedefine/>
    <w:qFormat/>
    <w:locked/>
    <w:uiPriority w:val="0"/>
    <w:pPr>
      <w:ind w:firstLine="0" w:firstLineChars="0"/>
      <w:jc w:val="center"/>
      <w:outlineLvl w:val="4"/>
    </w:pPr>
    <w:rPr>
      <w:b/>
      <w:sz w:val="28"/>
    </w:rPr>
  </w:style>
  <w:style w:type="paragraph" w:styleId="7">
    <w:name w:val="heading 6"/>
    <w:basedOn w:val="1"/>
    <w:next w:val="1"/>
    <w:link w:val="32"/>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3"/>
    <w:qFormat/>
    <w:locked/>
    <w:uiPriority w:val="0"/>
    <w:pPr>
      <w:keepNext/>
      <w:keepLines/>
      <w:spacing w:before="240" w:after="64" w:line="317" w:lineRule="auto"/>
      <w:outlineLvl w:val="6"/>
    </w:pPr>
    <w:rPr>
      <w:b/>
    </w:rPr>
  </w:style>
  <w:style w:type="character" w:default="1" w:styleId="24">
    <w:name w:val="Default Paragraph Font"/>
    <w:qFormat/>
    <w:uiPriority w:val="0"/>
  </w:style>
  <w:style w:type="table" w:default="1" w:styleId="23">
    <w:name w:val="Normal Table"/>
    <w:qFormat/>
    <w:uiPriority w:val="4294967295"/>
    <w:tblPr>
      <w:tblCellMar>
        <w:top w:w="0" w:type="dxa"/>
        <w:left w:w="108" w:type="dxa"/>
        <w:bottom w:w="0" w:type="dxa"/>
        <w:right w:w="108" w:type="dxa"/>
      </w:tblCellMar>
    </w:tblPr>
  </w:style>
  <w:style w:type="paragraph" w:styleId="9">
    <w:name w:val="index 5"/>
    <w:basedOn w:val="1"/>
    <w:next w:val="1"/>
    <w:autoRedefine/>
    <w:qFormat/>
    <w:uiPriority w:val="0"/>
    <w:pPr>
      <w:ind w:left="1680"/>
    </w:pPr>
  </w:style>
  <w:style w:type="paragraph" w:styleId="10">
    <w:name w:val="annotation text"/>
    <w:basedOn w:val="1"/>
    <w:qFormat/>
    <w:locked/>
    <w:uiPriority w:val="0"/>
    <w:pPr>
      <w:jc w:val="left"/>
    </w:pPr>
  </w:style>
  <w:style w:type="paragraph" w:styleId="11">
    <w:name w:val="Body Text"/>
    <w:basedOn w:val="1"/>
    <w:next w:val="12"/>
    <w:qFormat/>
    <w:locked/>
    <w:uiPriority w:val="0"/>
    <w:pPr>
      <w:widowControl/>
      <w:spacing w:line="288" w:lineRule="auto"/>
      <w:ind w:left="624"/>
      <w:jc w:val="both"/>
    </w:pPr>
    <w:rPr>
      <w:rFonts w:ascii="CG Times" w:hAnsi="CG Times" w:eastAsia="宋体" w:cs="Times New Roman"/>
      <w:kern w:val="0"/>
      <w:sz w:val="24"/>
      <w:szCs w:val="20"/>
      <w:lang w:val="en-GB" w:bidi="ar-SA"/>
    </w:rPr>
  </w:style>
  <w:style w:type="paragraph" w:customStyle="1" w:styleId="12">
    <w:name w:val="标题3（无级别）"/>
    <w:basedOn w:val="1"/>
    <w:next w:val="1"/>
    <w:qFormat/>
    <w:locked/>
    <w:uiPriority w:val="0"/>
    <w:rPr>
      <w:b/>
      <w:bCs/>
      <w:szCs w:val="32"/>
    </w:rPr>
  </w:style>
  <w:style w:type="paragraph" w:styleId="13">
    <w:name w:val="Body Text Indent"/>
    <w:basedOn w:val="1"/>
    <w:next w:val="14"/>
    <w:qFormat/>
    <w:uiPriority w:val="0"/>
    <w:pPr>
      <w:widowControl/>
      <w:tabs>
        <w:tab w:val="left" w:pos="630"/>
        <w:tab w:val="right" w:pos="8730"/>
      </w:tabs>
      <w:ind w:right="-178" w:firstLine="567" w:firstLineChars="0"/>
      <w:jc w:val="both"/>
    </w:pPr>
    <w:rPr>
      <w:rFonts w:ascii="华文楷体" w:hAnsi="Times New Roman" w:eastAsia="华文楷体" w:cs="Times New Roman"/>
      <w:kern w:val="0"/>
      <w:sz w:val="26"/>
      <w:szCs w:val="20"/>
      <w:lang w:val="en-GB" w:eastAsia="en-GB" w:bidi="ar-SA"/>
    </w:rPr>
  </w:style>
  <w:style w:type="paragraph" w:styleId="14">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5">
    <w:name w:val="Body Text Indent 2"/>
    <w:basedOn w:val="1"/>
    <w:next w:val="16"/>
    <w:qFormat/>
    <w:uiPriority w:val="0"/>
    <w:pPr>
      <w:widowControl w:val="0"/>
      <w:spacing w:line="480" w:lineRule="exact"/>
      <w:ind w:firstLine="522" w:firstLineChars="0"/>
      <w:jc w:val="both"/>
    </w:pPr>
    <w:rPr>
      <w:rFonts w:ascii="彩虹黑体" w:hAnsi="Times New Roman" w:eastAsia="彩虹黑体" w:cs="Times New Roman"/>
      <w:kern w:val="2"/>
      <w:sz w:val="24"/>
      <w:szCs w:val="24"/>
      <w:lang w:val="en-US" w:eastAsia="zh-CN" w:bidi="ar-SA"/>
    </w:rPr>
  </w:style>
  <w:style w:type="paragraph" w:customStyle="1" w:styleId="16">
    <w:name w:val="参选文件格式1"/>
    <w:basedOn w:val="1"/>
    <w:next w:val="1"/>
    <w:autoRedefine/>
    <w:qFormat/>
    <w:locked/>
    <w:uiPriority w:val="0"/>
    <w:pPr>
      <w:ind w:firstLine="0" w:firstLineChars="0"/>
      <w:jc w:val="center"/>
      <w:outlineLvl w:val="1"/>
    </w:pPr>
    <w:rPr>
      <w:b/>
      <w:sz w:val="28"/>
    </w:rPr>
  </w:style>
  <w:style w:type="paragraph" w:styleId="17">
    <w:name w:val="Balloon Text"/>
    <w:basedOn w:val="1"/>
    <w:qFormat/>
    <w:uiPriority w:val="0"/>
    <w:pPr>
      <w:spacing w:line="240" w:lineRule="auto"/>
    </w:pPr>
    <w:rPr>
      <w:sz w:val="18"/>
      <w:szCs w:val="18"/>
    </w:rPr>
  </w:style>
  <w:style w:type="paragraph" w:styleId="18">
    <w:name w:val="footer"/>
    <w:basedOn w:val="1"/>
    <w:qFormat/>
    <w:locked/>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locked/>
    <w:uiPriority w:val="0"/>
  </w:style>
  <w:style w:type="paragraph" w:styleId="21">
    <w:name w:val="Title"/>
    <w:basedOn w:val="1"/>
    <w:qFormat/>
    <w:uiPriority w:val="0"/>
    <w:pPr>
      <w:spacing w:before="240" w:after="60"/>
      <w:jc w:val="center"/>
      <w:outlineLvl w:val="0"/>
    </w:pPr>
    <w:rPr>
      <w:rFonts w:ascii="Times New Roman" w:hAnsi="Times New Roman"/>
      <w:b/>
      <w:bCs/>
      <w:sz w:val="32"/>
      <w:szCs w:val="32"/>
    </w:rPr>
  </w:style>
  <w:style w:type="paragraph" w:styleId="22">
    <w:name w:val="annotation subject"/>
    <w:basedOn w:val="10"/>
    <w:next w:val="10"/>
    <w:qFormat/>
    <w:uiPriority w:val="0"/>
    <w:rPr>
      <w:b/>
      <w:bCs/>
    </w:rPr>
  </w:style>
  <w:style w:type="character" w:styleId="25">
    <w:name w:val="Hyperlink"/>
    <w:basedOn w:val="24"/>
    <w:qFormat/>
    <w:uiPriority w:val="0"/>
    <w:rPr>
      <w:color w:val="0000FF"/>
      <w:u w:val="single"/>
    </w:rPr>
  </w:style>
  <w:style w:type="character" w:styleId="26">
    <w:name w:val="annotation reference"/>
    <w:basedOn w:val="24"/>
    <w:qFormat/>
    <w:uiPriority w:val="0"/>
    <w:rPr>
      <w:sz w:val="21"/>
      <w:szCs w:val="21"/>
    </w:rPr>
  </w:style>
  <w:style w:type="character" w:customStyle="1" w:styleId="27">
    <w:name w:val="heading 1 Char"/>
    <w:basedOn w:val="24"/>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8">
    <w:name w:val="heading 2 Char"/>
    <w:basedOn w:val="24"/>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9">
    <w:name w:val="heading 3 Char"/>
    <w:basedOn w:val="24"/>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30">
    <w:name w:val="heading 4 Char"/>
    <w:basedOn w:val="24"/>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31">
    <w:name w:val="heading 5 Char"/>
    <w:basedOn w:val="24"/>
    <w:link w:val="6"/>
    <w:autoRedefine/>
    <w:qFormat/>
    <w:uiPriority w:val="0"/>
    <w:rPr>
      <w:rFonts w:ascii="Times New Roman" w:hAnsi="Times New Roman" w:eastAsia="宋体" w:cs="Cambria Math"/>
      <w:b/>
      <w:kern w:val="2"/>
      <w:sz w:val="28"/>
      <w:szCs w:val="20"/>
      <w:lang w:val="en-US" w:eastAsia="zh-CN" w:bidi="ar-SA"/>
    </w:rPr>
  </w:style>
  <w:style w:type="character" w:customStyle="1" w:styleId="32">
    <w:name w:val="heading 6 Char"/>
    <w:basedOn w:val="24"/>
    <w:link w:val="7"/>
    <w:autoRedefine/>
    <w:qFormat/>
    <w:uiPriority w:val="0"/>
    <w:rPr>
      <w:rFonts w:ascii="Times New Roman" w:hAnsi="Times New Roman" w:eastAsia="黑体" w:cs="Cambria Math"/>
      <w:b/>
      <w:kern w:val="2"/>
      <w:sz w:val="21"/>
      <w:szCs w:val="20"/>
      <w:lang w:val="en-US" w:eastAsia="zh-CN" w:bidi="ar-SA"/>
    </w:rPr>
  </w:style>
  <w:style w:type="character" w:customStyle="1" w:styleId="33">
    <w:name w:val="heading 7 Char"/>
    <w:basedOn w:val="24"/>
    <w:link w:val="8"/>
    <w:qFormat/>
    <w:uiPriority w:val="0"/>
    <w:rPr>
      <w:rFonts w:ascii="Times New Roman" w:hAnsi="Times New Roman" w:eastAsia="宋体" w:cs="Cambria Math"/>
      <w:b/>
      <w:kern w:val="2"/>
      <w:sz w:val="21"/>
      <w:szCs w:val="20"/>
      <w:lang w:val="en-US" w:eastAsia="zh-CN" w:bidi="ar-SA"/>
    </w:rPr>
  </w:style>
  <w:style w:type="character" w:customStyle="1" w:styleId="34">
    <w:name w:val="标题 4 Char"/>
    <w:autoRedefine/>
    <w:qFormat/>
    <w:uiPriority w:val="0"/>
    <w:rPr>
      <w:rFonts w:cs="Times New Roman"/>
      <w:bCs/>
      <w:szCs w:val="28"/>
    </w:rPr>
  </w:style>
  <w:style w:type="character" w:customStyle="1" w:styleId="35">
    <w:name w:val="标题 1 Char"/>
    <w:basedOn w:val="24"/>
    <w:autoRedefine/>
    <w:qFormat/>
    <w:uiPriority w:val="0"/>
    <w:rPr>
      <w:rFonts w:ascii="Times New Roman" w:hAnsi="Times New Roman" w:eastAsia="宋体" w:cs="等线 Light"/>
      <w:b/>
      <w:snapToGrid w:val="0"/>
      <w:kern w:val="0"/>
      <w:sz w:val="44"/>
      <w:szCs w:val="44"/>
    </w:rPr>
  </w:style>
  <w:style w:type="character" w:customStyle="1" w:styleId="36">
    <w:name w:val="标题 2 Char"/>
    <w:basedOn w:val="24"/>
    <w:autoRedefine/>
    <w:qFormat/>
    <w:uiPriority w:val="0"/>
    <w:rPr>
      <w:rFonts w:ascii="Times New Roman" w:hAnsi="Times New Roman" w:eastAsia="宋体" w:cs="Times New Roman"/>
      <w:b/>
      <w:bCs/>
      <w:snapToGrid w:val="0"/>
      <w:szCs w:val="24"/>
    </w:rPr>
  </w:style>
  <w:style w:type="character" w:customStyle="1" w:styleId="37">
    <w:name w:val="标题 3 Char"/>
    <w:basedOn w:val="24"/>
    <w:autoRedefine/>
    <w:qFormat/>
    <w:uiPriority w:val="0"/>
    <w:rPr>
      <w:b/>
      <w:bCs/>
      <w:szCs w:val="32"/>
    </w:rPr>
  </w:style>
  <w:style w:type="character" w:customStyle="1" w:styleId="38">
    <w:name w:val="标题 5 Char"/>
    <w:autoRedefine/>
    <w:qFormat/>
    <w:uiPriority w:val="0"/>
    <w:rPr>
      <w:rFonts w:ascii="Times New Roman" w:hAnsi="Times New Roman" w:eastAsia="宋体"/>
      <w:b/>
      <w:sz w:val="28"/>
    </w:rPr>
  </w:style>
  <w:style w:type="paragraph" w:customStyle="1" w:styleId="39">
    <w:name w:val="参选文件格式2"/>
    <w:basedOn w:val="1"/>
    <w:next w:val="1"/>
    <w:autoRedefine/>
    <w:qFormat/>
    <w:locked/>
    <w:uiPriority w:val="0"/>
    <w:pPr>
      <w:ind w:firstLine="0" w:firstLineChars="0"/>
      <w:jc w:val="center"/>
      <w:outlineLvl w:val="2"/>
    </w:pPr>
    <w:rPr>
      <w:bCs/>
      <w:szCs w:val="32"/>
    </w:rPr>
  </w:style>
  <w:style w:type="paragraph" w:customStyle="1" w:styleId="40">
    <w:name w:val="参选文件格式3"/>
    <w:basedOn w:val="1"/>
    <w:link w:val="41"/>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1">
    <w:name w:val="参选文件格式3 Char"/>
    <w:basedOn w:val="24"/>
    <w:link w:val="40"/>
    <w:autoRedefine/>
    <w:qFormat/>
    <w:uiPriority w:val="0"/>
    <w:rPr>
      <w:rFonts w:ascii="宋体" w:hAnsi="宋体" w:eastAsia="宋体" w:cs="Cambria Math"/>
      <w:b/>
      <w:snapToGrid w:val="0"/>
      <w:kern w:val="0"/>
      <w:sz w:val="21"/>
      <w:szCs w:val="20"/>
      <w:lang w:val="en-US" w:eastAsia="zh-CN" w:bidi="ar-SA"/>
    </w:rPr>
  </w:style>
  <w:style w:type="character" w:customStyle="1" w:styleId="42">
    <w:name w:val="标题 4 字符"/>
    <w:autoRedefine/>
    <w:qFormat/>
    <w:uiPriority w:val="0"/>
    <w:rPr>
      <w:rFonts w:cs="Times New Roman"/>
      <w:bCs/>
      <w:szCs w:val="28"/>
    </w:rPr>
  </w:style>
  <w:style w:type="paragraph" w:customStyle="1" w:styleId="43">
    <w:name w:val="表格"/>
    <w:basedOn w:val="1"/>
    <w:qFormat/>
    <w:locked/>
    <w:uiPriority w:val="0"/>
    <w:pPr>
      <w:spacing w:line="240" w:lineRule="auto"/>
      <w:ind w:firstLine="0" w:firstLineChars="0"/>
    </w:pPr>
    <w:rPr>
      <w:bCs/>
      <w:szCs w:val="18"/>
    </w:rPr>
  </w:style>
  <w:style w:type="paragraph" w:customStyle="1" w:styleId="44">
    <w:name w:val="表格（标题）"/>
    <w:basedOn w:val="1"/>
    <w:qFormat/>
    <w:locked/>
    <w:uiPriority w:val="0"/>
    <w:pPr>
      <w:spacing w:line="240" w:lineRule="auto"/>
      <w:ind w:firstLine="0" w:firstLineChars="0"/>
      <w:jc w:val="center"/>
    </w:pPr>
    <w:rPr>
      <w:b/>
      <w:bCs/>
      <w:szCs w:val="18"/>
    </w:rPr>
  </w:style>
  <w:style w:type="paragraph" w:customStyle="1" w:styleId="45">
    <w:name w:val="标题2（无级别）"/>
    <w:basedOn w:val="1"/>
    <w:next w:val="1"/>
    <w:qFormat/>
    <w:locked/>
    <w:uiPriority w:val="0"/>
    <w:pPr>
      <w:ind w:firstLine="0" w:firstLineChars="0"/>
    </w:pPr>
    <w:rPr>
      <w:rFonts w:cs="Times New Roman"/>
      <w:b/>
      <w:bCs/>
      <w:snapToGrid w:val="0"/>
      <w:szCs w:val="24"/>
    </w:rPr>
  </w:style>
  <w:style w:type="paragraph" w:customStyle="1" w:styleId="46">
    <w:name w:val="小五"/>
    <w:basedOn w:val="1"/>
    <w:next w:val="1"/>
    <w:qFormat/>
    <w:locked/>
    <w:uiPriority w:val="0"/>
    <w:pPr>
      <w:spacing w:line="240" w:lineRule="auto"/>
      <w:ind w:firstLine="0" w:firstLineChars="0"/>
    </w:pPr>
    <w:rPr>
      <w:rFonts w:cs="Times New Roman"/>
      <w:sz w:val="18"/>
      <w:szCs w:val="18"/>
    </w:rPr>
  </w:style>
  <w:style w:type="paragraph" w:customStyle="1" w:styleId="47">
    <w:name w:val="封面标题"/>
    <w:basedOn w:val="1"/>
    <w:qFormat/>
    <w:locked/>
    <w:uiPriority w:val="0"/>
    <w:pPr>
      <w:ind w:firstLine="0" w:firstLineChars="0"/>
      <w:jc w:val="center"/>
    </w:pPr>
    <w:rPr>
      <w:rFonts w:cs="Times New Roman"/>
      <w:b/>
      <w:snapToGrid w:val="0"/>
      <w:kern w:val="0"/>
      <w:sz w:val="48"/>
      <w:szCs w:val="84"/>
    </w:rPr>
  </w:style>
  <w:style w:type="paragraph" w:customStyle="1" w:styleId="48">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9">
    <w:name w:val="正文居中"/>
    <w:basedOn w:val="1"/>
    <w:qFormat/>
    <w:locked/>
    <w:uiPriority w:val="0"/>
    <w:pPr>
      <w:ind w:firstLine="0" w:firstLineChars="0"/>
      <w:jc w:val="center"/>
    </w:pPr>
  </w:style>
  <w:style w:type="paragraph" w:styleId="50">
    <w:name w:val="List Paragraph"/>
    <w:basedOn w:val="1"/>
    <w:qFormat/>
    <w:uiPriority w:val="0"/>
  </w:style>
  <w:style w:type="paragraph" w:customStyle="1" w:styleId="51">
    <w:name w:val="a14"/>
    <w:basedOn w:val="1"/>
    <w:qFormat/>
    <w:uiPriority w:val="0"/>
    <w:pPr>
      <w:widowControl/>
      <w:spacing w:before="50" w:beforeLines="50" w:beforeAutospacing="1" w:after="100" w:afterAutospacing="1" w:line="300" w:lineRule="atLeast"/>
      <w:ind w:firstLine="200" w:firstLineChars="200"/>
      <w:jc w:val="left"/>
    </w:pPr>
    <w:rPr>
      <w:rFonts w:ascii="宋体" w:hAnsi="Times New Roman" w:eastAsia="宋体" w:cs="Times New Roman"/>
      <w:kern w:val="0"/>
      <w:sz w:val="24"/>
      <w:szCs w:val="21"/>
      <w:lang w:val="en-US" w:eastAsia="zh-CN" w:bidi="ar-SA"/>
    </w:rPr>
  </w:style>
  <w:style w:type="character" w:customStyle="1" w:styleId="52">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73</Pages>
  <Words>13144</Words>
  <Characters>14273</Characters>
  <Lines>0</Lines>
  <Paragraphs>791</Paragraphs>
  <TotalTime>4</TotalTime>
  <ScaleCrop>false</ScaleCrop>
  <LinksUpToDate>false</LinksUpToDate>
  <CharactersWithSpaces>14642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2024-01-16T22:16:00Z</dcterms:created>
  <dc:creator>admin</dc:creator>
  <cp:lastModifiedBy>张婷</cp:lastModifiedBy>
  <cp:lastPrinted>2025-01-03T17:34:00Z</cp:lastPrinted>
  <dcterms:modified xsi:type="dcterms:W3CDTF">2025-03-31T07:15:40Z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2EE8A9F5F5D84DBC80612063642AFF35_13</vt:lpwstr>
  </property>
  <property fmtid="{D5CDD505-2E9C-101B-9397-08002B2CF9AE}" pid="4" name="KSOTemplateDocerSaveRecord">
    <vt:lpwstr>eyJoZGlkIjoiYThmYmM2ZGU3Mjk4MzA4ZDkyYTRlNDQ1NGZiYzU0MzIiLCJ1c2VySWQiOiIxNjAxNzI3MDEzIn0=</vt:lpwstr>
  </property>
</Properties>
</file>