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DA413">
      <w:pPr>
        <w:ind w:firstLine="420"/>
      </w:pPr>
    </w:p>
    <w:p w14:paraId="41B4D546">
      <w:pPr>
        <w:ind w:firstLine="420"/>
      </w:pPr>
    </w:p>
    <w:p w14:paraId="07F14BEB">
      <w:pPr>
        <w:ind w:firstLine="420"/>
      </w:pPr>
    </w:p>
    <w:p w14:paraId="19B54B61">
      <w:pPr>
        <w:ind w:firstLine="420"/>
      </w:pPr>
    </w:p>
    <w:p w14:paraId="7664D6C0">
      <w:pPr>
        <w:ind w:firstLine="420"/>
      </w:pPr>
    </w:p>
    <w:p w14:paraId="61E53C09">
      <w:pPr>
        <w:ind w:firstLine="420"/>
      </w:pPr>
    </w:p>
    <w:p w14:paraId="62D26A34">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6794F124">
      <w:pPr>
        <w:ind w:firstLine="0" w:firstLineChars="0"/>
        <w:jc w:val="center"/>
        <w:rPr>
          <w:rFonts w:cs="Times New Roman"/>
          <w:b/>
          <w:snapToGrid w:val="0"/>
          <w:kern w:val="0"/>
          <w:sz w:val="48"/>
          <w:szCs w:val="84"/>
        </w:rPr>
      </w:pPr>
      <w:r>
        <w:rPr>
          <w:rFonts w:hint="eastAsia" w:cs="Times New Roman"/>
          <w:b/>
          <w:snapToGrid w:val="0"/>
          <w:kern w:val="0"/>
          <w:sz w:val="48"/>
          <w:szCs w:val="84"/>
        </w:rPr>
        <w:t>综合报送平台技术服务项目（第二次）</w:t>
      </w:r>
    </w:p>
    <w:p w14:paraId="60F2C62B">
      <w:pPr>
        <w:ind w:firstLine="420"/>
      </w:pPr>
    </w:p>
    <w:p w14:paraId="4CC4806A">
      <w:pPr>
        <w:ind w:firstLine="420"/>
      </w:pPr>
    </w:p>
    <w:p w14:paraId="3A915792">
      <w:pPr>
        <w:ind w:firstLine="420"/>
      </w:pPr>
    </w:p>
    <w:p w14:paraId="2A61CB98">
      <w:pPr>
        <w:ind w:firstLine="420"/>
      </w:pPr>
    </w:p>
    <w:p w14:paraId="44D5908C">
      <w:pPr>
        <w:ind w:firstLine="420"/>
      </w:pPr>
    </w:p>
    <w:p w14:paraId="52E8D280">
      <w:pPr>
        <w:ind w:firstLine="420"/>
      </w:pPr>
    </w:p>
    <w:p w14:paraId="77E7DE17">
      <w:pPr>
        <w:ind w:firstLine="420"/>
      </w:pPr>
    </w:p>
    <w:p w14:paraId="7238A3AE">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2DD65780">
      <w:pPr>
        <w:ind w:firstLine="420"/>
      </w:pPr>
    </w:p>
    <w:p w14:paraId="3D6AB233">
      <w:pPr>
        <w:ind w:firstLine="420"/>
      </w:pPr>
    </w:p>
    <w:p w14:paraId="29FB8CD8">
      <w:pPr>
        <w:ind w:firstLine="420"/>
      </w:pPr>
    </w:p>
    <w:p w14:paraId="641BFE60">
      <w:pPr>
        <w:ind w:firstLine="420"/>
      </w:pPr>
    </w:p>
    <w:p w14:paraId="5E13A4D5">
      <w:pPr>
        <w:ind w:firstLine="420"/>
      </w:pPr>
    </w:p>
    <w:p w14:paraId="7ED26E8E">
      <w:pPr>
        <w:ind w:firstLine="420"/>
      </w:pPr>
    </w:p>
    <w:p w14:paraId="555DDEE9">
      <w:pPr>
        <w:ind w:firstLine="420"/>
      </w:pPr>
    </w:p>
    <w:tbl>
      <w:tblPr>
        <w:tblStyle w:val="19"/>
        <w:tblW w:w="0" w:type="auto"/>
        <w:jc w:val="center"/>
        <w:tblLayout w:type="autofit"/>
        <w:tblCellMar>
          <w:top w:w="0" w:type="dxa"/>
          <w:left w:w="108" w:type="dxa"/>
          <w:bottom w:w="0" w:type="dxa"/>
          <w:right w:w="108" w:type="dxa"/>
        </w:tblCellMar>
      </w:tblPr>
      <w:tblGrid>
        <w:gridCol w:w="1756"/>
        <w:gridCol w:w="4744"/>
        <w:gridCol w:w="2020"/>
      </w:tblGrid>
      <w:tr w14:paraId="2F1D2FB1">
        <w:trPr>
          <w:jc w:val="center"/>
        </w:trPr>
        <w:tc>
          <w:tcPr>
            <w:tcW w:w="1756" w:type="dxa"/>
            <w:tcBorders>
              <w:tl2br w:val="nil"/>
              <w:tr2bl w:val="nil"/>
            </w:tcBorders>
            <w:vAlign w:val="center"/>
          </w:tcPr>
          <w:p w14:paraId="312A0EAB">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2B2317FB">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5C900855">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05C70388">
        <w:tblPrEx>
          <w:tblCellMar>
            <w:top w:w="0" w:type="dxa"/>
            <w:left w:w="108" w:type="dxa"/>
            <w:bottom w:w="0" w:type="dxa"/>
            <w:right w:w="108" w:type="dxa"/>
          </w:tblCellMar>
        </w:tblPrEx>
        <w:trPr>
          <w:jc w:val="center"/>
        </w:trPr>
        <w:tc>
          <w:tcPr>
            <w:tcW w:w="1756" w:type="dxa"/>
            <w:tcBorders>
              <w:tl2br w:val="nil"/>
              <w:tr2bl w:val="nil"/>
            </w:tcBorders>
            <w:vAlign w:val="center"/>
          </w:tcPr>
          <w:p w14:paraId="7DEFE928">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7940CE7A">
            <w:pPr>
              <w:ind w:firstLine="0" w:firstLineChars="0"/>
              <w:jc w:val="center"/>
              <w:rPr>
                <w:rFonts w:cs="Times New Roman"/>
                <w:b/>
                <w:snapToGrid w:val="0"/>
                <w:kern w:val="0"/>
                <w:sz w:val="30"/>
                <w:szCs w:val="30"/>
              </w:rPr>
            </w:pPr>
            <w:r>
              <w:rPr>
                <w:rFonts w:cs="Times New Roman"/>
                <w:b/>
                <w:snapToGrid w:val="0"/>
                <w:kern w:val="0"/>
                <w:sz w:val="30"/>
                <w:szCs w:val="30"/>
              </w:rPr>
              <w:t>2025年</w:t>
            </w:r>
            <w:r>
              <w:rPr>
                <w:rFonts w:hint="eastAsia" w:cs="Times New Roman"/>
                <w:b/>
                <w:snapToGrid w:val="0"/>
                <w:kern w:val="0"/>
                <w:sz w:val="30"/>
                <w:szCs w:val="30"/>
              </w:rPr>
              <w:t>4</w:t>
            </w:r>
            <w:r>
              <w:rPr>
                <w:rFonts w:cs="Times New Roman"/>
                <w:b/>
                <w:snapToGrid w:val="0"/>
                <w:kern w:val="0"/>
                <w:sz w:val="30"/>
                <w:szCs w:val="30"/>
              </w:rPr>
              <w:t>月</w:t>
            </w:r>
          </w:p>
        </w:tc>
        <w:tc>
          <w:tcPr>
            <w:tcW w:w="2020" w:type="dxa"/>
            <w:vMerge w:val="continue"/>
            <w:tcBorders>
              <w:tl2br w:val="nil"/>
              <w:tr2bl w:val="nil"/>
            </w:tcBorders>
            <w:vAlign w:val="center"/>
          </w:tcPr>
          <w:p w14:paraId="75DD1B89">
            <w:pPr>
              <w:ind w:firstLine="420"/>
            </w:pPr>
          </w:p>
        </w:tc>
      </w:tr>
    </w:tbl>
    <w:p w14:paraId="3FB9FB5D">
      <w:pPr>
        <w:ind w:firstLine="420"/>
      </w:pPr>
    </w:p>
    <w:p w14:paraId="48141B10">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1EDF57C2">
      <w:pPr>
        <w:pStyle w:val="45"/>
      </w:pPr>
      <w:r>
        <w:t>目录</w:t>
      </w:r>
    </w:p>
    <w:p w14:paraId="3BEA966D">
      <w:pPr>
        <w:pStyle w:val="16"/>
        <w:tabs>
          <w:tab w:val="right" w:leader="dot" w:pos="8306"/>
        </w:tabs>
        <w:ind w:firstLine="480"/>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fldChar w:fldCharType="begin"/>
      </w:r>
      <w:r>
        <w:instrText xml:space="preserve"> HYPERLINK \l "_Toc30697" </w:instrText>
      </w:r>
      <w:r>
        <w:fldChar w:fldCharType="separate"/>
      </w:r>
      <w:r>
        <w:rPr>
          <w:rFonts w:hint="eastAsia"/>
        </w:rPr>
        <w:t>第一章 询比公告</w:t>
      </w:r>
      <w:r>
        <w:tab/>
      </w:r>
      <w:r>
        <w:fldChar w:fldCharType="begin"/>
      </w:r>
      <w:r>
        <w:instrText xml:space="preserve"> PAGEREF _Toc30697 \h </w:instrText>
      </w:r>
      <w:r>
        <w:fldChar w:fldCharType="separate"/>
      </w:r>
      <w:r>
        <w:t>1</w:t>
      </w:r>
      <w:r>
        <w:fldChar w:fldCharType="end"/>
      </w:r>
      <w:r>
        <w:fldChar w:fldCharType="end"/>
      </w:r>
    </w:p>
    <w:p w14:paraId="0D186E80">
      <w:pPr>
        <w:pStyle w:val="16"/>
        <w:tabs>
          <w:tab w:val="right" w:leader="dot" w:pos="8306"/>
        </w:tabs>
        <w:ind w:firstLine="420"/>
      </w:pPr>
      <w:r>
        <w:fldChar w:fldCharType="begin"/>
      </w:r>
      <w:r>
        <w:instrText xml:space="preserve"> HYPERLINK \l "_Toc31405" </w:instrText>
      </w:r>
      <w:r>
        <w:fldChar w:fldCharType="separate"/>
      </w:r>
      <w:r>
        <w:rPr>
          <w:rFonts w:hint="eastAsia"/>
        </w:rPr>
        <w:t>第二章 响应人须知</w:t>
      </w:r>
      <w:r>
        <w:tab/>
      </w:r>
      <w:r>
        <w:fldChar w:fldCharType="begin"/>
      </w:r>
      <w:r>
        <w:instrText xml:space="preserve"> PAGEREF _Toc31405 \h </w:instrText>
      </w:r>
      <w:r>
        <w:fldChar w:fldCharType="separate"/>
      </w:r>
      <w:r>
        <w:t>5</w:t>
      </w:r>
      <w:r>
        <w:fldChar w:fldCharType="end"/>
      </w:r>
      <w:r>
        <w:fldChar w:fldCharType="end"/>
      </w:r>
    </w:p>
    <w:p w14:paraId="268AA2B9">
      <w:pPr>
        <w:pStyle w:val="16"/>
        <w:tabs>
          <w:tab w:val="right" w:leader="dot" w:pos="8306"/>
        </w:tabs>
        <w:ind w:firstLine="420"/>
      </w:pPr>
      <w:r>
        <w:fldChar w:fldCharType="begin"/>
      </w:r>
      <w:r>
        <w:instrText xml:space="preserve"> HYPERLINK \l "_Toc32140" </w:instrText>
      </w:r>
      <w:r>
        <w:fldChar w:fldCharType="separate"/>
      </w:r>
      <w:r>
        <w:rPr>
          <w:rFonts w:hint="eastAsia"/>
        </w:rPr>
        <w:t>第三章 项目要求</w:t>
      </w:r>
      <w:r>
        <w:tab/>
      </w:r>
      <w:r>
        <w:fldChar w:fldCharType="begin"/>
      </w:r>
      <w:r>
        <w:instrText xml:space="preserve"> PAGEREF _Toc32140 \h </w:instrText>
      </w:r>
      <w:r>
        <w:fldChar w:fldCharType="separate"/>
      </w:r>
      <w:r>
        <w:t>12</w:t>
      </w:r>
      <w:r>
        <w:fldChar w:fldCharType="end"/>
      </w:r>
      <w:r>
        <w:fldChar w:fldCharType="end"/>
      </w:r>
    </w:p>
    <w:p w14:paraId="6DF1DF84">
      <w:pPr>
        <w:pStyle w:val="16"/>
        <w:tabs>
          <w:tab w:val="right" w:leader="dot" w:pos="8306"/>
        </w:tabs>
        <w:ind w:firstLine="420"/>
      </w:pPr>
      <w:r>
        <w:fldChar w:fldCharType="begin"/>
      </w:r>
      <w:r>
        <w:instrText xml:space="preserve"> HYPERLINK \l "_Toc26268" </w:instrText>
      </w:r>
      <w:r>
        <w:fldChar w:fldCharType="separate"/>
      </w:r>
      <w:r>
        <w:rPr>
          <w:rFonts w:hint="eastAsia"/>
        </w:rPr>
        <w:t>第四章 评审办法（综合评估法）</w:t>
      </w:r>
      <w:r>
        <w:tab/>
      </w:r>
      <w:r>
        <w:fldChar w:fldCharType="begin"/>
      </w:r>
      <w:r>
        <w:instrText xml:space="preserve"> PAGEREF _Toc26268 \h </w:instrText>
      </w:r>
      <w:r>
        <w:fldChar w:fldCharType="separate"/>
      </w:r>
      <w:r>
        <w:t>19</w:t>
      </w:r>
      <w:r>
        <w:fldChar w:fldCharType="end"/>
      </w:r>
      <w:r>
        <w:fldChar w:fldCharType="end"/>
      </w:r>
    </w:p>
    <w:p w14:paraId="3BB4395C">
      <w:pPr>
        <w:pStyle w:val="16"/>
        <w:tabs>
          <w:tab w:val="right" w:leader="dot" w:pos="8306"/>
        </w:tabs>
        <w:ind w:firstLine="420"/>
      </w:pPr>
      <w:r>
        <w:fldChar w:fldCharType="begin"/>
      </w:r>
      <w:r>
        <w:instrText xml:space="preserve"> HYPERLINK \l "_Toc23759" </w:instrText>
      </w:r>
      <w:r>
        <w:fldChar w:fldCharType="separate"/>
      </w:r>
      <w:r>
        <w:rPr>
          <w:rFonts w:hint="eastAsia"/>
        </w:rPr>
        <w:t>第五章 合同</w:t>
      </w:r>
      <w:r>
        <w:t>模板</w:t>
      </w:r>
      <w:r>
        <w:tab/>
      </w:r>
      <w:r>
        <w:fldChar w:fldCharType="begin"/>
      </w:r>
      <w:r>
        <w:instrText xml:space="preserve"> PAGEREF _Toc23759 \h </w:instrText>
      </w:r>
      <w:r>
        <w:fldChar w:fldCharType="separate"/>
      </w:r>
      <w:r>
        <w:t>24</w:t>
      </w:r>
      <w:r>
        <w:fldChar w:fldCharType="end"/>
      </w:r>
      <w:r>
        <w:fldChar w:fldCharType="end"/>
      </w:r>
    </w:p>
    <w:p w14:paraId="53C16295">
      <w:pPr>
        <w:pStyle w:val="16"/>
        <w:tabs>
          <w:tab w:val="right" w:leader="dot" w:pos="8306"/>
        </w:tabs>
        <w:ind w:firstLine="420"/>
      </w:pPr>
      <w:r>
        <w:fldChar w:fldCharType="begin"/>
      </w:r>
      <w:r>
        <w:instrText xml:space="preserve"> HYPERLINK \l "_Toc4797" </w:instrText>
      </w:r>
      <w:r>
        <w:fldChar w:fldCharType="separate"/>
      </w:r>
      <w:r>
        <w:rPr>
          <w:rFonts w:hint="eastAsia"/>
        </w:rPr>
        <w:t>第六章 响应文件格式</w:t>
      </w:r>
      <w:r>
        <w:tab/>
      </w:r>
      <w:r>
        <w:fldChar w:fldCharType="begin"/>
      </w:r>
      <w:r>
        <w:instrText xml:space="preserve"> PAGEREF _Toc4797 \h </w:instrText>
      </w:r>
      <w:r>
        <w:fldChar w:fldCharType="separate"/>
      </w:r>
      <w:r>
        <w:t>52</w:t>
      </w:r>
      <w:r>
        <w:fldChar w:fldCharType="end"/>
      </w:r>
      <w:r>
        <w:fldChar w:fldCharType="end"/>
      </w:r>
    </w:p>
    <w:p w14:paraId="7D2EE17E">
      <w:pPr>
        <w:widowControl/>
        <w:ind w:firstLine="420"/>
        <w:jc w:val="left"/>
        <w:rPr>
          <w:rFonts w:ascii="宋体" w:hAnsi="宋体"/>
          <w:snapToGrid w:val="0"/>
          <w:kern w:val="0"/>
          <w:sz w:val="24"/>
          <w:szCs w:val="24"/>
          <w:highlight w:val="yellow"/>
        </w:rPr>
      </w:pPr>
      <w:r>
        <w:rPr>
          <w:rFonts w:ascii="宋体" w:hAnsi="宋体"/>
          <w:snapToGrid w:val="0"/>
          <w:kern w:val="0"/>
          <w:szCs w:val="24"/>
          <w:highlight w:val="yellow"/>
        </w:rPr>
        <w:fldChar w:fldCharType="end"/>
      </w:r>
    </w:p>
    <w:p w14:paraId="6658E624">
      <w:pPr>
        <w:widowControl/>
        <w:ind w:firstLine="480"/>
        <w:jc w:val="left"/>
        <w:rPr>
          <w:rFonts w:ascii="宋体" w:hAns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0C0FE1B9">
      <w:pPr>
        <w:pStyle w:val="2"/>
      </w:pPr>
      <w:bookmarkStart w:id="0" w:name="_Toc440628903"/>
      <w:bookmarkStart w:id="1" w:name="_Toc469574661"/>
      <w:bookmarkStart w:id="2" w:name="_Toc6745"/>
      <w:bookmarkStart w:id="3" w:name="_Toc30697"/>
      <w:bookmarkStart w:id="4" w:name="_Toc25883"/>
      <w:r>
        <w:rPr>
          <w:rFonts w:hint="eastAsia"/>
        </w:rPr>
        <w:t>第一章</w:t>
      </w:r>
      <w:bookmarkEnd w:id="0"/>
      <w:r>
        <w:rPr>
          <w:rFonts w:hint="eastAsia"/>
        </w:rPr>
        <w:t xml:space="preserve"> </w:t>
      </w:r>
      <w:bookmarkEnd w:id="1"/>
      <w:bookmarkEnd w:id="2"/>
      <w:r>
        <w:rPr>
          <w:rFonts w:hint="eastAsia"/>
        </w:rPr>
        <w:t>询比公告</w:t>
      </w:r>
      <w:bookmarkEnd w:id="3"/>
      <w:bookmarkEnd w:id="4"/>
    </w:p>
    <w:p w14:paraId="2541A153">
      <w:pPr>
        <w:ind w:firstLine="420"/>
      </w:pPr>
      <w:bookmarkStart w:id="5" w:name="_Toc89675127"/>
      <w:bookmarkStart w:id="6" w:name="_Toc55379218"/>
      <w:r>
        <w:rPr>
          <w:rFonts w:hint="eastAsia"/>
        </w:rPr>
        <w:t>重庆三峡银行综合报送平台包括EAST、大集中、1104等15个报送子系统，承担向国资委、人行、国家金融监督管理局等多个监管机构报送任务。为更加高效配合上游业务系统升级，满足外部监管报送及数据治理要求，现对重庆三峡银行综合报送平台技术服务项目（第二次）进行公开询比，</w:t>
      </w:r>
      <w:r>
        <w:t>特邀请有</w:t>
      </w:r>
      <w:bookmarkStart w:id="7" w:name="_Hlk59455120"/>
      <w:r>
        <w:t>意向</w:t>
      </w:r>
      <w:bookmarkEnd w:id="7"/>
      <w:r>
        <w:t>的潜在</w:t>
      </w:r>
      <w:r>
        <w:rPr>
          <w:rFonts w:hint="eastAsia"/>
        </w:rPr>
        <w:t>响应人参与响应</w:t>
      </w:r>
      <w:r>
        <w:t>。</w:t>
      </w:r>
    </w:p>
    <w:p w14:paraId="7AA0CB07">
      <w:pPr>
        <w:pStyle w:val="3"/>
      </w:pPr>
      <w:r>
        <w:rPr>
          <w:rFonts w:hint="eastAsia"/>
        </w:rPr>
        <w:t>1. 询比项目内容</w:t>
      </w:r>
      <w:bookmarkEnd w:id="5"/>
      <w:bookmarkEnd w:id="6"/>
    </w:p>
    <w:tbl>
      <w:tblPr>
        <w:tblStyle w:val="19"/>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1BA5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F1C0CAD">
            <w:pPr>
              <w:pStyle w:val="41"/>
            </w:pPr>
            <w:r>
              <w:rPr>
                <w:rFonts w:hint="eastAsia"/>
              </w:rPr>
              <w:t>序号</w:t>
            </w:r>
          </w:p>
        </w:tc>
        <w:tc>
          <w:tcPr>
            <w:tcW w:w="3063" w:type="dxa"/>
            <w:vAlign w:val="center"/>
          </w:tcPr>
          <w:p w14:paraId="4E9DD66A">
            <w:pPr>
              <w:pStyle w:val="41"/>
            </w:pPr>
            <w:r>
              <w:rPr>
                <w:rFonts w:hint="eastAsia"/>
              </w:rPr>
              <w:t>项目名称</w:t>
            </w:r>
          </w:p>
        </w:tc>
        <w:tc>
          <w:tcPr>
            <w:tcW w:w="2075" w:type="dxa"/>
            <w:vAlign w:val="center"/>
          </w:tcPr>
          <w:p w14:paraId="54F80AE9">
            <w:pPr>
              <w:pStyle w:val="41"/>
            </w:pPr>
            <w:r>
              <w:rPr>
                <w:rFonts w:hint="eastAsia"/>
              </w:rPr>
              <w:t>最高限价</w:t>
            </w:r>
          </w:p>
        </w:tc>
        <w:tc>
          <w:tcPr>
            <w:tcW w:w="1563" w:type="dxa"/>
            <w:vAlign w:val="center"/>
          </w:tcPr>
          <w:p w14:paraId="59316507">
            <w:pPr>
              <w:pStyle w:val="41"/>
            </w:pPr>
            <w:r>
              <w:rPr>
                <w:rFonts w:hint="eastAsia"/>
              </w:rPr>
              <w:t>成交供应商</w:t>
            </w:r>
          </w:p>
          <w:p w14:paraId="6D9F725B">
            <w:pPr>
              <w:pStyle w:val="41"/>
            </w:pPr>
            <w:r>
              <w:rPr>
                <w:rFonts w:hint="eastAsia"/>
              </w:rPr>
              <w:t>数量</w:t>
            </w:r>
          </w:p>
        </w:tc>
        <w:tc>
          <w:tcPr>
            <w:tcW w:w="1367" w:type="dxa"/>
            <w:vAlign w:val="center"/>
          </w:tcPr>
          <w:p w14:paraId="5A72FF8D">
            <w:pPr>
              <w:pStyle w:val="41"/>
            </w:pPr>
            <w:r>
              <w:rPr>
                <w:rFonts w:hint="eastAsia"/>
              </w:rPr>
              <w:t>备注</w:t>
            </w:r>
          </w:p>
        </w:tc>
      </w:tr>
      <w:tr w14:paraId="521C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688E7C26">
            <w:pPr>
              <w:pStyle w:val="40"/>
            </w:pPr>
            <w:r>
              <w:rPr>
                <w:rFonts w:hint="eastAsia"/>
              </w:rPr>
              <w:t>1</w:t>
            </w:r>
          </w:p>
        </w:tc>
        <w:tc>
          <w:tcPr>
            <w:tcW w:w="3063" w:type="dxa"/>
            <w:tcBorders>
              <w:left w:val="single" w:color="auto" w:sz="4" w:space="0"/>
            </w:tcBorders>
            <w:vAlign w:val="center"/>
          </w:tcPr>
          <w:p w14:paraId="70A0D49A">
            <w:pPr>
              <w:pStyle w:val="40"/>
            </w:pPr>
            <w:r>
              <w:t>重庆三峡银行</w:t>
            </w:r>
            <w:r>
              <w:rPr>
                <w:rFonts w:hint="eastAsia"/>
              </w:rPr>
              <w:t>综合报送平台技术服务</w:t>
            </w:r>
            <w:r>
              <w:t>项目</w:t>
            </w:r>
            <w:r>
              <w:rPr>
                <w:rFonts w:hint="eastAsia"/>
              </w:rPr>
              <w:t>（第二次）</w:t>
            </w:r>
          </w:p>
        </w:tc>
        <w:tc>
          <w:tcPr>
            <w:tcW w:w="2075" w:type="dxa"/>
            <w:tcBorders>
              <w:left w:val="single" w:color="auto" w:sz="4" w:space="0"/>
            </w:tcBorders>
            <w:vAlign w:val="center"/>
          </w:tcPr>
          <w:p w14:paraId="243F74C6">
            <w:pPr>
              <w:pStyle w:val="40"/>
            </w:pPr>
            <w:r>
              <w:rPr>
                <w:rFonts w:hint="eastAsia"/>
              </w:rPr>
              <w:t>详见第三章第5条“最高限价”</w:t>
            </w:r>
          </w:p>
        </w:tc>
        <w:tc>
          <w:tcPr>
            <w:tcW w:w="1563" w:type="dxa"/>
            <w:tcBorders>
              <w:left w:val="single" w:color="auto" w:sz="4" w:space="0"/>
            </w:tcBorders>
            <w:vAlign w:val="center"/>
          </w:tcPr>
          <w:p w14:paraId="37A0CECF">
            <w:pPr>
              <w:pStyle w:val="40"/>
            </w:pPr>
            <w:r>
              <w:t>1</w:t>
            </w:r>
          </w:p>
        </w:tc>
        <w:tc>
          <w:tcPr>
            <w:tcW w:w="1367" w:type="dxa"/>
            <w:tcBorders>
              <w:left w:val="single" w:color="auto" w:sz="4" w:space="0"/>
            </w:tcBorders>
            <w:vAlign w:val="center"/>
          </w:tcPr>
          <w:p w14:paraId="1ADAFBA1">
            <w:pPr>
              <w:pStyle w:val="40"/>
            </w:pPr>
            <w:r>
              <w:rPr>
                <w:rFonts w:hint="eastAsia"/>
              </w:rPr>
              <w:t>（含税）</w:t>
            </w:r>
          </w:p>
        </w:tc>
      </w:tr>
    </w:tbl>
    <w:p w14:paraId="5AFE4B19">
      <w:pPr>
        <w:pStyle w:val="3"/>
      </w:pPr>
      <w:bookmarkStart w:id="8" w:name="_Toc288224935"/>
      <w:bookmarkStart w:id="9" w:name="_Toc469574664"/>
      <w:bookmarkStart w:id="10" w:name="_Toc89675128"/>
      <w:bookmarkStart w:id="11" w:name="_Toc297817088"/>
      <w:bookmarkStart w:id="12" w:name="_Toc55379219"/>
      <w:r>
        <w:rPr>
          <w:rFonts w:hint="eastAsia"/>
        </w:rPr>
        <w:t>2. 响应人资格要求</w:t>
      </w:r>
      <w:bookmarkEnd w:id="8"/>
      <w:bookmarkEnd w:id="9"/>
      <w:bookmarkEnd w:id="10"/>
      <w:bookmarkEnd w:id="11"/>
      <w:bookmarkEnd w:id="12"/>
    </w:p>
    <w:p w14:paraId="186FED48">
      <w:pPr>
        <w:ind w:firstLine="420"/>
      </w:pPr>
      <w:bookmarkStart w:id="13" w:name="_Hlk55488870"/>
      <w:r>
        <w:rPr>
          <w:rFonts w:hint="eastAsia"/>
        </w:rPr>
        <w:t>2.1 具有独立承担民事责任的能力</w:t>
      </w:r>
    </w:p>
    <w:p w14:paraId="64B73DA4">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69F90206">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06EA4384">
      <w:pPr>
        <w:ind w:firstLine="420"/>
      </w:pPr>
      <w:r>
        <w:rPr>
          <w:rFonts w:hint="eastAsia"/>
        </w:rPr>
        <w:t>2.3 本项目不允许任何形式的转包【提供书面声明】。</w:t>
      </w:r>
    </w:p>
    <w:p w14:paraId="2364E961">
      <w:pPr>
        <w:ind w:firstLine="420"/>
      </w:pPr>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5D476459">
      <w:pPr>
        <w:ind w:firstLine="420"/>
      </w:pPr>
      <w:r>
        <w:rPr>
          <w:rFonts w:hint="eastAsia"/>
        </w:rPr>
        <w:t>2.5 本次询比不接受联合体响应。</w:t>
      </w:r>
    </w:p>
    <w:p w14:paraId="0520621D">
      <w:pPr>
        <w:ind w:firstLine="420"/>
      </w:pPr>
      <w:r>
        <w:t>2.6 注册成立时间不少于3年，且注册资本不低于1000万元【提供营业执照复印件，如营业执照无法体现注册资本，则提供网页截图等第三方证明】；</w:t>
      </w:r>
    </w:p>
    <w:p w14:paraId="2D94A301">
      <w:pPr>
        <w:ind w:firstLine="420"/>
      </w:pPr>
      <w:r>
        <w:t>2.7 员工社保缴纳总人数不低于100人；</w:t>
      </w:r>
      <w:r>
        <w:rPr>
          <w:rFonts w:hint="eastAsia"/>
        </w:rPr>
        <w:t>拟提供人数不低于10人。拟提供人员均具备科融综合报送平台系统软件 V3.0开发实施经验，均需要具备5年以上工作经验；</w:t>
      </w:r>
    </w:p>
    <w:p w14:paraId="4A4A0E56">
      <w:pPr>
        <w:ind w:firstLine="420"/>
        <w:rPr>
          <w:highlight w:val="lightGray"/>
        </w:rPr>
      </w:pPr>
      <w:r>
        <w:t>【提供：1</w:t>
      </w:r>
      <w:r>
        <w:rPr>
          <w:rFonts w:hint="eastAsia"/>
        </w:rPr>
        <w:t>、</w:t>
      </w:r>
      <w:r>
        <w:t>2024年7月1日至今任意月份的员工社保缴纳总人数</w:t>
      </w:r>
      <w:r>
        <w:rPr>
          <w:rFonts w:hint="eastAsia"/>
        </w:rPr>
        <w:t>的</w:t>
      </w:r>
      <w:r>
        <w:t>社保缴纳材料证明；2</w:t>
      </w:r>
      <w:r>
        <w:rPr>
          <w:rFonts w:hint="eastAsia"/>
        </w:rPr>
        <w:t>、拟提供人员缴纳社保的证明材料，员工参保单位为响应人或委托第三方公司代缴，均认定有效；若员工社保委托第三方公司代缴，需提供代缴材料证明及与第三方公司签订的合同或协议；3、拟提供人员的简历信息</w:t>
      </w:r>
      <w:r>
        <w:t>】</w:t>
      </w:r>
    </w:p>
    <w:p w14:paraId="20987C4B">
      <w:pPr>
        <w:ind w:firstLine="420"/>
      </w:pPr>
      <w:r>
        <w:rPr>
          <w:rFonts w:hint="eastAsia"/>
        </w:rPr>
        <w:t>2.</w:t>
      </w:r>
      <w:r>
        <w:t>8</w:t>
      </w:r>
      <w:r>
        <w:rPr>
          <w:rFonts w:hint="eastAsia"/>
        </w:rPr>
        <w:t xml:space="preserve"> </w:t>
      </w:r>
      <w:r>
        <w:t>2022年1月1日至今（以合同签订时间为准）具有国内银行业</w:t>
      </w:r>
      <w:r>
        <w:rPr>
          <w:rFonts w:hint="eastAsia"/>
        </w:rPr>
        <w:t>监管报送</w:t>
      </w:r>
      <w:r>
        <w:t>人力外包项目开发实施案例(需提供合同复印件和项目简介)不少于3个，低于3个案例（不含3个）取消响应资质。</w:t>
      </w:r>
      <w:r>
        <w:rPr>
          <w:rFonts w:hint="eastAsia"/>
        </w:rPr>
        <w:t>（</w:t>
      </w:r>
      <w:r>
        <w:t>银行业是指中国人民银行、监管机构、自律组织、以及在中华人民共和国境内设立的商业银行、城市信用合作社、农村信用合作社等吸收公众存款的金融机构、非银行金融机构以及政策性银行。</w:t>
      </w:r>
      <w:r>
        <w:rPr>
          <w:rFonts w:hint="eastAsia"/>
        </w:rPr>
        <w:t>）【提供：1、合同关键页（合同关键页</w:t>
      </w:r>
      <w:r>
        <w:t>包含：甲乙双方名称、双方印章、项目名称、合同签订时间</w:t>
      </w:r>
      <w:r>
        <w:rPr>
          <w:rFonts w:hint="eastAsia"/>
        </w:rPr>
        <w:t>、服务范围，实施案例项目名称或建设内容应包含“监管报送”或“综合报送”。）；2、项目简介（格式自拟）；3、合同对应的发票之一（网上税务系统查询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3F99C23E">
      <w:pPr>
        <w:ind w:firstLine="420"/>
      </w:pPr>
      <w:r>
        <w:rPr>
          <w:rFonts w:hint="eastAsia"/>
        </w:rPr>
        <w:t>注:以上证明文件若采购人存疑，响应人需提供原件备查，响应文件中须附相关证明文件复印件并逐页加盖公章。</w:t>
      </w:r>
    </w:p>
    <w:p w14:paraId="53866517">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19"/>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5D8C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 w:hRule="atLeast"/>
        </w:trPr>
        <w:tc>
          <w:tcPr>
            <w:tcW w:w="1526" w:type="dxa"/>
          </w:tcPr>
          <w:p w14:paraId="20ECAC36">
            <w:pPr>
              <w:pStyle w:val="41"/>
            </w:pPr>
            <w:r>
              <w:rPr>
                <w:rFonts w:hint="eastAsia"/>
              </w:rPr>
              <w:t>序号</w:t>
            </w:r>
          </w:p>
        </w:tc>
        <w:tc>
          <w:tcPr>
            <w:tcW w:w="4933" w:type="dxa"/>
          </w:tcPr>
          <w:p w14:paraId="2F21557E">
            <w:pPr>
              <w:pStyle w:val="41"/>
            </w:pPr>
            <w:r>
              <w:rPr>
                <w:rFonts w:hint="eastAsia"/>
              </w:rPr>
              <w:t>公司</w:t>
            </w:r>
          </w:p>
        </w:tc>
      </w:tr>
      <w:tr w14:paraId="78A7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750B480B">
            <w:pPr>
              <w:pStyle w:val="40"/>
            </w:pPr>
            <w:r>
              <w:rPr>
                <w:rFonts w:hint="eastAsia" w:cs="宋体"/>
                <w:szCs w:val="21"/>
              </w:rPr>
              <w:t>1</w:t>
            </w:r>
          </w:p>
        </w:tc>
        <w:tc>
          <w:tcPr>
            <w:tcW w:w="4933" w:type="dxa"/>
            <w:tcBorders>
              <w:left w:val="single" w:color="auto" w:sz="4" w:space="0"/>
            </w:tcBorders>
          </w:tcPr>
          <w:p w14:paraId="76B03D2B">
            <w:pPr>
              <w:pStyle w:val="40"/>
            </w:pPr>
            <w:r>
              <w:rPr>
                <w:rFonts w:hint="eastAsia" w:cs="宋体"/>
                <w:szCs w:val="21"/>
              </w:rPr>
              <w:t>依米康软件技术（深圳）有限责任公司</w:t>
            </w:r>
          </w:p>
        </w:tc>
      </w:tr>
    </w:tbl>
    <w:p w14:paraId="00D3BEFE">
      <w:pPr>
        <w:ind w:firstLine="420"/>
      </w:pPr>
    </w:p>
    <w:bookmarkEnd w:id="13"/>
    <w:p w14:paraId="2E5D05A8">
      <w:pPr>
        <w:pStyle w:val="3"/>
      </w:pPr>
      <w:bookmarkStart w:id="14" w:name="_Toc55379220"/>
      <w:bookmarkStart w:id="15" w:name="_Toc297817090"/>
      <w:bookmarkStart w:id="16" w:name="_Toc469574667"/>
      <w:bookmarkStart w:id="17" w:name="_Toc89675130"/>
      <w:r>
        <w:rPr>
          <w:rFonts w:hint="eastAsia"/>
        </w:rPr>
        <w:t>3. 询比文件的获取</w:t>
      </w:r>
      <w:bookmarkEnd w:id="14"/>
    </w:p>
    <w:p w14:paraId="2CFB1C93">
      <w:pPr>
        <w:ind w:firstLine="420"/>
      </w:pPr>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12</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496EEB2D">
      <w:pPr>
        <w:ind w:firstLine="420"/>
      </w:pPr>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24</w:t>
      </w:r>
      <w:r>
        <w:rPr>
          <w:rFonts w:hint="eastAsia"/>
        </w:rPr>
        <w:t>日到响应截止时间，在重庆市公共资源交易网（www.cqggzy.com）下载询比文件。</w:t>
      </w:r>
    </w:p>
    <w:p w14:paraId="0346D0E9">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27</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761FEC18">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3C47B2EC">
      <w:pPr>
        <w:pStyle w:val="3"/>
      </w:pPr>
      <w:bookmarkStart w:id="18" w:name="_Toc55379221"/>
      <w:r>
        <w:rPr>
          <w:rFonts w:hint="eastAsia"/>
        </w:rPr>
        <w:t>4. 响应保证金的递交</w:t>
      </w:r>
      <w:bookmarkEnd w:id="15"/>
      <w:bookmarkEnd w:id="16"/>
      <w:bookmarkEnd w:id="17"/>
      <w:bookmarkEnd w:id="18"/>
    </w:p>
    <w:p w14:paraId="404D95CC">
      <w:pPr>
        <w:ind w:firstLine="420"/>
      </w:pPr>
      <w:bookmarkStart w:id="19" w:name="_Toc55379222"/>
      <w:bookmarkStart w:id="20" w:name="_Toc297817091"/>
      <w:bookmarkStart w:id="21" w:name="_Toc89675131"/>
      <w:bookmarkStart w:id="22" w:name="_Toc469574668"/>
      <w:r>
        <w:rPr>
          <w:rFonts w:hint="eastAsia"/>
        </w:rPr>
        <w:t>4.1 响应保证金的金额：</w:t>
      </w:r>
      <w:r>
        <w:rPr>
          <w:rFonts w:hint="eastAsia"/>
          <w:b/>
          <w:bCs/>
          <w:u w:val="single"/>
        </w:rPr>
        <w:t xml:space="preserve"> </w:t>
      </w:r>
      <w:r>
        <w:rPr>
          <w:b/>
          <w:bCs/>
          <w:u w:val="single"/>
        </w:rPr>
        <w:t>20000</w:t>
      </w:r>
      <w:r>
        <w:rPr>
          <w:rFonts w:hint="eastAsia"/>
          <w:b/>
          <w:bCs/>
          <w:u w:val="single"/>
        </w:rPr>
        <w:t xml:space="preserve"> 元整（大写： 贰万元整  ）</w:t>
      </w:r>
      <w:r>
        <w:rPr>
          <w:rFonts w:hint="eastAsia"/>
        </w:rPr>
        <w:t>。</w:t>
      </w:r>
    </w:p>
    <w:p w14:paraId="65427C56">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2776F09">
      <w:pPr>
        <w:ind w:firstLine="422"/>
        <w:rPr>
          <w:b/>
          <w:bCs/>
        </w:rPr>
      </w:pPr>
      <w:r>
        <w:rPr>
          <w:rFonts w:hint="eastAsia"/>
          <w:b/>
          <w:bCs/>
        </w:rPr>
        <w:t>响应人</w:t>
      </w:r>
      <w:r>
        <w:rPr>
          <w:rFonts w:hint="eastAsia"/>
          <w:b/>
          <w:bCs/>
          <w:lang w:val="en-US" w:eastAsia="zh-CN"/>
        </w:rPr>
        <w:t>可</w:t>
      </w:r>
      <w:r>
        <w:rPr>
          <w:rFonts w:hint="eastAsia"/>
          <w:b/>
          <w:bCs/>
        </w:rPr>
        <w:t>在付款凭证备注栏中注明项目简称。可简写成：</w:t>
      </w:r>
      <w:r>
        <w:rPr>
          <w:b/>
          <w:bCs/>
          <w:u w:val="single"/>
        </w:rPr>
        <w:t>综合报送</w:t>
      </w:r>
      <w:r>
        <w:rPr>
          <w:rFonts w:hint="eastAsia"/>
          <w:b/>
          <w:bCs/>
          <w:u w:val="single"/>
        </w:rPr>
        <w:t>技术服务</w:t>
      </w:r>
      <w:r>
        <w:rPr>
          <w:rFonts w:hint="eastAsia"/>
          <w:b/>
          <w:bCs/>
        </w:rPr>
        <w:t>。</w:t>
      </w:r>
    </w:p>
    <w:p w14:paraId="2E3B24CA">
      <w:pPr>
        <w:ind w:firstLine="420"/>
      </w:pPr>
      <w:r>
        <w:rPr>
          <w:rFonts w:hint="eastAsia"/>
        </w:rPr>
        <w:t>4.3 响应保证金递交的截止时间同响应截止时间。响应保证金以重庆市公共资源交易中心询比现场展示的保证金交纳情况为准。</w:t>
      </w:r>
    </w:p>
    <w:p w14:paraId="770F31C1">
      <w:pPr>
        <w:ind w:firstLine="420"/>
      </w:pPr>
      <w:r>
        <w:rPr>
          <w:rFonts w:hint="eastAsia"/>
        </w:rPr>
        <w:t>4.</w:t>
      </w:r>
      <w:r>
        <w:t>4</w:t>
      </w:r>
      <w:r>
        <w:rPr>
          <w:rFonts w:hint="eastAsia"/>
        </w:rPr>
        <w:t xml:space="preserve"> 响应保证金专用账户如下：</w:t>
      </w:r>
    </w:p>
    <w:p w14:paraId="01883D87">
      <w:pPr>
        <w:ind w:firstLine="420"/>
      </w:pPr>
      <w:r>
        <w:rPr>
          <w:rFonts w:hint="eastAsia"/>
        </w:rPr>
        <w:t>详见重庆市公共资源交易网（www.cqggzy.com）对应本项目询比公告信息栏中的保证金信息。</w:t>
      </w:r>
    </w:p>
    <w:p w14:paraId="4CBF115D">
      <w:pPr>
        <w:pStyle w:val="3"/>
      </w:pPr>
      <w:r>
        <w:rPr>
          <w:rFonts w:hint="eastAsia"/>
        </w:rPr>
        <w:t>5. 市场主体信息登记</w:t>
      </w:r>
    </w:p>
    <w:p w14:paraId="47E7D651">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31FB3659">
      <w:pPr>
        <w:pStyle w:val="3"/>
      </w:pPr>
      <w:r>
        <w:rPr>
          <w:rFonts w:hint="eastAsia"/>
        </w:rPr>
        <w:t>6. 响应文件的递交</w:t>
      </w:r>
    </w:p>
    <w:p w14:paraId="3E11CBF8">
      <w:pPr>
        <w:ind w:firstLine="420"/>
      </w:pPr>
      <w:bookmarkStart w:id="23" w:name="_Toc469574669"/>
      <w:bookmarkStart w:id="24" w:name="_Toc89675132"/>
      <w:bookmarkStart w:id="25" w:name="_Toc55379223"/>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12</w:t>
      </w:r>
      <w:r>
        <w:rPr>
          <w:rFonts w:hint="eastAsia"/>
        </w:rPr>
        <w:t>日</w:t>
      </w:r>
      <w:r>
        <w:rPr>
          <w:rFonts w:hint="eastAsia"/>
          <w:u w:val="single"/>
          <w:lang w:val="en-US" w:eastAsia="zh-CN"/>
        </w:rPr>
        <w:t>9</w:t>
      </w:r>
      <w:r>
        <w:rPr>
          <w:rFonts w:hint="eastAsia"/>
        </w:rPr>
        <w:t>时</w:t>
      </w:r>
      <w:r>
        <w:rPr>
          <w:rFonts w:hint="eastAsia"/>
          <w:u w:val="single"/>
          <w:lang w:val="en-US" w:eastAsia="zh-CN"/>
        </w:rPr>
        <w:t>0</w:t>
      </w:r>
      <w:bookmarkStart w:id="263" w:name="_GoBack"/>
      <w:bookmarkEnd w:id="263"/>
      <w:r>
        <w:rPr>
          <w:rFonts w:hint="eastAsia"/>
          <w:u w:val="single"/>
          <w:lang w:val="en-US" w:eastAsia="zh-CN"/>
        </w:rPr>
        <w:t>0</w:t>
      </w:r>
      <w:r>
        <w:rPr>
          <w:rFonts w:hint="eastAsia"/>
        </w:rPr>
        <w:t>分(北京时间)至响应截止时间。</w:t>
      </w:r>
    </w:p>
    <w:p w14:paraId="495FEA15">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694C40EE">
      <w:pPr>
        <w:ind w:firstLine="420"/>
      </w:pPr>
      <w:r>
        <w:rPr>
          <w:rFonts w:hint="eastAsia"/>
        </w:rPr>
        <w:t>6.3 逾期送达的响应文件，不予接收。</w:t>
      </w:r>
    </w:p>
    <w:p w14:paraId="04DF8B39">
      <w:pPr>
        <w:pStyle w:val="3"/>
      </w:pPr>
      <w:r>
        <w:rPr>
          <w:rFonts w:hint="eastAsia"/>
        </w:rPr>
        <w:t>7. 发布公告的媒介</w:t>
      </w:r>
      <w:bookmarkEnd w:id="23"/>
      <w:bookmarkEnd w:id="24"/>
      <w:bookmarkEnd w:id="25"/>
    </w:p>
    <w:p w14:paraId="47BE3BC2">
      <w:pPr>
        <w:ind w:firstLine="420"/>
      </w:pPr>
      <w:bookmarkStart w:id="26" w:name="_Toc250565211"/>
      <w:bookmarkStart w:id="27" w:name="_Toc89675133"/>
      <w:bookmarkStart w:id="28" w:name="_Toc55379224"/>
      <w:bookmarkStart w:id="29" w:name="_Toc469574670"/>
      <w:r>
        <w:rPr>
          <w:rFonts w:hint="eastAsia"/>
        </w:rPr>
        <w:t>本次询比公告同时在《重庆市公共资源交易网（www.cqggzy.com）》《重庆三峡银行官网（https://www.ccqtgb.com）》和《中国招标投标公共服务平台（http://www.cebpubservice.com）》上发布。</w:t>
      </w:r>
    </w:p>
    <w:p w14:paraId="31DF9880">
      <w:pPr>
        <w:pStyle w:val="3"/>
      </w:pPr>
      <w:r>
        <w:rPr>
          <w:rFonts w:hint="eastAsia"/>
        </w:rPr>
        <w:t>8. 联系方式</w:t>
      </w:r>
      <w:bookmarkEnd w:id="26"/>
      <w:bookmarkEnd w:id="27"/>
      <w:bookmarkEnd w:id="28"/>
      <w:bookmarkEnd w:id="29"/>
    </w:p>
    <w:p w14:paraId="6A010811">
      <w:pPr>
        <w:ind w:firstLine="420"/>
      </w:pPr>
    </w:p>
    <w:tbl>
      <w:tblPr>
        <w:tblStyle w:val="19"/>
        <w:tblW w:w="0" w:type="auto"/>
        <w:tblInd w:w="108" w:type="dxa"/>
        <w:tblLayout w:type="fixed"/>
        <w:tblCellMar>
          <w:top w:w="0" w:type="dxa"/>
          <w:left w:w="108" w:type="dxa"/>
          <w:bottom w:w="0" w:type="dxa"/>
          <w:right w:w="108" w:type="dxa"/>
        </w:tblCellMar>
      </w:tblPr>
      <w:tblGrid>
        <w:gridCol w:w="3943"/>
        <w:gridCol w:w="4480"/>
      </w:tblGrid>
      <w:tr w14:paraId="042A204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FA1D77C">
            <w:pPr>
              <w:ind w:firstLine="0" w:firstLineChars="0"/>
              <w:jc w:val="left"/>
            </w:pPr>
            <w:r>
              <w:rPr>
                <w:rFonts w:hint="eastAsia"/>
              </w:rPr>
              <w:t>8.1 项目需求咨询</w:t>
            </w:r>
          </w:p>
        </w:tc>
      </w:tr>
      <w:tr w14:paraId="35728BF1">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8BD8E40">
            <w:pPr>
              <w:ind w:firstLine="0" w:firstLineChars="0"/>
              <w:jc w:val="left"/>
              <w:rPr>
                <w:rFonts w:cs="宋体"/>
                <w:szCs w:val="21"/>
              </w:rPr>
            </w:pPr>
            <w:r>
              <w:rPr>
                <w:rFonts w:hint="eastAsia"/>
              </w:rPr>
              <w:t>项目联系人：</w:t>
            </w:r>
            <w:r>
              <w:t>张云飞</w:t>
            </w:r>
          </w:p>
        </w:tc>
        <w:tc>
          <w:tcPr>
            <w:tcW w:w="4480" w:type="dxa"/>
            <w:tcBorders>
              <w:top w:val="nil"/>
              <w:left w:val="nil"/>
              <w:bottom w:val="nil"/>
              <w:right w:val="single" w:color="auto" w:sz="4" w:space="0"/>
            </w:tcBorders>
          </w:tcPr>
          <w:p w14:paraId="50644B0B">
            <w:pPr>
              <w:ind w:firstLine="0" w:firstLineChars="0"/>
              <w:jc w:val="left"/>
              <w:rPr>
                <w:rFonts w:cs="宋体"/>
                <w:szCs w:val="21"/>
              </w:rPr>
            </w:pPr>
            <w:r>
              <w:rPr>
                <w:rFonts w:hint="eastAsia"/>
              </w:rPr>
              <w:t>联系方式：</w:t>
            </w:r>
            <w:r>
              <w:t>023-88890396</w:t>
            </w:r>
          </w:p>
        </w:tc>
      </w:tr>
      <w:tr w14:paraId="3839DBD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A396B22">
            <w:pPr>
              <w:ind w:firstLine="0" w:firstLineChars="0"/>
              <w:jc w:val="left"/>
            </w:pPr>
          </w:p>
        </w:tc>
      </w:tr>
      <w:tr w14:paraId="7769691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D1B2BC8">
            <w:pPr>
              <w:ind w:firstLine="0" w:firstLineChars="0"/>
              <w:jc w:val="left"/>
            </w:pPr>
            <w:r>
              <w:rPr>
                <w:rFonts w:hint="eastAsia"/>
              </w:rPr>
              <w:t>8.2 项目流程咨询</w:t>
            </w:r>
          </w:p>
        </w:tc>
      </w:tr>
      <w:tr w14:paraId="12D699C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83E857D">
            <w:pPr>
              <w:ind w:firstLine="0" w:firstLineChars="0"/>
              <w:jc w:val="left"/>
            </w:pPr>
            <w:r>
              <w:rPr>
                <w:rFonts w:hint="eastAsia"/>
              </w:rPr>
              <w:t>平台服务机构：重庆联合产权交易所集团股份有限公司</w:t>
            </w:r>
          </w:p>
        </w:tc>
      </w:tr>
      <w:tr w14:paraId="1F54BE97">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D64BCE7">
            <w:pPr>
              <w:ind w:firstLine="0" w:firstLineChars="0"/>
              <w:jc w:val="left"/>
              <w:rPr>
                <w:rFonts w:cs="宋体"/>
                <w:szCs w:val="21"/>
              </w:rPr>
            </w:pPr>
            <w:r>
              <w:rPr>
                <w:rFonts w:hint="eastAsia"/>
              </w:rPr>
              <w:t>平台联系人：罗老师、杜老师</w:t>
            </w:r>
          </w:p>
        </w:tc>
        <w:tc>
          <w:tcPr>
            <w:tcW w:w="4480" w:type="dxa"/>
            <w:tcBorders>
              <w:top w:val="nil"/>
              <w:left w:val="nil"/>
              <w:bottom w:val="nil"/>
              <w:right w:val="single" w:color="auto" w:sz="4" w:space="0"/>
            </w:tcBorders>
          </w:tcPr>
          <w:p w14:paraId="0A63B097">
            <w:pPr>
              <w:ind w:firstLine="0" w:firstLineChars="0"/>
              <w:jc w:val="left"/>
              <w:rPr>
                <w:rFonts w:cs="宋体"/>
                <w:szCs w:val="21"/>
              </w:rPr>
            </w:pPr>
            <w:r>
              <w:rPr>
                <w:rFonts w:hint="eastAsia"/>
              </w:rPr>
              <w:t>联系方式：023-63621694</w:t>
            </w:r>
          </w:p>
        </w:tc>
      </w:tr>
      <w:tr w14:paraId="5F51B70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FD06DD8">
            <w:pPr>
              <w:ind w:firstLine="0" w:firstLineChars="0"/>
              <w:jc w:val="left"/>
            </w:pPr>
          </w:p>
        </w:tc>
      </w:tr>
      <w:tr w14:paraId="20A7AFE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6E2AA73">
            <w:pPr>
              <w:ind w:firstLine="0" w:firstLineChars="0"/>
              <w:jc w:val="left"/>
            </w:pPr>
            <w:r>
              <w:rPr>
                <w:rFonts w:hint="eastAsia"/>
              </w:rPr>
              <w:t>8.3 采购人联系方式</w:t>
            </w:r>
          </w:p>
        </w:tc>
      </w:tr>
      <w:tr w14:paraId="578C28EC">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A5C7520">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4228B93D">
            <w:pPr>
              <w:ind w:firstLine="0" w:firstLineChars="0"/>
              <w:jc w:val="left"/>
              <w:rPr>
                <w:rFonts w:cs="宋体"/>
                <w:szCs w:val="21"/>
              </w:rPr>
            </w:pPr>
            <w:r>
              <w:rPr>
                <w:rFonts w:hint="eastAsia"/>
              </w:rPr>
              <w:t>联系方式：023-88890395</w:t>
            </w:r>
          </w:p>
        </w:tc>
      </w:tr>
      <w:tr w14:paraId="35CC9B07">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0C11C38">
            <w:pPr>
              <w:ind w:firstLine="0" w:firstLineChars="0"/>
              <w:jc w:val="left"/>
            </w:pPr>
            <w:r>
              <w:rPr>
                <w:rFonts w:hint="eastAsia"/>
              </w:rPr>
              <w:t>采购人地址：重庆市渝北区嘉州路88号中渝国际都会4号写字楼21层</w:t>
            </w:r>
          </w:p>
        </w:tc>
      </w:tr>
    </w:tbl>
    <w:p w14:paraId="33DEE908">
      <w:pPr>
        <w:ind w:firstLine="420"/>
      </w:pPr>
    </w:p>
    <w:p w14:paraId="62691AAF">
      <w:pPr>
        <w:spacing w:line="240" w:lineRule="auto"/>
        <w:ind w:firstLine="0" w:firstLineChars="0"/>
        <w:jc w:val="right"/>
        <w:rPr>
          <w:rFonts w:hint="eastAsia"/>
        </w:rPr>
      </w:pPr>
    </w:p>
    <w:p w14:paraId="1565D0F3">
      <w:pPr>
        <w:spacing w:line="240" w:lineRule="auto"/>
        <w:ind w:firstLine="0" w:firstLineChars="0"/>
        <w:jc w:val="right"/>
      </w:pPr>
      <w:r>
        <w:rPr>
          <w:rFonts w:hint="eastAsia"/>
        </w:rPr>
        <w:t>重庆三峡银行股份有限公司</w:t>
      </w:r>
    </w:p>
    <w:p w14:paraId="065A6553">
      <w:pPr>
        <w:ind w:firstLine="420"/>
        <w:jc w:val="right"/>
      </w:pPr>
      <w:r>
        <w:rPr>
          <w:rFonts w:hint="eastAsia"/>
        </w:rPr>
        <w:t>202</w:t>
      </w:r>
      <w:r>
        <w:rPr>
          <w:rFonts w:hint="eastAsia"/>
          <w:lang w:val="en-US" w:eastAsia="zh-CN"/>
        </w:rPr>
        <w:t>5</w:t>
      </w:r>
      <w:r>
        <w:rPr>
          <w:rFonts w:hint="eastAsia"/>
        </w:rPr>
        <w:t>年</w:t>
      </w:r>
      <w:r>
        <w:rPr>
          <w:rFonts w:hint="eastAsia"/>
          <w:lang w:val="en-US" w:eastAsia="zh-CN"/>
        </w:rPr>
        <w:t>4</w:t>
      </w:r>
      <w:r>
        <w:rPr>
          <w:rFonts w:hint="eastAsia"/>
        </w:rPr>
        <w:t>月</w:t>
      </w:r>
      <w:r>
        <w:rPr>
          <w:rFonts w:hint="eastAsia"/>
          <w:lang w:val="en-US" w:eastAsia="zh-CN"/>
        </w:rPr>
        <w:t>24</w:t>
      </w:r>
      <w:r>
        <w:rPr>
          <w:rFonts w:hint="eastAsia"/>
        </w:rPr>
        <w:t>日</w:t>
      </w:r>
    </w:p>
    <w:p w14:paraId="5B5DA8CD">
      <w:pPr>
        <w:ind w:firstLine="420"/>
        <w:jc w:val="left"/>
      </w:pPr>
    </w:p>
    <w:p w14:paraId="42FF27B0">
      <w:pPr>
        <w:ind w:firstLine="420"/>
        <w:jc w:val="left"/>
      </w:pPr>
    </w:p>
    <w:p w14:paraId="070F09E7">
      <w:pPr>
        <w:ind w:firstLine="0" w:firstLineChars="0"/>
        <w:jc w:val="left"/>
        <w:rPr>
          <w:b/>
        </w:rPr>
        <w:sectPr>
          <w:footerReference r:id="rId11" w:type="default"/>
          <w:pgSz w:w="11906" w:h="16838"/>
          <w:pgMar w:top="1440" w:right="1800" w:bottom="1440" w:left="1800" w:header="851" w:footer="992" w:gutter="0"/>
          <w:pgNumType w:start="1"/>
          <w:cols w:space="720" w:num="1"/>
          <w:docGrid w:type="lines" w:linePitch="312" w:charSpace="0"/>
        </w:sectPr>
      </w:pPr>
      <w:bookmarkStart w:id="30" w:name="_Toc303066033"/>
      <w:bookmarkStart w:id="31" w:name="_Toc89675159"/>
    </w:p>
    <w:p w14:paraId="1DA5874C">
      <w:pPr>
        <w:pStyle w:val="2"/>
      </w:pPr>
      <w:bookmarkStart w:id="32" w:name="_Toc10417"/>
      <w:bookmarkStart w:id="33" w:name="_Toc31405"/>
      <w:r>
        <w:rPr>
          <w:rFonts w:hint="eastAsia"/>
        </w:rPr>
        <w:t>第二章 响应人须知</w:t>
      </w:r>
      <w:bookmarkEnd w:id="30"/>
      <w:bookmarkEnd w:id="31"/>
      <w:bookmarkEnd w:id="32"/>
      <w:bookmarkEnd w:id="33"/>
    </w:p>
    <w:p w14:paraId="451F5B98">
      <w:pPr>
        <w:pStyle w:val="3"/>
      </w:pPr>
      <w:bookmarkStart w:id="34" w:name="_Toc89675160"/>
      <w:r>
        <w:rPr>
          <w:rFonts w:hint="eastAsia"/>
        </w:rPr>
        <w:t>1. 采购人</w:t>
      </w:r>
    </w:p>
    <w:p w14:paraId="6E265F9D">
      <w:pPr>
        <w:ind w:firstLine="420"/>
      </w:pPr>
      <w:r>
        <w:t>重庆三峡银行股份有限公司</w:t>
      </w:r>
      <w:r>
        <w:rPr>
          <w:rFonts w:hint="eastAsia"/>
        </w:rPr>
        <w:t>。</w:t>
      </w:r>
    </w:p>
    <w:bookmarkEnd w:id="34"/>
    <w:p w14:paraId="3D4F9323">
      <w:pPr>
        <w:pStyle w:val="3"/>
      </w:pPr>
      <w:bookmarkStart w:id="35" w:name="_Toc89675161"/>
      <w:r>
        <w:rPr>
          <w:rFonts w:hint="eastAsia"/>
        </w:rPr>
        <w:t xml:space="preserve">2. </w:t>
      </w:r>
      <w:bookmarkEnd w:id="35"/>
      <w:r>
        <w:rPr>
          <w:rFonts w:hint="eastAsia"/>
        </w:rPr>
        <w:t>响应人</w:t>
      </w:r>
    </w:p>
    <w:p w14:paraId="77A5D382">
      <w:pPr>
        <w:ind w:firstLine="420"/>
      </w:pPr>
      <w:r>
        <w:rPr>
          <w:rFonts w:hint="eastAsia"/>
        </w:rPr>
        <w:t>为采购人提供工程、货物和服务的承包商、供货商和服务商。</w:t>
      </w:r>
    </w:p>
    <w:p w14:paraId="0AA0A1B1">
      <w:pPr>
        <w:pStyle w:val="4"/>
        <w:ind w:firstLine="422"/>
      </w:pPr>
      <w:r>
        <w:rPr>
          <w:rFonts w:hint="eastAsia"/>
        </w:rPr>
        <w:t>2.1 合格响应人条件</w:t>
      </w:r>
    </w:p>
    <w:p w14:paraId="1749FC18">
      <w:pPr>
        <w:ind w:firstLine="420"/>
      </w:pPr>
      <w:r>
        <w:rPr>
          <w:rFonts w:hint="eastAsia"/>
        </w:rPr>
        <w:t>合格响应人应完全符合询比文件第一章中规定的响应人资格条件，并对询比文件作出实质性响应。</w:t>
      </w:r>
    </w:p>
    <w:p w14:paraId="0CF6BB97">
      <w:pPr>
        <w:pStyle w:val="4"/>
        <w:ind w:firstLine="422"/>
      </w:pPr>
      <w:r>
        <w:rPr>
          <w:rFonts w:hint="eastAsia"/>
        </w:rPr>
        <w:t>2.2 响应人的风险</w:t>
      </w:r>
    </w:p>
    <w:p w14:paraId="741021F8">
      <w:pPr>
        <w:ind w:firstLine="420"/>
      </w:pPr>
      <w:r>
        <w:rPr>
          <w:rFonts w:hint="eastAsia"/>
        </w:rPr>
        <w:t>响应人没有按照询比文件要求提供全部资料，或者响应人没有对询比文件在各方面作出实质性响应，可能导致响应被拒绝或评定为无效响应。</w:t>
      </w:r>
    </w:p>
    <w:p w14:paraId="05B31446">
      <w:pPr>
        <w:pStyle w:val="3"/>
      </w:pPr>
      <w:bookmarkStart w:id="36" w:name="_Toc89675162"/>
      <w:r>
        <w:rPr>
          <w:rFonts w:hint="eastAsia"/>
        </w:rPr>
        <w:t xml:space="preserve">3. </w:t>
      </w:r>
      <w:bookmarkEnd w:id="36"/>
      <w:r>
        <w:rPr>
          <w:rFonts w:hint="eastAsia"/>
        </w:rPr>
        <w:t>询比文件</w:t>
      </w:r>
    </w:p>
    <w:p w14:paraId="635C38D9">
      <w:pPr>
        <w:ind w:firstLine="420"/>
      </w:pPr>
      <w:r>
        <w:rPr>
          <w:rFonts w:hint="eastAsia"/>
        </w:rPr>
        <w:t>采购人根据自身采购方案或需求编制的采购文件。</w:t>
      </w:r>
    </w:p>
    <w:p w14:paraId="5CE5A5E1">
      <w:pPr>
        <w:ind w:firstLine="420"/>
      </w:pPr>
      <w:r>
        <w:rPr>
          <w:rFonts w:hint="eastAsia"/>
        </w:rPr>
        <w:t>询比文件是响应人编制响应文件的依据，是评审委员会评判依据和标准。询比文件也是采购人与成交供应商签订合同的基础。</w:t>
      </w:r>
    </w:p>
    <w:p w14:paraId="0EEF6EA8">
      <w:pPr>
        <w:ind w:firstLine="420"/>
      </w:pPr>
      <w:r>
        <w:rPr>
          <w:rFonts w:hint="eastAsia"/>
        </w:rPr>
        <w:t>采购人对询比文件所作的一切有效的书面通知、修改及补充，都是询比文件不可分割的部分。</w:t>
      </w:r>
    </w:p>
    <w:p w14:paraId="3E54BD11">
      <w:pPr>
        <w:pStyle w:val="3"/>
      </w:pPr>
      <w:bookmarkStart w:id="37" w:name="_Toc89675163"/>
      <w:r>
        <w:rPr>
          <w:rFonts w:hint="eastAsia"/>
        </w:rPr>
        <w:t xml:space="preserve">4. </w:t>
      </w:r>
      <w:bookmarkEnd w:id="37"/>
      <w:r>
        <w:rPr>
          <w:rFonts w:hint="eastAsia"/>
        </w:rPr>
        <w:t>响应</w:t>
      </w:r>
    </w:p>
    <w:p w14:paraId="4485955B">
      <w:pPr>
        <w:ind w:firstLine="420"/>
      </w:pPr>
      <w:r>
        <w:rPr>
          <w:rFonts w:hint="eastAsia"/>
        </w:rPr>
        <w:t>响应人应当按照询比文件的要求编制响应文件，并对询比文件提出的要求和条件作出实质性响应。</w:t>
      </w:r>
    </w:p>
    <w:p w14:paraId="30ADDA3B">
      <w:pPr>
        <w:pStyle w:val="4"/>
        <w:ind w:firstLine="422"/>
      </w:pPr>
      <w:r>
        <w:rPr>
          <w:rFonts w:hint="eastAsia"/>
        </w:rPr>
        <w:t>4.1 响应文件</w:t>
      </w:r>
    </w:p>
    <w:p w14:paraId="03A5BDDB">
      <w:pPr>
        <w:ind w:firstLine="420"/>
      </w:pPr>
      <w:r>
        <w:rPr>
          <w:rFonts w:hint="eastAsia"/>
        </w:rPr>
        <w:t>参与询比活动的响应人按照询比文件的要求编制提交的要约文件的统称。</w:t>
      </w:r>
    </w:p>
    <w:p w14:paraId="0BF16DD8">
      <w:pPr>
        <w:pStyle w:val="4"/>
        <w:ind w:firstLine="422"/>
      </w:pPr>
      <w:r>
        <w:rPr>
          <w:rFonts w:hint="eastAsia"/>
        </w:rPr>
        <w:t>4.2 响应文件组成</w:t>
      </w:r>
    </w:p>
    <w:p w14:paraId="74DE778E">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0C5C31FB">
      <w:pPr>
        <w:pStyle w:val="4"/>
        <w:ind w:firstLine="422"/>
      </w:pPr>
      <w:r>
        <w:rPr>
          <w:rFonts w:hint="eastAsia"/>
        </w:rPr>
        <w:t>4.3 联合响应</w:t>
      </w:r>
    </w:p>
    <w:p w14:paraId="145CF005">
      <w:pPr>
        <w:ind w:firstLine="420"/>
      </w:pPr>
      <w:r>
        <w:rPr>
          <w:rFonts w:hint="eastAsia"/>
        </w:rPr>
        <w:t>本询比项目不接受联合响应</w:t>
      </w:r>
    </w:p>
    <w:p w14:paraId="33FA5FEB">
      <w:pPr>
        <w:pStyle w:val="4"/>
        <w:ind w:firstLine="422"/>
      </w:pPr>
      <w:r>
        <w:rPr>
          <w:rFonts w:hint="eastAsia"/>
        </w:rPr>
        <w:t>4.4 响应有效期</w:t>
      </w:r>
    </w:p>
    <w:p w14:paraId="1305E912">
      <w:pPr>
        <w:ind w:firstLine="420"/>
      </w:pPr>
      <w:r>
        <w:rPr>
          <w:rFonts w:hint="eastAsia"/>
        </w:rPr>
        <w:t>响应有效期为响应截止时间后90天内。</w:t>
      </w:r>
    </w:p>
    <w:p w14:paraId="6FBE444B">
      <w:pPr>
        <w:pStyle w:val="4"/>
        <w:ind w:firstLine="422"/>
      </w:pPr>
      <w:r>
        <w:rPr>
          <w:rFonts w:hint="eastAsia"/>
        </w:rPr>
        <w:t>4.5 响应保证金</w:t>
      </w:r>
    </w:p>
    <w:p w14:paraId="4F4B48C3">
      <w:pPr>
        <w:ind w:firstLine="420"/>
      </w:pPr>
      <w:r>
        <w:rPr>
          <w:rFonts w:hint="eastAsia"/>
        </w:rPr>
        <w:t>4.5.1 响应人应在响应截止时间前，按询比文件第一章规定向采购人缴纳响应保证金。</w:t>
      </w:r>
    </w:p>
    <w:p w14:paraId="541995FB">
      <w:pPr>
        <w:ind w:firstLine="420"/>
      </w:pPr>
      <w:r>
        <w:rPr>
          <w:rFonts w:hint="eastAsia"/>
        </w:rPr>
        <w:t>4.5.2 响应保证金为响应的有效约束条件。</w:t>
      </w:r>
    </w:p>
    <w:p w14:paraId="0E1E31D7">
      <w:pPr>
        <w:ind w:firstLine="420"/>
      </w:pPr>
      <w:r>
        <w:rPr>
          <w:rFonts w:hint="eastAsia"/>
        </w:rPr>
        <w:t>4.5.3 响应保证金有效期与响应文件有效期一致。</w:t>
      </w:r>
    </w:p>
    <w:p w14:paraId="05D9806B">
      <w:pPr>
        <w:ind w:firstLine="420"/>
      </w:pPr>
      <w:r>
        <w:rPr>
          <w:rFonts w:hint="eastAsia"/>
        </w:rPr>
        <w:t>4.5.4 响应保证金币种应与响应报价币种相同。</w:t>
      </w:r>
    </w:p>
    <w:p w14:paraId="4B1F0983">
      <w:pPr>
        <w:ind w:firstLine="420"/>
      </w:pPr>
      <w:r>
        <w:rPr>
          <w:rFonts w:hint="eastAsia"/>
        </w:rPr>
        <w:t>4.5.5 响应保证金的退还：</w:t>
      </w:r>
    </w:p>
    <w:p w14:paraId="05754394">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4D12B083">
      <w:pPr>
        <w:ind w:firstLine="420"/>
      </w:pPr>
      <w:r>
        <w:rPr>
          <w:rFonts w:hint="eastAsia"/>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06151D26">
      <w:pPr>
        <w:ind w:firstLine="420"/>
      </w:pPr>
      <w:r>
        <w:rPr>
          <w:rFonts w:hint="eastAsia"/>
        </w:rPr>
        <w:t>响应保证金专用账户由重庆市公共资源交易中心制定，关于保证金相关情况的问题请咨询重庆市公共资源交易中心，联系电话023-63621694。</w:t>
      </w:r>
    </w:p>
    <w:p w14:paraId="12BD03E8">
      <w:pPr>
        <w:ind w:firstLine="420"/>
      </w:pPr>
      <w:r>
        <w:rPr>
          <w:rFonts w:hint="eastAsia"/>
        </w:rPr>
        <w:t>4.5.6 响应人有下列情形之一的，响应保证金将不予退还：</w:t>
      </w:r>
    </w:p>
    <w:p w14:paraId="2FECB465">
      <w:pPr>
        <w:ind w:firstLine="420"/>
      </w:pPr>
      <w:r>
        <w:rPr>
          <w:rFonts w:hint="eastAsia"/>
        </w:rPr>
        <w:t>4.5.6.1 响应人在响应有效期内撤销响应文件的；</w:t>
      </w:r>
    </w:p>
    <w:p w14:paraId="7291733D">
      <w:pPr>
        <w:ind w:firstLine="420"/>
      </w:pPr>
      <w:r>
        <w:rPr>
          <w:rFonts w:hint="eastAsia"/>
        </w:rPr>
        <w:t>4.5.6.2 响应人在响应过程中弄虚作假，提供虚假材料的；</w:t>
      </w:r>
    </w:p>
    <w:p w14:paraId="1A8C6055">
      <w:pPr>
        <w:ind w:firstLine="420"/>
      </w:pPr>
      <w:r>
        <w:rPr>
          <w:rFonts w:hint="eastAsia"/>
        </w:rPr>
        <w:t>4.5.6.3 成交供应商无故弃选或无正当理由不与采购人签订合同的；</w:t>
      </w:r>
    </w:p>
    <w:p w14:paraId="2F5B6571">
      <w:pPr>
        <w:ind w:firstLine="420"/>
      </w:pPr>
      <w:r>
        <w:rPr>
          <w:rFonts w:hint="eastAsia"/>
        </w:rPr>
        <w:t>4.5.6.4 成交供应商将成交项目转让给他人或者在响应文件中未说明且未经询比单位同意，将成交项目分包给他人的；</w:t>
      </w:r>
    </w:p>
    <w:p w14:paraId="18557AF7">
      <w:pPr>
        <w:ind w:firstLine="420"/>
      </w:pPr>
      <w:r>
        <w:rPr>
          <w:rFonts w:hint="eastAsia"/>
        </w:rPr>
        <w:t>4.5.6.5 成交供应商拒绝履行合同义务的；</w:t>
      </w:r>
    </w:p>
    <w:p w14:paraId="05831F5C">
      <w:pPr>
        <w:ind w:firstLine="420"/>
      </w:pPr>
      <w:r>
        <w:rPr>
          <w:rFonts w:hint="eastAsia"/>
        </w:rPr>
        <w:t>4.5.6.6 其他严重扰乱询比程序的；</w:t>
      </w:r>
    </w:p>
    <w:p w14:paraId="24D7DA1E">
      <w:pPr>
        <w:pStyle w:val="4"/>
        <w:ind w:firstLine="422"/>
      </w:pPr>
      <w:r>
        <w:rPr>
          <w:rFonts w:hint="eastAsia"/>
        </w:rPr>
        <w:t>4.6 响应文件的份数和签署</w:t>
      </w:r>
    </w:p>
    <w:p w14:paraId="57E238D6">
      <w:pPr>
        <w:ind w:firstLine="420"/>
      </w:pPr>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39E5E562">
      <w:pPr>
        <w:ind w:firstLine="420"/>
      </w:pPr>
      <w:r>
        <w:rPr>
          <w:rFonts w:hint="eastAsia"/>
        </w:rPr>
        <w:t>4.6.2 响应文件正本中，每一页均应由响应人加盖公章，其中规定格式的文件应当按要求签名和加盖响应人公章。</w:t>
      </w:r>
    </w:p>
    <w:p w14:paraId="14940FFD">
      <w:pPr>
        <w:ind w:firstLine="420"/>
      </w:pPr>
      <w:r>
        <w:rPr>
          <w:rFonts w:hint="eastAsia"/>
        </w:rPr>
        <w:t>4.6.3 若响应人对响应文件的错处作必要修改，则应在修改处加盖响应人公章或由法人或委托代理人签字确认。</w:t>
      </w:r>
    </w:p>
    <w:p w14:paraId="5B5E38C5">
      <w:pPr>
        <w:ind w:firstLine="420"/>
      </w:pPr>
      <w:r>
        <w:rPr>
          <w:rFonts w:hint="eastAsia"/>
        </w:rPr>
        <w:t>4.6.4 电报、电话、邮寄、传真形式的响应文件概不接受。</w:t>
      </w:r>
    </w:p>
    <w:p w14:paraId="2DC01B08">
      <w:pPr>
        <w:pStyle w:val="4"/>
        <w:ind w:firstLine="422"/>
      </w:pPr>
      <w:r>
        <w:rPr>
          <w:rFonts w:hint="eastAsia"/>
        </w:rPr>
        <w:t>4.7 响应文件的密封与标记</w:t>
      </w:r>
    </w:p>
    <w:p w14:paraId="42AF6722">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5FE9E1D4">
      <w:pPr>
        <w:ind w:firstLine="420"/>
      </w:pPr>
      <w:r>
        <w:rPr>
          <w:rFonts w:hint="eastAsia"/>
        </w:rPr>
        <w:t>如果未按上述规定进行密封和标记，则其响应将作为无效响应处理。</w:t>
      </w:r>
    </w:p>
    <w:p w14:paraId="38147236">
      <w:pPr>
        <w:pStyle w:val="4"/>
        <w:ind w:firstLine="422"/>
      </w:pPr>
      <w:r>
        <w:rPr>
          <w:rFonts w:hint="eastAsia"/>
        </w:rPr>
        <w:t>4.8 响应报价</w:t>
      </w:r>
    </w:p>
    <w:p w14:paraId="6D785042">
      <w:pPr>
        <w:ind w:firstLine="420"/>
      </w:pPr>
      <w:r>
        <w:rPr>
          <w:rFonts w:hint="eastAsia"/>
        </w:rPr>
        <w:t>4.8.1 响应人应严格按照“响应文件格式”填写报价。</w:t>
      </w:r>
    </w:p>
    <w:p w14:paraId="349EE31A">
      <w:pPr>
        <w:ind w:firstLine="420"/>
      </w:pPr>
      <w:r>
        <w:rPr>
          <w:rFonts w:hint="eastAsia"/>
        </w:rPr>
        <w:t>4.8.2 响应人的报价为一次性报价，即在响应有效期内响应价格固定不变。</w:t>
      </w:r>
    </w:p>
    <w:p w14:paraId="6039334C">
      <w:pPr>
        <w:ind w:firstLine="420"/>
      </w:pPr>
      <w:r>
        <w:rPr>
          <w:rFonts w:hint="eastAsia"/>
        </w:rPr>
        <w:t>4.8.3 本项目只接受一个响应报价，有选择的或有条件的响应将不予接受。</w:t>
      </w:r>
    </w:p>
    <w:p w14:paraId="762BE24E">
      <w:pPr>
        <w:ind w:firstLine="420"/>
      </w:pPr>
      <w:r>
        <w:rPr>
          <w:rFonts w:hint="eastAsia"/>
        </w:rPr>
        <w:t>4.8.4 响应报价不得高于最高限价。</w:t>
      </w:r>
    </w:p>
    <w:p w14:paraId="24DB21D2">
      <w:pPr>
        <w:pStyle w:val="4"/>
        <w:ind w:firstLine="422"/>
      </w:pPr>
      <w:r>
        <w:rPr>
          <w:rFonts w:hint="eastAsia"/>
        </w:rPr>
        <w:t>4.9 修正错误</w:t>
      </w:r>
    </w:p>
    <w:p w14:paraId="3E68F014">
      <w:pPr>
        <w:ind w:firstLine="420"/>
      </w:pPr>
      <w:r>
        <w:rPr>
          <w:rFonts w:hint="eastAsia"/>
        </w:rPr>
        <w:t>若响应文件出现计算或表达上的错误，修正错误的原则如下：</w:t>
      </w:r>
    </w:p>
    <w:p w14:paraId="17E73C94">
      <w:pPr>
        <w:ind w:firstLine="420"/>
      </w:pPr>
      <w:r>
        <w:rPr>
          <w:rFonts w:hint="eastAsia"/>
        </w:rPr>
        <w:t>4.9.1 响应文件的大写金额和小写金额不一致的，以大写金额为准；</w:t>
      </w:r>
    </w:p>
    <w:p w14:paraId="664A0DB5">
      <w:pPr>
        <w:ind w:firstLine="420"/>
      </w:pPr>
      <w:r>
        <w:rPr>
          <w:rFonts w:hint="eastAsia"/>
        </w:rPr>
        <w:t>4.9.2 总价金额与按单价汇总金额不一致的，以单价金额计算结果为准；</w:t>
      </w:r>
    </w:p>
    <w:p w14:paraId="39A2F007">
      <w:pPr>
        <w:ind w:firstLine="420"/>
      </w:pPr>
      <w:r>
        <w:rPr>
          <w:rFonts w:hint="eastAsia"/>
        </w:rPr>
        <w:t>4.9.3 单价金额小数点有明显错位的，应以总价为准，并修正单价；</w:t>
      </w:r>
    </w:p>
    <w:p w14:paraId="49AD6E92">
      <w:pPr>
        <w:ind w:firstLine="420"/>
      </w:pPr>
      <w:r>
        <w:rPr>
          <w:rFonts w:hint="eastAsia"/>
        </w:rPr>
        <w:t>4.9.4 对不同文字文本响应文件的解释发生异议的，以中文文本为准。</w:t>
      </w:r>
    </w:p>
    <w:p w14:paraId="54405AAA">
      <w:pPr>
        <w:ind w:firstLine="420"/>
      </w:pPr>
      <w:r>
        <w:rPr>
          <w:rFonts w:hint="eastAsia"/>
        </w:rPr>
        <w:t>4.9.5 含税金额与不含税金额不一致的，以含税金额为准。</w:t>
      </w:r>
    </w:p>
    <w:p w14:paraId="6EC7796E">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35EB66E7">
      <w:pPr>
        <w:pStyle w:val="3"/>
      </w:pPr>
      <w:bookmarkStart w:id="38" w:name="_Toc89675166"/>
      <w:r>
        <w:rPr>
          <w:rFonts w:hint="eastAsia"/>
        </w:rPr>
        <w:t>5. 询比程序</w:t>
      </w:r>
    </w:p>
    <w:p w14:paraId="031C486B">
      <w:pPr>
        <w:ind w:firstLine="420"/>
      </w:pPr>
      <w:r>
        <w:rPr>
          <w:rFonts w:hint="eastAsia"/>
        </w:rPr>
        <w:t>主持人按下列程序进行询比：</w:t>
      </w:r>
    </w:p>
    <w:p w14:paraId="0B9BA006">
      <w:pPr>
        <w:ind w:firstLine="420"/>
      </w:pPr>
      <w:r>
        <w:rPr>
          <w:rFonts w:hint="eastAsia"/>
        </w:rPr>
        <w:t>5.1 宣布询比纪律；</w:t>
      </w:r>
    </w:p>
    <w:p w14:paraId="1F3CC969">
      <w:pPr>
        <w:ind w:firstLine="420"/>
      </w:pPr>
      <w:r>
        <w:rPr>
          <w:rFonts w:hint="eastAsia"/>
        </w:rPr>
        <w:t>5.2 宣布采购人、唱标人、记录人、监督人等有关人员姓名；</w:t>
      </w:r>
    </w:p>
    <w:p w14:paraId="1542463F">
      <w:pPr>
        <w:ind w:firstLine="420"/>
      </w:pPr>
      <w:r>
        <w:rPr>
          <w:rFonts w:hint="eastAsia"/>
        </w:rPr>
        <w:t>5.3 公布在响应截止时间前递交响应文件的响应人名称，并点名确认响应人是否派人到场；</w:t>
      </w:r>
    </w:p>
    <w:p w14:paraId="2E3EB07D">
      <w:pPr>
        <w:ind w:firstLine="420"/>
      </w:pPr>
      <w:r>
        <w:rPr>
          <w:rFonts w:hint="eastAsia"/>
        </w:rPr>
        <w:t>5.4 展示响应保证金，响应保证金缴款不全或有误的，则记录在案交由评审委员会评审；</w:t>
      </w:r>
    </w:p>
    <w:p w14:paraId="31631C09">
      <w:pPr>
        <w:ind w:firstLine="420"/>
      </w:pPr>
      <w:r>
        <w:rPr>
          <w:rFonts w:hint="eastAsia"/>
        </w:rPr>
        <w:t>5.5 封装情况检查：响应人或者其推选的代表检查各响应文件的封装情况并确认；</w:t>
      </w:r>
    </w:p>
    <w:p w14:paraId="208CE2FC">
      <w:pPr>
        <w:ind w:firstLine="420"/>
      </w:pPr>
      <w:r>
        <w:rPr>
          <w:rFonts w:hint="eastAsia"/>
        </w:rPr>
        <w:t>5.6 设有最高限价的，公布最高限价；</w:t>
      </w:r>
    </w:p>
    <w:p w14:paraId="2705C850">
      <w:pPr>
        <w:ind w:firstLine="420"/>
      </w:pPr>
      <w:r>
        <w:rPr>
          <w:rFonts w:hint="eastAsia"/>
        </w:rPr>
        <w:t>5.7 开启响应文件；</w:t>
      </w:r>
    </w:p>
    <w:p w14:paraId="1FEEC519">
      <w:pPr>
        <w:ind w:firstLine="420"/>
      </w:pPr>
      <w:r>
        <w:rPr>
          <w:rFonts w:hint="eastAsia"/>
        </w:rPr>
        <w:t>5.8 采购人代表、响应人代表、监督人、记录人等有关人员在询比记录上签字确认；</w:t>
      </w:r>
    </w:p>
    <w:p w14:paraId="3B16A5DB">
      <w:pPr>
        <w:ind w:firstLine="420"/>
      </w:pPr>
      <w:r>
        <w:rPr>
          <w:rFonts w:hint="eastAsia"/>
        </w:rPr>
        <w:t>5.9 询比结束。</w:t>
      </w:r>
    </w:p>
    <w:p w14:paraId="61CD65A0">
      <w:pPr>
        <w:pStyle w:val="3"/>
      </w:pPr>
      <w:r>
        <w:rPr>
          <w:rFonts w:hint="eastAsia"/>
        </w:rPr>
        <w:t>6. 评审</w:t>
      </w:r>
    </w:p>
    <w:p w14:paraId="5E756503">
      <w:pPr>
        <w:ind w:firstLine="420"/>
      </w:pPr>
      <w:r>
        <w:rPr>
          <w:rFonts w:hint="eastAsia"/>
        </w:rPr>
        <w:t>见第四章内容。</w:t>
      </w:r>
    </w:p>
    <w:p w14:paraId="15F69C32">
      <w:pPr>
        <w:pStyle w:val="3"/>
      </w:pPr>
      <w:r>
        <w:rPr>
          <w:rFonts w:hint="eastAsia"/>
        </w:rPr>
        <w:t xml:space="preserve">7. </w:t>
      </w:r>
      <w:bookmarkEnd w:id="38"/>
      <w:r>
        <w:rPr>
          <w:rFonts w:hint="eastAsia"/>
        </w:rPr>
        <w:t>确定成交供应商</w:t>
      </w:r>
    </w:p>
    <w:p w14:paraId="65AAEC6C">
      <w:pPr>
        <w:ind w:firstLine="420"/>
      </w:pPr>
      <w:r>
        <w:rPr>
          <w:rFonts w:hint="eastAsia"/>
        </w:rPr>
        <w:t>7.1 确定成交供应商原则</w:t>
      </w:r>
    </w:p>
    <w:p w14:paraId="236D279B">
      <w:pPr>
        <w:ind w:firstLine="420"/>
      </w:pPr>
      <w:r>
        <w:rPr>
          <w:rFonts w:hint="eastAsia"/>
        </w:rPr>
        <w:t>采购人按照评审报告中推荐的成交候选人排名顺序确定成交供应商，如成交供应商因不可抗力或者自身原因不能履行合同的，采购人可以重新采购或确定依次其后的候选人为成交供应商，以此类推。</w:t>
      </w:r>
    </w:p>
    <w:p w14:paraId="1026BE0D">
      <w:pPr>
        <w:ind w:firstLine="420"/>
      </w:pPr>
      <w:r>
        <w:rPr>
          <w:rFonts w:hint="eastAsia"/>
        </w:rPr>
        <w:t>7.2 不承诺最低价格成交。</w:t>
      </w:r>
    </w:p>
    <w:p w14:paraId="0DA024A4">
      <w:pPr>
        <w:ind w:firstLine="420"/>
      </w:pPr>
      <w:r>
        <w:rPr>
          <w:rFonts w:hint="eastAsia"/>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249650AF">
      <w:pPr>
        <w:pStyle w:val="3"/>
      </w:pPr>
      <w:bookmarkStart w:id="39" w:name="_Toc89675168"/>
      <w:bookmarkStart w:id="40" w:name="_Toc12245"/>
      <w:r>
        <w:rPr>
          <w:rFonts w:hint="eastAsia"/>
        </w:rPr>
        <w:t>8. 签订合同</w:t>
      </w:r>
      <w:bookmarkEnd w:id="39"/>
      <w:bookmarkEnd w:id="40"/>
    </w:p>
    <w:p w14:paraId="1E680B23">
      <w:pPr>
        <w:ind w:firstLine="420"/>
      </w:pPr>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196E17FB">
      <w:pPr>
        <w:ind w:firstLine="420"/>
      </w:pPr>
      <w:r>
        <w:rPr>
          <w:rFonts w:hint="eastAsia"/>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3D0436C2">
      <w:pPr>
        <w:ind w:firstLine="420"/>
      </w:pPr>
      <w:r>
        <w:rPr>
          <w:rFonts w:hint="eastAsia"/>
        </w:rPr>
        <w:t>8.3 询比文件、成交供应商的响应文件及澄清文件等，均为签订合同的依据。</w:t>
      </w:r>
    </w:p>
    <w:p w14:paraId="53094765">
      <w:pPr>
        <w:ind w:firstLine="420"/>
      </w:pPr>
      <w:r>
        <w:rPr>
          <w:rFonts w:hint="eastAsia"/>
        </w:rPr>
        <w:t>8.4 合同生效条款由供需双方约定，法律、行政法规规定应当办理批准、登记等手续后生效的合同，依照其规定。</w:t>
      </w:r>
    </w:p>
    <w:p w14:paraId="260087F8">
      <w:pPr>
        <w:ind w:firstLine="420"/>
      </w:pPr>
      <w:r>
        <w:rPr>
          <w:rFonts w:hint="eastAsia"/>
        </w:rPr>
        <w:t>8.5 签订合同前后，若成交供应商无法按要求履约，采购人可以废除成交供应商资格，并可重新采购或选择按照成交候选人顺位与下一候选人签订合同。</w:t>
      </w:r>
    </w:p>
    <w:p w14:paraId="3D372ACD">
      <w:pPr>
        <w:ind w:firstLine="420"/>
      </w:pPr>
      <w:r>
        <w:rPr>
          <w:rFonts w:hint="eastAsia"/>
        </w:rPr>
        <w:t>8.6 该项目不允许任何形式的转包。</w:t>
      </w:r>
    </w:p>
    <w:p w14:paraId="72AF59FB">
      <w:pPr>
        <w:pStyle w:val="3"/>
      </w:pPr>
      <w:r>
        <w:rPr>
          <w:rFonts w:hint="eastAsia"/>
        </w:rPr>
        <w:t>9. 纪律与要求</w:t>
      </w:r>
    </w:p>
    <w:p w14:paraId="6709D2EE">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223ACB66">
      <w:pPr>
        <w:ind w:firstLine="420"/>
      </w:pPr>
      <w:r>
        <w:rPr>
          <w:rFonts w:hint="eastAsia"/>
        </w:rPr>
        <w:t>9.1 有下列情形之一的，属于响应人相互串通响应：</w:t>
      </w:r>
    </w:p>
    <w:p w14:paraId="1FE3B260">
      <w:pPr>
        <w:ind w:firstLine="420"/>
      </w:pPr>
      <w:r>
        <w:rPr>
          <w:rFonts w:hint="eastAsia"/>
        </w:rPr>
        <w:t>9.1.1 响应人之间协商响应报价等响应文件的实质性内容；</w:t>
      </w:r>
    </w:p>
    <w:p w14:paraId="76BA2865">
      <w:pPr>
        <w:ind w:firstLine="420"/>
      </w:pPr>
      <w:r>
        <w:rPr>
          <w:rFonts w:hint="eastAsia"/>
        </w:rPr>
        <w:t>9.1.2 响应人之间约定成交供应商；</w:t>
      </w:r>
    </w:p>
    <w:p w14:paraId="7FC10E74">
      <w:pPr>
        <w:ind w:firstLine="420"/>
      </w:pPr>
      <w:r>
        <w:rPr>
          <w:rFonts w:hint="eastAsia"/>
        </w:rPr>
        <w:t>9.1.3 响应人之间约定部分响应人放弃响应或者成交；</w:t>
      </w:r>
    </w:p>
    <w:p w14:paraId="107EC15E">
      <w:pPr>
        <w:ind w:firstLine="420"/>
      </w:pPr>
      <w:r>
        <w:rPr>
          <w:rFonts w:hint="eastAsia"/>
        </w:rPr>
        <w:t>9.1.4 属于同一集团、协会、商会等组织成员的响应人按照该组织要求协同响应；</w:t>
      </w:r>
    </w:p>
    <w:p w14:paraId="35195E5B">
      <w:pPr>
        <w:ind w:firstLine="420"/>
      </w:pPr>
      <w:r>
        <w:rPr>
          <w:rFonts w:hint="eastAsia"/>
        </w:rPr>
        <w:t>9.1.5 响应人之间为谋取成交或者排斥特定响应人而采取的其他联合行动。</w:t>
      </w:r>
    </w:p>
    <w:p w14:paraId="7A22739E">
      <w:pPr>
        <w:ind w:firstLine="420"/>
      </w:pPr>
      <w:r>
        <w:rPr>
          <w:rFonts w:hint="eastAsia"/>
        </w:rPr>
        <w:t>9.2 有下列情形之一的，视为响应人相互串通响应：</w:t>
      </w:r>
    </w:p>
    <w:p w14:paraId="5558C0FE">
      <w:pPr>
        <w:ind w:firstLine="420"/>
      </w:pPr>
      <w:r>
        <w:rPr>
          <w:rFonts w:hint="eastAsia"/>
        </w:rPr>
        <w:t>9.2.1 不同响应人的响应文件由同一单位或者个人编制；</w:t>
      </w:r>
    </w:p>
    <w:p w14:paraId="5D5C8150">
      <w:pPr>
        <w:ind w:firstLine="420"/>
      </w:pPr>
      <w:r>
        <w:rPr>
          <w:rFonts w:hint="eastAsia"/>
        </w:rPr>
        <w:t>9.2.2 不同响应人委托同一单位或者个人办理响应事宜；</w:t>
      </w:r>
    </w:p>
    <w:p w14:paraId="524FAE2D">
      <w:pPr>
        <w:ind w:firstLine="420"/>
      </w:pPr>
      <w:r>
        <w:rPr>
          <w:rFonts w:hint="eastAsia"/>
        </w:rPr>
        <w:t>9.2.3 不同响应人的响应文件载明的项目管理成员为同一人；</w:t>
      </w:r>
    </w:p>
    <w:p w14:paraId="54D78E30">
      <w:pPr>
        <w:ind w:firstLine="420"/>
      </w:pPr>
      <w:r>
        <w:rPr>
          <w:rFonts w:hint="eastAsia"/>
        </w:rPr>
        <w:t>9.2.4 不同响应人的响应文件相互混装；</w:t>
      </w:r>
    </w:p>
    <w:p w14:paraId="36A6F919">
      <w:pPr>
        <w:ind w:firstLine="420"/>
      </w:pPr>
      <w:r>
        <w:rPr>
          <w:rFonts w:hint="eastAsia"/>
        </w:rPr>
        <w:t>9.2.5 不同响应人的响应保证金从同一单位或者个人的账户转出。</w:t>
      </w:r>
    </w:p>
    <w:p w14:paraId="01DD9000">
      <w:pPr>
        <w:ind w:firstLine="420"/>
      </w:pPr>
      <w:r>
        <w:rPr>
          <w:rFonts w:hint="eastAsia"/>
        </w:rPr>
        <w:t>9.3 使用通过受让或者租借等方式获取的资格、资质证书响应的，属于以他人名义响应。</w:t>
      </w:r>
    </w:p>
    <w:p w14:paraId="7AFCD972">
      <w:pPr>
        <w:ind w:firstLine="420"/>
      </w:pPr>
      <w:r>
        <w:rPr>
          <w:rFonts w:hint="eastAsia"/>
        </w:rPr>
        <w:t>9.4 响应人有下列情形之一的，属于弄虚作假的行为：</w:t>
      </w:r>
    </w:p>
    <w:p w14:paraId="32923398">
      <w:pPr>
        <w:ind w:firstLine="420"/>
      </w:pPr>
      <w:r>
        <w:rPr>
          <w:rFonts w:hint="eastAsia"/>
        </w:rPr>
        <w:t>9.4.1 使用伪造、变造的许可证件；</w:t>
      </w:r>
    </w:p>
    <w:p w14:paraId="14B9BE2F">
      <w:pPr>
        <w:ind w:firstLine="420"/>
      </w:pPr>
      <w:r>
        <w:rPr>
          <w:rFonts w:hint="eastAsia"/>
        </w:rPr>
        <w:t>9.4.2 提供虚假的财务状况或者虚假业绩；</w:t>
      </w:r>
    </w:p>
    <w:p w14:paraId="5B4E31F6">
      <w:pPr>
        <w:ind w:firstLine="420"/>
      </w:pPr>
      <w:r>
        <w:rPr>
          <w:rFonts w:hint="eastAsia"/>
        </w:rPr>
        <w:t>9.4.3 提供虚假的项目负责人或者主要技术人员简历、劳动关系证明；</w:t>
      </w:r>
    </w:p>
    <w:p w14:paraId="79883631">
      <w:pPr>
        <w:ind w:firstLine="420"/>
      </w:pPr>
      <w:r>
        <w:rPr>
          <w:rFonts w:hint="eastAsia"/>
        </w:rPr>
        <w:t>9.4.4 提供虚假的信用状况；</w:t>
      </w:r>
    </w:p>
    <w:p w14:paraId="40F8B176">
      <w:pPr>
        <w:ind w:firstLine="420"/>
      </w:pPr>
      <w:r>
        <w:rPr>
          <w:rFonts w:hint="eastAsia"/>
        </w:rPr>
        <w:t>9.4.5 其它弄虚作假的行为。</w:t>
      </w:r>
    </w:p>
    <w:p w14:paraId="6BFBF483">
      <w:pPr>
        <w:ind w:firstLine="420"/>
      </w:pPr>
      <w:r>
        <w:rPr>
          <w:rFonts w:hint="eastAsia"/>
        </w:rPr>
        <w:t>针对以上情况，采购人有权没收响应人的响应保证金，并保留进一步追究由此带来损失的权利。</w:t>
      </w:r>
    </w:p>
    <w:p w14:paraId="23B56FAE">
      <w:pPr>
        <w:pStyle w:val="3"/>
      </w:pPr>
      <w:bookmarkStart w:id="41" w:name="_Toc89675169"/>
      <w:r>
        <w:rPr>
          <w:rFonts w:hint="eastAsia"/>
        </w:rPr>
        <w:t>10. 提问、质疑、投诉</w:t>
      </w:r>
    </w:p>
    <w:p w14:paraId="4535342D">
      <w:pPr>
        <w:ind w:firstLine="420"/>
      </w:pPr>
      <w:r>
        <w:rPr>
          <w:rFonts w:hint="eastAsia"/>
        </w:rPr>
        <w:t>10.1 补遗内容可能影响响应文件编制的，须在响应截止时间3日前发布，发布时间至响应截止时间不足3日的，须相应延后响应截止时间。</w:t>
      </w:r>
    </w:p>
    <w:p w14:paraId="70B51F6F">
      <w:pPr>
        <w:ind w:firstLine="420"/>
      </w:pPr>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45B0E41A">
      <w:pPr>
        <w:ind w:firstLine="420"/>
      </w:pPr>
      <w:r>
        <w:rPr>
          <w:rFonts w:hint="eastAsia"/>
        </w:rPr>
        <w:t>10.3 响应人对公示的成交结果有质疑，响应人需在公示期内以书面形式向采购人提出质疑。采购人认为有必要对响应人所提质疑进行答复时，将以书面形式进行答复。</w:t>
      </w:r>
    </w:p>
    <w:p w14:paraId="2CA1B9DB">
      <w:pPr>
        <w:ind w:firstLine="420"/>
      </w:pPr>
      <w:r>
        <w:rPr>
          <w:rFonts w:hint="eastAsia"/>
        </w:rPr>
        <w:t>10.4 响应人对采购人的答复不满意或者有质疑，可向采购人纪检监察部投诉。</w:t>
      </w:r>
    </w:p>
    <w:p w14:paraId="38B605DE">
      <w:pPr>
        <w:ind w:firstLine="420"/>
      </w:pPr>
      <w:r>
        <w:rPr>
          <w:rFonts w:hint="eastAsia"/>
        </w:rPr>
        <w:t>采购质疑邮箱：</w:t>
      </w:r>
      <w:r>
        <w:t>sx.jcb@ccqtgb.com</w:t>
      </w:r>
    </w:p>
    <w:p w14:paraId="092F29D2">
      <w:pPr>
        <w:ind w:firstLine="420"/>
      </w:pPr>
      <w:r>
        <w:rPr>
          <w:rFonts w:hint="eastAsia"/>
        </w:rPr>
        <w:t>采购投诉邮箱：</w:t>
      </w:r>
      <w:bookmarkStart w:id="42" w:name="_Hlk74215856"/>
      <w:r>
        <w:rPr>
          <w:rFonts w:hint="eastAsia"/>
        </w:rPr>
        <w:t>sxyhjjz@</w:t>
      </w:r>
      <w:r>
        <w:t>ccqtgb</w:t>
      </w:r>
      <w:r>
        <w:rPr>
          <w:rFonts w:hint="eastAsia"/>
        </w:rPr>
        <w:t>.com</w:t>
      </w:r>
      <w:bookmarkEnd w:id="42"/>
    </w:p>
    <w:p w14:paraId="7CFD9A45">
      <w:pPr>
        <w:pStyle w:val="3"/>
      </w:pPr>
      <w:bookmarkStart w:id="43" w:name="_Toc440628924"/>
      <w:bookmarkStart w:id="44" w:name="_Toc11439"/>
      <w:bookmarkStart w:id="45" w:name="_Toc15059431"/>
      <w:bookmarkStart w:id="46" w:name="_Toc89675157"/>
      <w:bookmarkStart w:id="47" w:name="_Toc275199618"/>
      <w:r>
        <w:rPr>
          <w:rFonts w:hint="eastAsia"/>
        </w:rPr>
        <w:t>11. 无效响应条款</w:t>
      </w:r>
      <w:bookmarkEnd w:id="43"/>
      <w:bookmarkEnd w:id="44"/>
      <w:bookmarkEnd w:id="45"/>
      <w:bookmarkEnd w:id="46"/>
      <w:bookmarkEnd w:id="47"/>
    </w:p>
    <w:p w14:paraId="3657023C">
      <w:pPr>
        <w:ind w:firstLine="420"/>
      </w:pPr>
      <w:r>
        <w:rPr>
          <w:rFonts w:hint="eastAsia"/>
        </w:rPr>
        <w:t>响应人或其响应文件出现下列情况之一者，应为无效响应：</w:t>
      </w:r>
    </w:p>
    <w:p w14:paraId="1B863196">
      <w:pPr>
        <w:ind w:firstLine="420"/>
      </w:pPr>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725C5E83">
      <w:pPr>
        <w:ind w:firstLine="420"/>
      </w:pPr>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3E15F0F1">
      <w:pPr>
        <w:ind w:firstLine="420"/>
      </w:pPr>
      <w:r>
        <w:rPr>
          <w:rFonts w:hint="eastAsia"/>
        </w:rPr>
        <w:t>11.3 响应人超出其营业执照或事业单位法人证书上经营范围（业务范围）响应的。</w:t>
      </w:r>
    </w:p>
    <w:p w14:paraId="015D65AF">
      <w:pPr>
        <w:ind w:firstLine="420"/>
      </w:pPr>
      <w:r>
        <w:rPr>
          <w:rFonts w:hint="eastAsia"/>
        </w:rPr>
        <w:t>11.4 单位负责人为同一人或者存在直接控股、管理关系的不同响应人，不得参加同一合同项下的采购活动。</w:t>
      </w:r>
    </w:p>
    <w:p w14:paraId="7E2489A0">
      <w:pPr>
        <w:ind w:firstLine="420"/>
      </w:pPr>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20AABCE8">
      <w:pPr>
        <w:ind w:firstLine="420"/>
      </w:pPr>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7EFD5FFC">
      <w:pPr>
        <w:ind w:firstLine="420"/>
      </w:pPr>
      <w:r>
        <w:rPr>
          <w:rFonts w:hint="eastAsia"/>
        </w:rPr>
        <w:t>11.7 响应文件</w:t>
      </w:r>
      <w:r>
        <w:t>出现多个</w:t>
      </w:r>
      <w:r>
        <w:rPr>
          <w:rFonts w:hint="eastAsia"/>
        </w:rPr>
        <w:t>响应</w:t>
      </w:r>
      <w:r>
        <w:t>方案或</w:t>
      </w:r>
      <w:r>
        <w:rPr>
          <w:rFonts w:hint="eastAsia"/>
        </w:rPr>
        <w:t>响应报价</w:t>
      </w:r>
      <w:r>
        <w:t>的</w:t>
      </w:r>
      <w:r>
        <w:rPr>
          <w:rFonts w:hint="eastAsia"/>
        </w:rPr>
        <w:t>。</w:t>
      </w:r>
    </w:p>
    <w:p w14:paraId="734B48B8">
      <w:pPr>
        <w:ind w:firstLine="420"/>
      </w:pPr>
      <w:r>
        <w:rPr>
          <w:rFonts w:hint="eastAsia"/>
        </w:rPr>
        <w:t>11.8 响应报价</w:t>
      </w:r>
      <w:r>
        <w:t>超出最高限价的</w:t>
      </w:r>
      <w:r>
        <w:rPr>
          <w:rFonts w:hint="eastAsia"/>
        </w:rPr>
        <w:t>。</w:t>
      </w:r>
    </w:p>
    <w:p w14:paraId="7841FD70">
      <w:pPr>
        <w:ind w:firstLine="420"/>
      </w:pPr>
      <w:r>
        <w:rPr>
          <w:rFonts w:hint="eastAsia"/>
        </w:rPr>
        <w:t>11.9 响应文件</w:t>
      </w:r>
      <w:r>
        <w:t>含有违反国家法律、法规的内容，或附有</w:t>
      </w:r>
      <w:r>
        <w:rPr>
          <w:rFonts w:hint="eastAsia"/>
        </w:rPr>
        <w:t>采购人</w:t>
      </w:r>
      <w:r>
        <w:t>不能接受的条件的。</w:t>
      </w:r>
    </w:p>
    <w:p w14:paraId="075129A4">
      <w:pPr>
        <w:ind w:firstLine="420"/>
      </w:pPr>
      <w:r>
        <w:rPr>
          <w:rFonts w:hint="eastAsia"/>
        </w:rPr>
        <w:t>11.10 出现影响询比公正的违法、违规行为的。</w:t>
      </w:r>
    </w:p>
    <w:p w14:paraId="11B409A0">
      <w:pPr>
        <w:ind w:firstLine="420"/>
      </w:pPr>
      <w:r>
        <w:rPr>
          <w:rFonts w:hint="eastAsia"/>
        </w:rPr>
        <w:t>11.11 与采购人、评审专家、其他响应人恶意串通。</w:t>
      </w:r>
    </w:p>
    <w:p w14:paraId="6D9CD27C">
      <w:pPr>
        <w:ind w:firstLine="420"/>
      </w:pPr>
      <w:r>
        <w:rPr>
          <w:rFonts w:hint="eastAsia"/>
        </w:rPr>
        <w:t>11.12 参与响应的法人发生合并、分立、破产等重大变化后，不再具备询比要求的资格条件的。</w:t>
      </w:r>
    </w:p>
    <w:p w14:paraId="54573242">
      <w:pPr>
        <w:ind w:firstLine="420"/>
      </w:pPr>
      <w:r>
        <w:rPr>
          <w:rFonts w:hint="eastAsia"/>
        </w:rPr>
        <w:t>11.13 提供虚假材料谋取成交资格的。</w:t>
      </w:r>
    </w:p>
    <w:p w14:paraId="6F3BD11B">
      <w:pPr>
        <w:ind w:firstLine="420"/>
      </w:pPr>
      <w:r>
        <w:rPr>
          <w:rFonts w:hint="eastAsia"/>
        </w:rPr>
        <w:t>11.14 响应文件含有采购人不能接受的附件条件的。</w:t>
      </w:r>
    </w:p>
    <w:p w14:paraId="5D45A35A">
      <w:pPr>
        <w:pStyle w:val="3"/>
      </w:pPr>
      <w:r>
        <w:rPr>
          <w:rFonts w:hint="eastAsia"/>
        </w:rPr>
        <w:t>12. 询比失败情形</w:t>
      </w:r>
    </w:p>
    <w:p w14:paraId="2AC8C1D5">
      <w:pPr>
        <w:ind w:firstLine="420"/>
      </w:pPr>
      <w:r>
        <w:rPr>
          <w:rFonts w:hint="eastAsia"/>
        </w:rPr>
        <w:t>12.1 出现以下情形本次询比失败：</w:t>
      </w:r>
    </w:p>
    <w:p w14:paraId="471D6CBE">
      <w:pPr>
        <w:ind w:firstLine="420"/>
      </w:pPr>
      <w:r>
        <w:rPr>
          <w:rFonts w:hint="eastAsia"/>
        </w:rPr>
        <w:t>12.1.1 首次询比的项目，截至响应截止时间，响应人少于3个的。</w:t>
      </w:r>
    </w:p>
    <w:p w14:paraId="02DE3783">
      <w:pPr>
        <w:ind w:firstLine="420"/>
      </w:pPr>
      <w:r>
        <w:rPr>
          <w:rFonts w:hint="eastAsia"/>
        </w:rPr>
        <w:t>12.1.2 经评审委员会评审后否决所有响应的。</w:t>
      </w:r>
    </w:p>
    <w:p w14:paraId="41D3DEC6">
      <w:pPr>
        <w:ind w:firstLine="420"/>
      </w:pPr>
      <w:r>
        <w:rPr>
          <w:rFonts w:hint="eastAsia"/>
        </w:rPr>
        <w:t>12.1.3 法律法规规定的其他情形。</w:t>
      </w:r>
    </w:p>
    <w:p w14:paraId="29E78F72">
      <w:pPr>
        <w:ind w:firstLine="420"/>
      </w:pPr>
      <w:r>
        <w:rPr>
          <w:rFonts w:hint="eastAsia"/>
        </w:rPr>
        <w:t>12.2 重新询比和不再询比</w:t>
      </w:r>
    </w:p>
    <w:p w14:paraId="09984EFF">
      <w:pPr>
        <w:ind w:firstLine="420"/>
      </w:pPr>
      <w:r>
        <w:t>重新</w:t>
      </w:r>
      <w:r>
        <w:rPr>
          <w:rFonts w:hint="eastAsia"/>
        </w:rPr>
        <w:t>询比（如第二次询比）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成交候选人</w:t>
      </w:r>
      <w:r>
        <w:t>；无有效</w:t>
      </w:r>
      <w:r>
        <w:rPr>
          <w:rFonts w:hint="eastAsia"/>
        </w:rPr>
        <w:t>响应人</w:t>
      </w:r>
      <w:r>
        <w:t>的，可以不再进行</w:t>
      </w:r>
      <w:r>
        <w:rPr>
          <w:rFonts w:hint="eastAsia"/>
        </w:rPr>
        <w:t>询比</w:t>
      </w:r>
      <w:r>
        <w:t>。</w:t>
      </w:r>
    </w:p>
    <w:p w14:paraId="4F141917">
      <w:pPr>
        <w:pStyle w:val="3"/>
      </w:pPr>
      <w:r>
        <w:rPr>
          <w:rFonts w:hint="eastAsia"/>
        </w:rPr>
        <w:t>13. 终止</w:t>
      </w:r>
      <w:bookmarkEnd w:id="41"/>
      <w:r>
        <w:rPr>
          <w:rFonts w:hint="eastAsia"/>
        </w:rPr>
        <w:t>询比</w:t>
      </w:r>
    </w:p>
    <w:p w14:paraId="34F1EAB5">
      <w:pPr>
        <w:ind w:firstLine="420"/>
      </w:pPr>
      <w:r>
        <w:rPr>
          <w:rFonts w:hint="eastAsia"/>
        </w:rPr>
        <w:t>13.1 因情况发生变化或其他原因造成该项目取消的，本次询比自动终止，双方互不承担责任，采购人有息退还响应保证金。</w:t>
      </w:r>
    </w:p>
    <w:p w14:paraId="794395D4">
      <w:pPr>
        <w:ind w:firstLine="420"/>
      </w:pPr>
      <w:r>
        <w:rPr>
          <w:rFonts w:hint="eastAsia"/>
        </w:rPr>
        <w:t>13.2 签订合同之前，采购人发现成交候选人经营、财务状况发生较大变化或存在违法行为，采购人认为可能影响其履约能力的，采购人可废除成交供应商或成交候选人资格。</w:t>
      </w:r>
    </w:p>
    <w:p w14:paraId="2DF6E34F">
      <w:pPr>
        <w:pStyle w:val="3"/>
      </w:pPr>
      <w:r>
        <w:rPr>
          <w:rFonts w:hint="eastAsia"/>
        </w:rPr>
        <w:t>14. 参与项目费用</w:t>
      </w:r>
    </w:p>
    <w:p w14:paraId="51AE5DD9">
      <w:pPr>
        <w:ind w:firstLine="420"/>
      </w:pPr>
      <w:r>
        <w:rPr>
          <w:rFonts w:hint="eastAsia"/>
        </w:rPr>
        <w:t>响应人参与本询比项目时，一切与响应有关的费用均由响应人自理。</w:t>
      </w:r>
    </w:p>
    <w:p w14:paraId="32D053D2">
      <w:pPr>
        <w:ind w:firstLine="420"/>
      </w:pPr>
      <w:r>
        <w:rPr>
          <w:rFonts w:hint="eastAsia"/>
        </w:rPr>
        <w:t>本项目平台服务费为15000元，由成交供应商向重庆联合产权交易所集团股份有限公司支付。成交供应商应在领取成交通知书时一次性缴纳，请各响应人综合考虑进行报价。</w:t>
      </w:r>
    </w:p>
    <w:p w14:paraId="395BDEF4">
      <w:pPr>
        <w:ind w:firstLine="420"/>
      </w:pPr>
      <w:r>
        <w:br w:type="page"/>
      </w:r>
    </w:p>
    <w:p w14:paraId="418BA041">
      <w:pPr>
        <w:pStyle w:val="2"/>
      </w:pPr>
      <w:bookmarkStart w:id="48" w:name="_Toc30519"/>
      <w:bookmarkStart w:id="49" w:name="_Toc32140"/>
      <w:r>
        <w:rPr>
          <w:rFonts w:hint="eastAsia"/>
        </w:rPr>
        <w:t>第三章 项目要求</w:t>
      </w:r>
      <w:bookmarkEnd w:id="48"/>
      <w:bookmarkEnd w:id="49"/>
    </w:p>
    <w:p w14:paraId="48E05320">
      <w:pPr>
        <w:pStyle w:val="3"/>
      </w:pPr>
      <w:r>
        <w:t>1.</w:t>
      </w:r>
      <w:r>
        <w:rPr>
          <w:rFonts w:hint="eastAsia"/>
        </w:rPr>
        <w:t xml:space="preserve"> 服务时间、服务地点</w:t>
      </w:r>
    </w:p>
    <w:p w14:paraId="66ADFD50">
      <w:pPr>
        <w:pStyle w:val="4"/>
        <w:ind w:firstLine="422"/>
      </w:pPr>
      <w:r>
        <w:rPr>
          <w:rFonts w:hint="eastAsia"/>
        </w:rPr>
        <w:t>1</w:t>
      </w:r>
      <w:r>
        <w:t xml:space="preserve">.1 </w:t>
      </w:r>
      <w:r>
        <w:rPr>
          <w:rFonts w:hint="eastAsia"/>
        </w:rPr>
        <w:t>服务时间</w:t>
      </w:r>
    </w:p>
    <w:p w14:paraId="56248F53">
      <w:pPr>
        <w:ind w:firstLine="420"/>
      </w:pPr>
      <w:r>
        <w:rPr>
          <w:rFonts w:hint="eastAsia"/>
        </w:rPr>
        <w:t>本项目采购有效期为2年，自确定成交供应商后签订合同。</w:t>
      </w:r>
    </w:p>
    <w:p w14:paraId="31F8D31C">
      <w:pPr>
        <w:pStyle w:val="4"/>
        <w:ind w:firstLine="422"/>
      </w:pPr>
      <w:r>
        <w:rPr>
          <w:rFonts w:hint="eastAsia"/>
        </w:rPr>
        <w:t>1</w:t>
      </w:r>
      <w:r>
        <w:t xml:space="preserve">.2 </w:t>
      </w:r>
      <w:r>
        <w:rPr>
          <w:rFonts w:hint="eastAsia"/>
        </w:rPr>
        <w:t>服务地点</w:t>
      </w:r>
    </w:p>
    <w:p w14:paraId="29592AB6">
      <w:pPr>
        <w:ind w:firstLine="420"/>
      </w:pPr>
      <w:r>
        <w:rPr>
          <w:rFonts w:hint="eastAsia"/>
        </w:rPr>
        <w:t>重庆市。</w:t>
      </w:r>
    </w:p>
    <w:p w14:paraId="73E5DA78">
      <w:pPr>
        <w:pStyle w:val="3"/>
      </w:pPr>
      <w:r>
        <w:rPr>
          <w:rFonts w:hint="eastAsia"/>
        </w:rPr>
        <w:t>2. 采购需求</w:t>
      </w:r>
    </w:p>
    <w:p w14:paraId="05871833">
      <w:pPr>
        <w:pStyle w:val="4"/>
        <w:ind w:firstLine="422"/>
      </w:pPr>
      <w:r>
        <w:rPr>
          <w:rFonts w:hint="eastAsia"/>
        </w:rPr>
        <w:t>2</w:t>
      </w:r>
      <w:r>
        <w:t>.</w:t>
      </w:r>
      <w:r>
        <w:rPr>
          <w:rFonts w:hint="eastAsia"/>
        </w:rPr>
        <w:t>1</w:t>
      </w:r>
      <w:r>
        <w:t xml:space="preserve"> </w:t>
      </w:r>
      <w:r>
        <w:rPr>
          <w:rFonts w:hint="eastAsia"/>
        </w:rPr>
        <w:t>项目工作范围</w:t>
      </w:r>
    </w:p>
    <w:p w14:paraId="1FEB8193">
      <w:pPr>
        <w:ind w:firstLine="420"/>
      </w:pPr>
      <w:r>
        <w:rPr>
          <w:rFonts w:hint="eastAsia"/>
        </w:rPr>
        <w:t>外包服务人员需在采购人综合报送平台（科融综合报送平台系统软件 V3.0）上对现有1</w:t>
      </w:r>
      <w:r>
        <w:t>5</w:t>
      </w:r>
      <w:r>
        <w:rPr>
          <w:rFonts w:hint="eastAsia"/>
        </w:rPr>
        <w:t>个报送子系统进行开发维护，配合各上游业务系统升级优化，满足外部监管报送及数据治理要求。</w:t>
      </w:r>
    </w:p>
    <w:p w14:paraId="35535E70">
      <w:pPr>
        <w:ind w:firstLine="420"/>
      </w:pPr>
    </w:p>
    <w:p w14:paraId="0DEC3007">
      <w:pPr>
        <w:ind w:firstLine="420"/>
        <w:sectPr>
          <w:pgSz w:w="11906" w:h="16838"/>
          <w:pgMar w:top="1440" w:right="1800" w:bottom="1440" w:left="1800" w:header="851" w:footer="992" w:gutter="0"/>
          <w:cols w:space="720" w:num="1"/>
          <w:docGrid w:type="lines" w:linePitch="312" w:charSpace="0"/>
        </w:sectPr>
      </w:pPr>
    </w:p>
    <w:p w14:paraId="72CF891A">
      <w:pPr>
        <w:pStyle w:val="4"/>
        <w:ind w:firstLine="422"/>
      </w:pPr>
      <w:r>
        <w:rPr>
          <w:rFonts w:hint="eastAsia"/>
        </w:rPr>
        <w:t>2</w:t>
      </w:r>
      <w:r>
        <w:t>.</w:t>
      </w:r>
      <w:r>
        <w:rPr>
          <w:rFonts w:hint="eastAsia"/>
        </w:rPr>
        <w:t>2</w:t>
      </w:r>
      <w:r>
        <w:t xml:space="preserve"> 外包服务人员档级定义</w:t>
      </w:r>
    </w:p>
    <w:tbl>
      <w:tblPr>
        <w:tblStyle w:val="19"/>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38"/>
        <w:gridCol w:w="532"/>
        <w:gridCol w:w="920"/>
        <w:gridCol w:w="997"/>
        <w:gridCol w:w="5269"/>
      </w:tblGrid>
      <w:tr w14:paraId="6772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3" w:hRule="atLeast"/>
        </w:trPr>
        <w:tc>
          <w:tcPr>
            <w:tcW w:w="326" w:type="pct"/>
            <w:shd w:val="clear" w:color="auto" w:fill="auto"/>
            <w:vAlign w:val="center"/>
          </w:tcPr>
          <w:p w14:paraId="73255C47">
            <w:pPr>
              <w:pStyle w:val="41"/>
            </w:pPr>
            <w:r>
              <w:t>岗位</w:t>
            </w:r>
          </w:p>
        </w:tc>
        <w:tc>
          <w:tcPr>
            <w:tcW w:w="322" w:type="pct"/>
            <w:shd w:val="clear" w:color="auto" w:fill="auto"/>
            <w:vAlign w:val="center"/>
          </w:tcPr>
          <w:p w14:paraId="319571D3">
            <w:pPr>
              <w:pStyle w:val="41"/>
            </w:pPr>
            <w:r>
              <w:t>档级</w:t>
            </w:r>
          </w:p>
        </w:tc>
        <w:tc>
          <w:tcPr>
            <w:tcW w:w="557" w:type="pct"/>
            <w:shd w:val="clear" w:color="auto" w:fill="auto"/>
            <w:vAlign w:val="center"/>
          </w:tcPr>
          <w:p w14:paraId="470D080A">
            <w:pPr>
              <w:pStyle w:val="41"/>
            </w:pPr>
            <w:r>
              <w:t>细分档级</w:t>
            </w:r>
          </w:p>
        </w:tc>
        <w:tc>
          <w:tcPr>
            <w:tcW w:w="604" w:type="pct"/>
            <w:shd w:val="clear" w:color="auto" w:fill="auto"/>
            <w:vAlign w:val="center"/>
          </w:tcPr>
          <w:p w14:paraId="59BC5B55">
            <w:pPr>
              <w:pStyle w:val="41"/>
            </w:pPr>
            <w:r>
              <w:t>工作年限</w:t>
            </w:r>
          </w:p>
        </w:tc>
        <w:tc>
          <w:tcPr>
            <w:tcW w:w="3191" w:type="pct"/>
            <w:shd w:val="clear" w:color="auto" w:fill="auto"/>
            <w:vAlign w:val="center"/>
          </w:tcPr>
          <w:p w14:paraId="5CE78013">
            <w:pPr>
              <w:pStyle w:val="41"/>
            </w:pPr>
            <w:r>
              <w:t>技术能力评估参考标准</w:t>
            </w:r>
          </w:p>
        </w:tc>
      </w:tr>
      <w:tr w14:paraId="233B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438" w:hRule="atLeast"/>
        </w:trPr>
        <w:tc>
          <w:tcPr>
            <w:tcW w:w="648" w:type="pct"/>
            <w:gridSpan w:val="2"/>
            <w:vMerge w:val="restart"/>
            <w:tcBorders>
              <w:right w:val="single" w:color="auto" w:sz="4" w:space="0"/>
            </w:tcBorders>
            <w:shd w:val="clear" w:color="auto" w:fill="auto"/>
            <w:vAlign w:val="center"/>
          </w:tcPr>
          <w:p w14:paraId="69AFE663">
            <w:pPr>
              <w:pStyle w:val="40"/>
            </w:pPr>
            <w:r>
              <w:t>软件开发工程师-高级</w:t>
            </w:r>
          </w:p>
          <w:p w14:paraId="731C8F62">
            <w:pPr>
              <w:pStyle w:val="40"/>
            </w:pPr>
          </w:p>
        </w:tc>
        <w:tc>
          <w:tcPr>
            <w:tcW w:w="557" w:type="pct"/>
            <w:tcBorders>
              <w:top w:val="single" w:color="auto" w:sz="4" w:space="0"/>
              <w:left w:val="single" w:color="auto" w:sz="4" w:space="0"/>
              <w:right w:val="single" w:color="auto" w:sz="4" w:space="0"/>
            </w:tcBorders>
            <w:shd w:val="clear" w:color="auto" w:fill="auto"/>
            <w:vAlign w:val="center"/>
          </w:tcPr>
          <w:p w14:paraId="4C018C7B">
            <w:pPr>
              <w:pStyle w:val="40"/>
              <w:jc w:val="center"/>
            </w:pPr>
            <w:r>
              <w:t>D-A2</w:t>
            </w:r>
          </w:p>
        </w:tc>
        <w:tc>
          <w:tcPr>
            <w:tcW w:w="604" w:type="pct"/>
            <w:tcBorders>
              <w:top w:val="single" w:color="auto" w:sz="4" w:space="0"/>
              <w:left w:val="single" w:color="auto" w:sz="4" w:space="0"/>
              <w:right w:val="single" w:color="auto" w:sz="4" w:space="0"/>
            </w:tcBorders>
            <w:shd w:val="clear" w:color="auto" w:fill="auto"/>
            <w:vAlign w:val="center"/>
          </w:tcPr>
          <w:p w14:paraId="005A6D4C">
            <w:pPr>
              <w:pStyle w:val="40"/>
              <w:jc w:val="center"/>
            </w:pPr>
            <w:r>
              <w:t>9年以上</w:t>
            </w:r>
          </w:p>
        </w:tc>
        <w:tc>
          <w:tcPr>
            <w:tcW w:w="3191" w:type="pct"/>
            <w:vMerge w:val="restart"/>
            <w:tcBorders>
              <w:left w:val="single" w:color="auto" w:sz="4" w:space="0"/>
            </w:tcBorders>
            <w:shd w:val="clear" w:color="auto" w:fill="auto"/>
            <w:vAlign w:val="center"/>
          </w:tcPr>
          <w:p w14:paraId="50A0A371">
            <w:pPr>
              <w:pStyle w:val="40"/>
            </w:pPr>
            <w:r>
              <w:t>通用参考标准：</w:t>
            </w:r>
          </w:p>
          <w:p w14:paraId="3E3C3478">
            <w:pPr>
              <w:pStyle w:val="40"/>
            </w:pPr>
            <w:r>
              <w:t>1、符合相关学历及工作年限要求</w:t>
            </w:r>
          </w:p>
          <w:p w14:paraId="7F52CBE0">
            <w:pPr>
              <w:pStyle w:val="40"/>
            </w:pPr>
            <w:r>
              <w:t>2、具备必须的软件开发理论和开发技能，具有金融领域业务背景者优先考虑</w:t>
            </w:r>
          </w:p>
          <w:p w14:paraId="6B28C553">
            <w:pPr>
              <w:pStyle w:val="40"/>
            </w:pPr>
            <w:r>
              <w:t xml:space="preserve">3、精通常用数据库如 Oracle </w:t>
            </w:r>
            <w:r>
              <w:rPr>
                <w:rFonts w:hint="eastAsia"/>
              </w:rPr>
              <w:t>、OceanBase等</w:t>
            </w:r>
            <w:r>
              <w:t>常用操作</w:t>
            </w:r>
          </w:p>
          <w:p w14:paraId="050C5074">
            <w:pPr>
              <w:pStyle w:val="40"/>
            </w:pPr>
            <w:r>
              <w:t>4、精通常用操作系统如 UNIX、LINUX 等的日常操作</w:t>
            </w:r>
          </w:p>
          <w:p w14:paraId="6A779764">
            <w:pPr>
              <w:pStyle w:val="40"/>
            </w:pPr>
            <w:r>
              <w:t>5、精通常用中间件如Weblogic、Apache、Tomcat</w:t>
            </w:r>
            <w:r>
              <w:rPr>
                <w:rFonts w:hint="eastAsia"/>
              </w:rPr>
              <w:t>、东方通</w:t>
            </w:r>
            <w:r>
              <w:t>等日常操作</w:t>
            </w:r>
          </w:p>
          <w:p w14:paraId="6DA8CB99">
            <w:pPr>
              <w:pStyle w:val="40"/>
            </w:pPr>
            <w:r>
              <w:t>6、具有扎实的网络基础知识</w:t>
            </w:r>
          </w:p>
          <w:p w14:paraId="01B18ED8">
            <w:pPr>
              <w:pStyle w:val="40"/>
            </w:pPr>
            <w:r>
              <w:t>7、具备系统设计能力和开发团队管理能力，有丰富的团队建设的能力</w:t>
            </w:r>
          </w:p>
          <w:p w14:paraId="735BADA0">
            <w:pPr>
              <w:pStyle w:val="40"/>
            </w:pPr>
            <w:r>
              <w:t>8、具备项目管理知识与技能，具备项目风险管理能力</w:t>
            </w:r>
          </w:p>
          <w:p w14:paraId="377E0561">
            <w:pPr>
              <w:pStyle w:val="40"/>
            </w:pPr>
            <w:r>
              <w:t>9、熟悉CMMI过程管理理论和实践</w:t>
            </w:r>
          </w:p>
          <w:p w14:paraId="451B3544">
            <w:pPr>
              <w:pStyle w:val="40"/>
            </w:pPr>
            <w:r>
              <w:t>业务能力参考标准：</w:t>
            </w:r>
          </w:p>
          <w:p w14:paraId="047F9BEB">
            <w:pPr>
              <w:pStyle w:val="40"/>
            </w:pPr>
            <w:r>
              <w:t>在符合学历基本要求基础上，满足以下任何一条业务能力，根据综合考评定档：</w:t>
            </w:r>
          </w:p>
          <w:p w14:paraId="53DD660D">
            <w:pPr>
              <w:pStyle w:val="40"/>
            </w:pPr>
            <w:r>
              <w:t>1、熟悉银行关键业务全流程业务办理模式，熟悉业务系统的主要功能模块</w:t>
            </w:r>
          </w:p>
          <w:p w14:paraId="4264DD47">
            <w:pPr>
              <w:pStyle w:val="40"/>
            </w:pPr>
            <w:r>
              <w:t>2、负责过2个（含）完整的新建或重建银行关键系统的项目管理或需求分析工作</w:t>
            </w:r>
          </w:p>
          <w:p w14:paraId="134E6A86">
            <w:pPr>
              <w:pStyle w:val="40"/>
            </w:pPr>
            <w:r>
              <w:t>3、5～8年银行关键业务系统研发或需求分析工作经验</w:t>
            </w:r>
          </w:p>
        </w:tc>
      </w:tr>
      <w:tr w14:paraId="3923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502" w:hRule="atLeast"/>
        </w:trPr>
        <w:tc>
          <w:tcPr>
            <w:tcW w:w="648" w:type="pct"/>
            <w:gridSpan w:val="2"/>
            <w:vMerge w:val="continue"/>
            <w:tcBorders>
              <w:right w:val="single" w:color="auto" w:sz="4" w:space="0"/>
            </w:tcBorders>
            <w:shd w:val="clear" w:color="auto" w:fill="auto"/>
            <w:vAlign w:val="center"/>
          </w:tcPr>
          <w:p w14:paraId="6405C698">
            <w:pPr>
              <w:ind w:firstLine="420"/>
            </w:pPr>
          </w:p>
        </w:tc>
        <w:tc>
          <w:tcPr>
            <w:tcW w:w="557" w:type="pct"/>
            <w:tcBorders>
              <w:top w:val="single" w:color="auto" w:sz="4" w:space="0"/>
              <w:left w:val="single" w:color="auto" w:sz="4" w:space="0"/>
              <w:right w:val="single" w:color="auto" w:sz="4" w:space="0"/>
            </w:tcBorders>
            <w:shd w:val="clear" w:color="auto" w:fill="auto"/>
            <w:vAlign w:val="center"/>
          </w:tcPr>
          <w:p w14:paraId="47B0899F">
            <w:pPr>
              <w:pStyle w:val="40"/>
              <w:jc w:val="center"/>
            </w:pPr>
            <w:r>
              <w:t>D-A1</w:t>
            </w:r>
          </w:p>
        </w:tc>
        <w:tc>
          <w:tcPr>
            <w:tcW w:w="604" w:type="pct"/>
            <w:tcBorders>
              <w:top w:val="single" w:color="auto" w:sz="4" w:space="0"/>
              <w:left w:val="single" w:color="auto" w:sz="4" w:space="0"/>
              <w:right w:val="single" w:color="auto" w:sz="4" w:space="0"/>
            </w:tcBorders>
            <w:shd w:val="clear" w:color="auto" w:fill="auto"/>
            <w:vAlign w:val="center"/>
          </w:tcPr>
          <w:p w14:paraId="1A317683">
            <w:pPr>
              <w:pStyle w:val="40"/>
              <w:jc w:val="center"/>
            </w:pPr>
            <w:r>
              <w:t>8年以上</w:t>
            </w:r>
          </w:p>
        </w:tc>
        <w:tc>
          <w:tcPr>
            <w:tcW w:w="3191" w:type="pct"/>
            <w:vMerge w:val="continue"/>
            <w:tcBorders>
              <w:left w:val="single" w:color="auto" w:sz="4" w:space="0"/>
            </w:tcBorders>
            <w:shd w:val="clear" w:color="auto" w:fill="auto"/>
            <w:vAlign w:val="center"/>
          </w:tcPr>
          <w:p w14:paraId="4A68EC18">
            <w:pPr>
              <w:ind w:firstLine="420"/>
            </w:pPr>
          </w:p>
        </w:tc>
      </w:tr>
      <w:tr w14:paraId="5A46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restart"/>
            <w:tcBorders>
              <w:right w:val="single" w:color="auto" w:sz="4" w:space="0"/>
            </w:tcBorders>
            <w:shd w:val="clear" w:color="auto" w:fill="auto"/>
            <w:vAlign w:val="center"/>
          </w:tcPr>
          <w:p w14:paraId="54874D64">
            <w:pPr>
              <w:pStyle w:val="40"/>
            </w:pPr>
            <w:r>
              <w:t>软件开发工程师-中级</w:t>
            </w:r>
          </w:p>
        </w:tc>
        <w:tc>
          <w:tcPr>
            <w:tcW w:w="557" w:type="pct"/>
            <w:tcBorders>
              <w:top w:val="single" w:color="auto" w:sz="4" w:space="0"/>
              <w:left w:val="single" w:color="auto" w:sz="4" w:space="0"/>
              <w:right w:val="single" w:color="auto" w:sz="4" w:space="0"/>
            </w:tcBorders>
            <w:shd w:val="clear" w:color="auto" w:fill="auto"/>
            <w:vAlign w:val="center"/>
          </w:tcPr>
          <w:p w14:paraId="7719C4DA">
            <w:pPr>
              <w:pStyle w:val="40"/>
              <w:jc w:val="center"/>
            </w:pPr>
            <w:r>
              <w:t>D-B4</w:t>
            </w:r>
          </w:p>
        </w:tc>
        <w:tc>
          <w:tcPr>
            <w:tcW w:w="604" w:type="pct"/>
            <w:tcBorders>
              <w:top w:val="single" w:color="auto" w:sz="4" w:space="0"/>
              <w:left w:val="single" w:color="auto" w:sz="4" w:space="0"/>
              <w:right w:val="single" w:color="auto" w:sz="4" w:space="0"/>
            </w:tcBorders>
            <w:shd w:val="clear" w:color="auto" w:fill="auto"/>
            <w:vAlign w:val="center"/>
          </w:tcPr>
          <w:p w14:paraId="08D7FC26">
            <w:pPr>
              <w:pStyle w:val="40"/>
              <w:jc w:val="center"/>
            </w:pPr>
            <w:r>
              <w:t>7年以上</w:t>
            </w:r>
          </w:p>
        </w:tc>
        <w:tc>
          <w:tcPr>
            <w:tcW w:w="3191" w:type="pct"/>
            <w:vMerge w:val="restart"/>
            <w:tcBorders>
              <w:left w:val="single" w:color="auto" w:sz="4" w:space="0"/>
            </w:tcBorders>
            <w:shd w:val="clear" w:color="auto" w:fill="auto"/>
            <w:vAlign w:val="center"/>
          </w:tcPr>
          <w:p w14:paraId="4AD793A0">
            <w:pPr>
              <w:pStyle w:val="40"/>
            </w:pPr>
            <w:r>
              <w:t>通用参考标准：</w:t>
            </w:r>
          </w:p>
          <w:p w14:paraId="0A96BB01">
            <w:pPr>
              <w:pStyle w:val="40"/>
            </w:pPr>
            <w:r>
              <w:t>1、符合相关学历及工作年限要求</w:t>
            </w:r>
          </w:p>
          <w:p w14:paraId="4CEDE7BA">
            <w:pPr>
              <w:pStyle w:val="40"/>
            </w:pPr>
            <w:r>
              <w:t>2、具备必须的软件开发理论和开发技能 ，具有金融领域业务背景者优先考虑</w:t>
            </w:r>
          </w:p>
          <w:p w14:paraId="733A4478">
            <w:pPr>
              <w:pStyle w:val="40"/>
            </w:pPr>
            <w:r>
              <w:t xml:space="preserve">3、熟悉常用数据库如 Oracle </w:t>
            </w:r>
            <w:r>
              <w:rPr>
                <w:rFonts w:hint="eastAsia"/>
              </w:rPr>
              <w:t>、OceanBase等</w:t>
            </w:r>
            <w:r>
              <w:t xml:space="preserve">常用操作 </w:t>
            </w:r>
          </w:p>
          <w:p w14:paraId="1D4DB7BA">
            <w:pPr>
              <w:pStyle w:val="40"/>
            </w:pPr>
            <w:r>
              <w:t xml:space="preserve">4、熟悉常用操作系统如 UNIX、LINUX、AIX 等的日常操作 </w:t>
            </w:r>
          </w:p>
          <w:p w14:paraId="3444BF90">
            <w:pPr>
              <w:pStyle w:val="40"/>
            </w:pPr>
            <w:r>
              <w:t>5、熟悉常用中间件如Weblogic、Apache、Tomcat等日常操作</w:t>
            </w:r>
          </w:p>
          <w:p w14:paraId="24ABF19C">
            <w:pPr>
              <w:pStyle w:val="40"/>
            </w:pPr>
            <w:r>
              <w:t xml:space="preserve">6、具有简单的网络基础知识 </w:t>
            </w:r>
          </w:p>
          <w:p w14:paraId="39CBC9DD">
            <w:pPr>
              <w:pStyle w:val="40"/>
            </w:pPr>
            <w:r>
              <w:t>7、具备一定设计能力和开发团队管理能力</w:t>
            </w:r>
          </w:p>
          <w:p w14:paraId="7C34468F">
            <w:pPr>
              <w:pStyle w:val="40"/>
            </w:pPr>
            <w:r>
              <w:t>业务能力参考标准：</w:t>
            </w:r>
          </w:p>
          <w:p w14:paraId="5124407B">
            <w:pPr>
              <w:pStyle w:val="40"/>
            </w:pPr>
            <w:r>
              <w:t>在符合学历基本要求基础上，满足以下任何一条业务能力，根据综合考评定档：</w:t>
            </w:r>
          </w:p>
          <w:p w14:paraId="59367DF3">
            <w:pPr>
              <w:pStyle w:val="40"/>
            </w:pPr>
            <w:r>
              <w:t>1、熟悉银行关键业务全流程业务办理模式，熟悉关键业务系统的主要功能模块</w:t>
            </w:r>
          </w:p>
          <w:p w14:paraId="4A16A352">
            <w:pPr>
              <w:pStyle w:val="40"/>
            </w:pPr>
            <w:r>
              <w:t>2、2～5年银行关键业务系统研发或需求分析工作经验</w:t>
            </w:r>
          </w:p>
        </w:tc>
      </w:tr>
      <w:tr w14:paraId="5415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47141672">
            <w:pPr>
              <w:ind w:firstLine="420"/>
            </w:pPr>
          </w:p>
        </w:tc>
        <w:tc>
          <w:tcPr>
            <w:tcW w:w="557" w:type="pct"/>
            <w:tcBorders>
              <w:top w:val="single" w:color="auto" w:sz="4" w:space="0"/>
              <w:left w:val="single" w:color="auto" w:sz="4" w:space="0"/>
              <w:right w:val="single" w:color="auto" w:sz="4" w:space="0"/>
            </w:tcBorders>
            <w:shd w:val="clear" w:color="auto" w:fill="auto"/>
            <w:vAlign w:val="center"/>
          </w:tcPr>
          <w:p w14:paraId="47A0BF9F">
            <w:pPr>
              <w:pStyle w:val="40"/>
              <w:jc w:val="center"/>
            </w:pPr>
            <w:r>
              <w:t>D-B3</w:t>
            </w:r>
          </w:p>
        </w:tc>
        <w:tc>
          <w:tcPr>
            <w:tcW w:w="604" w:type="pct"/>
            <w:tcBorders>
              <w:top w:val="single" w:color="auto" w:sz="4" w:space="0"/>
              <w:left w:val="single" w:color="auto" w:sz="4" w:space="0"/>
              <w:right w:val="single" w:color="auto" w:sz="4" w:space="0"/>
            </w:tcBorders>
            <w:shd w:val="clear" w:color="auto" w:fill="auto"/>
            <w:vAlign w:val="center"/>
          </w:tcPr>
          <w:p w14:paraId="1D8E8919">
            <w:pPr>
              <w:pStyle w:val="40"/>
              <w:jc w:val="center"/>
            </w:pPr>
            <w:r>
              <w:t>7年以上</w:t>
            </w:r>
          </w:p>
        </w:tc>
        <w:tc>
          <w:tcPr>
            <w:tcW w:w="3191" w:type="pct"/>
            <w:vMerge w:val="continue"/>
            <w:tcBorders>
              <w:left w:val="single" w:color="auto" w:sz="4" w:space="0"/>
            </w:tcBorders>
            <w:shd w:val="clear" w:color="auto" w:fill="auto"/>
            <w:vAlign w:val="center"/>
          </w:tcPr>
          <w:p w14:paraId="726FB4C3">
            <w:pPr>
              <w:ind w:firstLine="420"/>
            </w:pPr>
          </w:p>
        </w:tc>
      </w:tr>
      <w:tr w14:paraId="0939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25846E63">
            <w:pPr>
              <w:ind w:firstLine="420"/>
            </w:pPr>
          </w:p>
        </w:tc>
        <w:tc>
          <w:tcPr>
            <w:tcW w:w="557" w:type="pct"/>
            <w:tcBorders>
              <w:top w:val="single" w:color="auto" w:sz="4" w:space="0"/>
              <w:left w:val="single" w:color="auto" w:sz="4" w:space="0"/>
              <w:right w:val="single" w:color="auto" w:sz="4" w:space="0"/>
            </w:tcBorders>
            <w:shd w:val="clear" w:color="auto" w:fill="auto"/>
            <w:vAlign w:val="center"/>
          </w:tcPr>
          <w:p w14:paraId="107B7D2B">
            <w:pPr>
              <w:pStyle w:val="40"/>
              <w:jc w:val="center"/>
            </w:pPr>
            <w:r>
              <w:t>D-B2</w:t>
            </w:r>
          </w:p>
        </w:tc>
        <w:tc>
          <w:tcPr>
            <w:tcW w:w="604" w:type="pct"/>
            <w:tcBorders>
              <w:top w:val="single" w:color="auto" w:sz="4" w:space="0"/>
              <w:left w:val="single" w:color="auto" w:sz="4" w:space="0"/>
              <w:right w:val="single" w:color="auto" w:sz="4" w:space="0"/>
            </w:tcBorders>
            <w:shd w:val="clear" w:color="auto" w:fill="auto"/>
            <w:vAlign w:val="center"/>
          </w:tcPr>
          <w:p w14:paraId="30B6A426">
            <w:pPr>
              <w:pStyle w:val="40"/>
              <w:jc w:val="center"/>
            </w:pPr>
            <w:r>
              <w:t>6年以上</w:t>
            </w:r>
          </w:p>
        </w:tc>
        <w:tc>
          <w:tcPr>
            <w:tcW w:w="3191" w:type="pct"/>
            <w:vMerge w:val="continue"/>
            <w:tcBorders>
              <w:left w:val="single" w:color="auto" w:sz="4" w:space="0"/>
            </w:tcBorders>
            <w:shd w:val="clear" w:color="auto" w:fill="auto"/>
            <w:vAlign w:val="center"/>
          </w:tcPr>
          <w:p w14:paraId="64F4E5DD">
            <w:pPr>
              <w:ind w:firstLine="420"/>
            </w:pPr>
          </w:p>
        </w:tc>
      </w:tr>
      <w:tr w14:paraId="3787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212FF45E">
            <w:pPr>
              <w:ind w:firstLine="420"/>
            </w:pPr>
          </w:p>
        </w:tc>
        <w:tc>
          <w:tcPr>
            <w:tcW w:w="557" w:type="pct"/>
            <w:tcBorders>
              <w:top w:val="single" w:color="auto" w:sz="4" w:space="0"/>
              <w:left w:val="single" w:color="auto" w:sz="4" w:space="0"/>
              <w:right w:val="single" w:color="auto" w:sz="4" w:space="0"/>
            </w:tcBorders>
            <w:shd w:val="clear" w:color="auto" w:fill="auto"/>
            <w:vAlign w:val="center"/>
          </w:tcPr>
          <w:p w14:paraId="24BBD3D0">
            <w:pPr>
              <w:pStyle w:val="40"/>
              <w:jc w:val="center"/>
            </w:pPr>
            <w:r>
              <w:t>D-B1</w:t>
            </w:r>
          </w:p>
        </w:tc>
        <w:tc>
          <w:tcPr>
            <w:tcW w:w="604" w:type="pct"/>
            <w:tcBorders>
              <w:top w:val="single" w:color="auto" w:sz="4" w:space="0"/>
              <w:left w:val="single" w:color="auto" w:sz="4" w:space="0"/>
              <w:right w:val="single" w:color="auto" w:sz="4" w:space="0"/>
            </w:tcBorders>
            <w:shd w:val="clear" w:color="auto" w:fill="auto"/>
            <w:vAlign w:val="center"/>
          </w:tcPr>
          <w:p w14:paraId="4E174FCB">
            <w:pPr>
              <w:pStyle w:val="40"/>
              <w:jc w:val="center"/>
            </w:pPr>
            <w:r>
              <w:t>5年以上</w:t>
            </w:r>
          </w:p>
        </w:tc>
        <w:tc>
          <w:tcPr>
            <w:tcW w:w="3191" w:type="pct"/>
            <w:vMerge w:val="continue"/>
            <w:tcBorders>
              <w:left w:val="single" w:color="auto" w:sz="4" w:space="0"/>
            </w:tcBorders>
            <w:shd w:val="clear" w:color="auto" w:fill="auto"/>
            <w:vAlign w:val="center"/>
          </w:tcPr>
          <w:p w14:paraId="6C5138E9">
            <w:pPr>
              <w:ind w:firstLine="420"/>
            </w:pPr>
          </w:p>
        </w:tc>
      </w:tr>
      <w:tr w14:paraId="07C4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435" w:hRule="atLeast"/>
        </w:trPr>
        <w:tc>
          <w:tcPr>
            <w:tcW w:w="648" w:type="pct"/>
            <w:gridSpan w:val="2"/>
            <w:vMerge w:val="restart"/>
            <w:tcBorders>
              <w:right w:val="single" w:color="auto" w:sz="4" w:space="0"/>
            </w:tcBorders>
            <w:shd w:val="clear" w:color="auto" w:fill="auto"/>
            <w:vAlign w:val="center"/>
          </w:tcPr>
          <w:p w14:paraId="27686750">
            <w:pPr>
              <w:pStyle w:val="40"/>
            </w:pPr>
            <w:r>
              <w:t>数据开发工程师-高级</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3E13E304">
            <w:pPr>
              <w:pStyle w:val="40"/>
              <w:jc w:val="center"/>
            </w:pPr>
            <w:r>
              <w:t>D-A2</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7CB9F41">
            <w:pPr>
              <w:pStyle w:val="40"/>
              <w:jc w:val="center"/>
            </w:pPr>
            <w:r>
              <w:t>9年以上</w:t>
            </w:r>
          </w:p>
        </w:tc>
        <w:tc>
          <w:tcPr>
            <w:tcW w:w="3191" w:type="pct"/>
            <w:vMerge w:val="restart"/>
            <w:tcBorders>
              <w:left w:val="single" w:color="auto" w:sz="4" w:space="0"/>
              <w:bottom w:val="single" w:color="auto" w:sz="4" w:space="0"/>
            </w:tcBorders>
            <w:shd w:val="clear" w:color="auto" w:fill="auto"/>
            <w:vAlign w:val="center"/>
          </w:tcPr>
          <w:p w14:paraId="322DD426">
            <w:pPr>
              <w:pStyle w:val="40"/>
            </w:pPr>
            <w:r>
              <w:t>通用参考标准：</w:t>
            </w:r>
          </w:p>
          <w:p w14:paraId="5DFE18E8">
            <w:pPr>
              <w:pStyle w:val="40"/>
            </w:pPr>
            <w:r>
              <w:t>1、符合相关学历及工作年限要求</w:t>
            </w:r>
          </w:p>
          <w:p w14:paraId="1577C366">
            <w:pPr>
              <w:pStyle w:val="40"/>
            </w:pPr>
            <w:r>
              <w:t>2、具备必须的软件开发、数据开发理论和开发技能，具有金融领域业务背景者优先考虑</w:t>
            </w:r>
          </w:p>
          <w:p w14:paraId="21703CAB">
            <w:pPr>
              <w:pStyle w:val="40"/>
            </w:pPr>
            <w:r>
              <w:t xml:space="preserve">3、精通常用数据库及大数据技术如 Oracle </w:t>
            </w:r>
            <w:r>
              <w:rPr>
                <w:rFonts w:hint="eastAsia"/>
              </w:rPr>
              <w:t>、OceanBase等</w:t>
            </w:r>
            <w:r>
              <w:t>常用操作</w:t>
            </w:r>
          </w:p>
          <w:p w14:paraId="5BF1FA14">
            <w:pPr>
              <w:pStyle w:val="40"/>
            </w:pPr>
            <w:r>
              <w:t>4、精通数据处理和分析技能：包括数据清洗、数据转换、数据挖掘分析、数据建模等方面的技能</w:t>
            </w:r>
          </w:p>
          <w:p w14:paraId="3E94185D">
            <w:pPr>
              <w:pStyle w:val="40"/>
            </w:pPr>
            <w:r>
              <w:t>5、熟练掌握至少一门编程语言或脚本语言，如Java、Python、Shell等</w:t>
            </w:r>
          </w:p>
          <w:p w14:paraId="6550B37C">
            <w:pPr>
              <w:pStyle w:val="40"/>
            </w:pPr>
            <w:r>
              <w:t>6、具备系统设计能力和开发团队管理能力，有丰富的团队建设的能力</w:t>
            </w:r>
          </w:p>
          <w:p w14:paraId="57D6D9D7">
            <w:pPr>
              <w:pStyle w:val="40"/>
            </w:pPr>
            <w:r>
              <w:t>7、具备项目管理知识与技能，具备项目风险管理能力</w:t>
            </w:r>
          </w:p>
          <w:p w14:paraId="0A21F28C">
            <w:pPr>
              <w:pStyle w:val="40"/>
            </w:pPr>
            <w:r>
              <w:t>业务能力参考标准：</w:t>
            </w:r>
          </w:p>
          <w:p w14:paraId="24274847">
            <w:pPr>
              <w:pStyle w:val="40"/>
            </w:pPr>
            <w:r>
              <w:t>在符合学历基本要求基础上，满足以下任何一条业务能力，根据综合考评定档：</w:t>
            </w:r>
          </w:p>
          <w:p w14:paraId="69B36E6A">
            <w:pPr>
              <w:pStyle w:val="40"/>
            </w:pPr>
            <w:r>
              <w:t>1、熟悉银行关键业务全流程业务办理模式，熟悉业务系统的主要功能模块</w:t>
            </w:r>
          </w:p>
          <w:p w14:paraId="2D6FCDBD">
            <w:pPr>
              <w:pStyle w:val="40"/>
            </w:pPr>
            <w:r>
              <w:t>2、负责过2个（含）完整的新建或重建银行数据平台的项目管理工作</w:t>
            </w:r>
          </w:p>
          <w:p w14:paraId="3F0383CE">
            <w:pPr>
              <w:pStyle w:val="40"/>
            </w:pPr>
            <w:r>
              <w:t>3、5～8年银行关键业务系统研发或数据平台建设工作经验</w:t>
            </w:r>
          </w:p>
        </w:tc>
      </w:tr>
      <w:tr w14:paraId="3CB8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417" w:hRule="atLeast"/>
        </w:trPr>
        <w:tc>
          <w:tcPr>
            <w:tcW w:w="648" w:type="pct"/>
            <w:gridSpan w:val="2"/>
            <w:vMerge w:val="continue"/>
            <w:tcBorders>
              <w:right w:val="single" w:color="auto" w:sz="4" w:space="0"/>
            </w:tcBorders>
            <w:shd w:val="clear" w:color="auto" w:fill="auto"/>
            <w:vAlign w:val="center"/>
          </w:tcPr>
          <w:p w14:paraId="20434E5F">
            <w:pPr>
              <w:ind w:firstLine="420"/>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2CC56F8C">
            <w:pPr>
              <w:pStyle w:val="40"/>
              <w:jc w:val="center"/>
            </w:pPr>
            <w:r>
              <w:t>D-A1</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6599D358">
            <w:pPr>
              <w:pStyle w:val="40"/>
              <w:jc w:val="center"/>
            </w:pPr>
            <w:r>
              <w:t>8年以上</w:t>
            </w:r>
          </w:p>
        </w:tc>
        <w:tc>
          <w:tcPr>
            <w:tcW w:w="3191" w:type="pct"/>
            <w:vMerge w:val="continue"/>
            <w:tcBorders>
              <w:left w:val="single" w:color="auto" w:sz="4" w:space="0"/>
              <w:bottom w:val="single" w:color="auto" w:sz="4" w:space="0"/>
            </w:tcBorders>
            <w:shd w:val="clear" w:color="auto" w:fill="auto"/>
            <w:vAlign w:val="center"/>
          </w:tcPr>
          <w:p w14:paraId="68C646F0">
            <w:pPr>
              <w:ind w:firstLine="420"/>
            </w:pPr>
          </w:p>
        </w:tc>
      </w:tr>
      <w:tr w14:paraId="4E3D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restart"/>
            <w:tcBorders>
              <w:right w:val="single" w:color="auto" w:sz="4" w:space="0"/>
            </w:tcBorders>
            <w:shd w:val="clear" w:color="auto" w:fill="auto"/>
            <w:vAlign w:val="center"/>
          </w:tcPr>
          <w:p w14:paraId="515FF2BF">
            <w:pPr>
              <w:pStyle w:val="40"/>
            </w:pPr>
            <w:r>
              <w:t>数据开发工程师-中级</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60432A67">
            <w:pPr>
              <w:pStyle w:val="40"/>
              <w:jc w:val="center"/>
            </w:pPr>
            <w:r>
              <w:t>D-B4</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1F69510">
            <w:pPr>
              <w:pStyle w:val="40"/>
              <w:jc w:val="center"/>
            </w:pPr>
            <w:r>
              <w:t>7年以上</w:t>
            </w:r>
          </w:p>
        </w:tc>
        <w:tc>
          <w:tcPr>
            <w:tcW w:w="3191" w:type="pct"/>
            <w:vMerge w:val="restart"/>
            <w:tcBorders>
              <w:top w:val="single" w:color="auto" w:sz="4" w:space="0"/>
              <w:left w:val="single" w:color="auto" w:sz="4" w:space="0"/>
              <w:bottom w:val="single" w:color="auto" w:sz="4" w:space="0"/>
            </w:tcBorders>
            <w:shd w:val="clear" w:color="auto" w:fill="auto"/>
            <w:vAlign w:val="center"/>
          </w:tcPr>
          <w:p w14:paraId="35EFBF05">
            <w:pPr>
              <w:pStyle w:val="40"/>
            </w:pPr>
            <w:r>
              <w:t>通用参考标准：</w:t>
            </w:r>
          </w:p>
          <w:p w14:paraId="432051BC">
            <w:pPr>
              <w:pStyle w:val="40"/>
            </w:pPr>
            <w:r>
              <w:t>1、符合相关学历及工作年限要求</w:t>
            </w:r>
          </w:p>
          <w:p w14:paraId="509C05E3">
            <w:pPr>
              <w:pStyle w:val="40"/>
            </w:pPr>
            <w:r>
              <w:t>2、具备必须的软件开发理论和开发技能 ，具有金融领域业务背景者优先考虑</w:t>
            </w:r>
          </w:p>
          <w:p w14:paraId="64BE15FA">
            <w:pPr>
              <w:pStyle w:val="40"/>
            </w:pPr>
            <w:r>
              <w:t xml:space="preserve">3、熟悉常用数据库及大数据技术如 Oracle </w:t>
            </w:r>
            <w:r>
              <w:rPr>
                <w:rFonts w:hint="eastAsia"/>
              </w:rPr>
              <w:t>、OceanBase等</w:t>
            </w:r>
            <w:r>
              <w:t>常用操作</w:t>
            </w:r>
          </w:p>
          <w:p w14:paraId="1DA1C5EE">
            <w:pPr>
              <w:pStyle w:val="40"/>
            </w:pPr>
            <w:r>
              <w:t>4、熟悉数据处理和分析技能：包括数据清洗、数据转换、数据挖掘分析、数据建模等方面的技能</w:t>
            </w:r>
          </w:p>
          <w:p w14:paraId="25B89D5D">
            <w:pPr>
              <w:pStyle w:val="40"/>
            </w:pPr>
            <w:r>
              <w:t>5、熟悉至少一门编程语言或脚本语言，如Java、Python、Shell等</w:t>
            </w:r>
          </w:p>
          <w:p w14:paraId="5A10E43E">
            <w:pPr>
              <w:pStyle w:val="40"/>
            </w:pPr>
            <w:r>
              <w:t>6、具备一定设计能力和开发团队管理能力</w:t>
            </w:r>
          </w:p>
          <w:p w14:paraId="4D1D7A9E">
            <w:pPr>
              <w:pStyle w:val="40"/>
            </w:pPr>
            <w:r>
              <w:t>业务能力参考标准：</w:t>
            </w:r>
          </w:p>
          <w:p w14:paraId="08ACE2ED">
            <w:pPr>
              <w:pStyle w:val="40"/>
            </w:pPr>
            <w:r>
              <w:t>在符合学历基本要求基础上，满足以下任何一条业务能力，根据综合考评定档：</w:t>
            </w:r>
          </w:p>
          <w:p w14:paraId="37C2F897">
            <w:pPr>
              <w:pStyle w:val="40"/>
            </w:pPr>
            <w:r>
              <w:t>1、熟悉银行关键业务全流程业务办理模式</w:t>
            </w:r>
          </w:p>
          <w:p w14:paraId="6108DCBE">
            <w:pPr>
              <w:pStyle w:val="40"/>
            </w:pPr>
            <w:r>
              <w:t>2、2～5年银行关键业务系统研发或数据开发工作经验</w:t>
            </w:r>
          </w:p>
        </w:tc>
      </w:tr>
      <w:tr w14:paraId="6A6A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70448520">
            <w:pPr>
              <w:ind w:firstLine="420"/>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7AA01991">
            <w:pPr>
              <w:pStyle w:val="40"/>
              <w:jc w:val="center"/>
            </w:pPr>
            <w:r>
              <w:t>D-B3</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25F46E79">
            <w:pPr>
              <w:pStyle w:val="40"/>
              <w:jc w:val="center"/>
            </w:pPr>
            <w:r>
              <w:t>7年以上</w:t>
            </w:r>
          </w:p>
        </w:tc>
        <w:tc>
          <w:tcPr>
            <w:tcW w:w="3191" w:type="pct"/>
            <w:vMerge w:val="continue"/>
            <w:tcBorders>
              <w:top w:val="single" w:color="auto" w:sz="4" w:space="0"/>
              <w:left w:val="single" w:color="auto" w:sz="4" w:space="0"/>
              <w:bottom w:val="single" w:color="auto" w:sz="4" w:space="0"/>
            </w:tcBorders>
            <w:shd w:val="clear" w:color="auto" w:fill="auto"/>
            <w:vAlign w:val="center"/>
          </w:tcPr>
          <w:p w14:paraId="5FD5DE2A">
            <w:pPr>
              <w:ind w:firstLine="420"/>
            </w:pPr>
          </w:p>
        </w:tc>
      </w:tr>
      <w:tr w14:paraId="78EA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3DAB7640">
            <w:pPr>
              <w:ind w:firstLine="420"/>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3C91D901">
            <w:pPr>
              <w:pStyle w:val="40"/>
              <w:jc w:val="center"/>
            </w:pPr>
            <w:r>
              <w:t>D-B2</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630C3B34">
            <w:pPr>
              <w:pStyle w:val="40"/>
              <w:jc w:val="center"/>
            </w:pPr>
            <w:r>
              <w:t>6年以上</w:t>
            </w:r>
          </w:p>
        </w:tc>
        <w:tc>
          <w:tcPr>
            <w:tcW w:w="3191" w:type="pct"/>
            <w:vMerge w:val="continue"/>
            <w:tcBorders>
              <w:top w:val="single" w:color="auto" w:sz="4" w:space="0"/>
              <w:left w:val="single" w:color="auto" w:sz="4" w:space="0"/>
              <w:bottom w:val="single" w:color="auto" w:sz="4" w:space="0"/>
            </w:tcBorders>
            <w:shd w:val="clear" w:color="auto" w:fill="auto"/>
            <w:vAlign w:val="center"/>
          </w:tcPr>
          <w:p w14:paraId="1B8C4493">
            <w:pPr>
              <w:ind w:firstLine="420"/>
            </w:pPr>
          </w:p>
        </w:tc>
      </w:tr>
      <w:tr w14:paraId="5523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40416274">
            <w:pPr>
              <w:ind w:firstLine="420"/>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08621A9A">
            <w:pPr>
              <w:pStyle w:val="40"/>
              <w:jc w:val="center"/>
            </w:pPr>
            <w:r>
              <w:t>D-B1</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7FFF905C">
            <w:pPr>
              <w:pStyle w:val="40"/>
              <w:jc w:val="center"/>
            </w:pPr>
            <w:r>
              <w:t>5年以上</w:t>
            </w:r>
          </w:p>
        </w:tc>
        <w:tc>
          <w:tcPr>
            <w:tcW w:w="3191" w:type="pct"/>
            <w:vMerge w:val="continue"/>
            <w:tcBorders>
              <w:top w:val="single" w:color="auto" w:sz="4" w:space="0"/>
              <w:left w:val="single" w:color="auto" w:sz="4" w:space="0"/>
              <w:bottom w:val="single" w:color="auto" w:sz="4" w:space="0"/>
            </w:tcBorders>
            <w:shd w:val="clear" w:color="auto" w:fill="auto"/>
            <w:vAlign w:val="center"/>
          </w:tcPr>
          <w:p w14:paraId="1C524B60">
            <w:pPr>
              <w:ind w:firstLine="420"/>
            </w:pPr>
          </w:p>
        </w:tc>
      </w:tr>
    </w:tbl>
    <w:p w14:paraId="7C257331">
      <w:pPr>
        <w:ind w:firstLine="422"/>
        <w:rPr>
          <w:b/>
          <w:bCs/>
        </w:rPr>
        <w:sectPr>
          <w:pgSz w:w="11906" w:h="16838"/>
          <w:pgMar w:top="1440" w:right="1800" w:bottom="1440" w:left="1800" w:header="851" w:footer="992" w:gutter="0"/>
          <w:cols w:space="720" w:num="1"/>
          <w:docGrid w:type="lines" w:linePitch="312" w:charSpace="0"/>
        </w:sectPr>
      </w:pPr>
    </w:p>
    <w:p w14:paraId="76E5F5CD">
      <w:pPr>
        <w:pStyle w:val="3"/>
      </w:pPr>
      <w:bookmarkStart w:id="50" w:name="_Toc89675146"/>
      <w:bookmarkStart w:id="51" w:name="_Toc15059420"/>
      <w:bookmarkStart w:id="52" w:name="_Toc387826347"/>
      <w:bookmarkStart w:id="53" w:name="_Toc1125"/>
      <w:bookmarkStart w:id="54" w:name="_Toc432254881"/>
      <w:bookmarkStart w:id="55" w:name="_Toc440628915"/>
      <w:r>
        <w:rPr>
          <w:rFonts w:hint="eastAsia"/>
        </w:rPr>
        <w:t>3</w:t>
      </w:r>
      <w:r>
        <w:t>.</w:t>
      </w:r>
      <w:r>
        <w:rPr>
          <w:rFonts w:hint="eastAsia"/>
        </w:rPr>
        <w:t xml:space="preserve"> 服务连续性预案</w:t>
      </w:r>
    </w:p>
    <w:p w14:paraId="0D39A16E">
      <w:pPr>
        <w:ind w:firstLine="420"/>
      </w:pPr>
      <w:r>
        <w:rPr>
          <w:rFonts w:hint="eastAsia"/>
        </w:rPr>
        <w:t>在本次询比中，响应人应在响应文件中提供服务连续性预案供采购人查看，服务连续性预案应考虑供应链风险产生的影响。【提供服务连续性预案】</w:t>
      </w:r>
    </w:p>
    <w:p w14:paraId="0A58D870">
      <w:pPr>
        <w:pStyle w:val="3"/>
      </w:pPr>
      <w:r>
        <w:rPr>
          <w:rFonts w:hint="eastAsia"/>
        </w:rPr>
        <w:t>4</w:t>
      </w:r>
      <w:r>
        <w:t>.</w:t>
      </w:r>
      <w:r>
        <w:rPr>
          <w:rFonts w:hint="eastAsia"/>
        </w:rPr>
        <w:t xml:space="preserve"> </w:t>
      </w:r>
      <w:r>
        <w:t>人力外包管理方案</w:t>
      </w:r>
    </w:p>
    <w:p w14:paraId="6EF68AC3">
      <w:pPr>
        <w:ind w:firstLine="420"/>
        <w:rPr>
          <w:highlight w:val="cyan"/>
        </w:rPr>
      </w:pPr>
      <w:r>
        <w:t>在本次询比中，响应人应根据询比文件内容，在响应文件中提供人力外包管理方案供评审委员会和采购人查看、评审。【提供人力外包管理方案】</w:t>
      </w:r>
    </w:p>
    <w:p w14:paraId="7BB04EAE">
      <w:pPr>
        <w:pStyle w:val="3"/>
        <w:ind w:left="360" w:hanging="360"/>
        <w:jc w:val="left"/>
        <w:rPr>
          <w:highlight w:val="cyan"/>
        </w:rPr>
      </w:pPr>
      <w:r>
        <w:rPr>
          <w:rFonts w:hint="eastAsia"/>
        </w:rPr>
        <w:t>5</w:t>
      </w:r>
      <w:r>
        <w:t>.</w:t>
      </w:r>
      <w:r>
        <w:rPr>
          <w:rFonts w:hint="eastAsia"/>
        </w:rPr>
        <w:t xml:space="preserve"> </w:t>
      </w:r>
      <w:r>
        <w:t>最高限价</w:t>
      </w:r>
    </w:p>
    <w:p w14:paraId="52A62D9B">
      <w:pPr>
        <w:ind w:firstLine="420"/>
      </w:pPr>
      <w:r>
        <w:rPr>
          <w:rFonts w:hint="eastAsia"/>
        </w:rPr>
        <w:t>本项目每个“细分档级”设有</w:t>
      </w:r>
      <w:r>
        <w:t>最高限价</w:t>
      </w:r>
      <w:r>
        <w:rPr>
          <w:rFonts w:hint="eastAsia"/>
        </w:rPr>
        <w:t>，</w:t>
      </w:r>
      <w:r>
        <w:t>如下</w:t>
      </w:r>
      <w:r>
        <w:rPr>
          <w:rFonts w:hint="eastAsia"/>
        </w:rPr>
        <w:t>表所示</w:t>
      </w:r>
      <w:r>
        <w:t>：</w:t>
      </w:r>
    </w:p>
    <w:tbl>
      <w:tblPr>
        <w:tblStyle w:val="19"/>
        <w:tblW w:w="4998" w:type="pct"/>
        <w:tblInd w:w="0" w:type="dxa"/>
        <w:tblLayout w:type="fixed"/>
        <w:tblCellMar>
          <w:top w:w="15" w:type="dxa"/>
          <w:left w:w="15" w:type="dxa"/>
          <w:bottom w:w="15" w:type="dxa"/>
          <w:right w:w="15" w:type="dxa"/>
        </w:tblCellMar>
      </w:tblPr>
      <w:tblGrid>
        <w:gridCol w:w="2418"/>
        <w:gridCol w:w="1705"/>
        <w:gridCol w:w="2095"/>
        <w:gridCol w:w="2115"/>
      </w:tblGrid>
      <w:tr w14:paraId="0A587EE0">
        <w:tblPrEx>
          <w:tblCellMar>
            <w:top w:w="15" w:type="dxa"/>
            <w:left w:w="15" w:type="dxa"/>
            <w:bottom w:w="15" w:type="dxa"/>
            <w:right w:w="15" w:type="dxa"/>
          </w:tblCellMar>
        </w:tblPrEx>
        <w:trPr>
          <w:trHeight w:val="540" w:hRule="atLeast"/>
          <w:tblHeader/>
        </w:trPr>
        <w:tc>
          <w:tcPr>
            <w:tcW w:w="1451" w:type="pct"/>
            <w:tcBorders>
              <w:top w:val="single" w:color="auto" w:sz="4" w:space="0"/>
              <w:left w:val="single" w:color="auto" w:sz="4" w:space="0"/>
              <w:bottom w:val="single" w:color="000000" w:sz="4" w:space="0"/>
              <w:right w:val="single" w:color="000000" w:sz="4" w:space="0"/>
            </w:tcBorders>
            <w:shd w:val="clear" w:color="auto" w:fill="CFCECE"/>
            <w:vAlign w:val="center"/>
          </w:tcPr>
          <w:p w14:paraId="42DE549B">
            <w:pPr>
              <w:pStyle w:val="41"/>
            </w:pPr>
            <w:r>
              <w:t>类别</w:t>
            </w:r>
          </w:p>
        </w:tc>
        <w:tc>
          <w:tcPr>
            <w:tcW w:w="1023" w:type="pct"/>
            <w:tcBorders>
              <w:top w:val="single" w:color="auto" w:sz="4" w:space="0"/>
              <w:left w:val="single" w:color="000000" w:sz="4" w:space="0"/>
              <w:bottom w:val="single" w:color="000000" w:sz="4" w:space="0"/>
              <w:right w:val="single" w:color="000000" w:sz="4" w:space="0"/>
            </w:tcBorders>
            <w:shd w:val="clear" w:color="auto" w:fill="CFCECE"/>
            <w:vAlign w:val="center"/>
          </w:tcPr>
          <w:p w14:paraId="0DB74FA6">
            <w:pPr>
              <w:pStyle w:val="41"/>
            </w:pPr>
            <w:r>
              <w:t>档级</w:t>
            </w:r>
          </w:p>
        </w:tc>
        <w:tc>
          <w:tcPr>
            <w:tcW w:w="1257" w:type="pct"/>
            <w:tcBorders>
              <w:top w:val="single" w:color="auto" w:sz="4" w:space="0"/>
              <w:left w:val="single" w:color="000000" w:sz="4" w:space="0"/>
              <w:bottom w:val="single" w:color="000000" w:sz="4" w:space="0"/>
              <w:right w:val="single" w:color="000000" w:sz="4" w:space="0"/>
            </w:tcBorders>
            <w:shd w:val="clear" w:color="auto" w:fill="CFCECE"/>
            <w:vAlign w:val="center"/>
          </w:tcPr>
          <w:p w14:paraId="0D7F9671">
            <w:pPr>
              <w:pStyle w:val="41"/>
            </w:pPr>
            <w:r>
              <w:t>细分档级</w:t>
            </w:r>
          </w:p>
        </w:tc>
        <w:tc>
          <w:tcPr>
            <w:tcW w:w="1269" w:type="pct"/>
            <w:tcBorders>
              <w:top w:val="single" w:color="auto" w:sz="4" w:space="0"/>
              <w:left w:val="single" w:color="000000" w:sz="4" w:space="0"/>
              <w:bottom w:val="single" w:color="000000" w:sz="4" w:space="0"/>
              <w:right w:val="single" w:color="auto" w:sz="4" w:space="0"/>
            </w:tcBorders>
            <w:shd w:val="clear" w:color="auto" w:fill="CFCECE"/>
            <w:vAlign w:val="center"/>
          </w:tcPr>
          <w:p w14:paraId="620F40A8">
            <w:pPr>
              <w:pStyle w:val="41"/>
            </w:pPr>
            <w:r>
              <w:t>最高限价（元/人/月）</w:t>
            </w:r>
          </w:p>
        </w:tc>
      </w:tr>
      <w:tr w14:paraId="00C2B5A0">
        <w:tblPrEx>
          <w:tblCellMar>
            <w:top w:w="15" w:type="dxa"/>
            <w:left w:w="15" w:type="dxa"/>
            <w:bottom w:w="15" w:type="dxa"/>
            <w:right w:w="15" w:type="dxa"/>
          </w:tblCellMar>
        </w:tblPrEx>
        <w:trPr>
          <w:trHeight w:val="129" w:hRule="atLeast"/>
        </w:trPr>
        <w:tc>
          <w:tcPr>
            <w:tcW w:w="1451"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2E5813D3">
            <w:pPr>
              <w:pStyle w:val="40"/>
            </w:pPr>
            <w:r>
              <w:t>软件开发工程师/数据开发工程师</w:t>
            </w:r>
          </w:p>
        </w:tc>
        <w:tc>
          <w:tcPr>
            <w:tcW w:w="10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9F865">
            <w:pPr>
              <w:pStyle w:val="40"/>
            </w:pPr>
            <w:r>
              <w:t>高级</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4A89">
            <w:pPr>
              <w:pStyle w:val="40"/>
              <w:spacing w:line="360" w:lineRule="auto"/>
              <w:jc w:val="center"/>
            </w:pPr>
            <w:r>
              <w:t>D-A2</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5ECC">
            <w:pPr>
              <w:pStyle w:val="40"/>
              <w:spacing w:line="360" w:lineRule="auto"/>
            </w:pPr>
            <w:r>
              <w:t>29000</w:t>
            </w:r>
          </w:p>
        </w:tc>
      </w:tr>
      <w:tr w14:paraId="2615DC2A">
        <w:tblPrEx>
          <w:tblCellMar>
            <w:top w:w="15" w:type="dxa"/>
            <w:left w:w="15" w:type="dxa"/>
            <w:bottom w:w="15" w:type="dxa"/>
            <w:right w:w="15" w:type="dxa"/>
          </w:tblCellMar>
        </w:tblPrEx>
        <w:trPr>
          <w:trHeight w:val="111" w:hRule="atLeast"/>
        </w:trPr>
        <w:tc>
          <w:tcPr>
            <w:tcW w:w="1451"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84B4299">
            <w:pPr>
              <w:ind w:firstLine="420"/>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DE886">
            <w:pPr>
              <w:ind w:firstLine="420"/>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2D01">
            <w:pPr>
              <w:pStyle w:val="40"/>
              <w:spacing w:line="360" w:lineRule="auto"/>
              <w:jc w:val="center"/>
            </w:pPr>
            <w:r>
              <w:t>D-A1</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4188">
            <w:pPr>
              <w:pStyle w:val="40"/>
              <w:spacing w:line="360" w:lineRule="auto"/>
            </w:pPr>
            <w:r>
              <w:t>28200</w:t>
            </w:r>
          </w:p>
        </w:tc>
      </w:tr>
      <w:tr w14:paraId="3D6DE13E">
        <w:tblPrEx>
          <w:tblCellMar>
            <w:top w:w="15" w:type="dxa"/>
            <w:left w:w="15" w:type="dxa"/>
            <w:bottom w:w="15" w:type="dxa"/>
            <w:right w:w="15" w:type="dxa"/>
          </w:tblCellMar>
        </w:tblPrEx>
        <w:trPr>
          <w:trHeight w:val="111" w:hRule="atLeast"/>
        </w:trPr>
        <w:tc>
          <w:tcPr>
            <w:tcW w:w="1451"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F60C146">
            <w:pPr>
              <w:ind w:firstLine="420"/>
            </w:pPr>
          </w:p>
        </w:tc>
        <w:tc>
          <w:tcPr>
            <w:tcW w:w="10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681A9">
            <w:pPr>
              <w:pStyle w:val="40"/>
            </w:pPr>
            <w:r>
              <w:t>中级</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00CA">
            <w:pPr>
              <w:pStyle w:val="40"/>
              <w:spacing w:line="360" w:lineRule="auto"/>
              <w:jc w:val="center"/>
            </w:pPr>
            <w:r>
              <w:t>D-B4</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D0A9">
            <w:pPr>
              <w:pStyle w:val="40"/>
              <w:spacing w:line="360" w:lineRule="auto"/>
            </w:pPr>
            <w:r>
              <w:t>26200</w:t>
            </w:r>
          </w:p>
        </w:tc>
      </w:tr>
      <w:tr w14:paraId="6C992E01">
        <w:tblPrEx>
          <w:tblCellMar>
            <w:top w:w="15" w:type="dxa"/>
            <w:left w:w="15" w:type="dxa"/>
            <w:bottom w:w="15" w:type="dxa"/>
            <w:right w:w="15" w:type="dxa"/>
          </w:tblCellMar>
        </w:tblPrEx>
        <w:trPr>
          <w:trHeight w:val="111" w:hRule="atLeast"/>
        </w:trPr>
        <w:tc>
          <w:tcPr>
            <w:tcW w:w="1451"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EA18236">
            <w:pPr>
              <w:ind w:firstLine="420"/>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7A47D">
            <w:pPr>
              <w:ind w:firstLine="420"/>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2154">
            <w:pPr>
              <w:pStyle w:val="40"/>
              <w:spacing w:line="360" w:lineRule="auto"/>
              <w:jc w:val="center"/>
            </w:pPr>
            <w:r>
              <w:t>D-B3</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AD71">
            <w:pPr>
              <w:pStyle w:val="40"/>
              <w:spacing w:line="360" w:lineRule="auto"/>
            </w:pPr>
            <w:r>
              <w:t>25200</w:t>
            </w:r>
          </w:p>
        </w:tc>
      </w:tr>
      <w:tr w14:paraId="71FB5E8C">
        <w:tblPrEx>
          <w:tblCellMar>
            <w:top w:w="15" w:type="dxa"/>
            <w:left w:w="15" w:type="dxa"/>
            <w:bottom w:w="15" w:type="dxa"/>
            <w:right w:w="15" w:type="dxa"/>
          </w:tblCellMar>
        </w:tblPrEx>
        <w:trPr>
          <w:trHeight w:val="111" w:hRule="atLeast"/>
        </w:trPr>
        <w:tc>
          <w:tcPr>
            <w:tcW w:w="1451"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F131079">
            <w:pPr>
              <w:ind w:firstLine="420"/>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C1793">
            <w:pPr>
              <w:ind w:firstLine="420"/>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FD70">
            <w:pPr>
              <w:pStyle w:val="40"/>
              <w:spacing w:line="360" w:lineRule="auto"/>
              <w:jc w:val="center"/>
            </w:pPr>
            <w:r>
              <w:t>D-B2</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2AFD">
            <w:pPr>
              <w:pStyle w:val="40"/>
              <w:spacing w:line="360" w:lineRule="auto"/>
            </w:pPr>
            <w:r>
              <w:t>24000</w:t>
            </w:r>
          </w:p>
        </w:tc>
      </w:tr>
      <w:tr w14:paraId="58BAB4DE">
        <w:tblPrEx>
          <w:tblCellMar>
            <w:top w:w="15" w:type="dxa"/>
            <w:left w:w="15" w:type="dxa"/>
            <w:bottom w:w="15" w:type="dxa"/>
            <w:right w:w="15" w:type="dxa"/>
          </w:tblCellMar>
        </w:tblPrEx>
        <w:trPr>
          <w:trHeight w:val="111" w:hRule="atLeast"/>
        </w:trPr>
        <w:tc>
          <w:tcPr>
            <w:tcW w:w="1451"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66CF724">
            <w:pPr>
              <w:ind w:firstLine="420"/>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ED05">
            <w:pPr>
              <w:ind w:firstLine="420"/>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8F5E">
            <w:pPr>
              <w:pStyle w:val="40"/>
              <w:spacing w:line="360" w:lineRule="auto"/>
              <w:jc w:val="center"/>
            </w:pPr>
            <w:r>
              <w:t>D-B1</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7C10">
            <w:pPr>
              <w:pStyle w:val="40"/>
              <w:spacing w:line="360" w:lineRule="auto"/>
            </w:pPr>
            <w:r>
              <w:t>22600</w:t>
            </w:r>
          </w:p>
        </w:tc>
      </w:tr>
    </w:tbl>
    <w:p w14:paraId="2224F725">
      <w:pPr>
        <w:ind w:firstLine="420"/>
      </w:pPr>
    </w:p>
    <w:p w14:paraId="62FC54F2">
      <w:pPr>
        <w:pStyle w:val="3"/>
      </w:pPr>
      <w:r>
        <w:rPr>
          <w:rFonts w:hint="eastAsia"/>
        </w:rPr>
        <w:t>6</w:t>
      </w:r>
      <w:r>
        <w:t>.</w:t>
      </w:r>
      <w:r>
        <w:rPr>
          <w:rFonts w:hint="eastAsia"/>
        </w:rPr>
        <w:t xml:space="preserve"> 报价要求</w:t>
      </w:r>
    </w:p>
    <w:p w14:paraId="031B1A1A">
      <w:pPr>
        <w:ind w:firstLine="420"/>
      </w:pPr>
      <w:r>
        <w:t>6</w:t>
      </w:r>
      <w:r>
        <w:rPr>
          <w:rFonts w:hint="eastAsia"/>
        </w:rPr>
        <w:t>.1 响应人应严格按照《响应文件格式》的“分项报价明细表”的格式认真填写。</w:t>
      </w:r>
    </w:p>
    <w:p w14:paraId="48106216">
      <w:pPr>
        <w:ind w:firstLine="420"/>
      </w:pPr>
      <w:r>
        <w:t>6</w:t>
      </w:r>
      <w:r>
        <w:rPr>
          <w:rFonts w:hint="eastAsia"/>
        </w:rPr>
        <w:t>.2</w:t>
      </w:r>
      <w:r>
        <w:t xml:space="preserve"> </w:t>
      </w:r>
      <w:r>
        <w:rPr>
          <w:rFonts w:hint="eastAsia"/>
        </w:rPr>
        <w:t>各级报价最高限价参考本章第</w:t>
      </w:r>
      <w:r>
        <w:t>4</w:t>
      </w:r>
      <w:r>
        <w:rPr>
          <w:rFonts w:hint="eastAsia"/>
        </w:rPr>
        <w:t>条中“细分档级”表格。</w:t>
      </w:r>
    </w:p>
    <w:p w14:paraId="74F97B55">
      <w:pPr>
        <w:ind w:firstLine="420"/>
      </w:pPr>
      <w:r>
        <w:t>6</w:t>
      </w:r>
      <w:r>
        <w:rPr>
          <w:rFonts w:hint="eastAsia"/>
        </w:rPr>
        <w:t>.3 细分档级最高限价与对应报价的差额在本文件中统称为“优惠金额”。</w:t>
      </w:r>
      <w:r>
        <w:t>为便于做价格比较，</w:t>
      </w:r>
      <w:r>
        <w:rPr>
          <w:rFonts w:hint="eastAsia"/>
        </w:rPr>
        <w:t>各细分档级的优惠金额必须一致，优惠金额可理解为所有细分档级整体下调的金额。</w:t>
      </w:r>
      <w:r>
        <w:t>优惠金额</w:t>
      </w:r>
      <w:r>
        <w:rPr>
          <w:rFonts w:hint="eastAsia"/>
        </w:rPr>
        <w:t>的增加幅度以100元为单位（优惠金额应为100的倍数）。</w:t>
      </w:r>
    </w:p>
    <w:p w14:paraId="5F541817">
      <w:pPr>
        <w:ind w:firstLine="420"/>
      </w:pPr>
      <w:r>
        <w:rPr>
          <w:rFonts w:hint="eastAsia"/>
        </w:rPr>
        <w:t>例1：优惠金额为183元。优惠金额不是以100元为单位进行增加，视为无效</w:t>
      </w:r>
      <w:r>
        <w:t>响应</w:t>
      </w:r>
      <w:r>
        <w:rPr>
          <w:rFonts w:hint="eastAsia"/>
        </w:rPr>
        <w:t>。</w:t>
      </w:r>
    </w:p>
    <w:p w14:paraId="7109B9C3">
      <w:pPr>
        <w:ind w:firstLine="420"/>
      </w:pPr>
      <w:r>
        <w:rPr>
          <w:rFonts w:hint="eastAsia"/>
        </w:rPr>
        <w:t>例2：</w:t>
      </w:r>
      <w:r>
        <w:t>优惠金额为200元</w:t>
      </w:r>
      <w:r>
        <w:rPr>
          <w:rFonts w:hint="eastAsia"/>
        </w:rPr>
        <w:t>。高级、中级中各细分档级的报价均应在最高限价的基础上下调200元。即：</w:t>
      </w:r>
      <w:r>
        <w:t>D-A2级报价应为28800元/人月，D-A1级报价应为28000元/人月，D-B4级报价26000元/人月</w:t>
      </w:r>
      <w:r>
        <w:rPr>
          <w:rFonts w:hint="eastAsia"/>
        </w:rPr>
        <w:t>。</w:t>
      </w:r>
    </w:p>
    <w:p w14:paraId="7B9F97E0">
      <w:pPr>
        <w:ind w:firstLine="420"/>
        <w:rPr>
          <w:highlight w:val="cyan"/>
        </w:rPr>
      </w:pPr>
    </w:p>
    <w:bookmarkEnd w:id="50"/>
    <w:bookmarkEnd w:id="51"/>
    <w:p w14:paraId="1B03E801">
      <w:pPr>
        <w:pStyle w:val="3"/>
      </w:pPr>
      <w:r>
        <w:rPr>
          <w:rFonts w:hint="eastAsia"/>
        </w:rPr>
        <w:t>7</w:t>
      </w:r>
      <w:r>
        <w:t>.</w:t>
      </w:r>
      <w:r>
        <w:rPr>
          <w:rFonts w:hint="eastAsia"/>
        </w:rPr>
        <w:t xml:space="preserve"> 费用结算及付款方式</w:t>
      </w:r>
    </w:p>
    <w:p w14:paraId="76FADCC4">
      <w:pPr>
        <w:ind w:firstLine="420"/>
      </w:pPr>
      <w:r>
        <w:t>成交供应商外包服务费用按自然月逐月计算，按季结算（连续三个自然月为一个季度）。成交供应商就双发确认后的实际支付人月费用开具足额的增值税专用发票，并提交付款申请。</w:t>
      </w:r>
    </w:p>
    <w:p w14:paraId="6BF7822A">
      <w:pPr>
        <w:pStyle w:val="3"/>
      </w:pPr>
      <w:bookmarkStart w:id="56" w:name="_Toc15059424"/>
      <w:bookmarkStart w:id="57" w:name="_Toc89675150"/>
      <w:r>
        <w:rPr>
          <w:rFonts w:hint="eastAsia"/>
        </w:rPr>
        <w:t>8</w:t>
      </w:r>
      <w:r>
        <w:t>.</w:t>
      </w:r>
      <w:r>
        <w:rPr>
          <w:rFonts w:hint="eastAsia"/>
        </w:rPr>
        <w:t xml:space="preserve"> 开发外包人员提供</w:t>
      </w:r>
    </w:p>
    <w:p w14:paraId="68495A7E">
      <w:pPr>
        <w:ind w:firstLine="420"/>
      </w:pPr>
      <w:r>
        <w:t>8.1 采购人根据项目需要向成交供应商发布用人需求，成交供应商须在规定时间向采购人内提供符合需求条件的外包人员名单、简历及相关信息，成交供应商须确认人员简历及相关信息的真实性。</w:t>
      </w:r>
    </w:p>
    <w:p w14:paraId="52F5943F">
      <w:pPr>
        <w:ind w:firstLine="420"/>
      </w:pPr>
      <w:r>
        <w:t>8.2 采购人对成交供应商提供的外包人员进行筛选面试，并通知录用名单及人员岗位初定档级。成交供应商接收到录用通知后，须在3个工作日内确认并反馈外包人员的到岗日期，并于到岗日前至少5个工作日向采购人提交驻场材料进行审核，审核不通过的不予安排入场。成交供应商须在双方确认的到岗日协助安排外包人员进入采购人指定的场地工作。</w:t>
      </w:r>
    </w:p>
    <w:p w14:paraId="6D20AF1A">
      <w:pPr>
        <w:ind w:firstLine="420"/>
      </w:pPr>
      <w:r>
        <w:t>8.3 成交供应商外包人员驻场后，以10个工作日为考核期限，采购人根据外包人员在考核期内的工作表现确定其最终录用岗位档级。对于考核期内不合格或服务期间内工作能力达不到采购人要求的外包人员，采购人有权随时退回。</w:t>
      </w:r>
    </w:p>
    <w:p w14:paraId="4DB8E90F">
      <w:pPr>
        <w:ind w:firstLine="420"/>
      </w:pPr>
      <w:r>
        <w:rPr>
          <w:rFonts w:hint="eastAsia"/>
        </w:rPr>
        <w:t>8</w:t>
      </w:r>
      <w:r>
        <w:t>.4 成交供应商</w:t>
      </w:r>
      <w:r>
        <w:rPr>
          <w:rFonts w:hint="eastAsia"/>
        </w:rPr>
        <w:t>在响应文件中的拟提供外包人员必须作为本询比项目的项目组候选成员驻场参与项目建设。</w:t>
      </w:r>
    </w:p>
    <w:p w14:paraId="3D77C7E2">
      <w:pPr>
        <w:pStyle w:val="3"/>
      </w:pPr>
      <w:r>
        <w:rPr>
          <w:rFonts w:hint="eastAsia"/>
        </w:rPr>
        <w:t>9</w:t>
      </w:r>
      <w:r>
        <w:t>.</w:t>
      </w:r>
      <w:r>
        <w:rPr>
          <w:rFonts w:hint="eastAsia"/>
        </w:rPr>
        <w:t xml:space="preserve"> 开发外包人员管理</w:t>
      </w:r>
    </w:p>
    <w:p w14:paraId="6E1719CD">
      <w:pPr>
        <w:ind w:firstLine="420"/>
      </w:pPr>
      <w:r>
        <w:t>9.1 成交供应商外包人员的工作须听从采购人安排，须遵守采购人的工作纪律和管理规范。如果成交供应商外包人员违反采购人的工作纪律，或者采购人认为成交供应商外包人员缺乏足够的工作能力，或者成交供应商外包人员在考核中被认定不合格时，采购人有权书面或邮件通知要求退回该人员。</w:t>
      </w:r>
    </w:p>
    <w:p w14:paraId="48D5EACF">
      <w:pPr>
        <w:ind w:firstLine="420"/>
      </w:pPr>
      <w:r>
        <w:t>9.2 成交供应商外包人员须遵守采购人安全及保密相关规定，不得将工作相关资料、数据、软件、设备等带出工作场所。</w:t>
      </w:r>
    </w:p>
    <w:p w14:paraId="2B21CC58">
      <w:pPr>
        <w:pStyle w:val="3"/>
        <w:ind w:left="360" w:hanging="360"/>
        <w:jc w:val="left"/>
      </w:pPr>
      <w:r>
        <w:rPr>
          <w:rFonts w:hint="eastAsia"/>
        </w:rPr>
        <w:t>10</w:t>
      </w:r>
      <w:r>
        <w:t>.</w:t>
      </w:r>
      <w:r>
        <w:rPr>
          <w:rFonts w:hint="eastAsia"/>
        </w:rPr>
        <w:t xml:space="preserve"> 开发外包人员调换</w:t>
      </w:r>
    </w:p>
    <w:p w14:paraId="5592988F">
      <w:pPr>
        <w:ind w:firstLine="420"/>
      </w:pPr>
      <w:r>
        <w:t>10.1 成交供应商外包人员在离场前须提前至少15个工作日向采购人提出申请，</w:t>
      </w:r>
      <w:r>
        <w:rPr>
          <w:rFonts w:hint="eastAsia"/>
        </w:rPr>
        <w:t>采购人同意后</w:t>
      </w:r>
      <w:r>
        <w:t>方可离场。对于不满足提前15个工作日申请或未经</w:t>
      </w:r>
      <w:r>
        <w:rPr>
          <w:rFonts w:hint="eastAsia"/>
        </w:rPr>
        <w:t>采购人</w:t>
      </w:r>
      <w:r>
        <w:t>同意擅自离场的情况，采购人有权扣减该人员1个人月服务费。</w:t>
      </w:r>
    </w:p>
    <w:p w14:paraId="3DF5BF14">
      <w:pPr>
        <w:ind w:firstLine="420"/>
      </w:pPr>
      <w:r>
        <w:t>10.2 非采购人原因导致外包人员驻场服务时间低于三个月离场的，采购人有权不予付费。</w:t>
      </w:r>
    </w:p>
    <w:p w14:paraId="043223D4">
      <w:pPr>
        <w:ind w:firstLine="420"/>
      </w:pPr>
      <w:r>
        <w:t>10.3 外包人员在技术服务实施期间终止与成交供应商的雇佣关系或因其它超出成交供应商控制范围的原因（如人身意外事件、不可抗力事件等）而无法继续提供技术服务的，成交供应商应及时通知采购人并协助办理外包人员离场手续。如因此给采购人造成损失，还应承担赔偿责任。</w:t>
      </w:r>
    </w:p>
    <w:p w14:paraId="70757AD8">
      <w:pPr>
        <w:pStyle w:val="3"/>
        <w:ind w:left="360" w:hanging="360"/>
        <w:jc w:val="left"/>
      </w:pPr>
      <w:r>
        <w:t>1</w:t>
      </w:r>
      <w:r>
        <w:rPr>
          <w:rFonts w:hint="eastAsia"/>
        </w:rPr>
        <w:t>1</w:t>
      </w:r>
      <w:r>
        <w:t>.</w:t>
      </w:r>
      <w:r>
        <w:rPr>
          <w:rFonts w:hint="eastAsia"/>
        </w:rPr>
        <w:t xml:space="preserve"> 开发外包管理人员配置</w:t>
      </w:r>
    </w:p>
    <w:p w14:paraId="0CC5D4D9">
      <w:pPr>
        <w:ind w:firstLine="420"/>
      </w:pPr>
      <w:r>
        <w:t>成交供应商应为外包人员配备驻场管理和支持人员，负责驻场人员的日常管理、技能培训、员工关系维护等事宜，协助采购人做好驻场外包人员管理工作，采购人不另行向成交供应商的管理人员支付任何费用。</w:t>
      </w:r>
    </w:p>
    <w:p w14:paraId="11389AB6">
      <w:pPr>
        <w:pStyle w:val="3"/>
        <w:ind w:left="360" w:hanging="360"/>
        <w:jc w:val="left"/>
      </w:pPr>
      <w:r>
        <w:t>1</w:t>
      </w:r>
      <w:r>
        <w:rPr>
          <w:rFonts w:hint="eastAsia"/>
        </w:rPr>
        <w:t>2</w:t>
      </w:r>
      <w:r>
        <w:t>.</w:t>
      </w:r>
      <w:r>
        <w:rPr>
          <w:rFonts w:hint="eastAsia"/>
        </w:rPr>
        <w:t xml:space="preserve"> 开发外包人员考核</w:t>
      </w:r>
    </w:p>
    <w:p w14:paraId="431EA146">
      <w:pPr>
        <w:ind w:firstLine="420"/>
      </w:pPr>
      <w:r>
        <w:t>12.1 采购人每</w:t>
      </w:r>
      <w:r>
        <w:rPr>
          <w:rFonts w:hint="eastAsia"/>
        </w:rPr>
        <w:t>半年</w:t>
      </w:r>
      <w:r>
        <w:t>对成交供应商驻场外包人员进行考核，考核指标包括交付能力、专业能力及综合素质三个方面。考核结果将应用于成交供应商季度评价及外包人员调级条件中。</w:t>
      </w:r>
    </w:p>
    <w:p w14:paraId="04B4ACBD">
      <w:pPr>
        <w:ind w:firstLine="420"/>
      </w:pPr>
      <w:r>
        <w:t>12.2 采购人每</w:t>
      </w:r>
      <w:r>
        <w:rPr>
          <w:rFonts w:hint="eastAsia"/>
        </w:rPr>
        <w:t>半年</w:t>
      </w:r>
      <w:r>
        <w:t>对成交供应商进行考核，包括服务能力、服务态度、合规性考核三个方面，年度内考核结果有两次及以上不及格的成交供应商，采购人有权不再进行续签。</w:t>
      </w:r>
    </w:p>
    <w:p w14:paraId="72F5935E">
      <w:pPr>
        <w:pStyle w:val="3"/>
        <w:ind w:left="360" w:hanging="360"/>
        <w:jc w:val="left"/>
      </w:pPr>
      <w:r>
        <w:t>1</w:t>
      </w:r>
      <w:r>
        <w:rPr>
          <w:rFonts w:hint="eastAsia"/>
        </w:rPr>
        <w:t>3</w:t>
      </w:r>
      <w:r>
        <w:t>.</w:t>
      </w:r>
      <w:r>
        <w:rPr>
          <w:rFonts w:hint="eastAsia"/>
        </w:rPr>
        <w:t xml:space="preserve"> 违约责任</w:t>
      </w:r>
    </w:p>
    <w:p w14:paraId="4E5C5591">
      <w:pPr>
        <w:ind w:firstLine="420"/>
      </w:pPr>
      <w:r>
        <w:t>13.1 成交供应商应监督外包人员遵守采购人各项管理制度和规定，对于违反相关制度和规定的外包人员，采购人有权对成交供应商采取相应的处罚措施，且成交供应商应对外包人员违反各项管理制度和规定造成的损失予以全部赔偿。</w:t>
      </w:r>
    </w:p>
    <w:p w14:paraId="7F8693E7">
      <w:pPr>
        <w:ind w:firstLine="420"/>
      </w:pPr>
      <w:r>
        <w:t>13.2 成交供应商保证未经采购人许可，不能将采购人驻场外包人员调离所属项目。否则采购人有权要求成交供应商将相应的外包人员转移给采购人或采购人指定的第三方以继续为采购人提供服务。</w:t>
      </w:r>
    </w:p>
    <w:p w14:paraId="59098924">
      <w:pPr>
        <w:ind w:firstLine="420"/>
      </w:pPr>
      <w:r>
        <w:t>13.3 成交供应商外包人员流失人数超过其在该项目外包人员人数50%时，采购人有权要求成交供应商将其外包人员转移给采购人或采购人指定的第三方以继续为采购人提供服务。流失人数统计范围为季度内离场人数，不包括因考核期不合格及项目结束退回人员。</w:t>
      </w:r>
    </w:p>
    <w:p w14:paraId="6CD248EA">
      <w:pPr>
        <w:ind w:firstLine="420"/>
      </w:pPr>
      <w:r>
        <w:t>13.4 成交供应商为其提供的外包人员各项信息真实性负责。如果采购人核实成交供应商外包人员简历中的内容与真实情况不符，包括但不限于使用假学历和资质证书，捏造工作经历和项目经验等，采购人有权退回该外包人员并扣除该外包人员当季度服务费用，成交供应商还应向采购人出具正式书面说明。</w:t>
      </w:r>
    </w:p>
    <w:p w14:paraId="25F8EBA4">
      <w:pPr>
        <w:ind w:firstLine="420"/>
      </w:pPr>
      <w:r>
        <w:t>13.5 成交供应商服务期间如果提前终止合同，采购人有权扣除所有未结款项，不予支付。且成交供应商应提前30天以书面形式通知，在取得采购人书面同意后方可终止，成交供应商应协助采购人处理过渡时期的人员、工作交接事宜，需确保成交供应商原有工作顺利交接完毕。</w:t>
      </w:r>
    </w:p>
    <w:p w14:paraId="622C2812">
      <w:pPr>
        <w:ind w:firstLine="420"/>
      </w:pPr>
      <w:r>
        <w:t>13.6 成交供应商服务期间如果采购人提前解除服务，自解除通知书到达成交供应商之日起服务解除，采购人不承担违约责任，双方据实结算费用。</w:t>
      </w:r>
    </w:p>
    <w:p w14:paraId="3170BAE5">
      <w:pPr>
        <w:ind w:firstLine="420"/>
      </w:pPr>
      <w:r>
        <w:t>13.7 除另有约定，成交供应商及其外包人员违反服务合同的，按照合同规定扣除相应违约金，采购人有权从任一应支付款项中优先扣除违约金、赔偿金，不足部分由成交供应商另行筹措资金补足。</w:t>
      </w:r>
    </w:p>
    <w:p w14:paraId="7BDFF60F">
      <w:pPr>
        <w:pStyle w:val="3"/>
        <w:ind w:left="360" w:hanging="360"/>
        <w:jc w:val="left"/>
      </w:pPr>
      <w:r>
        <w:t>1</w:t>
      </w:r>
      <w:r>
        <w:rPr>
          <w:rFonts w:hint="eastAsia"/>
        </w:rPr>
        <w:t>4</w:t>
      </w:r>
      <w:r>
        <w:t>.</w:t>
      </w:r>
      <w:r>
        <w:rPr>
          <w:rFonts w:hint="eastAsia"/>
        </w:rPr>
        <w:t xml:space="preserve"> 保密条款</w:t>
      </w:r>
      <w:bookmarkEnd w:id="52"/>
      <w:bookmarkEnd w:id="53"/>
      <w:bookmarkEnd w:id="54"/>
      <w:bookmarkEnd w:id="55"/>
      <w:bookmarkEnd w:id="56"/>
      <w:bookmarkEnd w:id="57"/>
    </w:p>
    <w:p w14:paraId="62DB649E">
      <w:pPr>
        <w:pStyle w:val="4"/>
        <w:ind w:firstLine="422"/>
      </w:pPr>
      <w:r>
        <w:rPr>
          <w:rFonts w:hint="eastAsia"/>
        </w:rPr>
        <w:t>1</w:t>
      </w:r>
      <w:r>
        <w:t>4</w:t>
      </w:r>
      <w:r>
        <w:rPr>
          <w:rFonts w:hint="eastAsia"/>
        </w:rPr>
        <w:t>.1 保密范围</w:t>
      </w:r>
    </w:p>
    <w:p w14:paraId="73A61CD8">
      <w:pPr>
        <w:ind w:firstLine="420"/>
      </w:pPr>
      <w:r>
        <w:rPr>
          <w:rFonts w:hint="eastAsia"/>
        </w:rPr>
        <w:t>成交供应商在实施过程中接触到的采购人知识产权、经营信息等。</w:t>
      </w:r>
    </w:p>
    <w:p w14:paraId="131C9F23">
      <w:pPr>
        <w:pStyle w:val="4"/>
        <w:ind w:firstLine="422"/>
      </w:pPr>
      <w:r>
        <w:t>14</w:t>
      </w:r>
      <w:r>
        <w:rPr>
          <w:rFonts w:hint="eastAsia"/>
        </w:rPr>
        <w:t>.2 保密责任</w:t>
      </w:r>
    </w:p>
    <w:p w14:paraId="161653CD">
      <w:pPr>
        <w:ind w:firstLine="420"/>
      </w:pPr>
      <w:r>
        <w:rPr>
          <w:rFonts w:hint="eastAsia"/>
        </w:rPr>
        <w:t>双方互为保密资料的提供方和接受方，负有保密义务，承担保密责任。除经过双方书面同意，任何一方不得将有关内容提供给合同以外的第三人。</w:t>
      </w:r>
    </w:p>
    <w:p w14:paraId="7BFED250">
      <w:pPr>
        <w:pStyle w:val="3"/>
        <w:ind w:left="360" w:hanging="360"/>
        <w:jc w:val="left"/>
      </w:pPr>
      <w:bookmarkStart w:id="58" w:name="_Toc89675152"/>
      <w:bookmarkStart w:id="59" w:name="_Toc15059426"/>
      <w:r>
        <w:t>1</w:t>
      </w:r>
      <w:r>
        <w:rPr>
          <w:rFonts w:hint="eastAsia"/>
        </w:rPr>
        <w:t>5</w:t>
      </w:r>
      <w:r>
        <w:t>.</w:t>
      </w:r>
      <w:r>
        <w:rPr>
          <w:rFonts w:hint="eastAsia"/>
        </w:rPr>
        <w:t xml:space="preserve"> 知识产权</w:t>
      </w:r>
      <w:bookmarkEnd w:id="58"/>
      <w:bookmarkEnd w:id="59"/>
    </w:p>
    <w:p w14:paraId="624425FC">
      <w:pPr>
        <w:ind w:firstLine="420"/>
      </w:pPr>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42BF8F71">
      <w:pPr>
        <w:pStyle w:val="3"/>
        <w:ind w:left="360" w:hanging="360"/>
        <w:jc w:val="left"/>
      </w:pPr>
      <w:bookmarkStart w:id="60" w:name="_Toc89675153"/>
      <w:bookmarkStart w:id="61" w:name="_Toc15059427"/>
      <w:r>
        <w:t>1</w:t>
      </w:r>
      <w:r>
        <w:rPr>
          <w:rFonts w:hint="eastAsia"/>
        </w:rPr>
        <w:t>6</w:t>
      </w:r>
      <w:r>
        <w:t>.</w:t>
      </w:r>
      <w:r>
        <w:rPr>
          <w:rFonts w:hint="eastAsia"/>
        </w:rPr>
        <w:t xml:space="preserve"> 其他</w:t>
      </w:r>
      <w:bookmarkEnd w:id="60"/>
      <w:bookmarkEnd w:id="61"/>
    </w:p>
    <w:p w14:paraId="13E9819D">
      <w:pPr>
        <w:ind w:firstLine="420"/>
      </w:pPr>
      <w:r>
        <w:t xml:space="preserve">16.1 </w:t>
      </w:r>
      <w:r>
        <w:rPr>
          <w:rFonts w:hint="eastAsia"/>
        </w:rPr>
        <w:t>响应人必须在响应承诺函中对本章内容做出整体性响应和承诺，承诺内容必须达到本章及询比文件其他条款的要求。</w:t>
      </w:r>
    </w:p>
    <w:p w14:paraId="49077E9A">
      <w:pPr>
        <w:ind w:firstLine="420"/>
      </w:pPr>
      <w:r>
        <w:t xml:space="preserve">16.2 </w:t>
      </w:r>
      <w:r>
        <w:rPr>
          <w:rFonts w:hint="eastAsia"/>
        </w:rPr>
        <w:t>响应人应根据本章内容和要求，提供对应资料，无遗漏。</w:t>
      </w:r>
    </w:p>
    <w:p w14:paraId="64C54FDC">
      <w:pPr>
        <w:ind w:firstLine="420"/>
      </w:pPr>
      <w:r>
        <w:t xml:space="preserve">16.3 </w:t>
      </w:r>
      <w:r>
        <w:rPr>
          <w:rFonts w:hint="eastAsia"/>
        </w:rPr>
        <w:t>其他未尽事宜由供需双方在合同中详细约定。</w:t>
      </w:r>
    </w:p>
    <w:p w14:paraId="552C62FB">
      <w:pPr>
        <w:ind w:firstLine="420"/>
      </w:pPr>
      <w:r>
        <w:rPr>
          <w:rFonts w:hint="eastAsia"/>
        </w:rPr>
        <w:br w:type="page"/>
      </w:r>
    </w:p>
    <w:p w14:paraId="324B0DA6">
      <w:pPr>
        <w:pStyle w:val="2"/>
      </w:pPr>
      <w:bookmarkStart w:id="62" w:name="_Toc22407"/>
      <w:bookmarkStart w:id="63" w:name="_Toc29189"/>
      <w:bookmarkStart w:id="64" w:name="_Toc26268"/>
      <w:r>
        <w:rPr>
          <w:rFonts w:hint="eastAsia"/>
        </w:rPr>
        <w:t>第四章 评审办法（综合评估法）</w:t>
      </w:r>
      <w:bookmarkEnd w:id="62"/>
      <w:bookmarkEnd w:id="63"/>
      <w:bookmarkEnd w:id="64"/>
    </w:p>
    <w:p w14:paraId="7A272B89">
      <w:pPr>
        <w:pStyle w:val="3"/>
      </w:pPr>
      <w:bookmarkStart w:id="65" w:name="_Toc14810"/>
      <w:bookmarkStart w:id="66" w:name="_Toc11471"/>
      <w:bookmarkStart w:id="67" w:name="_Toc2028"/>
      <w:bookmarkStart w:id="68" w:name="_Toc27076"/>
      <w:r>
        <w:rPr>
          <w:rFonts w:hint="eastAsia"/>
        </w:rPr>
        <w:t>评审办法前附表</w:t>
      </w:r>
      <w:bookmarkEnd w:id="65"/>
      <w:bookmarkEnd w:id="66"/>
      <w:bookmarkEnd w:id="67"/>
      <w:bookmarkEnd w:id="68"/>
    </w:p>
    <w:p w14:paraId="1CC3565E">
      <w:pPr>
        <w:ind w:firstLine="420"/>
      </w:pPr>
      <w:r>
        <w:t>若</w:t>
      </w:r>
      <w:r>
        <w:rPr>
          <w:rFonts w:hint="eastAsia"/>
        </w:rPr>
        <w:t>评审办法前附表</w:t>
      </w:r>
      <w:r>
        <w:t>与正文不一致的地方，以</w:t>
      </w:r>
      <w:r>
        <w:rPr>
          <w:rFonts w:hint="eastAsia"/>
        </w:rPr>
        <w:t>评审办法前附表</w:t>
      </w:r>
      <w: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3CAC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8F9D479">
            <w:pPr>
              <w:pStyle w:val="41"/>
            </w:pPr>
            <w:bookmarkStart w:id="69" w:name="CQZH1_07"/>
            <w:r>
              <w:rPr>
                <w:rFonts w:hint="eastAsia"/>
              </w:rPr>
              <w:t>条款号</w:t>
            </w:r>
          </w:p>
        </w:tc>
        <w:tc>
          <w:tcPr>
            <w:tcW w:w="1482" w:type="dxa"/>
            <w:vAlign w:val="center"/>
          </w:tcPr>
          <w:p w14:paraId="6E445864">
            <w:pPr>
              <w:pStyle w:val="41"/>
            </w:pPr>
            <w:r>
              <w:rPr>
                <w:rFonts w:hint="eastAsia"/>
              </w:rPr>
              <w:t>评审因素</w:t>
            </w:r>
          </w:p>
        </w:tc>
        <w:tc>
          <w:tcPr>
            <w:tcW w:w="7162" w:type="dxa"/>
            <w:gridSpan w:val="3"/>
            <w:vAlign w:val="center"/>
          </w:tcPr>
          <w:p w14:paraId="6E3678D5">
            <w:pPr>
              <w:pStyle w:val="41"/>
            </w:pPr>
            <w:r>
              <w:rPr>
                <w:rFonts w:hint="eastAsia"/>
              </w:rPr>
              <w:t>评审标准</w:t>
            </w:r>
          </w:p>
        </w:tc>
      </w:tr>
      <w:tr w14:paraId="7FA2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DD8E124">
            <w:pPr>
              <w:pStyle w:val="40"/>
            </w:pPr>
            <w:r>
              <w:rPr>
                <w:rFonts w:hint="eastAsia"/>
              </w:rPr>
              <w:t>1</w:t>
            </w:r>
          </w:p>
        </w:tc>
        <w:tc>
          <w:tcPr>
            <w:tcW w:w="1482" w:type="dxa"/>
            <w:tcBorders>
              <w:left w:val="single" w:color="auto" w:sz="4" w:space="0"/>
            </w:tcBorders>
            <w:vAlign w:val="center"/>
          </w:tcPr>
          <w:p w14:paraId="4C7400AC">
            <w:pPr>
              <w:pStyle w:val="40"/>
            </w:pPr>
            <w:r>
              <w:rPr>
                <w:rFonts w:hint="eastAsia"/>
              </w:rPr>
              <w:t>评审办法</w:t>
            </w:r>
          </w:p>
        </w:tc>
        <w:tc>
          <w:tcPr>
            <w:tcW w:w="7162" w:type="dxa"/>
            <w:gridSpan w:val="3"/>
            <w:tcBorders>
              <w:left w:val="single" w:color="auto" w:sz="4" w:space="0"/>
            </w:tcBorders>
            <w:vAlign w:val="center"/>
          </w:tcPr>
          <w:p w14:paraId="41753583">
            <w:pPr>
              <w:pStyle w:val="40"/>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优惠金额高的优先；响应报价也相等的，由评审委员会按照提供的外包人员多的原则排序。</w:t>
            </w:r>
          </w:p>
        </w:tc>
      </w:tr>
      <w:tr w14:paraId="4475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EA701EA">
            <w:pPr>
              <w:pStyle w:val="40"/>
            </w:pPr>
            <w:r>
              <w:rPr>
                <w:rFonts w:hint="eastAsia"/>
              </w:rPr>
              <w:t>2.1</w:t>
            </w:r>
          </w:p>
        </w:tc>
        <w:tc>
          <w:tcPr>
            <w:tcW w:w="1482" w:type="dxa"/>
            <w:tcBorders>
              <w:left w:val="single" w:color="auto" w:sz="4" w:space="0"/>
            </w:tcBorders>
            <w:vAlign w:val="center"/>
          </w:tcPr>
          <w:p w14:paraId="4B274642">
            <w:pPr>
              <w:pStyle w:val="40"/>
            </w:pPr>
            <w:r>
              <w:rPr>
                <w:rFonts w:hint="eastAsia"/>
              </w:rPr>
              <w:t>初步评审标准</w:t>
            </w:r>
          </w:p>
        </w:tc>
        <w:tc>
          <w:tcPr>
            <w:tcW w:w="7162" w:type="dxa"/>
            <w:gridSpan w:val="3"/>
            <w:tcBorders>
              <w:left w:val="single" w:color="auto" w:sz="4" w:space="0"/>
            </w:tcBorders>
            <w:vAlign w:val="center"/>
          </w:tcPr>
          <w:p w14:paraId="787A39AD">
            <w:pPr>
              <w:pStyle w:val="40"/>
            </w:pPr>
            <w:r>
              <w:rPr>
                <w:rFonts w:hint="eastAsia"/>
              </w:rPr>
              <w:t>所有响应单位进行初步评审。初步评审内容：资格评审、形式评审、响应性评审。</w:t>
            </w:r>
          </w:p>
        </w:tc>
      </w:tr>
      <w:tr w14:paraId="0BC7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D006A62">
            <w:pPr>
              <w:pStyle w:val="40"/>
            </w:pPr>
            <w:r>
              <w:rPr>
                <w:rFonts w:hint="eastAsia"/>
              </w:rPr>
              <w:t>2.1.1</w:t>
            </w:r>
          </w:p>
        </w:tc>
        <w:tc>
          <w:tcPr>
            <w:tcW w:w="1482" w:type="dxa"/>
            <w:tcBorders>
              <w:left w:val="single" w:color="auto" w:sz="4" w:space="0"/>
            </w:tcBorders>
            <w:vAlign w:val="center"/>
          </w:tcPr>
          <w:p w14:paraId="421C1559">
            <w:pPr>
              <w:pStyle w:val="40"/>
            </w:pPr>
            <w:r>
              <w:rPr>
                <w:rFonts w:hint="eastAsia"/>
              </w:rPr>
              <w:t>资格评审标准</w:t>
            </w:r>
          </w:p>
        </w:tc>
        <w:tc>
          <w:tcPr>
            <w:tcW w:w="1686" w:type="dxa"/>
            <w:gridSpan w:val="2"/>
            <w:tcBorders>
              <w:left w:val="single" w:color="auto" w:sz="4" w:space="0"/>
            </w:tcBorders>
            <w:vAlign w:val="center"/>
          </w:tcPr>
          <w:p w14:paraId="3E59FFCB">
            <w:pPr>
              <w:pStyle w:val="40"/>
            </w:pPr>
            <w:r>
              <w:rPr>
                <w:rFonts w:hint="eastAsia"/>
              </w:rPr>
              <w:t>资格条件要求</w:t>
            </w:r>
          </w:p>
        </w:tc>
        <w:tc>
          <w:tcPr>
            <w:tcW w:w="5476" w:type="dxa"/>
            <w:tcBorders>
              <w:left w:val="single" w:color="auto" w:sz="4" w:space="0"/>
            </w:tcBorders>
            <w:vAlign w:val="center"/>
          </w:tcPr>
          <w:p w14:paraId="488CA825">
            <w:pPr>
              <w:pStyle w:val="40"/>
            </w:pPr>
            <w:r>
              <w:rPr>
                <w:rFonts w:hint="eastAsia"/>
              </w:rPr>
              <w:t>符合第一章“2. 响应人资格要求”规定</w:t>
            </w:r>
          </w:p>
        </w:tc>
      </w:tr>
      <w:tr w14:paraId="4223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691C1CBC">
            <w:pPr>
              <w:pStyle w:val="40"/>
            </w:pPr>
            <w:r>
              <w:rPr>
                <w:rFonts w:hint="eastAsia"/>
              </w:rPr>
              <w:t>2.1.2</w:t>
            </w:r>
          </w:p>
        </w:tc>
        <w:tc>
          <w:tcPr>
            <w:tcW w:w="1482" w:type="dxa"/>
            <w:vMerge w:val="restart"/>
            <w:tcBorders>
              <w:left w:val="single" w:color="auto" w:sz="4" w:space="0"/>
            </w:tcBorders>
            <w:vAlign w:val="center"/>
          </w:tcPr>
          <w:p w14:paraId="635E13E7">
            <w:pPr>
              <w:pStyle w:val="40"/>
            </w:pPr>
            <w:r>
              <w:rPr>
                <w:rFonts w:hint="eastAsia"/>
              </w:rPr>
              <w:t>形式评审标准</w:t>
            </w:r>
          </w:p>
        </w:tc>
        <w:tc>
          <w:tcPr>
            <w:tcW w:w="1686" w:type="dxa"/>
            <w:gridSpan w:val="2"/>
            <w:tcBorders>
              <w:left w:val="single" w:color="auto" w:sz="4" w:space="0"/>
            </w:tcBorders>
            <w:vAlign w:val="center"/>
          </w:tcPr>
          <w:p w14:paraId="7307AC32">
            <w:pPr>
              <w:pStyle w:val="40"/>
            </w:pPr>
            <w:r>
              <w:rPr>
                <w:rFonts w:hint="eastAsia"/>
              </w:rPr>
              <w:t>响应人名称</w:t>
            </w:r>
          </w:p>
        </w:tc>
        <w:tc>
          <w:tcPr>
            <w:tcW w:w="5476" w:type="dxa"/>
            <w:tcBorders>
              <w:left w:val="single" w:color="auto" w:sz="4" w:space="0"/>
            </w:tcBorders>
            <w:vAlign w:val="center"/>
          </w:tcPr>
          <w:p w14:paraId="3E6A4861">
            <w:pPr>
              <w:pStyle w:val="40"/>
            </w:pPr>
            <w:r>
              <w:rPr>
                <w:rFonts w:hint="eastAsia"/>
              </w:rPr>
              <w:t>与营业执照、资格证明材料一致</w:t>
            </w:r>
          </w:p>
        </w:tc>
      </w:tr>
      <w:tr w14:paraId="2AC8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2156FC6">
            <w:pPr>
              <w:ind w:firstLine="420"/>
            </w:pPr>
          </w:p>
        </w:tc>
        <w:tc>
          <w:tcPr>
            <w:tcW w:w="1482" w:type="dxa"/>
            <w:vMerge w:val="continue"/>
            <w:tcBorders>
              <w:left w:val="single" w:color="auto" w:sz="4" w:space="0"/>
            </w:tcBorders>
            <w:textDirection w:val="tbRlV"/>
            <w:vAlign w:val="center"/>
          </w:tcPr>
          <w:p w14:paraId="3D28A59F">
            <w:pPr>
              <w:ind w:firstLine="420"/>
            </w:pPr>
          </w:p>
        </w:tc>
        <w:tc>
          <w:tcPr>
            <w:tcW w:w="1686" w:type="dxa"/>
            <w:gridSpan w:val="2"/>
            <w:tcBorders>
              <w:left w:val="single" w:color="auto" w:sz="4" w:space="0"/>
            </w:tcBorders>
            <w:vAlign w:val="center"/>
          </w:tcPr>
          <w:p w14:paraId="421BFE6D">
            <w:pPr>
              <w:pStyle w:val="40"/>
            </w:pPr>
            <w:r>
              <w:rPr>
                <w:rFonts w:hint="eastAsia"/>
              </w:rPr>
              <w:t>响应文件的签字盖章</w:t>
            </w:r>
          </w:p>
        </w:tc>
        <w:tc>
          <w:tcPr>
            <w:tcW w:w="5476" w:type="dxa"/>
            <w:tcBorders>
              <w:left w:val="single" w:color="auto" w:sz="4" w:space="0"/>
            </w:tcBorders>
            <w:vAlign w:val="center"/>
          </w:tcPr>
          <w:p w14:paraId="135FCD49">
            <w:pPr>
              <w:pStyle w:val="40"/>
            </w:pPr>
            <w:r>
              <w:rPr>
                <w:rFonts w:hint="eastAsia"/>
              </w:rPr>
              <w:t>符合第二章“响应人须知”4.6 条规定</w:t>
            </w:r>
          </w:p>
        </w:tc>
      </w:tr>
      <w:tr w14:paraId="70E7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4FFBFF8">
            <w:pPr>
              <w:ind w:firstLine="420"/>
            </w:pPr>
          </w:p>
        </w:tc>
        <w:tc>
          <w:tcPr>
            <w:tcW w:w="1482" w:type="dxa"/>
            <w:vMerge w:val="continue"/>
            <w:tcBorders>
              <w:left w:val="single" w:color="auto" w:sz="4" w:space="0"/>
            </w:tcBorders>
            <w:textDirection w:val="tbRlV"/>
            <w:vAlign w:val="center"/>
          </w:tcPr>
          <w:p w14:paraId="0A23A65B">
            <w:pPr>
              <w:ind w:firstLine="420"/>
            </w:pPr>
          </w:p>
        </w:tc>
        <w:tc>
          <w:tcPr>
            <w:tcW w:w="1686" w:type="dxa"/>
            <w:gridSpan w:val="2"/>
            <w:tcBorders>
              <w:left w:val="single" w:color="auto" w:sz="4" w:space="0"/>
            </w:tcBorders>
            <w:vAlign w:val="center"/>
          </w:tcPr>
          <w:p w14:paraId="49A1B8E3">
            <w:pPr>
              <w:pStyle w:val="40"/>
            </w:pPr>
            <w:r>
              <w:rPr>
                <w:rFonts w:hint="eastAsia"/>
              </w:rPr>
              <w:t>响应文件的密封</w:t>
            </w:r>
          </w:p>
        </w:tc>
        <w:tc>
          <w:tcPr>
            <w:tcW w:w="5476" w:type="dxa"/>
            <w:tcBorders>
              <w:left w:val="single" w:color="auto" w:sz="4" w:space="0"/>
            </w:tcBorders>
            <w:vAlign w:val="center"/>
          </w:tcPr>
          <w:p w14:paraId="684D3F93">
            <w:pPr>
              <w:pStyle w:val="40"/>
            </w:pPr>
            <w:r>
              <w:rPr>
                <w:rFonts w:hint="eastAsia"/>
              </w:rPr>
              <w:t>符合第二章“响应人须知”4.7 条规定</w:t>
            </w:r>
          </w:p>
        </w:tc>
      </w:tr>
      <w:tr w14:paraId="3901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D459D85">
            <w:pPr>
              <w:ind w:firstLine="420"/>
            </w:pPr>
          </w:p>
        </w:tc>
        <w:tc>
          <w:tcPr>
            <w:tcW w:w="1482" w:type="dxa"/>
            <w:vMerge w:val="continue"/>
            <w:tcBorders>
              <w:left w:val="single" w:color="auto" w:sz="4" w:space="0"/>
            </w:tcBorders>
            <w:textDirection w:val="tbRlV"/>
            <w:vAlign w:val="center"/>
          </w:tcPr>
          <w:p w14:paraId="1210B9AB">
            <w:pPr>
              <w:ind w:firstLine="420"/>
            </w:pPr>
          </w:p>
        </w:tc>
        <w:tc>
          <w:tcPr>
            <w:tcW w:w="1686" w:type="dxa"/>
            <w:gridSpan w:val="2"/>
            <w:tcBorders>
              <w:left w:val="single" w:color="auto" w:sz="4" w:space="0"/>
            </w:tcBorders>
            <w:vAlign w:val="center"/>
          </w:tcPr>
          <w:p w14:paraId="5E1D90BB">
            <w:pPr>
              <w:pStyle w:val="40"/>
            </w:pPr>
            <w:r>
              <w:rPr>
                <w:rFonts w:hint="eastAsia"/>
              </w:rPr>
              <w:t>响应文件格式</w:t>
            </w:r>
          </w:p>
        </w:tc>
        <w:tc>
          <w:tcPr>
            <w:tcW w:w="5476" w:type="dxa"/>
            <w:tcBorders>
              <w:left w:val="single" w:color="auto" w:sz="4" w:space="0"/>
            </w:tcBorders>
            <w:vAlign w:val="center"/>
          </w:tcPr>
          <w:p w14:paraId="41737069">
            <w:pPr>
              <w:pStyle w:val="40"/>
            </w:pPr>
            <w:r>
              <w:rPr>
                <w:rFonts w:hint="eastAsia"/>
              </w:rPr>
              <w:t>符合第六章“响应文件格式”的要求</w:t>
            </w:r>
          </w:p>
        </w:tc>
      </w:tr>
      <w:tr w14:paraId="29EA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79858C4">
            <w:pPr>
              <w:ind w:firstLine="420"/>
            </w:pPr>
          </w:p>
        </w:tc>
        <w:tc>
          <w:tcPr>
            <w:tcW w:w="1482" w:type="dxa"/>
            <w:vMerge w:val="continue"/>
            <w:tcBorders>
              <w:left w:val="single" w:color="auto" w:sz="4" w:space="0"/>
            </w:tcBorders>
            <w:textDirection w:val="tbRlV"/>
            <w:vAlign w:val="center"/>
          </w:tcPr>
          <w:p w14:paraId="7CE2AE60">
            <w:pPr>
              <w:ind w:firstLine="420"/>
            </w:pPr>
          </w:p>
        </w:tc>
        <w:tc>
          <w:tcPr>
            <w:tcW w:w="1686" w:type="dxa"/>
            <w:gridSpan w:val="2"/>
            <w:tcBorders>
              <w:left w:val="single" w:color="auto" w:sz="4" w:space="0"/>
            </w:tcBorders>
            <w:vAlign w:val="center"/>
          </w:tcPr>
          <w:p w14:paraId="280D25DA">
            <w:pPr>
              <w:pStyle w:val="40"/>
            </w:pPr>
            <w:r>
              <w:rPr>
                <w:rFonts w:hint="eastAsia"/>
              </w:rPr>
              <w:t>响应文件组成</w:t>
            </w:r>
          </w:p>
        </w:tc>
        <w:tc>
          <w:tcPr>
            <w:tcW w:w="5476" w:type="dxa"/>
            <w:tcBorders>
              <w:left w:val="single" w:color="auto" w:sz="4" w:space="0"/>
            </w:tcBorders>
            <w:vAlign w:val="center"/>
          </w:tcPr>
          <w:p w14:paraId="31D26A04">
            <w:pPr>
              <w:pStyle w:val="40"/>
            </w:pPr>
            <w:r>
              <w:rPr>
                <w:rFonts w:hint="eastAsia"/>
              </w:rPr>
              <w:t>符合第二章“响应人须知”4.2 条规定，内容齐全、无遗漏</w:t>
            </w:r>
          </w:p>
        </w:tc>
      </w:tr>
      <w:tr w14:paraId="20ED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848F395">
            <w:pPr>
              <w:ind w:firstLine="420"/>
            </w:pPr>
          </w:p>
        </w:tc>
        <w:tc>
          <w:tcPr>
            <w:tcW w:w="1482" w:type="dxa"/>
            <w:vMerge w:val="continue"/>
            <w:tcBorders>
              <w:left w:val="single" w:color="auto" w:sz="4" w:space="0"/>
            </w:tcBorders>
            <w:textDirection w:val="tbRlV"/>
            <w:vAlign w:val="center"/>
          </w:tcPr>
          <w:p w14:paraId="324986DD">
            <w:pPr>
              <w:ind w:firstLine="420"/>
            </w:pPr>
          </w:p>
        </w:tc>
        <w:tc>
          <w:tcPr>
            <w:tcW w:w="1686" w:type="dxa"/>
            <w:gridSpan w:val="2"/>
            <w:tcBorders>
              <w:left w:val="single" w:color="auto" w:sz="4" w:space="0"/>
            </w:tcBorders>
            <w:vAlign w:val="center"/>
          </w:tcPr>
          <w:p w14:paraId="503D11B6">
            <w:pPr>
              <w:pStyle w:val="40"/>
            </w:pPr>
            <w:r>
              <w:rPr>
                <w:rFonts w:hint="eastAsia"/>
              </w:rPr>
              <w:t>联合体响应</w:t>
            </w:r>
          </w:p>
        </w:tc>
        <w:tc>
          <w:tcPr>
            <w:tcW w:w="5476" w:type="dxa"/>
            <w:tcBorders>
              <w:left w:val="single" w:color="auto" w:sz="4" w:space="0"/>
            </w:tcBorders>
            <w:vAlign w:val="center"/>
          </w:tcPr>
          <w:p w14:paraId="4B33702A">
            <w:pPr>
              <w:pStyle w:val="40"/>
            </w:pPr>
            <w:r>
              <w:rPr>
                <w:rFonts w:hint="eastAsia"/>
              </w:rPr>
              <w:t>符合第一章“2. 响应人资格要求”2.5 条的要求</w:t>
            </w:r>
          </w:p>
        </w:tc>
      </w:tr>
      <w:tr w14:paraId="534C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6D350880">
            <w:pPr>
              <w:pStyle w:val="40"/>
            </w:pPr>
            <w:r>
              <w:rPr>
                <w:rFonts w:hint="eastAsia"/>
              </w:rPr>
              <w:t>2.1.3</w:t>
            </w:r>
          </w:p>
        </w:tc>
        <w:tc>
          <w:tcPr>
            <w:tcW w:w="1482" w:type="dxa"/>
            <w:vMerge w:val="restart"/>
            <w:tcBorders>
              <w:left w:val="single" w:color="auto" w:sz="4" w:space="0"/>
            </w:tcBorders>
            <w:vAlign w:val="center"/>
          </w:tcPr>
          <w:p w14:paraId="756B2F79">
            <w:pPr>
              <w:pStyle w:val="40"/>
            </w:pPr>
            <w:r>
              <w:rPr>
                <w:rFonts w:hint="eastAsia"/>
              </w:rPr>
              <w:t>响应性评审标准</w:t>
            </w:r>
          </w:p>
        </w:tc>
        <w:tc>
          <w:tcPr>
            <w:tcW w:w="1686" w:type="dxa"/>
            <w:gridSpan w:val="2"/>
            <w:tcBorders>
              <w:left w:val="single" w:color="auto" w:sz="4" w:space="0"/>
            </w:tcBorders>
            <w:vAlign w:val="center"/>
          </w:tcPr>
          <w:p w14:paraId="0DFC18AE">
            <w:pPr>
              <w:pStyle w:val="40"/>
            </w:pPr>
            <w:r>
              <w:rPr>
                <w:rFonts w:hint="eastAsia"/>
              </w:rPr>
              <w:t>响应内容</w:t>
            </w:r>
          </w:p>
        </w:tc>
        <w:tc>
          <w:tcPr>
            <w:tcW w:w="5476" w:type="dxa"/>
            <w:tcBorders>
              <w:left w:val="single" w:color="auto" w:sz="4" w:space="0"/>
            </w:tcBorders>
            <w:vAlign w:val="center"/>
          </w:tcPr>
          <w:p w14:paraId="4AB3E837">
            <w:pPr>
              <w:pStyle w:val="40"/>
            </w:pPr>
            <w:r>
              <w:rPr>
                <w:rFonts w:hint="eastAsia"/>
              </w:rPr>
              <w:t>1. 在响应承诺函中对第三章“项目要求”内容做出整体承诺；</w:t>
            </w:r>
          </w:p>
          <w:p w14:paraId="4CE1FF9A">
            <w:pPr>
              <w:pStyle w:val="40"/>
            </w:pPr>
            <w:r>
              <w:rPr>
                <w:rFonts w:hint="eastAsia"/>
              </w:rPr>
              <w:t>2. 根据第一章“2. 响应人</w:t>
            </w:r>
            <w:r>
              <w:t>资格要求”和第三章“项目要求”的要求规定，提供对应</w:t>
            </w:r>
            <w:r>
              <w:rPr>
                <w:rFonts w:hint="eastAsia"/>
              </w:rPr>
              <w:t>资料</w:t>
            </w:r>
            <w:r>
              <w:t>，内容齐全、无遗漏。</w:t>
            </w:r>
          </w:p>
        </w:tc>
      </w:tr>
      <w:tr w14:paraId="5B34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4BAAE5C">
            <w:pPr>
              <w:ind w:firstLine="420"/>
            </w:pPr>
          </w:p>
        </w:tc>
        <w:tc>
          <w:tcPr>
            <w:tcW w:w="1482" w:type="dxa"/>
            <w:vMerge w:val="continue"/>
            <w:tcBorders>
              <w:left w:val="single" w:color="auto" w:sz="4" w:space="0"/>
            </w:tcBorders>
          </w:tcPr>
          <w:p w14:paraId="611DED83">
            <w:pPr>
              <w:ind w:firstLine="420"/>
            </w:pPr>
          </w:p>
        </w:tc>
        <w:tc>
          <w:tcPr>
            <w:tcW w:w="1686" w:type="dxa"/>
            <w:gridSpan w:val="2"/>
            <w:tcBorders>
              <w:left w:val="single" w:color="auto" w:sz="4" w:space="0"/>
            </w:tcBorders>
            <w:vAlign w:val="center"/>
          </w:tcPr>
          <w:p w14:paraId="66D541FA">
            <w:pPr>
              <w:pStyle w:val="40"/>
            </w:pPr>
            <w:r>
              <w:rPr>
                <w:rFonts w:hint="eastAsia"/>
              </w:rPr>
              <w:t>响应文件份数</w:t>
            </w:r>
          </w:p>
        </w:tc>
        <w:tc>
          <w:tcPr>
            <w:tcW w:w="5476" w:type="dxa"/>
            <w:tcBorders>
              <w:left w:val="single" w:color="auto" w:sz="4" w:space="0"/>
            </w:tcBorders>
            <w:vAlign w:val="center"/>
          </w:tcPr>
          <w:p w14:paraId="1EB66ED9">
            <w:pPr>
              <w:pStyle w:val="40"/>
            </w:pPr>
            <w:r>
              <w:rPr>
                <w:rFonts w:hint="eastAsia"/>
              </w:rPr>
              <w:t>符合第二章“响应人须知”4.6 条规定</w:t>
            </w:r>
          </w:p>
        </w:tc>
      </w:tr>
      <w:tr w14:paraId="6C39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CC048E5">
            <w:pPr>
              <w:ind w:firstLine="420"/>
            </w:pPr>
          </w:p>
        </w:tc>
        <w:tc>
          <w:tcPr>
            <w:tcW w:w="1482" w:type="dxa"/>
            <w:vMerge w:val="continue"/>
            <w:tcBorders>
              <w:left w:val="single" w:color="auto" w:sz="4" w:space="0"/>
            </w:tcBorders>
          </w:tcPr>
          <w:p w14:paraId="7FA7408E">
            <w:pPr>
              <w:ind w:firstLine="420"/>
            </w:pPr>
          </w:p>
        </w:tc>
        <w:tc>
          <w:tcPr>
            <w:tcW w:w="1686" w:type="dxa"/>
            <w:gridSpan w:val="2"/>
            <w:tcBorders>
              <w:left w:val="single" w:color="auto" w:sz="4" w:space="0"/>
            </w:tcBorders>
            <w:vAlign w:val="center"/>
          </w:tcPr>
          <w:p w14:paraId="577B87CE">
            <w:pPr>
              <w:pStyle w:val="40"/>
            </w:pPr>
            <w:r>
              <w:rPr>
                <w:rFonts w:hint="eastAsia"/>
              </w:rPr>
              <w:t>响应方案唯一</w:t>
            </w:r>
          </w:p>
        </w:tc>
        <w:tc>
          <w:tcPr>
            <w:tcW w:w="5476" w:type="dxa"/>
            <w:tcBorders>
              <w:left w:val="single" w:color="auto" w:sz="4" w:space="0"/>
            </w:tcBorders>
            <w:vAlign w:val="center"/>
          </w:tcPr>
          <w:p w14:paraId="1789FA59">
            <w:pPr>
              <w:pStyle w:val="40"/>
            </w:pPr>
            <w:r>
              <w:rPr>
                <w:rFonts w:hint="eastAsia"/>
              </w:rPr>
              <w:t>只能有一个方案响应。</w:t>
            </w:r>
          </w:p>
        </w:tc>
      </w:tr>
      <w:tr w14:paraId="052B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EE71BAF">
            <w:pPr>
              <w:ind w:firstLine="420"/>
            </w:pPr>
          </w:p>
        </w:tc>
        <w:tc>
          <w:tcPr>
            <w:tcW w:w="1482" w:type="dxa"/>
            <w:vMerge w:val="continue"/>
            <w:tcBorders>
              <w:left w:val="single" w:color="auto" w:sz="4" w:space="0"/>
            </w:tcBorders>
          </w:tcPr>
          <w:p w14:paraId="5E7E42D2">
            <w:pPr>
              <w:ind w:firstLine="420"/>
            </w:pPr>
          </w:p>
        </w:tc>
        <w:tc>
          <w:tcPr>
            <w:tcW w:w="1686" w:type="dxa"/>
            <w:gridSpan w:val="2"/>
            <w:tcBorders>
              <w:left w:val="single" w:color="auto" w:sz="4" w:space="0"/>
            </w:tcBorders>
            <w:vAlign w:val="center"/>
          </w:tcPr>
          <w:p w14:paraId="14EB8662">
            <w:pPr>
              <w:pStyle w:val="40"/>
            </w:pPr>
            <w:r>
              <w:rPr>
                <w:rFonts w:hint="eastAsia"/>
              </w:rPr>
              <w:t>响应报价</w:t>
            </w:r>
          </w:p>
        </w:tc>
        <w:tc>
          <w:tcPr>
            <w:tcW w:w="5476" w:type="dxa"/>
            <w:tcBorders>
              <w:left w:val="single" w:color="auto" w:sz="4" w:space="0"/>
            </w:tcBorders>
            <w:vAlign w:val="center"/>
          </w:tcPr>
          <w:p w14:paraId="7BD25B73">
            <w:pPr>
              <w:pStyle w:val="40"/>
            </w:pPr>
            <w:r>
              <w:rPr>
                <w:rFonts w:hint="eastAsia"/>
              </w:rPr>
              <w:t>符合第二章“响应人须知”4.8 条规定</w:t>
            </w:r>
          </w:p>
        </w:tc>
      </w:tr>
      <w:tr w14:paraId="1EA3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D7CECCD">
            <w:pPr>
              <w:ind w:firstLine="420"/>
            </w:pPr>
          </w:p>
        </w:tc>
        <w:tc>
          <w:tcPr>
            <w:tcW w:w="1482" w:type="dxa"/>
            <w:vMerge w:val="continue"/>
            <w:tcBorders>
              <w:left w:val="single" w:color="auto" w:sz="4" w:space="0"/>
            </w:tcBorders>
          </w:tcPr>
          <w:p w14:paraId="210DE138">
            <w:pPr>
              <w:ind w:firstLine="420"/>
            </w:pPr>
          </w:p>
        </w:tc>
        <w:tc>
          <w:tcPr>
            <w:tcW w:w="1686" w:type="dxa"/>
            <w:gridSpan w:val="2"/>
            <w:tcBorders>
              <w:left w:val="single" w:color="auto" w:sz="4" w:space="0"/>
            </w:tcBorders>
            <w:vAlign w:val="center"/>
          </w:tcPr>
          <w:p w14:paraId="60366353">
            <w:pPr>
              <w:pStyle w:val="40"/>
            </w:pPr>
            <w:r>
              <w:rPr>
                <w:rFonts w:hint="eastAsia"/>
              </w:rPr>
              <w:t>响应有效期</w:t>
            </w:r>
          </w:p>
        </w:tc>
        <w:tc>
          <w:tcPr>
            <w:tcW w:w="5476" w:type="dxa"/>
            <w:tcBorders>
              <w:left w:val="single" w:color="auto" w:sz="4" w:space="0"/>
            </w:tcBorders>
          </w:tcPr>
          <w:p w14:paraId="46772C55">
            <w:pPr>
              <w:pStyle w:val="40"/>
            </w:pPr>
            <w:r>
              <w:rPr>
                <w:rFonts w:hint="eastAsia"/>
              </w:rPr>
              <w:t>符合第二章“响应人须知”4.4 条规定</w:t>
            </w:r>
          </w:p>
        </w:tc>
      </w:tr>
      <w:tr w14:paraId="699F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A0A5C90">
            <w:pPr>
              <w:ind w:firstLine="420"/>
            </w:pPr>
          </w:p>
        </w:tc>
        <w:tc>
          <w:tcPr>
            <w:tcW w:w="1482" w:type="dxa"/>
            <w:vMerge w:val="continue"/>
            <w:tcBorders>
              <w:left w:val="single" w:color="auto" w:sz="4" w:space="0"/>
            </w:tcBorders>
          </w:tcPr>
          <w:p w14:paraId="4418A44C">
            <w:pPr>
              <w:ind w:firstLine="420"/>
            </w:pPr>
          </w:p>
        </w:tc>
        <w:tc>
          <w:tcPr>
            <w:tcW w:w="1686" w:type="dxa"/>
            <w:gridSpan w:val="2"/>
            <w:tcBorders>
              <w:left w:val="single" w:color="auto" w:sz="4" w:space="0"/>
            </w:tcBorders>
            <w:vAlign w:val="center"/>
          </w:tcPr>
          <w:p w14:paraId="7CCEEBE9">
            <w:pPr>
              <w:pStyle w:val="40"/>
            </w:pPr>
            <w:r>
              <w:rPr>
                <w:rFonts w:hint="eastAsia"/>
              </w:rPr>
              <w:t>响应保证金</w:t>
            </w:r>
          </w:p>
        </w:tc>
        <w:tc>
          <w:tcPr>
            <w:tcW w:w="5476" w:type="dxa"/>
            <w:tcBorders>
              <w:left w:val="single" w:color="auto" w:sz="4" w:space="0"/>
            </w:tcBorders>
          </w:tcPr>
          <w:p w14:paraId="3E3FCAFF">
            <w:pPr>
              <w:pStyle w:val="40"/>
            </w:pPr>
            <w:r>
              <w:rPr>
                <w:rFonts w:hint="eastAsia"/>
                <w:lang w:val="en-US" w:eastAsia="zh-CN"/>
              </w:rPr>
              <w:t>按时足额缴纳响应保证金，以</w:t>
            </w:r>
            <w:r>
              <w:rPr>
                <w:rFonts w:hint="eastAsia"/>
              </w:rPr>
              <w:t>重庆市公共资源交易中心</w:t>
            </w:r>
            <w:r>
              <w:rPr>
                <w:rFonts w:hint="eastAsia"/>
                <w:lang w:eastAsia="zh-CN"/>
              </w:rPr>
              <w:t>《</w:t>
            </w:r>
            <w:r>
              <w:rPr>
                <w:rFonts w:hint="eastAsia"/>
                <w:lang w:val="en-US" w:eastAsia="zh-CN"/>
              </w:rPr>
              <w:t>投标保证金交纳情况一览表</w:t>
            </w:r>
            <w:r>
              <w:rPr>
                <w:rFonts w:hint="eastAsia"/>
                <w:lang w:eastAsia="zh-CN"/>
              </w:rPr>
              <w:t>》</w:t>
            </w:r>
            <w:r>
              <w:rPr>
                <w:rFonts w:hint="eastAsia"/>
                <w:lang w:val="en-US" w:eastAsia="zh-CN"/>
              </w:rPr>
              <w:t>为准。</w:t>
            </w:r>
          </w:p>
        </w:tc>
      </w:tr>
      <w:tr w14:paraId="7C80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820" w:type="dxa"/>
            <w:vMerge w:val="restart"/>
            <w:vAlign w:val="center"/>
          </w:tcPr>
          <w:p w14:paraId="38CC49E8">
            <w:pPr>
              <w:pStyle w:val="40"/>
            </w:pPr>
            <w:r>
              <w:rPr>
                <w:rFonts w:hint="eastAsia"/>
              </w:rPr>
              <w:t>2.2</w:t>
            </w:r>
          </w:p>
        </w:tc>
        <w:tc>
          <w:tcPr>
            <w:tcW w:w="1482" w:type="dxa"/>
            <w:vMerge w:val="restart"/>
            <w:tcBorders>
              <w:left w:val="single" w:color="auto" w:sz="4" w:space="0"/>
            </w:tcBorders>
            <w:vAlign w:val="center"/>
          </w:tcPr>
          <w:p w14:paraId="4B606977">
            <w:pPr>
              <w:pStyle w:val="40"/>
            </w:pPr>
            <w:r>
              <w:rPr>
                <w:rFonts w:hint="eastAsia"/>
              </w:rPr>
              <w:t>详细评审</w:t>
            </w:r>
          </w:p>
        </w:tc>
        <w:tc>
          <w:tcPr>
            <w:tcW w:w="1686" w:type="dxa"/>
            <w:gridSpan w:val="2"/>
            <w:vMerge w:val="restart"/>
            <w:tcBorders>
              <w:left w:val="single" w:color="auto" w:sz="4" w:space="0"/>
            </w:tcBorders>
            <w:vAlign w:val="center"/>
          </w:tcPr>
          <w:p w14:paraId="2B64A6FC">
            <w:pPr>
              <w:pStyle w:val="40"/>
            </w:pPr>
            <w:r>
              <w:rPr>
                <w:rFonts w:hint="eastAsia"/>
              </w:rPr>
              <w:t>分值构成与评分标准</w:t>
            </w:r>
          </w:p>
          <w:p w14:paraId="450761BE">
            <w:pPr>
              <w:pStyle w:val="40"/>
            </w:pPr>
            <w:r>
              <w:rPr>
                <w:rFonts w:hint="eastAsia"/>
              </w:rPr>
              <w:t>(总分1OO分)</w:t>
            </w:r>
          </w:p>
        </w:tc>
        <w:tc>
          <w:tcPr>
            <w:tcW w:w="5476" w:type="dxa"/>
            <w:tcBorders>
              <w:left w:val="single" w:color="auto" w:sz="4" w:space="0"/>
            </w:tcBorders>
            <w:vAlign w:val="center"/>
          </w:tcPr>
          <w:p w14:paraId="207734C8">
            <w:pPr>
              <w:pStyle w:val="40"/>
            </w:pPr>
            <w:r>
              <w:rPr>
                <w:rFonts w:hint="eastAsia"/>
              </w:rPr>
              <w:t>响应报价评分规则</w:t>
            </w:r>
            <w:r>
              <w:t>（分值：70分）</w:t>
            </w:r>
          </w:p>
          <w:p w14:paraId="77AE5AF2">
            <w:pPr>
              <w:pStyle w:val="40"/>
            </w:pPr>
            <w:r>
              <w:rPr>
                <w:rFonts w:hint="eastAsia"/>
              </w:rPr>
              <w:t>商务</w:t>
            </w:r>
            <w:r>
              <w:t>评审</w:t>
            </w:r>
            <w:r>
              <w:rPr>
                <w:rFonts w:hint="eastAsia"/>
              </w:rPr>
              <w:t>基准分为</w:t>
            </w:r>
            <w:r>
              <w:t>30</w:t>
            </w:r>
            <w:r>
              <w:rPr>
                <w:rFonts w:hint="eastAsia"/>
              </w:rPr>
              <w:t>分，优惠金额每增加100元加2分，以此类推。该项总得分不超过7</w:t>
            </w:r>
            <w:r>
              <w:t>0</w:t>
            </w:r>
            <w:r>
              <w:rPr>
                <w:rFonts w:hint="eastAsia"/>
              </w:rPr>
              <w:t>分。</w:t>
            </w:r>
          </w:p>
          <w:p w14:paraId="299DA371">
            <w:pPr>
              <w:pStyle w:val="40"/>
            </w:pPr>
            <w:r>
              <w:rPr>
                <w:rFonts w:hint="eastAsia"/>
              </w:rPr>
              <w:t>无效报价认定：</w:t>
            </w:r>
          </w:p>
          <w:p w14:paraId="5D6E7432">
            <w:pPr>
              <w:pStyle w:val="40"/>
            </w:pPr>
            <w:r>
              <w:rPr>
                <w:rFonts w:hint="eastAsia"/>
              </w:rPr>
              <w:t xml:space="preserve">1. </w:t>
            </w:r>
            <w:r>
              <w:t>响应</w:t>
            </w:r>
            <w:r>
              <w:rPr>
                <w:rFonts w:hint="eastAsia"/>
              </w:rPr>
              <w:t>人有效报价个数≥15时，去掉2个最高报价和2个最低报价，取剩余有效报价中优惠金额的算术平均值作为优惠金额基准价；8≤</w:t>
            </w:r>
            <w:r>
              <w:t>响应</w:t>
            </w:r>
            <w:r>
              <w:rPr>
                <w:rFonts w:hint="eastAsia"/>
              </w:rPr>
              <w:t>人有效报价个数＜15时，去掉1个最高报价和1个最低报价，取剩余有效报价中优惠金额的算术平均值作为优惠金额基准价；</w:t>
            </w:r>
            <w:r>
              <w:t>响应</w:t>
            </w:r>
            <w:r>
              <w:rPr>
                <w:rFonts w:hint="eastAsia"/>
              </w:rPr>
              <w:t>人有效报价个数＜8时，取所有有效报价中优惠金额的算术平均值作为优惠金额基准价；</w:t>
            </w:r>
          </w:p>
          <w:p w14:paraId="62DF0929">
            <w:pPr>
              <w:pStyle w:val="40"/>
            </w:pPr>
            <w:r>
              <w:rPr>
                <w:rFonts w:hint="eastAsia"/>
              </w:rPr>
              <w:t>2. 计算各有效报价中优惠金额与优惠金额基准价的偏离度，偏离度=（有效报价优惠金额/优惠金额基准价-1）*100%；</w:t>
            </w:r>
          </w:p>
          <w:p w14:paraId="45DFAABE">
            <w:pPr>
              <w:pStyle w:val="40"/>
            </w:pPr>
            <w:r>
              <w:rPr>
                <w:rFonts w:hint="eastAsia"/>
              </w:rPr>
              <w:t>3. 报价偏离度50%及以上的</w:t>
            </w:r>
            <w:r>
              <w:t>响应</w:t>
            </w:r>
            <w:r>
              <w:rPr>
                <w:rFonts w:hint="eastAsia"/>
              </w:rPr>
              <w:t>为无效报价，失去中选资格；</w:t>
            </w:r>
          </w:p>
        </w:tc>
      </w:tr>
      <w:tr w14:paraId="0901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2961979A">
            <w:pPr>
              <w:ind w:firstLine="420"/>
            </w:pPr>
          </w:p>
        </w:tc>
        <w:tc>
          <w:tcPr>
            <w:tcW w:w="1482" w:type="dxa"/>
            <w:vMerge w:val="continue"/>
            <w:tcBorders>
              <w:left w:val="single" w:color="auto" w:sz="4" w:space="0"/>
            </w:tcBorders>
            <w:vAlign w:val="center"/>
          </w:tcPr>
          <w:p w14:paraId="29772934">
            <w:pPr>
              <w:ind w:firstLine="420"/>
            </w:pPr>
          </w:p>
        </w:tc>
        <w:tc>
          <w:tcPr>
            <w:tcW w:w="1686" w:type="dxa"/>
            <w:gridSpan w:val="2"/>
            <w:vMerge w:val="continue"/>
            <w:tcBorders>
              <w:left w:val="single" w:color="auto" w:sz="4" w:space="0"/>
            </w:tcBorders>
            <w:vAlign w:val="center"/>
          </w:tcPr>
          <w:p w14:paraId="2382FF65">
            <w:pPr>
              <w:ind w:firstLine="420"/>
            </w:pPr>
          </w:p>
        </w:tc>
        <w:tc>
          <w:tcPr>
            <w:tcW w:w="5476" w:type="dxa"/>
            <w:tcBorders>
              <w:left w:val="single" w:color="auto" w:sz="4" w:space="0"/>
            </w:tcBorders>
            <w:vAlign w:val="center"/>
          </w:tcPr>
          <w:p w14:paraId="4C7C490E">
            <w:pPr>
              <w:autoSpaceDE/>
              <w:autoSpaceDN/>
              <w:spacing w:line="400" w:lineRule="exact"/>
              <w:ind w:firstLine="0" w:firstLineChars="0"/>
              <w:jc w:val="left"/>
              <w:rPr>
                <w:rFonts w:ascii="宋体" w:hAnsi="宋体" w:cs="宋体"/>
                <w:b/>
                <w:bCs/>
                <w:kern w:val="0"/>
                <w:szCs w:val="21"/>
              </w:rPr>
            </w:pPr>
            <w:r>
              <w:rPr>
                <w:rFonts w:hint="eastAsia" w:ascii="宋体" w:hAnsi="宋体" w:cs="宋体"/>
                <w:b/>
                <w:bCs/>
                <w:kern w:val="0"/>
                <w:szCs w:val="21"/>
              </w:rPr>
              <w:t>二、商务部分评分规则（分值：</w:t>
            </w:r>
            <w:r>
              <w:rPr>
                <w:rFonts w:ascii="宋体" w:hAnsi="宋体" w:cs="宋体"/>
                <w:b/>
                <w:bCs/>
                <w:kern w:val="0"/>
                <w:szCs w:val="21"/>
              </w:rPr>
              <w:t>25</w:t>
            </w:r>
            <w:r>
              <w:rPr>
                <w:rFonts w:hint="eastAsia" w:ascii="宋体" w:hAnsi="宋体" w:cs="宋体"/>
                <w:b/>
                <w:bCs/>
                <w:kern w:val="0"/>
                <w:szCs w:val="21"/>
              </w:rPr>
              <w:t>分）</w:t>
            </w:r>
          </w:p>
          <w:p w14:paraId="288A844E">
            <w:pPr>
              <w:autoSpaceDE/>
              <w:autoSpaceDN/>
              <w:spacing w:line="400" w:lineRule="exact"/>
              <w:ind w:firstLine="0" w:firstLineChars="0"/>
              <w:jc w:val="left"/>
              <w:rPr>
                <w:rFonts w:ascii="宋体" w:hAnsi="宋体" w:cs="宋体"/>
                <w:b/>
                <w:bCs/>
                <w:kern w:val="0"/>
                <w:szCs w:val="21"/>
              </w:rPr>
            </w:pPr>
            <w:r>
              <w:rPr>
                <w:rStyle w:val="22"/>
                <w:rFonts w:hint="eastAsia"/>
                <w:bCs/>
              </w:rPr>
              <w:t>1、</w:t>
            </w:r>
            <w:r>
              <w:rPr>
                <w:rFonts w:hint="eastAsia" w:ascii="宋体" w:hAnsi="宋体" w:cs="宋体"/>
                <w:b/>
                <w:bCs/>
                <w:kern w:val="0"/>
                <w:szCs w:val="21"/>
              </w:rPr>
              <w:t>响应人管理资质（分值：</w:t>
            </w:r>
            <w:r>
              <w:rPr>
                <w:rFonts w:ascii="宋体" w:hAnsi="宋体" w:cs="宋体"/>
                <w:b/>
                <w:bCs/>
                <w:kern w:val="0"/>
                <w:szCs w:val="21"/>
              </w:rPr>
              <w:t>5</w:t>
            </w:r>
            <w:r>
              <w:rPr>
                <w:rFonts w:hint="eastAsia" w:ascii="宋体" w:hAnsi="宋体" w:cs="宋体"/>
                <w:b/>
                <w:bCs/>
                <w:kern w:val="0"/>
                <w:szCs w:val="21"/>
              </w:rPr>
              <w:t>分）</w:t>
            </w:r>
          </w:p>
          <w:p w14:paraId="4E50EC29">
            <w:pPr>
              <w:spacing w:line="400" w:lineRule="exact"/>
              <w:ind w:firstLine="420"/>
              <w:jc w:val="left"/>
            </w:pPr>
            <w:r>
              <w:rPr>
                <w:rFonts w:hint="eastAsia"/>
              </w:rPr>
              <w:t>（1）有ISO体系相关认证，ISO9001（质量管理）/ISO20000（服务管理）/ISO27001（信息安全）/ISO22301（业务连续性），每项认证得</w:t>
            </w:r>
            <w:r>
              <w:t>1</w:t>
            </w:r>
            <w:r>
              <w:rPr>
                <w:rFonts w:hint="eastAsia"/>
              </w:rPr>
              <w:t>分；满分</w:t>
            </w:r>
            <w:r>
              <w:t>4</w:t>
            </w:r>
            <w:r>
              <w:rPr>
                <w:rFonts w:hint="eastAsia"/>
              </w:rPr>
              <w:t>分。</w:t>
            </w:r>
          </w:p>
          <w:p w14:paraId="71D435C0">
            <w:pPr>
              <w:spacing w:line="400" w:lineRule="exact"/>
              <w:ind w:firstLine="420"/>
              <w:jc w:val="left"/>
            </w:pPr>
            <w:r>
              <w:rPr>
                <w:rFonts w:hint="eastAsia"/>
              </w:rPr>
              <w:t>（2）有软件成熟度相关认证，CMMI 5级得</w:t>
            </w:r>
            <w:r>
              <w:t>1</w:t>
            </w:r>
            <w:r>
              <w:rPr>
                <w:rFonts w:hint="eastAsia"/>
              </w:rPr>
              <w:t>分，其他不得分。</w:t>
            </w:r>
          </w:p>
          <w:p w14:paraId="65F51116">
            <w:pPr>
              <w:spacing w:line="400" w:lineRule="exact"/>
              <w:ind w:firstLine="420"/>
              <w:jc w:val="left"/>
            </w:pPr>
            <w:r>
              <w:rPr>
                <w:rFonts w:hint="eastAsia"/>
              </w:rPr>
              <w:t>注：需提供相关证书复印件。</w:t>
            </w:r>
          </w:p>
          <w:p w14:paraId="63AE1665">
            <w:pPr>
              <w:autoSpaceDE/>
              <w:autoSpaceDN/>
              <w:spacing w:line="400" w:lineRule="exact"/>
              <w:ind w:firstLine="0" w:firstLineChars="0"/>
              <w:jc w:val="left"/>
              <w:rPr>
                <w:rFonts w:ascii="宋体" w:hAnsi="宋体" w:cs="宋体"/>
                <w:b/>
                <w:bCs/>
                <w:kern w:val="0"/>
                <w:szCs w:val="21"/>
              </w:rPr>
            </w:pPr>
            <w:r>
              <w:rPr>
                <w:rFonts w:hint="eastAsia" w:ascii="宋体" w:hAnsi="宋体" w:cs="宋体"/>
                <w:b/>
                <w:bCs/>
                <w:kern w:val="0"/>
                <w:szCs w:val="21"/>
              </w:rPr>
              <w:t>2、响应人实施案例（分值：</w:t>
            </w:r>
            <w:r>
              <w:rPr>
                <w:rFonts w:ascii="宋体" w:hAnsi="宋体" w:cs="宋体"/>
                <w:b/>
                <w:bCs/>
                <w:kern w:val="0"/>
                <w:szCs w:val="21"/>
              </w:rPr>
              <w:t>10</w:t>
            </w:r>
            <w:r>
              <w:rPr>
                <w:rFonts w:hint="eastAsia" w:ascii="宋体" w:hAnsi="宋体" w:cs="宋体"/>
                <w:b/>
                <w:bCs/>
                <w:kern w:val="0"/>
                <w:szCs w:val="21"/>
              </w:rPr>
              <w:t>分）</w:t>
            </w:r>
          </w:p>
          <w:p w14:paraId="376EA356">
            <w:pPr>
              <w:autoSpaceDE/>
              <w:autoSpaceDN/>
              <w:spacing w:line="400" w:lineRule="exact"/>
              <w:ind w:firstLine="0" w:firstLineChars="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根据响应人提供的国内银行业监管报送人力外包项目开发实施案例，在</w:t>
            </w:r>
            <w:r>
              <w:rPr>
                <w:rFonts w:hint="eastAsia" w:ascii="宋体" w:hAnsi="宋体" w:cs="宋体"/>
                <w:kern w:val="0"/>
                <w:szCs w:val="21"/>
              </w:rPr>
              <w:t>资格要求</w:t>
            </w:r>
            <w:r>
              <w:rPr>
                <w:rFonts w:ascii="宋体" w:hAnsi="宋体" w:cs="宋体"/>
                <w:kern w:val="0"/>
                <w:szCs w:val="21"/>
              </w:rPr>
              <w:t>3个案例的基础上，每增加一个</w:t>
            </w:r>
            <w:r>
              <w:rPr>
                <w:rFonts w:hint="eastAsia" w:ascii="宋体" w:hAnsi="宋体" w:cs="宋体"/>
                <w:kern w:val="0"/>
                <w:szCs w:val="21"/>
              </w:rPr>
              <w:t>国内银行业监管报送人力外包项目实施案例</w:t>
            </w:r>
            <w:r>
              <w:rPr>
                <w:rFonts w:ascii="宋体" w:hAnsi="宋体" w:cs="宋体"/>
                <w:kern w:val="0"/>
                <w:szCs w:val="21"/>
              </w:rPr>
              <w:t>得1分，满分7分。</w:t>
            </w:r>
          </w:p>
          <w:p w14:paraId="451303B9">
            <w:pPr>
              <w:autoSpaceDE/>
              <w:autoSpaceDN/>
              <w:spacing w:line="400" w:lineRule="exact"/>
              <w:ind w:firstLine="0" w:firstLineChars="0"/>
              <w:jc w:val="left"/>
              <w:rPr>
                <w:rFonts w:ascii="宋体" w:hAnsi="宋体" w:cs="宋体"/>
                <w:kern w:val="0"/>
                <w:szCs w:val="21"/>
              </w:rPr>
            </w:pPr>
            <w:r>
              <w:t>响应</w:t>
            </w:r>
            <w:r>
              <w:rPr>
                <w:rFonts w:hint="eastAsia" w:ascii="宋体" w:hAnsi="宋体" w:cs="宋体"/>
                <w:kern w:val="0"/>
                <w:szCs w:val="21"/>
              </w:rPr>
              <w:t>人须提供202</w:t>
            </w:r>
            <w:r>
              <w:rPr>
                <w:rFonts w:ascii="宋体" w:hAnsi="宋体" w:cs="宋体"/>
                <w:kern w:val="0"/>
                <w:szCs w:val="21"/>
              </w:rPr>
              <w:t>2</w:t>
            </w:r>
            <w:r>
              <w:rPr>
                <w:rFonts w:hint="eastAsia" w:ascii="宋体" w:hAnsi="宋体" w:cs="宋体"/>
                <w:kern w:val="0"/>
                <w:szCs w:val="21"/>
              </w:rPr>
              <w:t>年</w:t>
            </w:r>
            <w:r>
              <w:rPr>
                <w:rFonts w:ascii="宋体" w:hAnsi="宋体" w:cs="宋体"/>
                <w:kern w:val="0"/>
                <w:szCs w:val="21"/>
              </w:rPr>
              <w:t>1</w:t>
            </w:r>
            <w:r>
              <w:rPr>
                <w:rFonts w:hint="eastAsia" w:ascii="宋体" w:hAnsi="宋体" w:cs="宋体"/>
                <w:kern w:val="0"/>
                <w:szCs w:val="21"/>
              </w:rPr>
              <w:t>月1日至今（以合同签订时间为准）具有国内银行业监管报送人力外包项目实施案例。</w:t>
            </w:r>
          </w:p>
          <w:p w14:paraId="48FC2D11">
            <w:pPr>
              <w:autoSpaceDE/>
              <w:autoSpaceDN/>
              <w:spacing w:line="400" w:lineRule="exact"/>
              <w:ind w:firstLine="0" w:firstLineChars="0"/>
              <w:jc w:val="left"/>
              <w:rPr>
                <w:rFonts w:ascii="宋体" w:hAnsi="宋体" w:cs="宋体"/>
                <w:kern w:val="0"/>
                <w:szCs w:val="21"/>
              </w:rPr>
            </w:pPr>
            <w:r>
              <w:rPr>
                <w:rFonts w:hint="eastAsia" w:ascii="宋体" w:hAnsi="宋体" w:cs="宋体"/>
                <w:kern w:val="0"/>
                <w:szCs w:val="21"/>
              </w:rPr>
              <w:t>2.具有监管报送项目建设实施案例（不含二期及以上升级改造或运维类项目、非人力外包类项目）</w:t>
            </w:r>
          </w:p>
          <w:p w14:paraId="198E27D7">
            <w:pPr>
              <w:autoSpaceDE/>
              <w:autoSpaceDN/>
              <w:spacing w:line="400" w:lineRule="exact"/>
              <w:ind w:firstLine="0" w:firstLineChars="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10</w:t>
            </w:r>
            <w:r>
              <w:rPr>
                <w:rFonts w:hint="eastAsia" w:ascii="宋体" w:hAnsi="宋体" w:cs="宋体"/>
                <w:kern w:val="0"/>
                <w:szCs w:val="21"/>
              </w:rPr>
              <w:t>个案例（含）以上得</w:t>
            </w:r>
            <w:r>
              <w:rPr>
                <w:rFonts w:ascii="宋体" w:hAnsi="宋体" w:cs="宋体"/>
                <w:kern w:val="0"/>
                <w:szCs w:val="21"/>
              </w:rPr>
              <w:t>3</w:t>
            </w:r>
            <w:r>
              <w:rPr>
                <w:rFonts w:hint="eastAsia" w:ascii="宋体" w:hAnsi="宋体" w:cs="宋体"/>
                <w:kern w:val="0"/>
                <w:szCs w:val="21"/>
              </w:rPr>
              <w:t>分；</w:t>
            </w:r>
          </w:p>
          <w:p w14:paraId="7CDE411C">
            <w:pPr>
              <w:autoSpaceDE/>
              <w:autoSpaceDN/>
              <w:spacing w:line="400" w:lineRule="exact"/>
              <w:ind w:firstLine="0" w:firstLineChars="0"/>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10</w:t>
            </w:r>
            <w:r>
              <w:rPr>
                <w:rFonts w:hint="eastAsia" w:ascii="宋体" w:hAnsi="宋体" w:cs="宋体"/>
                <w:kern w:val="0"/>
                <w:szCs w:val="21"/>
              </w:rPr>
              <w:t>个案例以下不得分。</w:t>
            </w:r>
          </w:p>
          <w:p w14:paraId="03810D06">
            <w:pPr>
              <w:autoSpaceDE/>
              <w:autoSpaceDN/>
              <w:spacing w:line="400" w:lineRule="exact"/>
              <w:ind w:firstLine="0" w:firstLineChars="0"/>
              <w:jc w:val="left"/>
              <w:rPr>
                <w:rFonts w:ascii="宋体" w:hAnsi="宋体" w:cs="宋体"/>
                <w:kern w:val="0"/>
                <w:szCs w:val="21"/>
              </w:rPr>
            </w:pPr>
            <w:r>
              <w:t>响应</w:t>
            </w:r>
            <w:r>
              <w:rPr>
                <w:rFonts w:hint="eastAsia" w:ascii="宋体" w:hAnsi="宋体" w:cs="宋体"/>
                <w:kern w:val="0"/>
                <w:szCs w:val="21"/>
              </w:rPr>
              <w:t>人须提供202</w:t>
            </w:r>
            <w:r>
              <w:rPr>
                <w:rFonts w:ascii="宋体" w:hAnsi="宋体" w:cs="宋体"/>
                <w:kern w:val="0"/>
                <w:szCs w:val="21"/>
              </w:rPr>
              <w:t>2</w:t>
            </w:r>
            <w:r>
              <w:rPr>
                <w:rFonts w:hint="eastAsia" w:ascii="宋体" w:hAnsi="宋体" w:cs="宋体"/>
                <w:kern w:val="0"/>
                <w:szCs w:val="21"/>
              </w:rPr>
              <w:t>年</w:t>
            </w:r>
            <w:r>
              <w:rPr>
                <w:rFonts w:ascii="宋体" w:hAnsi="宋体" w:cs="宋体"/>
                <w:kern w:val="0"/>
                <w:szCs w:val="21"/>
              </w:rPr>
              <w:t>1</w:t>
            </w:r>
            <w:r>
              <w:rPr>
                <w:rFonts w:hint="eastAsia" w:ascii="宋体" w:hAnsi="宋体" w:cs="宋体"/>
                <w:kern w:val="0"/>
                <w:szCs w:val="21"/>
              </w:rPr>
              <w:t>月1日至今（以合同签订时间为准）具有国内银行业监管报送项目建设实施案例。</w:t>
            </w:r>
          </w:p>
          <w:p w14:paraId="641E2FBB">
            <w:pPr>
              <w:autoSpaceDE/>
              <w:autoSpaceDN/>
              <w:spacing w:line="400" w:lineRule="exact"/>
              <w:ind w:firstLine="0" w:firstLineChars="0"/>
              <w:jc w:val="left"/>
              <w:rPr>
                <w:rFonts w:ascii="宋体" w:hAnsi="宋体" w:cs="宋体"/>
                <w:kern w:val="0"/>
                <w:szCs w:val="21"/>
              </w:rPr>
            </w:pPr>
            <w:r>
              <w:rPr>
                <w:rFonts w:hint="eastAsia" w:ascii="宋体" w:hAnsi="宋体" w:cs="宋体"/>
                <w:kern w:val="0"/>
                <w:szCs w:val="21"/>
              </w:rPr>
              <w:t>【银行业是指中国人民银行、监管机构、自律组织、以及在中华人民共和国境内设立的商业银行、城市信用合作社、农村信用合作社等吸收公众存款的金融机构、非银行金融机构以及政策性银行。】</w:t>
            </w:r>
          </w:p>
          <w:p w14:paraId="4AC2882B">
            <w:pPr>
              <w:autoSpaceDE/>
              <w:autoSpaceDN/>
              <w:spacing w:line="400" w:lineRule="exact"/>
              <w:ind w:firstLine="0" w:firstLineChars="0"/>
              <w:jc w:val="left"/>
              <w:rPr>
                <w:rFonts w:ascii="宋体" w:hAnsi="宋体" w:cs="宋体"/>
                <w:kern w:val="0"/>
                <w:szCs w:val="21"/>
              </w:rPr>
            </w:pPr>
            <w:r>
              <w:rPr>
                <w:rFonts w:hint="eastAsia" w:ascii="宋体" w:hAnsi="宋体" w:cs="宋体"/>
                <w:kern w:val="0"/>
                <w:szCs w:val="21"/>
              </w:rPr>
              <w:t>【以上案例须提供合同关键页复印件（合同关键页包含：甲乙双方名称、双方印章、项目名称、合同签订时间、服务范围，实施案例项目名称或建设内容应包含“监管报送”或“E</w:t>
            </w:r>
            <w:r>
              <w:rPr>
                <w:rFonts w:ascii="宋体" w:hAnsi="宋体" w:cs="宋体"/>
                <w:kern w:val="0"/>
                <w:szCs w:val="21"/>
              </w:rPr>
              <w:t>AST</w:t>
            </w:r>
            <w:r>
              <w:rPr>
                <w:rFonts w:hint="eastAsia" w:ascii="宋体" w:hAnsi="宋体" w:cs="宋体"/>
                <w:kern w:val="0"/>
                <w:szCs w:val="21"/>
              </w:rPr>
              <w:t>”或“综合报送”或“数据集市”或“金融基础数据”或“一表通”、项目简介、合同对应的发票之一和网上税务系统查询（https://inv-veri.chinatax.gov.cn/）该发票的截图。合同关键页包含：甲乙双方名称、双方印章、项目名称、合同签订时间、服务范围。发票开具日期须晚于合同签订日期、发票购买方须与合同买方一致、发票销售方须与合同卖方（</w:t>
            </w:r>
            <w:r>
              <w:rPr>
                <w:rFonts w:ascii="宋体" w:hAnsi="宋体" w:cs="宋体"/>
                <w:kern w:val="0"/>
                <w:szCs w:val="21"/>
              </w:rPr>
              <w:t>响应</w:t>
            </w:r>
            <w:r>
              <w:rPr>
                <w:rFonts w:hint="eastAsia" w:ascii="宋体" w:hAnsi="宋体" w:cs="宋体"/>
                <w:kern w:val="0"/>
                <w:szCs w:val="21"/>
              </w:rPr>
              <w:t>人）一致。如有合同尚未付款情况，需附说明材料，评判合理即认定为有效合同。】</w:t>
            </w:r>
          </w:p>
          <w:p w14:paraId="35A3F6F3">
            <w:pPr>
              <w:autoSpaceDE/>
              <w:autoSpaceDN/>
              <w:spacing w:line="400" w:lineRule="exact"/>
              <w:ind w:firstLine="0" w:firstLineChars="0"/>
              <w:jc w:val="left"/>
              <w:rPr>
                <w:rFonts w:ascii="宋体" w:hAnsi="宋体" w:cs="宋体"/>
                <w:b/>
                <w:bCs/>
                <w:kern w:val="0"/>
                <w:szCs w:val="21"/>
              </w:rPr>
            </w:pPr>
            <w:r>
              <w:rPr>
                <w:rFonts w:ascii="宋体" w:hAnsi="宋体" w:cs="宋体"/>
                <w:b/>
                <w:bCs/>
                <w:kern w:val="0"/>
                <w:szCs w:val="21"/>
              </w:rPr>
              <w:t>3</w:t>
            </w:r>
            <w:r>
              <w:rPr>
                <w:rFonts w:hint="eastAsia" w:ascii="宋体" w:hAnsi="宋体" w:cs="宋体"/>
                <w:b/>
                <w:bCs/>
                <w:kern w:val="0"/>
                <w:szCs w:val="21"/>
              </w:rPr>
              <w:t>、实施团队要求（分值：</w:t>
            </w:r>
            <w:r>
              <w:rPr>
                <w:rFonts w:ascii="宋体" w:hAnsi="宋体" w:cs="宋体"/>
                <w:b/>
                <w:bCs/>
                <w:kern w:val="0"/>
                <w:szCs w:val="21"/>
              </w:rPr>
              <w:t>10</w:t>
            </w:r>
            <w:r>
              <w:rPr>
                <w:rFonts w:hint="eastAsia" w:ascii="宋体" w:hAnsi="宋体" w:cs="宋体"/>
                <w:b/>
                <w:bCs/>
                <w:kern w:val="0"/>
                <w:szCs w:val="21"/>
              </w:rPr>
              <w:t>分）</w:t>
            </w:r>
          </w:p>
          <w:p w14:paraId="29E20546">
            <w:pPr>
              <w:spacing w:line="400" w:lineRule="exact"/>
              <w:ind w:firstLine="0" w:firstLineChars="0"/>
              <w:jc w:val="left"/>
              <w:rPr>
                <w:rFonts w:ascii="宋体" w:hAnsi="宋体" w:cs="宋体"/>
                <w:kern w:val="0"/>
                <w:szCs w:val="21"/>
              </w:rPr>
            </w:pPr>
            <w:r>
              <w:rPr>
                <w:rFonts w:hint="eastAsia" w:ascii="宋体" w:hAnsi="宋体" w:cs="宋体"/>
                <w:kern w:val="0"/>
                <w:szCs w:val="21"/>
              </w:rPr>
              <w:t>（1）根据响应人拟提供的外包人员，在</w:t>
            </w:r>
            <w:r>
              <w:rPr>
                <w:rFonts w:ascii="宋体" w:hAnsi="宋体" w:cs="宋体"/>
                <w:kern w:val="0"/>
                <w:szCs w:val="21"/>
              </w:rPr>
              <w:t>10</w:t>
            </w:r>
            <w:r>
              <w:rPr>
                <w:rFonts w:hint="eastAsia" w:ascii="宋体" w:hAnsi="宋体" w:cs="宋体"/>
                <w:kern w:val="0"/>
                <w:szCs w:val="21"/>
              </w:rPr>
              <w:t>名的基础上，每增加1名外包服务人员得</w:t>
            </w:r>
            <w:r>
              <w:rPr>
                <w:rFonts w:ascii="宋体" w:hAnsi="宋体" w:cs="宋体"/>
                <w:kern w:val="0"/>
                <w:szCs w:val="21"/>
              </w:rPr>
              <w:t>1</w:t>
            </w:r>
            <w:r>
              <w:rPr>
                <w:rFonts w:hint="eastAsia" w:ascii="宋体" w:hAnsi="宋体" w:cs="宋体"/>
                <w:kern w:val="0"/>
                <w:szCs w:val="21"/>
              </w:rPr>
              <w:t>分，满分</w:t>
            </w:r>
            <w:r>
              <w:rPr>
                <w:rFonts w:ascii="宋体" w:hAnsi="宋体" w:cs="宋体"/>
                <w:kern w:val="0"/>
                <w:szCs w:val="21"/>
              </w:rPr>
              <w:t>5</w:t>
            </w:r>
            <w:r>
              <w:rPr>
                <w:rFonts w:hint="eastAsia" w:ascii="宋体" w:hAnsi="宋体" w:cs="宋体"/>
                <w:kern w:val="0"/>
                <w:szCs w:val="21"/>
              </w:rPr>
              <w:t>分。</w:t>
            </w:r>
          </w:p>
          <w:p w14:paraId="6816E999">
            <w:pPr>
              <w:spacing w:line="400" w:lineRule="exact"/>
              <w:ind w:firstLine="0" w:firstLineChars="0"/>
              <w:jc w:val="left"/>
              <w:rPr>
                <w:rFonts w:ascii="宋体" w:hAnsi="宋体" w:cs="宋体"/>
                <w:szCs w:val="21"/>
              </w:rPr>
            </w:pPr>
            <w:r>
              <w:rPr>
                <w:rFonts w:hint="eastAsia" w:ascii="宋体" w:hAnsi="宋体" w:cs="宋体"/>
                <w:kern w:val="0"/>
                <w:szCs w:val="21"/>
              </w:rPr>
              <w:t>（2）响应人提供的外包人员如果具有重庆地区社保缴纳记录，每有1名得</w:t>
            </w:r>
            <w:r>
              <w:rPr>
                <w:rFonts w:ascii="宋体" w:hAnsi="宋体" w:cs="宋体"/>
                <w:kern w:val="0"/>
                <w:szCs w:val="21"/>
              </w:rPr>
              <w:t>0.5</w:t>
            </w:r>
            <w:r>
              <w:rPr>
                <w:rFonts w:hint="eastAsia" w:ascii="宋体" w:hAnsi="宋体" w:cs="宋体"/>
                <w:kern w:val="0"/>
                <w:szCs w:val="21"/>
              </w:rPr>
              <w:t>分。满分</w:t>
            </w:r>
            <w:r>
              <w:rPr>
                <w:rFonts w:ascii="宋体" w:hAnsi="宋体" w:cs="宋体"/>
                <w:kern w:val="0"/>
                <w:szCs w:val="21"/>
              </w:rPr>
              <w:t>5</w:t>
            </w:r>
            <w:r>
              <w:rPr>
                <w:rFonts w:hint="eastAsia" w:ascii="宋体" w:hAnsi="宋体" w:cs="宋体"/>
                <w:kern w:val="0"/>
                <w:szCs w:val="21"/>
              </w:rPr>
              <w:t>分；</w:t>
            </w:r>
          </w:p>
          <w:p w14:paraId="468D7FF5">
            <w:pPr>
              <w:spacing w:line="400" w:lineRule="exact"/>
              <w:ind w:firstLine="420"/>
              <w:jc w:val="left"/>
            </w:pPr>
            <w:r>
              <w:rPr>
                <w:rFonts w:hint="eastAsia" w:ascii="宋体" w:hAnsi="宋体" w:cs="宋体"/>
                <w:szCs w:val="21"/>
              </w:rPr>
              <w:t>注：人员需具有科融综合报送平台系统软件 V3.0开发实施经验，开发实施经验需提供人员简历证明；具有5年及以上工作经验，工作经验年限需提供个人社保缴费记录。</w:t>
            </w:r>
          </w:p>
        </w:tc>
      </w:tr>
      <w:tr w14:paraId="01DD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38A673CF">
            <w:pPr>
              <w:ind w:firstLine="420"/>
            </w:pPr>
          </w:p>
        </w:tc>
        <w:tc>
          <w:tcPr>
            <w:tcW w:w="1482" w:type="dxa"/>
            <w:vMerge w:val="continue"/>
            <w:tcBorders>
              <w:left w:val="single" w:color="auto" w:sz="4" w:space="0"/>
            </w:tcBorders>
            <w:vAlign w:val="center"/>
          </w:tcPr>
          <w:p w14:paraId="666C9D6D">
            <w:pPr>
              <w:ind w:firstLine="420"/>
            </w:pPr>
          </w:p>
        </w:tc>
        <w:tc>
          <w:tcPr>
            <w:tcW w:w="1686" w:type="dxa"/>
            <w:gridSpan w:val="2"/>
            <w:vMerge w:val="continue"/>
            <w:tcBorders>
              <w:left w:val="single" w:color="auto" w:sz="4" w:space="0"/>
            </w:tcBorders>
            <w:vAlign w:val="center"/>
          </w:tcPr>
          <w:p w14:paraId="7F8E3AFE">
            <w:pPr>
              <w:ind w:firstLine="420"/>
            </w:pPr>
          </w:p>
        </w:tc>
        <w:tc>
          <w:tcPr>
            <w:tcW w:w="5476" w:type="dxa"/>
            <w:tcBorders>
              <w:left w:val="single" w:color="auto" w:sz="4" w:space="0"/>
            </w:tcBorders>
            <w:vAlign w:val="center"/>
          </w:tcPr>
          <w:p w14:paraId="236BDA95">
            <w:pPr>
              <w:autoSpaceDE/>
              <w:autoSpaceDN/>
              <w:spacing w:line="400" w:lineRule="exact"/>
              <w:ind w:firstLine="0" w:firstLineChars="0"/>
              <w:jc w:val="left"/>
              <w:rPr>
                <w:rFonts w:ascii="宋体" w:hAnsi="宋体" w:cs="宋体"/>
                <w:b/>
                <w:bCs/>
                <w:kern w:val="0"/>
                <w:szCs w:val="21"/>
              </w:rPr>
            </w:pPr>
            <w:r>
              <w:rPr>
                <w:rFonts w:hint="eastAsia" w:ascii="宋体" w:hAnsi="宋体" w:cs="宋体"/>
                <w:b/>
                <w:bCs/>
                <w:kern w:val="0"/>
                <w:szCs w:val="21"/>
              </w:rPr>
              <w:t>三、</w:t>
            </w:r>
            <w:r>
              <w:rPr>
                <w:rFonts w:ascii="宋体" w:hAnsi="宋体" w:cs="宋体"/>
                <w:b/>
                <w:bCs/>
                <w:kern w:val="0"/>
                <w:szCs w:val="21"/>
              </w:rPr>
              <w:t>技术</w:t>
            </w:r>
            <w:r>
              <w:rPr>
                <w:rFonts w:hint="eastAsia" w:ascii="宋体" w:hAnsi="宋体" w:cs="宋体"/>
                <w:b/>
                <w:bCs/>
                <w:kern w:val="0"/>
                <w:szCs w:val="21"/>
              </w:rPr>
              <w:t>部分评分规则（分值：</w:t>
            </w:r>
            <w:r>
              <w:rPr>
                <w:rFonts w:ascii="宋体" w:hAnsi="宋体" w:cs="宋体"/>
                <w:b/>
                <w:bCs/>
                <w:kern w:val="0"/>
                <w:szCs w:val="21"/>
              </w:rPr>
              <w:t>5</w:t>
            </w:r>
            <w:r>
              <w:rPr>
                <w:rFonts w:hint="eastAsia" w:ascii="宋体" w:hAnsi="宋体" w:cs="宋体"/>
                <w:b/>
                <w:bCs/>
                <w:kern w:val="0"/>
                <w:szCs w:val="21"/>
              </w:rPr>
              <w:t>分）</w:t>
            </w:r>
          </w:p>
          <w:p w14:paraId="03756A8E">
            <w:pPr>
              <w:autoSpaceDE/>
              <w:autoSpaceDN/>
              <w:spacing w:line="400" w:lineRule="exact"/>
              <w:ind w:firstLine="0" w:firstLineChars="0"/>
              <w:jc w:val="left"/>
              <w:rPr>
                <w:rFonts w:ascii="宋体" w:hAnsi="宋体" w:cs="宋体"/>
                <w:b/>
                <w:bCs/>
                <w:kern w:val="0"/>
                <w:szCs w:val="21"/>
              </w:rPr>
            </w:pPr>
            <w:r>
              <w:rPr>
                <w:rFonts w:hint="eastAsia" w:ascii="宋体" w:hAnsi="宋体" w:cs="宋体"/>
                <w:szCs w:val="21"/>
              </w:rPr>
              <w:t>根据响应人提供的人力外包管理方案，对包括但不限于外包服务管理体系、人员能力结构合理性、人员储备充足性，人员供应能力、人员稳定性保障、人员管理、文件的科学性及可靠性等方面进行综合评审，由评审委员会酌情给分，得0-5分。</w:t>
            </w:r>
          </w:p>
        </w:tc>
      </w:tr>
      <w:tr w14:paraId="100A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0BACCC54">
            <w:pPr>
              <w:pStyle w:val="40"/>
            </w:pPr>
            <w:r>
              <w:rPr>
                <w:rFonts w:hint="eastAsia"/>
              </w:rPr>
              <w:t>3</w:t>
            </w:r>
          </w:p>
        </w:tc>
        <w:tc>
          <w:tcPr>
            <w:tcW w:w="1482" w:type="dxa"/>
            <w:tcBorders>
              <w:left w:val="single" w:color="auto" w:sz="4" w:space="0"/>
            </w:tcBorders>
            <w:vAlign w:val="center"/>
          </w:tcPr>
          <w:p w14:paraId="202EEAE3">
            <w:pPr>
              <w:pStyle w:val="40"/>
            </w:pPr>
            <w:r>
              <w:rPr>
                <w:rFonts w:hint="eastAsia"/>
              </w:rPr>
              <w:t>评审程序</w:t>
            </w:r>
          </w:p>
        </w:tc>
        <w:tc>
          <w:tcPr>
            <w:tcW w:w="7162" w:type="dxa"/>
            <w:gridSpan w:val="3"/>
            <w:tcBorders>
              <w:left w:val="single" w:color="auto" w:sz="4" w:space="0"/>
            </w:tcBorders>
          </w:tcPr>
          <w:p w14:paraId="1106F700">
            <w:pPr>
              <w:pStyle w:val="40"/>
            </w:pPr>
            <w:r>
              <w:rPr>
                <w:rFonts w:hint="eastAsia"/>
              </w:rPr>
              <w:t>1.初步评审前，按本章第3.1.3项的规定对响应报价有算术性错误的进行算术性错误修正。</w:t>
            </w:r>
          </w:p>
          <w:p w14:paraId="3C4ECDC6">
            <w:pPr>
              <w:pStyle w:val="40"/>
            </w:pPr>
            <w:r>
              <w:rPr>
                <w:rFonts w:hint="eastAsia"/>
              </w:rPr>
              <w:t>2.评审委员会对响应文件进行初步评审。</w:t>
            </w:r>
          </w:p>
          <w:p w14:paraId="3CFB3C3A">
            <w:pPr>
              <w:pStyle w:val="40"/>
            </w:pPr>
            <w:r>
              <w:rPr>
                <w:rFonts w:hint="eastAsia"/>
              </w:rPr>
              <w:t>3.初步评审合格的响应文件进行详细评审。主观评审部分由各专家独立评审打分，最后取平均得分，保留2位小数。</w:t>
            </w:r>
          </w:p>
          <w:p w14:paraId="27BBC6E0">
            <w:pPr>
              <w:pStyle w:val="40"/>
            </w:pPr>
            <w:r>
              <w:rPr>
                <w:rFonts w:hint="eastAsia"/>
              </w:rPr>
              <w:t>4.根据综合得分由高至低进行排序，推荐1-3家合格的成交候选人。并依次为第一、二、三成交候选人。</w:t>
            </w:r>
          </w:p>
        </w:tc>
      </w:tr>
      <w:tr w14:paraId="6460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784C6CC4">
            <w:pPr>
              <w:pStyle w:val="40"/>
            </w:pPr>
            <w:r>
              <w:rPr>
                <w:rFonts w:hint="eastAsia"/>
              </w:rPr>
              <w:t>3.2.3</w:t>
            </w:r>
          </w:p>
        </w:tc>
        <w:tc>
          <w:tcPr>
            <w:tcW w:w="1511" w:type="dxa"/>
            <w:tcBorders>
              <w:left w:val="single" w:color="auto" w:sz="4" w:space="0"/>
            </w:tcBorders>
            <w:vAlign w:val="center"/>
          </w:tcPr>
          <w:p w14:paraId="235ADEE9">
            <w:pPr>
              <w:pStyle w:val="40"/>
            </w:pPr>
            <w:r>
              <w:rPr>
                <w:rFonts w:hint="eastAsia"/>
              </w:rPr>
              <w:t>响应人得分</w:t>
            </w:r>
          </w:p>
        </w:tc>
        <w:tc>
          <w:tcPr>
            <w:tcW w:w="5651" w:type="dxa"/>
            <w:gridSpan w:val="2"/>
            <w:tcBorders>
              <w:left w:val="single" w:color="auto" w:sz="4" w:space="0"/>
            </w:tcBorders>
            <w:vAlign w:val="center"/>
          </w:tcPr>
          <w:p w14:paraId="2CCD7EF9">
            <w:pPr>
              <w:pStyle w:val="40"/>
            </w:pPr>
            <w:r>
              <w:rPr>
                <w:rFonts w:hint="eastAsia"/>
              </w:rPr>
              <w:t>响应人得分=响应报价得分+商务部分得分+技术部分得分</w:t>
            </w:r>
          </w:p>
        </w:tc>
      </w:tr>
      <w:bookmarkEnd w:id="69"/>
    </w:tbl>
    <w:p w14:paraId="772C31E6">
      <w:pPr>
        <w:ind w:firstLine="0" w:firstLineChars="0"/>
        <w:rPr>
          <w:rFonts w:ascii="宋体" w:hAnsi="宋体" w:cs="宋体"/>
          <w:snapToGrid w:val="0"/>
          <w:szCs w:val="21"/>
        </w:rPr>
      </w:pPr>
      <w:bookmarkStart w:id="70" w:name="_Toc636"/>
      <w:bookmarkStart w:id="71" w:name="_Toc21111"/>
    </w:p>
    <w:p w14:paraId="75A2AE6D">
      <w:pPr>
        <w:ind w:firstLine="0" w:firstLineChars="0"/>
        <w:rPr>
          <w:rFonts w:ascii="宋体" w:hAnsi="宋体" w:cs="宋体"/>
          <w:snapToGrid w:val="0"/>
          <w:szCs w:val="21"/>
        </w:rPr>
      </w:pPr>
    </w:p>
    <w:p w14:paraId="5D2597C6">
      <w:pPr>
        <w:ind w:firstLine="0" w:firstLineChars="0"/>
        <w:rPr>
          <w:rFonts w:ascii="宋体" w:hAnsi="宋体" w:cs="宋体"/>
          <w:snapToGrid w:val="0"/>
          <w:szCs w:val="21"/>
        </w:rPr>
        <w:sectPr>
          <w:pgSz w:w="11906" w:h="16838"/>
          <w:pgMar w:top="1440" w:right="1800" w:bottom="1440" w:left="1800" w:header="851" w:footer="992" w:gutter="0"/>
          <w:cols w:space="720" w:num="1"/>
          <w:docGrid w:type="lines" w:linePitch="312" w:charSpace="0"/>
        </w:sectPr>
      </w:pPr>
    </w:p>
    <w:p w14:paraId="3D3BBEB5">
      <w:pPr>
        <w:pStyle w:val="3"/>
      </w:pPr>
      <w:bookmarkStart w:id="72" w:name="_Toc28684"/>
      <w:bookmarkStart w:id="73" w:name="_Toc27234"/>
      <w:bookmarkStart w:id="74" w:name="_Toc18283"/>
      <w:r>
        <w:rPr>
          <w:rFonts w:hint="eastAsia"/>
        </w:rPr>
        <w:t>1. 评审方法</w:t>
      </w:r>
      <w:bookmarkEnd w:id="70"/>
      <w:bookmarkEnd w:id="71"/>
      <w:bookmarkEnd w:id="72"/>
      <w:bookmarkEnd w:id="73"/>
      <w:bookmarkEnd w:id="74"/>
    </w:p>
    <w:p w14:paraId="797A4DE7">
      <w:pPr>
        <w:ind w:firstLine="420"/>
      </w:pPr>
      <w:bookmarkStart w:id="75" w:name="_Toc200513199"/>
      <w:bookmarkStart w:id="76" w:name="_Toc277082619"/>
      <w:bookmarkStart w:id="77" w:name="_Toc330569206"/>
      <w:bookmarkStart w:id="78" w:name="_Toc377115419"/>
      <w:bookmarkStart w:id="79" w:name="_Toc376114120"/>
      <w:bookmarkStart w:id="80" w:name="_Toc287620752"/>
      <w:bookmarkStart w:id="81" w:name="_Toc407195379"/>
      <w:bookmarkStart w:id="82" w:name="_Toc440022827"/>
      <w:bookmarkStart w:id="83" w:name="_Toc224103385"/>
      <w:bookmarkStart w:id="84" w:name="_Toc377067339"/>
      <w:bookmarkStart w:id="85" w:name="_Toc287607813"/>
      <w:r>
        <w:rPr>
          <w:rFonts w:hint="eastAsia"/>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4FFD4832">
      <w:pPr>
        <w:pStyle w:val="3"/>
      </w:pPr>
      <w:bookmarkStart w:id="86" w:name="_Toc16716"/>
      <w:bookmarkStart w:id="87" w:name="_Toc23969"/>
      <w:bookmarkStart w:id="88" w:name="_Toc444155968"/>
      <w:bookmarkStart w:id="89" w:name="_Toc27931"/>
      <w:bookmarkStart w:id="90" w:name="_Toc27406"/>
      <w:bookmarkStart w:id="91" w:name="_Toc2274"/>
      <w:bookmarkStart w:id="92" w:name="_Toc765"/>
      <w:bookmarkStart w:id="93" w:name="_Toc31615"/>
      <w:bookmarkStart w:id="94" w:name="_Toc5950"/>
      <w:r>
        <w:rPr>
          <w:rFonts w:hint="eastAsia"/>
        </w:rPr>
        <w:t>2. 评审标准</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9C3745E">
      <w:pPr>
        <w:pStyle w:val="4"/>
        <w:ind w:firstLine="422"/>
      </w:pPr>
      <w:bookmarkStart w:id="95" w:name="_Toc10533"/>
      <w:bookmarkStart w:id="96" w:name="_Toc444155969"/>
      <w:bookmarkStart w:id="97" w:name="_Toc287607814"/>
      <w:bookmarkStart w:id="98" w:name="_Toc23425"/>
      <w:bookmarkStart w:id="99" w:name="_Toc224103386"/>
      <w:bookmarkStart w:id="100" w:name="_Toc11839"/>
      <w:bookmarkStart w:id="101" w:name="_Toc377115420"/>
      <w:bookmarkStart w:id="102" w:name="_Toc21593"/>
      <w:bookmarkStart w:id="103" w:name="_Toc1358"/>
      <w:bookmarkStart w:id="104" w:name="_Toc377067340"/>
      <w:bookmarkStart w:id="105" w:name="_Toc440022828"/>
      <w:bookmarkStart w:id="106" w:name="_Toc16537"/>
      <w:bookmarkStart w:id="107" w:name="_Toc7584"/>
      <w:bookmarkStart w:id="108" w:name="_Toc287620753"/>
      <w:bookmarkStart w:id="109" w:name="_Toc407195380"/>
      <w:bookmarkStart w:id="110" w:name="_Toc376114121"/>
      <w:bookmarkStart w:id="111" w:name="_Toc330569207"/>
      <w:bookmarkStart w:id="112" w:name="_Toc277082620"/>
      <w:bookmarkStart w:id="113" w:name="_Toc200513200"/>
      <w:r>
        <w:rPr>
          <w:rFonts w:hint="eastAsia"/>
        </w:rPr>
        <w:t>2.1 初步评审标准</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3969E72B">
      <w:pPr>
        <w:ind w:firstLine="420"/>
      </w:pPr>
      <w:r>
        <w:rPr>
          <w:rFonts w:hint="eastAsia"/>
        </w:rPr>
        <w:t>2.1.1 资格评审标准：见评审办法前附表。</w:t>
      </w:r>
    </w:p>
    <w:p w14:paraId="66CEE1FC">
      <w:pPr>
        <w:ind w:firstLine="420"/>
      </w:pPr>
      <w:r>
        <w:rPr>
          <w:rFonts w:hint="eastAsia"/>
        </w:rPr>
        <w:t>2.1.2 形式评审标准：见评审办法前附表。</w:t>
      </w:r>
    </w:p>
    <w:p w14:paraId="42A0AC01">
      <w:pPr>
        <w:ind w:firstLine="420"/>
      </w:pPr>
      <w:r>
        <w:rPr>
          <w:rFonts w:hint="eastAsia"/>
        </w:rPr>
        <w:t>2.1.3 响应性评审标准：见评审办法前附表。</w:t>
      </w:r>
    </w:p>
    <w:p w14:paraId="7AE177D1">
      <w:pPr>
        <w:pStyle w:val="4"/>
        <w:ind w:firstLine="422"/>
      </w:pPr>
      <w:bookmarkStart w:id="114" w:name="_Toc1387"/>
      <w:bookmarkStart w:id="115" w:name="_Toc6503"/>
      <w:bookmarkStart w:id="116" w:name="_Toc25129"/>
      <w:bookmarkStart w:id="117" w:name="_Toc287607815"/>
      <w:bookmarkStart w:id="118" w:name="_Toc224103387"/>
      <w:bookmarkStart w:id="119" w:name="_Toc200513201"/>
      <w:bookmarkStart w:id="120" w:name="_Toc277082621"/>
      <w:bookmarkStart w:id="121" w:name="_Toc376114122"/>
      <w:bookmarkStart w:id="122" w:name="_Toc407195381"/>
      <w:bookmarkStart w:id="123" w:name="_Toc287620754"/>
      <w:bookmarkStart w:id="124" w:name="_Toc330569208"/>
      <w:bookmarkStart w:id="125" w:name="_Toc440022829"/>
      <w:bookmarkStart w:id="126" w:name="_Toc444155970"/>
      <w:bookmarkStart w:id="127" w:name="_Toc2340"/>
      <w:bookmarkStart w:id="128" w:name="_Toc377067341"/>
      <w:bookmarkStart w:id="129" w:name="_Toc9090"/>
      <w:bookmarkStart w:id="130" w:name="_Toc23296"/>
      <w:bookmarkStart w:id="131" w:name="_Toc377115421"/>
      <w:bookmarkStart w:id="132" w:name="_Toc20840"/>
      <w:r>
        <w:rPr>
          <w:rFonts w:hint="eastAsia"/>
        </w:rPr>
        <w:t>2.2 分值构成与评分标准</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6C13BDE">
      <w:pPr>
        <w:ind w:firstLine="420"/>
      </w:pPr>
      <w:r>
        <w:rPr>
          <w:rFonts w:hint="eastAsia"/>
        </w:rPr>
        <w:t xml:space="preserve">2.2.1 分值构成：见评审办法前附表。 </w:t>
      </w:r>
    </w:p>
    <w:p w14:paraId="5199B4FF">
      <w:pPr>
        <w:ind w:firstLine="420"/>
      </w:pPr>
      <w:r>
        <w:rPr>
          <w:rFonts w:hint="eastAsia"/>
        </w:rPr>
        <w:t>2.2.2 评审基准价计算方法：见评审办法前附表。</w:t>
      </w:r>
    </w:p>
    <w:p w14:paraId="7E3D5B75">
      <w:pPr>
        <w:ind w:firstLine="420"/>
      </w:pPr>
      <w:r>
        <w:rPr>
          <w:rFonts w:hint="eastAsia"/>
        </w:rPr>
        <w:t>2.2.3 评分标准： （1）响应报价评分标准：见评审办法前附表；</w:t>
      </w:r>
    </w:p>
    <w:p w14:paraId="420B2773">
      <w:pPr>
        <w:ind w:left="1680" w:firstLine="420"/>
      </w:pPr>
      <w:r>
        <w:rPr>
          <w:rFonts w:hint="eastAsia"/>
        </w:rPr>
        <w:t>（2）商务部分评分标准：见评审办法前附表；</w:t>
      </w:r>
    </w:p>
    <w:p w14:paraId="1188BE47">
      <w:pPr>
        <w:ind w:left="1680" w:firstLine="420"/>
      </w:pPr>
      <w:r>
        <w:rPr>
          <w:rFonts w:hint="eastAsia"/>
        </w:rPr>
        <w:t>（</w:t>
      </w:r>
      <w:r>
        <w:t>3</w:t>
      </w:r>
      <w:r>
        <w:rPr>
          <w:rFonts w:hint="eastAsia"/>
        </w:rPr>
        <w:t>）技术部分评分标准：见评审办法前附表；</w:t>
      </w:r>
    </w:p>
    <w:p w14:paraId="2D963AF9">
      <w:pPr>
        <w:pStyle w:val="3"/>
      </w:pPr>
      <w:bookmarkStart w:id="133" w:name="_Toc9488"/>
      <w:bookmarkStart w:id="134" w:name="_Toc8004"/>
      <w:bookmarkStart w:id="135" w:name="_Toc407195382"/>
      <w:bookmarkStart w:id="136" w:name="_Toc12538"/>
      <w:bookmarkStart w:id="137" w:name="_Toc376114123"/>
      <w:bookmarkStart w:id="138" w:name="_Toc5546"/>
      <w:bookmarkStart w:id="139" w:name="_Toc277082622"/>
      <w:bookmarkStart w:id="140" w:name="_Toc377067342"/>
      <w:bookmarkStart w:id="141" w:name="_Toc2982"/>
      <w:bookmarkStart w:id="142" w:name="_Toc287620755"/>
      <w:bookmarkStart w:id="143" w:name="_Toc15132"/>
      <w:bookmarkStart w:id="144" w:name="_Toc330569209"/>
      <w:bookmarkStart w:id="145" w:name="_Toc377115422"/>
      <w:bookmarkStart w:id="146" w:name="_Toc287607816"/>
      <w:bookmarkStart w:id="147" w:name="_Toc23633"/>
      <w:bookmarkStart w:id="148" w:name="_Toc200513202"/>
      <w:bookmarkStart w:id="149" w:name="_Toc440022830"/>
      <w:bookmarkStart w:id="150" w:name="_Toc444155971"/>
      <w:bookmarkStart w:id="151" w:name="_Toc224103388"/>
      <w:bookmarkStart w:id="152" w:name="_Toc14353"/>
      <w:r>
        <w:rPr>
          <w:rFonts w:hint="eastAsia"/>
        </w:rPr>
        <w:t>3. 评审程序</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216CC114">
      <w:pPr>
        <w:pStyle w:val="4"/>
        <w:ind w:firstLine="422"/>
      </w:pPr>
      <w:bookmarkStart w:id="153" w:name="_Toc6448"/>
      <w:bookmarkStart w:id="154" w:name="_Toc444155972"/>
      <w:bookmarkStart w:id="155" w:name="_Toc407195383"/>
      <w:bookmarkStart w:id="156" w:name="_Toc287607817"/>
      <w:bookmarkStart w:id="157" w:name="_Toc200513203"/>
      <w:bookmarkStart w:id="158" w:name="_Toc32002"/>
      <w:bookmarkStart w:id="159" w:name="_Toc376114124"/>
      <w:bookmarkStart w:id="160" w:name="_Toc5462"/>
      <w:bookmarkStart w:id="161" w:name="_Toc13851"/>
      <w:bookmarkStart w:id="162" w:name="_Toc440022831"/>
      <w:bookmarkStart w:id="163" w:name="_Toc19840"/>
      <w:bookmarkStart w:id="164" w:name="_Toc377115423"/>
      <w:bookmarkStart w:id="165" w:name="_Toc277082623"/>
      <w:bookmarkStart w:id="166" w:name="_Toc9683"/>
      <w:bookmarkStart w:id="167" w:name="_Toc330569210"/>
      <w:bookmarkStart w:id="168" w:name="_Toc287620756"/>
      <w:bookmarkStart w:id="169" w:name="_Toc377067343"/>
      <w:bookmarkStart w:id="170" w:name="_Toc224103389"/>
      <w:bookmarkStart w:id="171" w:name="_Toc22279"/>
      <w:r>
        <w:rPr>
          <w:rFonts w:hint="eastAsia"/>
        </w:rPr>
        <w:t>3.1 初步评审</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2519AB2">
      <w:pPr>
        <w:ind w:firstLine="420"/>
      </w:pPr>
      <w:bookmarkStart w:id="172" w:name="_Toc332380970"/>
      <w:bookmarkStart w:id="173" w:name="_Toc407195384"/>
      <w:bookmarkStart w:id="174" w:name="_Toc330569211"/>
      <w:bookmarkStart w:id="175" w:name="_Toc377067344"/>
      <w:bookmarkStart w:id="176" w:name="_Toc373264792"/>
      <w:bookmarkStart w:id="177" w:name="_Toc332028970"/>
      <w:bookmarkStart w:id="178" w:name="_Toc331232649"/>
      <w:bookmarkStart w:id="179" w:name="_Toc356243677"/>
      <w:bookmarkStart w:id="180" w:name="_Toc376114125"/>
      <w:bookmarkStart w:id="181" w:name="_Toc356484119"/>
      <w:bookmarkStart w:id="182" w:name="_Toc334002333"/>
      <w:bookmarkStart w:id="183" w:name="_Toc332015984"/>
      <w:bookmarkStart w:id="184" w:name="_Toc331232467"/>
      <w:bookmarkStart w:id="185" w:name="_Toc440022832"/>
      <w:bookmarkStart w:id="186" w:name="_Toc444155973"/>
      <w:bookmarkStart w:id="187" w:name="_Toc354387014"/>
      <w:bookmarkStart w:id="188" w:name="_Toc373172234"/>
      <w:bookmarkStart w:id="189" w:name="_Toc377115424"/>
      <w:bookmarkStart w:id="190" w:name="_Toc27164"/>
      <w:r>
        <w:rPr>
          <w:rFonts w:hint="eastAsia"/>
        </w:rPr>
        <w:t>3.1.1 评审委员会依据本章第2.1 条规定的标准对响应文件进行初步评审。有一项不符合评审标准的，作否决响应处理。</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601CF76F">
      <w:pPr>
        <w:ind w:firstLine="420"/>
      </w:pPr>
      <w:r>
        <w:rPr>
          <w:rFonts w:hint="eastAsia"/>
        </w:rPr>
        <w:t>3.1.2 响应人有以下情形之一的，其响应作否决响应处理：</w:t>
      </w:r>
    </w:p>
    <w:p w14:paraId="5BDD44CD">
      <w:pPr>
        <w:ind w:firstLine="420"/>
      </w:pPr>
      <w:r>
        <w:rPr>
          <w:rFonts w:hint="eastAsia"/>
        </w:rPr>
        <w:t>3.1.2.1 有第二章“响应人须知”第9.条以及第11. 条规定的任何一种情形的；</w:t>
      </w:r>
    </w:p>
    <w:p w14:paraId="7F681437">
      <w:pPr>
        <w:ind w:firstLine="420"/>
      </w:pPr>
      <w:r>
        <w:rPr>
          <w:rFonts w:hint="eastAsia"/>
        </w:rPr>
        <w:t>3.1.2.2 有串通响应、弄虚作假等其他违反相关法律、法规行为的；</w:t>
      </w:r>
    </w:p>
    <w:p w14:paraId="39CF4C74">
      <w:pPr>
        <w:ind w:firstLine="420"/>
      </w:pPr>
      <w:r>
        <w:rPr>
          <w:rFonts w:hint="eastAsia"/>
        </w:rPr>
        <w:t>3.1.2.3 不按评审委员会要求澄清、说明或补正的。</w:t>
      </w:r>
    </w:p>
    <w:p w14:paraId="36D66D46">
      <w:pPr>
        <w:ind w:firstLine="420"/>
      </w:pPr>
      <w:r>
        <w:rPr>
          <w:rFonts w:hint="eastAsia"/>
        </w:rPr>
        <w:t>3.1.2.4 本响应文件约定的其它情形。</w:t>
      </w:r>
    </w:p>
    <w:p w14:paraId="44C5165F">
      <w:pPr>
        <w:ind w:firstLine="420"/>
      </w:pPr>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w:t>
      </w:r>
      <w:r>
        <w:t>9</w:t>
      </w:r>
      <w:r>
        <w:rPr>
          <w:rFonts w:hint="eastAsia"/>
        </w:rPr>
        <w:t xml:space="preserve"> 条。</w:t>
      </w:r>
    </w:p>
    <w:p w14:paraId="605EE96A">
      <w:pPr>
        <w:pStyle w:val="4"/>
        <w:ind w:firstLine="422"/>
      </w:pPr>
      <w:bookmarkStart w:id="191" w:name="_Toc376114126"/>
      <w:bookmarkStart w:id="192" w:name="_Toc200513204"/>
      <w:bookmarkStart w:id="193" w:name="_Toc11246"/>
      <w:bookmarkStart w:id="194" w:name="_Toc407195385"/>
      <w:bookmarkStart w:id="195" w:name="_Toc29925"/>
      <w:bookmarkStart w:id="196" w:name="_Toc224103390"/>
      <w:bookmarkStart w:id="197" w:name="_Toc377067345"/>
      <w:bookmarkStart w:id="198" w:name="_Toc7832"/>
      <w:bookmarkStart w:id="199" w:name="_Toc22848"/>
      <w:bookmarkStart w:id="200" w:name="_Toc287620757"/>
      <w:bookmarkStart w:id="201" w:name="_Toc377115425"/>
      <w:bookmarkStart w:id="202" w:name="_Toc287607818"/>
      <w:bookmarkStart w:id="203" w:name="_Toc330569212"/>
      <w:bookmarkStart w:id="204" w:name="_Toc19604"/>
      <w:bookmarkStart w:id="205" w:name="_Toc444155974"/>
      <w:bookmarkStart w:id="206" w:name="_Toc277082624"/>
      <w:bookmarkStart w:id="207" w:name="_Toc10847"/>
      <w:bookmarkStart w:id="208" w:name="_Toc22246"/>
      <w:bookmarkStart w:id="209" w:name="_Toc440022833"/>
      <w:r>
        <w:rPr>
          <w:rFonts w:hint="eastAsia"/>
        </w:rPr>
        <w:t>3.2 详细评审</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468CD82B">
      <w:pPr>
        <w:ind w:firstLine="420"/>
      </w:pPr>
      <w:r>
        <w:rPr>
          <w:rFonts w:hint="eastAsia"/>
        </w:rPr>
        <w:t>3.2.1 评审委员会按本章第2.2 条规定的量化因素和分值进行打分，并计算出综合评估得分。</w:t>
      </w:r>
    </w:p>
    <w:p w14:paraId="0241EE6A">
      <w:pPr>
        <w:ind w:firstLine="420"/>
      </w:pPr>
      <w:r>
        <w:rPr>
          <w:rFonts w:hint="eastAsia"/>
        </w:rPr>
        <w:t>3.2.1.1 按本章第2.2 条规定的评审因素和分值对响应报价计算出得分；</w:t>
      </w:r>
    </w:p>
    <w:p w14:paraId="7823924A">
      <w:pPr>
        <w:ind w:firstLine="420"/>
      </w:pPr>
      <w:r>
        <w:rPr>
          <w:rFonts w:hint="eastAsia"/>
        </w:rPr>
        <w:t>3.2.1.2 按本章第2.2 条规定的评审因素和分值对商务部分计算出得分（评审委员会统一打分）；</w:t>
      </w:r>
    </w:p>
    <w:p w14:paraId="4B52EDFC">
      <w:pPr>
        <w:ind w:firstLine="420"/>
      </w:pPr>
      <w:r>
        <w:rPr>
          <w:rFonts w:hint="eastAsia"/>
        </w:rPr>
        <w:t>3.2.1.</w:t>
      </w:r>
      <w:r>
        <w:t>3</w:t>
      </w:r>
      <w:r>
        <w:rPr>
          <w:rFonts w:hint="eastAsia"/>
        </w:rPr>
        <w:t xml:space="preserve"> 按本章第2.2 条规定的评审因素和分值对技术部分计算出得分（评审委员会统一打分）；</w:t>
      </w:r>
    </w:p>
    <w:p w14:paraId="74CB6B2A">
      <w:pPr>
        <w:ind w:firstLine="420"/>
      </w:pPr>
      <w:r>
        <w:rPr>
          <w:rFonts w:hint="eastAsia"/>
        </w:rPr>
        <w:t>3.2.2 评分分值计算保留小数点后两位，小数点后第三位“四舍五入”。</w:t>
      </w:r>
    </w:p>
    <w:p w14:paraId="07CAF13F">
      <w:pPr>
        <w:ind w:firstLine="420"/>
      </w:pPr>
      <w:r>
        <w:rPr>
          <w:rFonts w:hint="eastAsia"/>
        </w:rPr>
        <w:t>3.2.3 响应人得分=响应报价得分+商务部分得分+技术部分得分。</w:t>
      </w:r>
    </w:p>
    <w:p w14:paraId="2EB228D7">
      <w:pPr>
        <w:pStyle w:val="4"/>
        <w:ind w:firstLine="422"/>
      </w:pPr>
      <w:bookmarkStart w:id="210" w:name="_Toc2542"/>
      <w:bookmarkStart w:id="211" w:name="_Toc444155975"/>
      <w:bookmarkStart w:id="212" w:name="_Toc20948"/>
      <w:bookmarkStart w:id="213" w:name="_Toc18708"/>
      <w:bookmarkStart w:id="214" w:name="_Toc377115426"/>
      <w:bookmarkStart w:id="215" w:name="_Toc277082625"/>
      <w:bookmarkStart w:id="216" w:name="_Toc377067346"/>
      <w:bookmarkStart w:id="217" w:name="_Toc376114127"/>
      <w:bookmarkStart w:id="218" w:name="_Toc200513205"/>
      <w:bookmarkStart w:id="219" w:name="_Toc407195386"/>
      <w:bookmarkStart w:id="220" w:name="_Toc224103391"/>
      <w:bookmarkStart w:id="221" w:name="_Toc7176"/>
      <w:bookmarkStart w:id="222" w:name="_Toc287607819"/>
      <w:bookmarkStart w:id="223" w:name="_Toc32039"/>
      <w:bookmarkStart w:id="224" w:name="_Toc29261"/>
      <w:bookmarkStart w:id="225" w:name="_Toc1080"/>
      <w:bookmarkStart w:id="226" w:name="_Toc287620758"/>
      <w:bookmarkStart w:id="227" w:name="_Toc330569213"/>
      <w:bookmarkStart w:id="228" w:name="_Toc440022834"/>
      <w:r>
        <w:rPr>
          <w:rFonts w:hint="eastAsia"/>
        </w:rPr>
        <w:t>3.3 响应文件的澄清和补正</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0FCED335">
      <w:pPr>
        <w:ind w:firstLine="420"/>
      </w:pPr>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4CECB84A">
      <w:pPr>
        <w:ind w:firstLine="420"/>
      </w:pPr>
      <w:r>
        <w:rPr>
          <w:rFonts w:hint="eastAsia"/>
        </w:rPr>
        <w:t>3.3.2 澄清、说明和补正不得改变响应文件的实质性内容（算术性错误修正的除外）。响应人的书面澄清、说明和补正属于响应文件的组成部分。</w:t>
      </w:r>
    </w:p>
    <w:p w14:paraId="172D4240">
      <w:pPr>
        <w:ind w:firstLine="420"/>
      </w:pPr>
      <w:r>
        <w:rPr>
          <w:rFonts w:hint="eastAsia"/>
        </w:rPr>
        <w:t>3.3.3 评审委员会对响应人提交的澄清、说明或补正有疑问的，可以要求响应人进一步澄清、说明或补正，直至满足评审委员会的要求。</w:t>
      </w:r>
    </w:p>
    <w:p w14:paraId="1600081C">
      <w:pPr>
        <w:pStyle w:val="4"/>
        <w:ind w:firstLine="422"/>
      </w:pPr>
      <w:bookmarkStart w:id="229" w:name="_Toc377115427"/>
      <w:bookmarkStart w:id="230" w:name="_Toc14840"/>
      <w:bookmarkStart w:id="231" w:name="_Toc407195387"/>
      <w:bookmarkStart w:id="232" w:name="_Toc330569214"/>
      <w:bookmarkStart w:id="233" w:name="_Toc287620759"/>
      <w:bookmarkStart w:id="234" w:name="_Toc4814"/>
      <w:bookmarkStart w:id="235" w:name="_Toc30672"/>
      <w:bookmarkStart w:id="236" w:name="_Toc376114128"/>
      <w:bookmarkStart w:id="237" w:name="_Toc224103392"/>
      <w:bookmarkStart w:id="238" w:name="_Toc19054"/>
      <w:bookmarkStart w:id="239" w:name="_Toc444155976"/>
      <w:bookmarkStart w:id="240" w:name="_Toc21450"/>
      <w:bookmarkStart w:id="241" w:name="_Toc31270"/>
      <w:bookmarkStart w:id="242" w:name="_Toc200513206"/>
      <w:bookmarkStart w:id="243" w:name="_Toc440022835"/>
      <w:bookmarkStart w:id="244" w:name="_Toc277082626"/>
      <w:bookmarkStart w:id="245" w:name="_Toc287607820"/>
      <w:bookmarkStart w:id="246" w:name="_Toc6310"/>
      <w:bookmarkStart w:id="247" w:name="_Toc377067347"/>
      <w:r>
        <w:rPr>
          <w:rFonts w:hint="eastAsia"/>
        </w:rPr>
        <w:t>3.4 评审结果</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2D503F78">
      <w:pPr>
        <w:ind w:firstLine="420"/>
      </w:pPr>
      <w:r>
        <w:rPr>
          <w:rFonts w:hint="eastAsia"/>
        </w:rPr>
        <w:t>3.4.1 评审委员会按照得分由高到低的顺序推荐成交候选人。</w:t>
      </w:r>
    </w:p>
    <w:p w14:paraId="4B759F57">
      <w:pPr>
        <w:ind w:firstLine="420"/>
      </w:pPr>
      <w:r>
        <w:rPr>
          <w:rFonts w:hint="eastAsia"/>
        </w:rPr>
        <w:t>3.4.2 评审委员会完成评审后，应当向采购人提交书面评审报告。</w:t>
      </w:r>
    </w:p>
    <w:p w14:paraId="5D01E6BE">
      <w:pPr>
        <w:ind w:firstLine="420"/>
      </w:pPr>
      <w:r>
        <w:rPr>
          <w:rFonts w:hint="eastAsia"/>
        </w:rPr>
        <w:t>3.4.3 有效响应不足三个的，经评审委员会判定，响应人具有相对行业竞争力的，可继续进行评审并确定成交候选人。</w:t>
      </w:r>
    </w:p>
    <w:p w14:paraId="4B72F9E4">
      <w:pPr>
        <w:pStyle w:val="4"/>
        <w:ind w:firstLine="422"/>
      </w:pPr>
      <w:r>
        <w:rPr>
          <w:rFonts w:hint="eastAsia"/>
        </w:rPr>
        <w:t>3.5 对评审委员会成员的纪律要求</w:t>
      </w:r>
    </w:p>
    <w:p w14:paraId="3A3EA244">
      <w:pPr>
        <w:ind w:firstLine="420"/>
      </w:pPr>
      <w:r>
        <w:rPr>
          <w:rFonts w:hint="eastAsia"/>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51777E56">
      <w:pPr>
        <w:pStyle w:val="4"/>
        <w:ind w:firstLine="422"/>
      </w:pPr>
      <w:r>
        <w:rPr>
          <w:rFonts w:hint="eastAsia"/>
        </w:rPr>
        <w:t>3.6 对与评审活动有关的工作人员的纪律要求</w:t>
      </w:r>
    </w:p>
    <w:p w14:paraId="27F34CAF">
      <w:pPr>
        <w:ind w:firstLine="420"/>
      </w:pPr>
      <w:r>
        <w:rPr>
          <w:rFonts w:hint="eastAsia"/>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372D558D">
      <w:pPr>
        <w:ind w:firstLine="420"/>
      </w:pPr>
    </w:p>
    <w:p w14:paraId="1CFCAC96">
      <w:pPr>
        <w:ind w:firstLine="420"/>
        <w:sectPr>
          <w:pgSz w:w="11906" w:h="16838"/>
          <w:pgMar w:top="1440" w:right="1800" w:bottom="1440" w:left="1800" w:header="851" w:footer="992" w:gutter="0"/>
          <w:cols w:space="720" w:num="1"/>
          <w:docGrid w:type="lines" w:linePitch="312" w:charSpace="0"/>
        </w:sectPr>
      </w:pPr>
    </w:p>
    <w:p w14:paraId="2073C516">
      <w:pPr>
        <w:pStyle w:val="2"/>
      </w:pPr>
      <w:bookmarkStart w:id="248" w:name="_Toc23759"/>
      <w:bookmarkStart w:id="249" w:name="_Toc27619"/>
      <w:bookmarkStart w:id="250" w:name="_Toc150953074"/>
      <w:bookmarkStart w:id="251" w:name="_Toc89675170"/>
      <w:bookmarkStart w:id="252" w:name="_Toc303066034"/>
      <w:r>
        <w:rPr>
          <w:rFonts w:hint="eastAsia"/>
        </w:rPr>
        <w:t>第五章 合同</w:t>
      </w:r>
      <w:r>
        <w:t>模板</w:t>
      </w:r>
      <w:bookmarkEnd w:id="248"/>
      <w:bookmarkEnd w:id="249"/>
      <w:bookmarkEnd w:id="250"/>
    </w:p>
    <w:p w14:paraId="00B2C433">
      <w:pPr>
        <w:ind w:firstLine="0" w:firstLineChars="0"/>
        <w:jc w:val="center"/>
      </w:pPr>
      <w:r>
        <w:rPr>
          <w:rFonts w:hint="eastAsia"/>
        </w:rPr>
        <w:t>（本章节的合同条款及格式仅供参考，具体以合同签订时为准）</w:t>
      </w:r>
    </w:p>
    <w:p w14:paraId="323D024A">
      <w:pPr>
        <w:ind w:firstLine="400"/>
        <w:rPr>
          <w:rFonts w:cs="宋体"/>
          <w:sz w:val="20"/>
        </w:rPr>
      </w:pPr>
      <w:r>
        <w:rPr>
          <w:rFonts w:hint="eastAsia" w:cs="宋体"/>
          <w:sz w:val="20"/>
        </w:rPr>
        <w:t>编号：</w:t>
      </w:r>
      <w:r>
        <w:rPr>
          <w:rFonts w:cs="宋体"/>
          <w:sz w:val="20"/>
        </w:rPr>
        <w:t>SXYHXXKJ202_____</w:t>
      </w:r>
    </w:p>
    <w:p w14:paraId="001622AC">
      <w:pPr>
        <w:autoSpaceDE/>
        <w:autoSpaceDN/>
        <w:ind w:firstLine="0" w:firstLineChars="0"/>
        <w:jc w:val="center"/>
        <w:rPr>
          <w:rFonts w:cs="宋体"/>
          <w:sz w:val="32"/>
          <w:szCs w:val="32"/>
        </w:rPr>
      </w:pPr>
      <w:r>
        <w:rPr>
          <w:rFonts w:hint="eastAsia" w:cs="宋体"/>
          <w:sz w:val="32"/>
          <w:szCs w:val="32"/>
        </w:rPr>
        <w:t>重庆三峡银行综合报送平台技术服务</w:t>
      </w:r>
      <w:r>
        <w:rPr>
          <w:rFonts w:cs="宋体"/>
          <w:sz w:val="32"/>
          <w:szCs w:val="32"/>
        </w:rPr>
        <w:t>项目</w:t>
      </w:r>
      <w:r>
        <w:rPr>
          <w:rFonts w:hint="eastAsia" w:cs="宋体"/>
          <w:sz w:val="32"/>
          <w:szCs w:val="32"/>
        </w:rPr>
        <w:t>技术服务框架合同</w:t>
      </w:r>
    </w:p>
    <w:p w14:paraId="78078549">
      <w:pPr>
        <w:ind w:firstLine="442"/>
        <w:rPr>
          <w:rFonts w:cs="宋体"/>
          <w:b/>
          <w:bCs/>
          <w:sz w:val="22"/>
          <w:szCs w:val="22"/>
        </w:rPr>
      </w:pPr>
      <w:r>
        <w:rPr>
          <w:rFonts w:cs="宋体"/>
          <w:b/>
          <w:bCs/>
          <w:sz w:val="22"/>
          <w:szCs w:val="22"/>
        </w:rPr>
        <w:t>甲方（发包方）：</w:t>
      </w:r>
    </w:p>
    <w:p w14:paraId="561B528D">
      <w:pPr>
        <w:ind w:firstLine="440"/>
        <w:rPr>
          <w:rFonts w:cs="宋体"/>
          <w:bCs/>
          <w:sz w:val="22"/>
          <w:szCs w:val="22"/>
        </w:rPr>
      </w:pPr>
      <w:r>
        <w:rPr>
          <w:rFonts w:hint="eastAsia" w:cs="宋体"/>
          <w:bCs/>
          <w:sz w:val="22"/>
          <w:szCs w:val="22"/>
        </w:rPr>
        <w:t>法定</w:t>
      </w:r>
      <w:r>
        <w:rPr>
          <w:rFonts w:cs="宋体"/>
          <w:bCs/>
          <w:sz w:val="22"/>
          <w:szCs w:val="22"/>
        </w:rPr>
        <w:t>代表人：</w:t>
      </w:r>
      <w:r>
        <w:rPr>
          <w:rFonts w:hint="eastAsia" w:cs="宋体"/>
          <w:bCs/>
          <w:sz w:val="22"/>
          <w:szCs w:val="22"/>
        </w:rPr>
        <w:t>刘江桥</w:t>
      </w:r>
    </w:p>
    <w:p w14:paraId="32369F8E">
      <w:pPr>
        <w:ind w:firstLine="440"/>
        <w:rPr>
          <w:rFonts w:cs="宋体"/>
          <w:bCs/>
          <w:sz w:val="22"/>
          <w:szCs w:val="22"/>
        </w:rPr>
      </w:pPr>
      <w:r>
        <w:rPr>
          <w:rFonts w:hint="eastAsia" w:cs="宋体"/>
          <w:bCs/>
          <w:sz w:val="22"/>
          <w:szCs w:val="22"/>
        </w:rPr>
        <w:t>地址</w:t>
      </w:r>
      <w:r>
        <w:rPr>
          <w:rFonts w:cs="宋体"/>
          <w:bCs/>
          <w:sz w:val="22"/>
          <w:szCs w:val="22"/>
        </w:rPr>
        <w:t>：</w:t>
      </w:r>
    </w:p>
    <w:p w14:paraId="12DD79E7">
      <w:pPr>
        <w:ind w:firstLine="440"/>
        <w:rPr>
          <w:rFonts w:cs="宋体"/>
          <w:bCs/>
          <w:sz w:val="22"/>
          <w:szCs w:val="22"/>
        </w:rPr>
      </w:pPr>
      <w:r>
        <w:rPr>
          <w:rFonts w:hint="eastAsia" w:cs="宋体"/>
          <w:bCs/>
          <w:sz w:val="22"/>
          <w:szCs w:val="22"/>
        </w:rPr>
        <w:t>邮政编码</w:t>
      </w:r>
      <w:r>
        <w:rPr>
          <w:rFonts w:cs="宋体"/>
          <w:bCs/>
          <w:sz w:val="22"/>
          <w:szCs w:val="22"/>
        </w:rPr>
        <w:t>：</w:t>
      </w:r>
    </w:p>
    <w:p w14:paraId="47D3EBC1">
      <w:pPr>
        <w:ind w:firstLine="440"/>
        <w:rPr>
          <w:rFonts w:cs="宋体"/>
          <w:bCs/>
          <w:sz w:val="22"/>
          <w:szCs w:val="22"/>
        </w:rPr>
      </w:pPr>
      <w:r>
        <w:rPr>
          <w:rFonts w:hint="eastAsia" w:cs="宋体"/>
          <w:bCs/>
          <w:sz w:val="22"/>
          <w:szCs w:val="22"/>
        </w:rPr>
        <w:t>联系人</w:t>
      </w:r>
      <w:r>
        <w:rPr>
          <w:rFonts w:cs="宋体"/>
          <w:bCs/>
          <w:sz w:val="22"/>
          <w:szCs w:val="22"/>
        </w:rPr>
        <w:t>：</w:t>
      </w:r>
    </w:p>
    <w:p w14:paraId="052E4DD2">
      <w:pPr>
        <w:ind w:firstLine="440"/>
        <w:rPr>
          <w:rFonts w:cs="宋体"/>
          <w:bCs/>
          <w:sz w:val="22"/>
          <w:szCs w:val="22"/>
        </w:rPr>
      </w:pPr>
      <w:r>
        <w:rPr>
          <w:rFonts w:hint="eastAsia" w:cs="宋体"/>
          <w:bCs/>
          <w:sz w:val="22"/>
          <w:szCs w:val="22"/>
        </w:rPr>
        <w:t>传真</w:t>
      </w:r>
      <w:r>
        <w:rPr>
          <w:rFonts w:cs="宋体"/>
          <w:bCs/>
          <w:sz w:val="22"/>
          <w:szCs w:val="22"/>
        </w:rPr>
        <w:t>：</w:t>
      </w:r>
    </w:p>
    <w:p w14:paraId="07FF9236">
      <w:pPr>
        <w:ind w:firstLine="440"/>
        <w:rPr>
          <w:rFonts w:cs="宋体"/>
          <w:bCs/>
          <w:sz w:val="22"/>
          <w:szCs w:val="22"/>
        </w:rPr>
      </w:pPr>
      <w:r>
        <w:rPr>
          <w:rFonts w:hint="eastAsia" w:cs="宋体"/>
          <w:bCs/>
          <w:sz w:val="22"/>
          <w:szCs w:val="22"/>
        </w:rPr>
        <w:t>电子</w:t>
      </w:r>
      <w:r>
        <w:rPr>
          <w:rFonts w:cs="宋体"/>
          <w:bCs/>
          <w:sz w:val="22"/>
          <w:szCs w:val="22"/>
        </w:rPr>
        <w:t>邮箱：</w:t>
      </w:r>
    </w:p>
    <w:p w14:paraId="6CCECC15">
      <w:pPr>
        <w:ind w:firstLine="440"/>
        <w:rPr>
          <w:rFonts w:cs="宋体"/>
          <w:sz w:val="22"/>
          <w:szCs w:val="22"/>
        </w:rPr>
      </w:pPr>
    </w:p>
    <w:p w14:paraId="2FC43424">
      <w:pPr>
        <w:ind w:firstLine="442"/>
        <w:rPr>
          <w:rFonts w:cs="宋体"/>
          <w:b/>
          <w:bCs/>
          <w:sz w:val="22"/>
          <w:szCs w:val="22"/>
        </w:rPr>
      </w:pPr>
      <w:r>
        <w:rPr>
          <w:rFonts w:cs="宋体"/>
          <w:b/>
          <w:bCs/>
          <w:sz w:val="22"/>
          <w:szCs w:val="22"/>
        </w:rPr>
        <w:t>乙方（服务方）：</w:t>
      </w:r>
    </w:p>
    <w:p w14:paraId="79E61478">
      <w:pPr>
        <w:ind w:firstLine="440"/>
        <w:rPr>
          <w:rFonts w:cs="宋体"/>
          <w:bCs/>
          <w:sz w:val="22"/>
          <w:szCs w:val="22"/>
        </w:rPr>
      </w:pPr>
      <w:r>
        <w:rPr>
          <w:rFonts w:hint="eastAsia" w:cs="宋体"/>
          <w:bCs/>
          <w:sz w:val="22"/>
          <w:szCs w:val="22"/>
        </w:rPr>
        <w:t>法定</w:t>
      </w:r>
      <w:r>
        <w:rPr>
          <w:rFonts w:cs="宋体"/>
          <w:bCs/>
          <w:sz w:val="22"/>
          <w:szCs w:val="22"/>
        </w:rPr>
        <w:t>代表人：</w:t>
      </w:r>
    </w:p>
    <w:p w14:paraId="3FDF1C17">
      <w:pPr>
        <w:ind w:firstLine="440"/>
        <w:rPr>
          <w:rFonts w:cs="宋体"/>
          <w:bCs/>
          <w:sz w:val="22"/>
          <w:szCs w:val="22"/>
        </w:rPr>
      </w:pPr>
      <w:r>
        <w:rPr>
          <w:rFonts w:hint="eastAsia" w:cs="宋体"/>
          <w:bCs/>
          <w:sz w:val="22"/>
          <w:szCs w:val="22"/>
        </w:rPr>
        <w:t>地址</w:t>
      </w:r>
      <w:r>
        <w:rPr>
          <w:rFonts w:cs="宋体"/>
          <w:bCs/>
          <w:sz w:val="22"/>
          <w:szCs w:val="22"/>
        </w:rPr>
        <w:t>：</w:t>
      </w:r>
    </w:p>
    <w:p w14:paraId="01AAB65A">
      <w:pPr>
        <w:ind w:firstLine="440"/>
        <w:rPr>
          <w:rFonts w:cs="宋体"/>
          <w:bCs/>
          <w:sz w:val="22"/>
          <w:szCs w:val="22"/>
        </w:rPr>
      </w:pPr>
      <w:r>
        <w:rPr>
          <w:rFonts w:hint="eastAsia" w:cs="宋体"/>
          <w:bCs/>
          <w:sz w:val="22"/>
          <w:szCs w:val="22"/>
        </w:rPr>
        <w:t>邮政编码</w:t>
      </w:r>
      <w:r>
        <w:rPr>
          <w:rFonts w:cs="宋体"/>
          <w:bCs/>
          <w:sz w:val="22"/>
          <w:szCs w:val="22"/>
        </w:rPr>
        <w:t>：</w:t>
      </w:r>
    </w:p>
    <w:p w14:paraId="4B8CFEB9">
      <w:pPr>
        <w:ind w:firstLine="440"/>
        <w:rPr>
          <w:rFonts w:cs="宋体"/>
          <w:bCs/>
          <w:sz w:val="22"/>
          <w:szCs w:val="22"/>
        </w:rPr>
      </w:pPr>
      <w:r>
        <w:rPr>
          <w:rFonts w:hint="eastAsia" w:cs="宋体"/>
          <w:bCs/>
          <w:sz w:val="22"/>
          <w:szCs w:val="22"/>
        </w:rPr>
        <w:t>联系人</w:t>
      </w:r>
      <w:r>
        <w:rPr>
          <w:rFonts w:cs="宋体"/>
          <w:bCs/>
          <w:sz w:val="22"/>
          <w:szCs w:val="22"/>
        </w:rPr>
        <w:t>：</w:t>
      </w:r>
    </w:p>
    <w:p w14:paraId="1B3D1872">
      <w:pPr>
        <w:ind w:firstLine="440"/>
        <w:rPr>
          <w:rFonts w:cs="宋体"/>
          <w:bCs/>
          <w:sz w:val="22"/>
          <w:szCs w:val="22"/>
        </w:rPr>
      </w:pPr>
      <w:r>
        <w:rPr>
          <w:rFonts w:hint="eastAsia" w:cs="宋体"/>
          <w:bCs/>
          <w:sz w:val="22"/>
          <w:szCs w:val="22"/>
        </w:rPr>
        <w:t>传真</w:t>
      </w:r>
      <w:r>
        <w:rPr>
          <w:rFonts w:cs="宋体"/>
          <w:bCs/>
          <w:sz w:val="22"/>
          <w:szCs w:val="22"/>
        </w:rPr>
        <w:t>：</w:t>
      </w:r>
    </w:p>
    <w:p w14:paraId="128A1917">
      <w:pPr>
        <w:ind w:firstLine="440"/>
        <w:rPr>
          <w:rFonts w:cs="宋体"/>
          <w:bCs/>
          <w:sz w:val="22"/>
          <w:szCs w:val="22"/>
        </w:rPr>
      </w:pPr>
      <w:r>
        <w:rPr>
          <w:rFonts w:hint="eastAsia" w:cs="宋体"/>
          <w:bCs/>
          <w:sz w:val="22"/>
          <w:szCs w:val="22"/>
        </w:rPr>
        <w:t>电子</w:t>
      </w:r>
      <w:r>
        <w:rPr>
          <w:rFonts w:cs="宋体"/>
          <w:bCs/>
          <w:sz w:val="22"/>
          <w:szCs w:val="22"/>
        </w:rPr>
        <w:t>邮箱：</w:t>
      </w:r>
    </w:p>
    <w:p w14:paraId="0D9045A0">
      <w:pPr>
        <w:ind w:firstLine="440"/>
        <w:rPr>
          <w:rFonts w:cs="宋体"/>
          <w:bCs/>
          <w:sz w:val="22"/>
          <w:szCs w:val="22"/>
        </w:rPr>
      </w:pPr>
    </w:p>
    <w:p w14:paraId="668DB028">
      <w:pPr>
        <w:ind w:firstLine="440"/>
        <w:rPr>
          <w:rFonts w:cs="宋体"/>
          <w:bCs/>
          <w:sz w:val="22"/>
          <w:szCs w:val="22"/>
        </w:rPr>
      </w:pPr>
    </w:p>
    <w:p w14:paraId="2D2B46E5">
      <w:pPr>
        <w:ind w:firstLine="440"/>
        <w:rPr>
          <w:rFonts w:cs="宋体"/>
          <w:bCs/>
          <w:sz w:val="22"/>
          <w:szCs w:val="22"/>
        </w:rPr>
      </w:pPr>
    </w:p>
    <w:p w14:paraId="3E760589">
      <w:pPr>
        <w:ind w:firstLine="440"/>
        <w:rPr>
          <w:rFonts w:cs="宋体"/>
          <w:bCs/>
          <w:sz w:val="22"/>
          <w:szCs w:val="22"/>
        </w:rPr>
      </w:pPr>
    </w:p>
    <w:p w14:paraId="7A1B95F1">
      <w:pPr>
        <w:ind w:firstLine="440"/>
        <w:rPr>
          <w:rFonts w:cs="宋体"/>
          <w:sz w:val="22"/>
          <w:szCs w:val="22"/>
        </w:rPr>
      </w:pPr>
      <w:r>
        <w:rPr>
          <w:rFonts w:hint="eastAsia" w:cs="宋体"/>
          <w:sz w:val="22"/>
          <w:szCs w:val="22"/>
        </w:rPr>
        <w:t>甲乙</w:t>
      </w:r>
      <w:r>
        <w:rPr>
          <w:rFonts w:cs="宋体"/>
          <w:sz w:val="22"/>
          <w:szCs w:val="22"/>
        </w:rPr>
        <w:t>双方</w:t>
      </w:r>
      <w:r>
        <w:rPr>
          <w:rFonts w:hint="eastAsia" w:cs="宋体"/>
          <w:sz w:val="22"/>
          <w:szCs w:val="22"/>
        </w:rPr>
        <w:t>本着平等互惠、互相支持、共同发展的原则，经友好协商，就甲方部分非核心项目的外包事宜，共同签署本合同，以资共同遵守。</w:t>
      </w:r>
    </w:p>
    <w:p w14:paraId="2E38BC0F">
      <w:pPr>
        <w:ind w:firstLine="442"/>
        <w:rPr>
          <w:rFonts w:cs="宋体"/>
          <w:b/>
          <w:sz w:val="22"/>
          <w:szCs w:val="22"/>
        </w:rPr>
      </w:pPr>
      <w:r>
        <w:rPr>
          <w:rFonts w:hint="eastAsia" w:cs="宋体"/>
          <w:b/>
          <w:sz w:val="22"/>
          <w:szCs w:val="22"/>
        </w:rPr>
        <w:t>第一章 定义</w:t>
      </w:r>
    </w:p>
    <w:p w14:paraId="182ED063">
      <w:pPr>
        <w:ind w:firstLine="440"/>
        <w:rPr>
          <w:rFonts w:cs="宋体"/>
          <w:sz w:val="22"/>
          <w:szCs w:val="22"/>
        </w:rPr>
      </w:pPr>
      <w:r>
        <w:rPr>
          <w:rFonts w:cs="宋体"/>
          <w:sz w:val="22"/>
          <w:szCs w:val="22"/>
        </w:rPr>
        <w:t>1.1“软件”：软件是指由硬连线逻辑指令及置于系统储存器内的机器可读码（包括半导体装置或系统）组成的电脑程序，可提供基本逻辑、操作指令以及与用户相关的应用程序指令，包括用于说明、维护及使用程序的有关文件。软件包括系统软件和应用软件。</w:t>
      </w:r>
    </w:p>
    <w:p w14:paraId="711E51A0">
      <w:pPr>
        <w:ind w:firstLine="440"/>
        <w:rPr>
          <w:rFonts w:cs="宋体"/>
          <w:sz w:val="22"/>
          <w:szCs w:val="22"/>
        </w:rPr>
      </w:pPr>
      <w:r>
        <w:rPr>
          <w:rFonts w:cs="宋体"/>
          <w:sz w:val="22"/>
          <w:szCs w:val="22"/>
        </w:rPr>
        <w:t>1.2“开发测试工具”：乙方合法地用于对甲方相关应用软件进行开发和测试所需采用的第三方软件。</w:t>
      </w:r>
    </w:p>
    <w:p w14:paraId="2586D1AE">
      <w:pPr>
        <w:ind w:firstLine="440"/>
        <w:rPr>
          <w:rFonts w:cs="宋体"/>
          <w:sz w:val="22"/>
          <w:szCs w:val="22"/>
        </w:rPr>
      </w:pPr>
      <w:r>
        <w:rPr>
          <w:rFonts w:cs="宋体"/>
          <w:sz w:val="22"/>
          <w:szCs w:val="22"/>
        </w:rPr>
        <w:t>1.3“应用软件”：乙方根据本合同商务和技术要求为甲方应用软件系统工程（“项目”）进行测试的软件。</w:t>
      </w:r>
      <w:r>
        <w:rPr>
          <w:rFonts w:hint="eastAsia" w:cs="宋体"/>
          <w:sz w:val="22"/>
          <w:szCs w:val="22"/>
        </w:rPr>
        <w:t>、</w:t>
      </w:r>
    </w:p>
    <w:p w14:paraId="5CD26F4F">
      <w:pPr>
        <w:ind w:firstLine="440"/>
        <w:rPr>
          <w:rFonts w:cs="宋体"/>
          <w:sz w:val="22"/>
          <w:szCs w:val="22"/>
        </w:rPr>
      </w:pPr>
    </w:p>
    <w:p w14:paraId="505A7046">
      <w:pPr>
        <w:ind w:firstLine="440"/>
        <w:rPr>
          <w:rFonts w:cs="宋体"/>
          <w:sz w:val="22"/>
          <w:szCs w:val="22"/>
        </w:rPr>
      </w:pPr>
      <w:r>
        <w:rPr>
          <w:rFonts w:cs="宋体"/>
          <w:sz w:val="22"/>
          <w:szCs w:val="22"/>
        </w:rPr>
        <w:t>1.4“可交付成果物”：包括以下资料：开发计划、需求分析说明书、源代码、测试计划、测试需求说明书、测试方案、测试案例、测试报告。</w:t>
      </w:r>
    </w:p>
    <w:p w14:paraId="61863F77">
      <w:pPr>
        <w:ind w:firstLine="440"/>
        <w:rPr>
          <w:rFonts w:cs="宋体"/>
          <w:sz w:val="22"/>
          <w:szCs w:val="22"/>
        </w:rPr>
      </w:pPr>
      <w:r>
        <w:rPr>
          <w:rFonts w:cs="宋体"/>
          <w:sz w:val="22"/>
          <w:szCs w:val="22"/>
        </w:rPr>
        <w:t>1.5“培训”：按合同的约定，乙方为甲方提供的关于业务知识、开发测试相关知识、方法及技能的培训服务。</w:t>
      </w:r>
    </w:p>
    <w:p w14:paraId="1295B355">
      <w:pPr>
        <w:ind w:firstLine="440"/>
        <w:rPr>
          <w:rFonts w:cs="宋体"/>
          <w:sz w:val="22"/>
          <w:szCs w:val="22"/>
        </w:rPr>
      </w:pPr>
      <w:r>
        <w:rPr>
          <w:rFonts w:cs="宋体"/>
          <w:sz w:val="22"/>
          <w:szCs w:val="22"/>
        </w:rPr>
        <w:t>1.6“服务”：按合同规定由乙方向甲方就应用软件开发和测试做出的行为和担保。</w:t>
      </w:r>
    </w:p>
    <w:p w14:paraId="4D722785">
      <w:pPr>
        <w:ind w:firstLine="440"/>
        <w:rPr>
          <w:rFonts w:cs="宋体"/>
          <w:sz w:val="22"/>
          <w:szCs w:val="22"/>
        </w:rPr>
      </w:pPr>
      <w:r>
        <w:rPr>
          <w:rFonts w:cs="宋体"/>
          <w:sz w:val="22"/>
          <w:szCs w:val="22"/>
        </w:rPr>
        <w:t>1.7“现场”：对应用软件进行开发和测试的场所。</w:t>
      </w:r>
    </w:p>
    <w:p w14:paraId="1D78DC86">
      <w:pPr>
        <w:ind w:firstLine="440"/>
        <w:rPr>
          <w:rFonts w:cs="宋体"/>
          <w:sz w:val="22"/>
          <w:szCs w:val="22"/>
        </w:rPr>
      </w:pPr>
      <w:r>
        <w:rPr>
          <w:rFonts w:cs="宋体"/>
          <w:sz w:val="22"/>
          <w:szCs w:val="22"/>
        </w:rPr>
        <w:t>1.8“合同”：本合同正文及其附件；附件是合同不可分割的一部分。具有同等法律效力。如果附件和本合同正文有任何不一致之处，以合同正文为准。</w:t>
      </w:r>
    </w:p>
    <w:p w14:paraId="5AE888A9">
      <w:pPr>
        <w:ind w:firstLine="440"/>
        <w:rPr>
          <w:rFonts w:cs="宋体"/>
          <w:sz w:val="22"/>
          <w:szCs w:val="22"/>
        </w:rPr>
      </w:pPr>
      <w:r>
        <w:rPr>
          <w:rFonts w:cs="宋体"/>
          <w:sz w:val="22"/>
          <w:szCs w:val="22"/>
        </w:rPr>
        <w:t>1.9“一方”：甲方或乙方。</w:t>
      </w:r>
    </w:p>
    <w:p w14:paraId="25852AC6">
      <w:pPr>
        <w:ind w:firstLine="440"/>
        <w:rPr>
          <w:rFonts w:cs="宋体"/>
          <w:sz w:val="22"/>
          <w:szCs w:val="22"/>
        </w:rPr>
      </w:pPr>
      <w:r>
        <w:rPr>
          <w:rFonts w:cs="宋体"/>
          <w:sz w:val="22"/>
          <w:szCs w:val="22"/>
        </w:rPr>
        <w:t>1.10“双方”：甲方和乙方。</w:t>
      </w:r>
    </w:p>
    <w:p w14:paraId="66C2596E">
      <w:pPr>
        <w:ind w:firstLine="440"/>
        <w:rPr>
          <w:rFonts w:cs="宋体"/>
          <w:sz w:val="22"/>
          <w:szCs w:val="22"/>
        </w:rPr>
      </w:pPr>
      <w:r>
        <w:rPr>
          <w:rFonts w:cs="宋体"/>
          <w:sz w:val="22"/>
          <w:szCs w:val="22"/>
        </w:rPr>
        <w:t>1.11“移交”：乙方在约定时间内向甲方提交所有项目相关文件和过程文档以及相关数据。</w:t>
      </w:r>
    </w:p>
    <w:p w14:paraId="6C2E891D">
      <w:pPr>
        <w:ind w:firstLine="440"/>
        <w:rPr>
          <w:rFonts w:cs="宋体"/>
          <w:sz w:val="22"/>
          <w:szCs w:val="22"/>
        </w:rPr>
      </w:pPr>
      <w:r>
        <w:rPr>
          <w:rFonts w:cs="宋体"/>
          <w:sz w:val="22"/>
          <w:szCs w:val="22"/>
        </w:rPr>
        <w:t>1.12“试运行”：项目上线后进入试运行阶段，项目试运行至少3个月。在试运行期间，甲方随时将发现的逃逸的缺陷通知乙方，乙方在最快的时间内予以响应。</w:t>
      </w:r>
    </w:p>
    <w:p w14:paraId="3E04EA1A">
      <w:pPr>
        <w:ind w:firstLine="440"/>
        <w:rPr>
          <w:rFonts w:cs="宋体"/>
          <w:sz w:val="22"/>
          <w:szCs w:val="22"/>
        </w:rPr>
      </w:pPr>
      <w:r>
        <w:rPr>
          <w:rFonts w:cs="宋体"/>
          <w:sz w:val="22"/>
          <w:szCs w:val="22"/>
        </w:rPr>
        <w:t>1.13“响应时间”：指乙方就甲方提出的问题予以答复的时间。</w:t>
      </w:r>
    </w:p>
    <w:p w14:paraId="54AE2B67">
      <w:pPr>
        <w:ind w:firstLine="440"/>
        <w:rPr>
          <w:rFonts w:cs="宋体"/>
          <w:sz w:val="22"/>
          <w:szCs w:val="22"/>
        </w:rPr>
      </w:pPr>
      <w:r>
        <w:rPr>
          <w:rFonts w:cs="宋体"/>
          <w:sz w:val="22"/>
          <w:szCs w:val="22"/>
        </w:rPr>
        <w:t>1.14“缺陷”：计算机软件或程序中存在的某种破坏正常运行能力的问题﹑错误，或者隐藏的功能缺陷。</w:t>
      </w:r>
    </w:p>
    <w:p w14:paraId="328635D1">
      <w:pPr>
        <w:ind w:firstLine="440"/>
        <w:rPr>
          <w:rFonts w:cs="宋体"/>
          <w:sz w:val="22"/>
          <w:szCs w:val="22"/>
        </w:rPr>
      </w:pPr>
      <w:r>
        <w:rPr>
          <w:rFonts w:cs="宋体"/>
          <w:sz w:val="22"/>
          <w:szCs w:val="22"/>
        </w:rPr>
        <w:t>1.15“缺陷逃逸率”：后一测试阶段测试期间发现的缺陷个数/（当前测试期间所发现的缺陷个数+后一测试期间发现的缺陷个数）。</w:t>
      </w:r>
    </w:p>
    <w:p w14:paraId="40CEE202">
      <w:pPr>
        <w:ind w:firstLine="440"/>
        <w:rPr>
          <w:rFonts w:cs="宋体"/>
          <w:sz w:val="22"/>
          <w:szCs w:val="22"/>
        </w:rPr>
      </w:pPr>
      <w:r>
        <w:rPr>
          <w:rFonts w:cs="宋体"/>
          <w:sz w:val="22"/>
          <w:szCs w:val="22"/>
        </w:rPr>
        <w:t>1.16 “特别重大运营中断事件（I级）”：</w:t>
      </w:r>
      <w:r>
        <w:rPr>
          <w:rFonts w:hint="eastAsia" w:cs="宋体"/>
          <w:sz w:val="22"/>
          <w:szCs w:val="22"/>
        </w:rPr>
        <w:t>（</w:t>
      </w:r>
      <w:r>
        <w:rPr>
          <w:rFonts w:cs="宋体"/>
          <w:sz w:val="22"/>
          <w:szCs w:val="22"/>
        </w:rPr>
        <w:t>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0DCBB9C5">
      <w:pPr>
        <w:ind w:firstLine="440"/>
        <w:rPr>
          <w:rFonts w:cs="宋体"/>
          <w:sz w:val="22"/>
          <w:szCs w:val="22"/>
        </w:rPr>
      </w:pPr>
      <w:r>
        <w:rPr>
          <w:rFonts w:cs="宋体"/>
          <w:sz w:val="22"/>
          <w:szCs w:val="22"/>
        </w:rPr>
        <w:t>1.17 “重大运营中断事件（II级）”：</w:t>
      </w:r>
      <w:r>
        <w:rPr>
          <w:rFonts w:hint="eastAsia" w:cs="宋体"/>
          <w:sz w:val="22"/>
          <w:szCs w:val="22"/>
        </w:rPr>
        <w:t>（</w:t>
      </w:r>
      <w:r>
        <w:rPr>
          <w:rFonts w:cs="宋体"/>
          <w:sz w:val="22"/>
          <w:szCs w:val="22"/>
        </w:rPr>
        <w:t>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2D2A3206">
      <w:pPr>
        <w:ind w:firstLine="440"/>
        <w:rPr>
          <w:rFonts w:cs="宋体"/>
          <w:sz w:val="22"/>
          <w:szCs w:val="22"/>
        </w:rPr>
      </w:pPr>
      <w:r>
        <w:rPr>
          <w:rFonts w:cs="宋体"/>
          <w:sz w:val="22"/>
          <w:szCs w:val="22"/>
        </w:rPr>
        <w:t>1.18 “较大运营中断事件（III级）”：</w:t>
      </w:r>
      <w:r>
        <w:rPr>
          <w:rFonts w:hint="eastAsia" w:cs="宋体"/>
          <w:sz w:val="22"/>
          <w:szCs w:val="22"/>
        </w:rPr>
        <w:t>（</w:t>
      </w:r>
      <w:r>
        <w:rPr>
          <w:rFonts w:cs="宋体"/>
          <w:sz w:val="22"/>
          <w:szCs w:val="22"/>
        </w:rPr>
        <w:t>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7244990C">
      <w:pPr>
        <w:ind w:firstLine="440"/>
        <w:rPr>
          <w:rFonts w:cs="宋体"/>
          <w:sz w:val="22"/>
          <w:szCs w:val="22"/>
        </w:rPr>
      </w:pPr>
      <w:r>
        <w:rPr>
          <w:rFonts w:cs="宋体"/>
          <w:sz w:val="22"/>
          <w:szCs w:val="22"/>
        </w:rPr>
        <w:t>1.</w:t>
      </w:r>
      <w:r>
        <w:rPr>
          <w:rFonts w:hint="eastAsia" w:cs="宋体"/>
          <w:sz w:val="22"/>
          <w:szCs w:val="22"/>
        </w:rPr>
        <w:t>19</w:t>
      </w:r>
      <w:r>
        <w:rPr>
          <w:rFonts w:cs="宋体"/>
          <w:sz w:val="22"/>
          <w:szCs w:val="22"/>
        </w:rPr>
        <w:t>“致命缺陷”：导致对被描述的主要对象的理解错误、不可行、不能运转、对业务和整个系统可能造成重大损失或损害。比如：（1）由于程序所引起的死机</w:t>
      </w:r>
      <w:r>
        <w:rPr>
          <w:rFonts w:hint="eastAsia" w:cs="宋体"/>
          <w:sz w:val="22"/>
          <w:szCs w:val="22"/>
        </w:rPr>
        <w:t>，</w:t>
      </w:r>
      <w:r>
        <w:rPr>
          <w:rFonts w:cs="宋体"/>
          <w:sz w:val="22"/>
          <w:szCs w:val="22"/>
        </w:rPr>
        <w:t>非法退出；（2）死循环；（3）导致数据库发生死锁；（4）数据通讯错误；（5）严重的数值计算错误；（6）财务错误；（7）导致出现上述III级（含）以上事件；（8）对客户造成不利影响；（9）引起客户投诉；（10）对甲方声誉造成不良影响。</w:t>
      </w:r>
    </w:p>
    <w:p w14:paraId="65CADB6A">
      <w:pPr>
        <w:ind w:firstLine="440"/>
        <w:rPr>
          <w:rFonts w:cs="宋体"/>
          <w:sz w:val="22"/>
          <w:szCs w:val="22"/>
        </w:rPr>
      </w:pPr>
      <w:r>
        <w:rPr>
          <w:rFonts w:cs="宋体"/>
          <w:sz w:val="22"/>
          <w:szCs w:val="22"/>
        </w:rPr>
        <w:t>1.2</w:t>
      </w:r>
      <w:r>
        <w:rPr>
          <w:rFonts w:hint="eastAsia" w:cs="宋体"/>
          <w:sz w:val="22"/>
          <w:szCs w:val="22"/>
        </w:rPr>
        <w:t>0</w:t>
      </w:r>
      <w:r>
        <w:rPr>
          <w:rFonts w:cs="宋体"/>
          <w:sz w:val="22"/>
          <w:szCs w:val="22"/>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230A0781">
      <w:pPr>
        <w:ind w:firstLine="440"/>
        <w:rPr>
          <w:rFonts w:cs="宋体"/>
          <w:sz w:val="22"/>
          <w:szCs w:val="22"/>
        </w:rPr>
      </w:pPr>
      <w:r>
        <w:rPr>
          <w:rFonts w:cs="宋体"/>
          <w:sz w:val="22"/>
          <w:szCs w:val="22"/>
        </w:rPr>
        <w:t>1.2</w:t>
      </w:r>
      <w:r>
        <w:rPr>
          <w:rFonts w:hint="eastAsia" w:cs="宋体"/>
          <w:sz w:val="22"/>
          <w:szCs w:val="22"/>
        </w:rPr>
        <w:t>1</w:t>
      </w:r>
      <w:r>
        <w:rPr>
          <w:rFonts w:cs="宋体"/>
          <w:sz w:val="22"/>
          <w:szCs w:val="22"/>
        </w:rPr>
        <w:t>“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2DA5FD29">
      <w:pPr>
        <w:ind w:firstLine="440"/>
        <w:rPr>
          <w:rFonts w:cs="宋体"/>
          <w:sz w:val="22"/>
          <w:szCs w:val="22"/>
        </w:rPr>
      </w:pPr>
      <w:r>
        <w:rPr>
          <w:rFonts w:cs="宋体"/>
          <w:sz w:val="22"/>
          <w:szCs w:val="22"/>
        </w:rPr>
        <w:t>1.2</w:t>
      </w:r>
      <w:r>
        <w:rPr>
          <w:rFonts w:hint="eastAsia" w:cs="宋体"/>
          <w:sz w:val="22"/>
          <w:szCs w:val="22"/>
        </w:rPr>
        <w:t>2</w:t>
      </w:r>
      <w:r>
        <w:rPr>
          <w:rFonts w:cs="宋体"/>
          <w:sz w:val="22"/>
          <w:szCs w:val="22"/>
        </w:rPr>
        <w:t>“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0ECC6703">
      <w:pPr>
        <w:ind w:firstLine="442"/>
        <w:rPr>
          <w:rFonts w:cs="宋体"/>
          <w:b/>
          <w:sz w:val="22"/>
          <w:szCs w:val="22"/>
        </w:rPr>
      </w:pPr>
      <w:r>
        <w:rPr>
          <w:rFonts w:hint="eastAsia" w:cs="宋体"/>
          <w:b/>
          <w:sz w:val="22"/>
          <w:szCs w:val="22"/>
        </w:rPr>
        <w:t>第二章 服务</w:t>
      </w:r>
      <w:r>
        <w:rPr>
          <w:rFonts w:cs="宋体"/>
          <w:b/>
          <w:sz w:val="22"/>
          <w:szCs w:val="22"/>
        </w:rPr>
        <w:t>内容</w:t>
      </w:r>
      <w:r>
        <w:rPr>
          <w:rFonts w:hint="eastAsia" w:cs="宋体"/>
          <w:b/>
          <w:sz w:val="22"/>
          <w:szCs w:val="22"/>
        </w:rPr>
        <w:t>及</w:t>
      </w:r>
      <w:r>
        <w:rPr>
          <w:rFonts w:cs="宋体"/>
          <w:b/>
          <w:sz w:val="22"/>
          <w:szCs w:val="22"/>
        </w:rPr>
        <w:t>要求</w:t>
      </w:r>
    </w:p>
    <w:p w14:paraId="64E1B57A">
      <w:pPr>
        <w:ind w:firstLine="440"/>
        <w:rPr>
          <w:rFonts w:cs="宋体"/>
          <w:sz w:val="22"/>
          <w:szCs w:val="22"/>
        </w:rPr>
      </w:pPr>
      <w:r>
        <w:rPr>
          <w:rFonts w:cs="宋体"/>
          <w:sz w:val="22"/>
          <w:szCs w:val="22"/>
        </w:rPr>
        <w:t>2.1 项目外包定义：甲方根据自身经营需要，将部分（某个或某些项目）业务交由具有该类业务服务经验、良好的业绩、完备的资质、以及高效的管理团队的乙方处理，乙方服务人员到甲方</w:t>
      </w:r>
      <w:r>
        <w:rPr>
          <w:rFonts w:hint="eastAsia" w:cs="宋体"/>
          <w:sz w:val="22"/>
          <w:szCs w:val="22"/>
        </w:rPr>
        <w:t>指定</w:t>
      </w:r>
      <w:r>
        <w:rPr>
          <w:rFonts w:cs="宋体"/>
          <w:sz w:val="22"/>
          <w:szCs w:val="22"/>
        </w:rPr>
        <w:t>场所提供服务，乙方承诺在确保满足甲方要求的服务标准的前提下，于本协议合作期内，为甲方提供相应外包项目服务，甲方向乙方支付项目外包费用</w:t>
      </w:r>
      <w:r>
        <w:rPr>
          <w:rFonts w:hint="eastAsia" w:cs="宋体"/>
          <w:sz w:val="22"/>
          <w:szCs w:val="22"/>
        </w:rPr>
        <w:t>。</w:t>
      </w:r>
    </w:p>
    <w:p w14:paraId="11B13C56">
      <w:pPr>
        <w:ind w:firstLine="440"/>
        <w:rPr>
          <w:rFonts w:cs="宋体"/>
          <w:sz w:val="22"/>
          <w:szCs w:val="22"/>
        </w:rPr>
      </w:pPr>
      <w:r>
        <w:rPr>
          <w:rFonts w:cs="宋体"/>
          <w:sz w:val="22"/>
          <w:szCs w:val="22"/>
        </w:rPr>
        <w:t>2.2 乙方外包服务人员：是指乙方派出的符合本合同资格条件的、在甲方从事本合同规定的外包项目范围以内工作的人员。所有工作人员在劳动人事、工资福利、社会保险等各方面均隶属于乙方</w:t>
      </w:r>
      <w:r>
        <w:rPr>
          <w:rFonts w:hint="eastAsia" w:cs="宋体"/>
          <w:sz w:val="22"/>
          <w:szCs w:val="22"/>
        </w:rPr>
        <w:t>、</w:t>
      </w:r>
      <w:r>
        <w:rPr>
          <w:rFonts w:cs="宋体"/>
          <w:sz w:val="22"/>
          <w:szCs w:val="22"/>
        </w:rPr>
        <w:t>且必须与乙方签署正式劳动合同。乙方有义务在本合同有效期内维持其与外包服务人员合法的劳动合同关系，不得因与外包服务人员间就劳动法律关系或在其他方面的任何争议或瑕疵影响其履行在本合同项下的义务</w:t>
      </w:r>
      <w:r>
        <w:rPr>
          <w:rFonts w:hint="eastAsia" w:cs="宋体"/>
          <w:sz w:val="22"/>
          <w:szCs w:val="22"/>
        </w:rPr>
        <w:t>，</w:t>
      </w:r>
      <w:r>
        <w:rPr>
          <w:rFonts w:cs="宋体"/>
          <w:sz w:val="22"/>
          <w:szCs w:val="22"/>
        </w:rPr>
        <w:t>否则甲方有权随时解除</w:t>
      </w:r>
      <w:r>
        <w:rPr>
          <w:rFonts w:hint="eastAsia" w:cs="宋体"/>
          <w:sz w:val="22"/>
          <w:szCs w:val="22"/>
        </w:rPr>
        <w:t>或</w:t>
      </w:r>
      <w:r>
        <w:rPr>
          <w:rFonts w:cs="宋体"/>
          <w:sz w:val="22"/>
          <w:szCs w:val="22"/>
        </w:rPr>
        <w:t>终止本合同</w:t>
      </w:r>
      <w:r>
        <w:rPr>
          <w:rFonts w:hint="eastAsia" w:cs="宋体"/>
          <w:sz w:val="22"/>
          <w:szCs w:val="22"/>
        </w:rPr>
        <w:t>，</w:t>
      </w:r>
      <w:r>
        <w:rPr>
          <w:rFonts w:cs="宋体"/>
          <w:sz w:val="22"/>
          <w:szCs w:val="22"/>
        </w:rPr>
        <w:t>并不再支付任何费用</w:t>
      </w:r>
      <w:r>
        <w:rPr>
          <w:rFonts w:hint="eastAsia" w:cs="宋体"/>
          <w:sz w:val="22"/>
          <w:szCs w:val="22"/>
        </w:rPr>
        <w:t>，</w:t>
      </w:r>
      <w:r>
        <w:rPr>
          <w:rFonts w:cs="宋体"/>
          <w:sz w:val="22"/>
          <w:szCs w:val="22"/>
        </w:rPr>
        <w:t>且乙方应赔偿给甲方造成的损失。</w:t>
      </w:r>
    </w:p>
    <w:p w14:paraId="365B366F">
      <w:pPr>
        <w:ind w:firstLine="442"/>
        <w:rPr>
          <w:rFonts w:cs="宋体"/>
          <w:b/>
          <w:sz w:val="22"/>
          <w:szCs w:val="22"/>
          <w:u w:val="single"/>
        </w:rPr>
      </w:pPr>
      <w:r>
        <w:rPr>
          <w:rFonts w:cs="宋体"/>
          <w:b/>
          <w:sz w:val="22"/>
          <w:szCs w:val="22"/>
          <w:u w:val="single"/>
        </w:rPr>
        <w:t>2.3 甲乙双方不构成劳务派遣、雇佣或代理关系。甲方与乙方服务人员不存在劳务派遣、劳务用工、雇佣等法律关系。</w:t>
      </w:r>
    </w:p>
    <w:p w14:paraId="79D91956">
      <w:pPr>
        <w:ind w:firstLine="440"/>
        <w:rPr>
          <w:rFonts w:cs="宋体"/>
          <w:sz w:val="22"/>
          <w:szCs w:val="22"/>
        </w:rPr>
      </w:pPr>
      <w:r>
        <w:rPr>
          <w:rFonts w:cs="宋体"/>
          <w:sz w:val="22"/>
          <w:szCs w:val="22"/>
        </w:rPr>
        <w:t>2.4 除双方另有约定外，甲乙双方之间任何与本合同相关的正式信函以及结算，均使用并且只能使用本合同中甲、乙双方指定的地址和银行开户帐号。</w:t>
      </w:r>
    </w:p>
    <w:tbl>
      <w:tblPr>
        <w:tblStyle w:val="19"/>
        <w:tblW w:w="9360" w:type="dxa"/>
        <w:tblInd w:w="15" w:type="dxa"/>
        <w:tblLayout w:type="autofit"/>
        <w:tblCellMar>
          <w:top w:w="15" w:type="dxa"/>
          <w:left w:w="15" w:type="dxa"/>
          <w:bottom w:w="15" w:type="dxa"/>
          <w:right w:w="15" w:type="dxa"/>
        </w:tblCellMar>
      </w:tblPr>
      <w:tblGrid>
        <w:gridCol w:w="1276"/>
        <w:gridCol w:w="3404"/>
        <w:gridCol w:w="4536"/>
        <w:gridCol w:w="144"/>
      </w:tblGrid>
      <w:tr w14:paraId="0923BFFF">
        <w:tblPrEx>
          <w:tblCellMar>
            <w:top w:w="15" w:type="dxa"/>
            <w:left w:w="15" w:type="dxa"/>
            <w:bottom w:w="15" w:type="dxa"/>
            <w:right w:w="15" w:type="dxa"/>
          </w:tblCellMar>
        </w:tblPrEx>
        <w:tc>
          <w:tcPr>
            <w:tcW w:w="4680" w:type="dxa"/>
            <w:gridSpan w:val="2"/>
            <w:tcBorders>
              <w:top w:val="single" w:color="000000" w:sz="6" w:space="0"/>
              <w:left w:val="single" w:color="000000" w:sz="6" w:space="0"/>
              <w:bottom w:val="single" w:color="000000" w:sz="6" w:space="0"/>
              <w:right w:val="single" w:color="000000" w:sz="6" w:space="0"/>
            </w:tcBorders>
            <w:vAlign w:val="center"/>
          </w:tcPr>
          <w:p w14:paraId="6839392B">
            <w:pPr>
              <w:ind w:firstLine="0" w:firstLineChars="0"/>
              <w:rPr>
                <w:rFonts w:cs="宋体"/>
                <w:sz w:val="22"/>
                <w:szCs w:val="22"/>
              </w:rPr>
            </w:pPr>
            <w:r>
              <w:rPr>
                <w:rFonts w:cs="宋体"/>
                <w:b/>
                <w:bCs/>
                <w:sz w:val="22"/>
                <w:szCs w:val="22"/>
              </w:rPr>
              <w:t>甲方</w:t>
            </w:r>
          </w:p>
        </w:tc>
        <w:tc>
          <w:tcPr>
            <w:tcW w:w="4680" w:type="dxa"/>
            <w:gridSpan w:val="2"/>
            <w:tcBorders>
              <w:top w:val="single" w:color="000000" w:sz="6" w:space="0"/>
              <w:left w:val="single" w:color="000000" w:sz="6" w:space="0"/>
              <w:bottom w:val="single" w:color="000000" w:sz="6" w:space="0"/>
              <w:right w:val="single" w:color="000000" w:sz="6" w:space="0"/>
            </w:tcBorders>
            <w:vAlign w:val="center"/>
          </w:tcPr>
          <w:p w14:paraId="4EA926CD">
            <w:pPr>
              <w:ind w:firstLine="0" w:firstLineChars="0"/>
              <w:rPr>
                <w:rFonts w:cs="宋体"/>
                <w:sz w:val="22"/>
                <w:szCs w:val="22"/>
              </w:rPr>
            </w:pPr>
            <w:r>
              <w:rPr>
                <w:rFonts w:cs="宋体"/>
                <w:b/>
                <w:bCs/>
                <w:sz w:val="22"/>
                <w:szCs w:val="22"/>
              </w:rPr>
              <w:t>乙方</w:t>
            </w:r>
          </w:p>
        </w:tc>
      </w:tr>
      <w:tr w14:paraId="45267D23">
        <w:tblPrEx>
          <w:tblCellMar>
            <w:top w:w="15" w:type="dxa"/>
            <w:left w:w="15" w:type="dxa"/>
            <w:bottom w:w="15" w:type="dxa"/>
            <w:right w:w="15" w:type="dxa"/>
          </w:tblCellMar>
        </w:tblPrEx>
        <w:tc>
          <w:tcPr>
            <w:tcW w:w="1276" w:type="dxa"/>
            <w:tcBorders>
              <w:top w:val="single" w:color="000000" w:sz="6" w:space="0"/>
              <w:left w:val="single" w:color="000000" w:sz="6" w:space="0"/>
              <w:bottom w:val="single" w:color="000000" w:sz="6" w:space="0"/>
              <w:right w:val="single" w:color="000000" w:sz="6" w:space="0"/>
            </w:tcBorders>
            <w:vAlign w:val="center"/>
          </w:tcPr>
          <w:p w14:paraId="3CFB79B9">
            <w:pPr>
              <w:ind w:firstLine="0" w:firstLineChars="0"/>
              <w:rPr>
                <w:rFonts w:cs="宋体"/>
                <w:sz w:val="22"/>
                <w:szCs w:val="22"/>
              </w:rPr>
            </w:pPr>
            <w:r>
              <w:rPr>
                <w:rFonts w:cs="宋体"/>
                <w:sz w:val="22"/>
                <w:szCs w:val="22"/>
              </w:rPr>
              <w:t>名称</w:t>
            </w:r>
          </w:p>
        </w:tc>
        <w:tc>
          <w:tcPr>
            <w:tcW w:w="3404" w:type="dxa"/>
            <w:tcBorders>
              <w:top w:val="single" w:color="000000" w:sz="6" w:space="0"/>
              <w:left w:val="single" w:color="000000" w:sz="6" w:space="0"/>
              <w:bottom w:val="single" w:color="000000" w:sz="6" w:space="0"/>
              <w:right w:val="single" w:color="000000" w:sz="6" w:space="0"/>
            </w:tcBorders>
            <w:vAlign w:val="center"/>
          </w:tcPr>
          <w:p w14:paraId="1B98BB86">
            <w:pPr>
              <w:ind w:firstLine="0" w:firstLineChars="0"/>
              <w:rPr>
                <w:rFonts w:cs="宋体"/>
                <w:sz w:val="22"/>
                <w:szCs w:val="22"/>
              </w:rPr>
            </w:pPr>
            <w:r>
              <w:rPr>
                <w:rFonts w:hint="eastAsia" w:cs="宋体"/>
                <w:sz w:val="22"/>
                <w:szCs w:val="22"/>
              </w:rPr>
              <w:t>重庆三峡银行股份有限公司</w:t>
            </w:r>
          </w:p>
        </w:tc>
        <w:tc>
          <w:tcPr>
            <w:tcW w:w="0" w:type="auto"/>
            <w:tcBorders>
              <w:top w:val="single" w:color="000000" w:sz="6" w:space="0"/>
              <w:left w:val="single" w:color="000000" w:sz="6" w:space="0"/>
              <w:bottom w:val="single" w:color="000000" w:sz="6" w:space="0"/>
              <w:right w:val="single" w:color="000000" w:sz="6" w:space="0"/>
            </w:tcBorders>
            <w:vAlign w:val="center"/>
          </w:tcPr>
          <w:p w14:paraId="6C06B244">
            <w:pPr>
              <w:ind w:firstLine="0" w:firstLineChars="0"/>
              <w:rPr>
                <w:rFonts w:cs="宋体"/>
                <w:sz w:val="22"/>
                <w:szCs w:val="22"/>
              </w:rPr>
            </w:pPr>
            <w:r>
              <w:rPr>
                <w:rFonts w:cs="宋体"/>
                <w:sz w:val="22"/>
                <w:szCs w:val="22"/>
              </w:rPr>
              <w:t>名称</w:t>
            </w:r>
          </w:p>
        </w:tc>
        <w:tc>
          <w:tcPr>
            <w:tcW w:w="0" w:type="auto"/>
            <w:tcBorders>
              <w:top w:val="single" w:color="000000" w:sz="6" w:space="0"/>
              <w:left w:val="single" w:color="000000" w:sz="6" w:space="0"/>
              <w:bottom w:val="single" w:color="000000" w:sz="6" w:space="0"/>
              <w:right w:val="single" w:color="000000" w:sz="6" w:space="0"/>
            </w:tcBorders>
            <w:vAlign w:val="center"/>
          </w:tcPr>
          <w:p w14:paraId="3C713AEC">
            <w:pPr>
              <w:ind w:firstLine="0" w:firstLineChars="0"/>
              <w:rPr>
                <w:rFonts w:cs="宋体"/>
                <w:sz w:val="22"/>
                <w:szCs w:val="22"/>
              </w:rPr>
            </w:pPr>
          </w:p>
        </w:tc>
      </w:tr>
      <w:tr w14:paraId="50382E43">
        <w:tc>
          <w:tcPr>
            <w:tcW w:w="1276" w:type="dxa"/>
            <w:tcBorders>
              <w:top w:val="single" w:color="000000" w:sz="6" w:space="0"/>
              <w:left w:val="single" w:color="000000" w:sz="6" w:space="0"/>
              <w:bottom w:val="single" w:color="000000" w:sz="6" w:space="0"/>
              <w:right w:val="single" w:color="000000" w:sz="6" w:space="0"/>
            </w:tcBorders>
            <w:vAlign w:val="center"/>
          </w:tcPr>
          <w:p w14:paraId="45B21630">
            <w:pPr>
              <w:ind w:firstLine="0" w:firstLineChars="0"/>
              <w:rPr>
                <w:rFonts w:cs="宋体"/>
                <w:sz w:val="22"/>
                <w:szCs w:val="22"/>
              </w:rPr>
            </w:pPr>
            <w:r>
              <w:rPr>
                <w:rFonts w:cs="宋体"/>
                <w:sz w:val="22"/>
                <w:szCs w:val="22"/>
              </w:rPr>
              <w:t>通讯地址</w:t>
            </w:r>
          </w:p>
        </w:tc>
        <w:tc>
          <w:tcPr>
            <w:tcW w:w="3404" w:type="dxa"/>
            <w:tcBorders>
              <w:top w:val="single" w:color="000000" w:sz="6" w:space="0"/>
              <w:left w:val="single" w:color="000000" w:sz="6" w:space="0"/>
              <w:bottom w:val="single" w:color="000000" w:sz="6" w:space="0"/>
              <w:right w:val="single" w:color="000000" w:sz="6" w:space="0"/>
            </w:tcBorders>
            <w:vAlign w:val="center"/>
          </w:tcPr>
          <w:p w14:paraId="352B0B5B">
            <w:pPr>
              <w:ind w:firstLine="0" w:firstLineChars="0"/>
              <w:rPr>
                <w:rFonts w:cs="宋体"/>
                <w:sz w:val="22"/>
                <w:szCs w:val="22"/>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4669A2FD">
            <w:pPr>
              <w:ind w:firstLine="0" w:firstLineChars="0"/>
              <w:rPr>
                <w:rFonts w:cs="宋体"/>
                <w:sz w:val="22"/>
                <w:szCs w:val="22"/>
              </w:rPr>
            </w:pPr>
            <w:r>
              <w:rPr>
                <w:rFonts w:cs="宋体"/>
                <w:sz w:val="22"/>
                <w:szCs w:val="22"/>
              </w:rPr>
              <w:t>通讯地址</w:t>
            </w:r>
          </w:p>
        </w:tc>
        <w:tc>
          <w:tcPr>
            <w:tcW w:w="0" w:type="auto"/>
            <w:tcBorders>
              <w:top w:val="single" w:color="000000" w:sz="6" w:space="0"/>
              <w:left w:val="single" w:color="000000" w:sz="6" w:space="0"/>
              <w:bottom w:val="single" w:color="000000" w:sz="6" w:space="0"/>
              <w:right w:val="single" w:color="000000" w:sz="6" w:space="0"/>
            </w:tcBorders>
            <w:vAlign w:val="center"/>
          </w:tcPr>
          <w:p w14:paraId="4367CB46">
            <w:pPr>
              <w:ind w:firstLine="0" w:firstLineChars="0"/>
              <w:rPr>
                <w:rFonts w:cs="宋体"/>
                <w:sz w:val="22"/>
                <w:szCs w:val="22"/>
              </w:rPr>
            </w:pPr>
          </w:p>
        </w:tc>
      </w:tr>
      <w:tr w14:paraId="2C09FB92">
        <w:tblPrEx>
          <w:tblCellMar>
            <w:top w:w="15" w:type="dxa"/>
            <w:left w:w="15" w:type="dxa"/>
            <w:bottom w:w="15" w:type="dxa"/>
            <w:right w:w="15" w:type="dxa"/>
          </w:tblCellMar>
        </w:tblPrEx>
        <w:tc>
          <w:tcPr>
            <w:tcW w:w="1276" w:type="dxa"/>
            <w:tcBorders>
              <w:top w:val="single" w:color="000000" w:sz="6" w:space="0"/>
              <w:left w:val="single" w:color="000000" w:sz="6" w:space="0"/>
              <w:bottom w:val="single" w:color="000000" w:sz="6" w:space="0"/>
              <w:right w:val="single" w:color="000000" w:sz="6" w:space="0"/>
            </w:tcBorders>
            <w:vAlign w:val="center"/>
          </w:tcPr>
          <w:p w14:paraId="0AF95BB8">
            <w:pPr>
              <w:ind w:firstLine="0" w:firstLineChars="0"/>
              <w:rPr>
                <w:rFonts w:cs="宋体"/>
                <w:sz w:val="22"/>
                <w:szCs w:val="22"/>
              </w:rPr>
            </w:pPr>
            <w:r>
              <w:rPr>
                <w:rFonts w:cs="宋体"/>
                <w:sz w:val="22"/>
                <w:szCs w:val="22"/>
              </w:rPr>
              <w:t>邮编</w:t>
            </w:r>
          </w:p>
        </w:tc>
        <w:tc>
          <w:tcPr>
            <w:tcW w:w="3404" w:type="dxa"/>
            <w:tcBorders>
              <w:top w:val="single" w:color="000000" w:sz="6" w:space="0"/>
              <w:left w:val="single" w:color="000000" w:sz="6" w:space="0"/>
              <w:bottom w:val="single" w:color="000000" w:sz="6" w:space="0"/>
              <w:right w:val="single" w:color="000000" w:sz="6" w:space="0"/>
            </w:tcBorders>
            <w:vAlign w:val="center"/>
          </w:tcPr>
          <w:p w14:paraId="305A2A3B">
            <w:pPr>
              <w:ind w:firstLine="0" w:firstLineChars="0"/>
              <w:rPr>
                <w:rFonts w:cs="宋体"/>
                <w:sz w:val="22"/>
                <w:szCs w:val="22"/>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3B1FF503">
            <w:pPr>
              <w:ind w:firstLine="0" w:firstLineChars="0"/>
              <w:rPr>
                <w:rFonts w:cs="宋体"/>
                <w:sz w:val="22"/>
                <w:szCs w:val="22"/>
              </w:rPr>
            </w:pPr>
            <w:r>
              <w:rPr>
                <w:rFonts w:cs="宋体"/>
                <w:sz w:val="22"/>
                <w:szCs w:val="22"/>
              </w:rPr>
              <w:t>邮编</w:t>
            </w:r>
          </w:p>
        </w:tc>
        <w:tc>
          <w:tcPr>
            <w:tcW w:w="0" w:type="auto"/>
            <w:tcBorders>
              <w:top w:val="single" w:color="000000" w:sz="6" w:space="0"/>
              <w:left w:val="single" w:color="000000" w:sz="6" w:space="0"/>
              <w:bottom w:val="single" w:color="000000" w:sz="6" w:space="0"/>
              <w:right w:val="single" w:color="000000" w:sz="6" w:space="0"/>
            </w:tcBorders>
            <w:vAlign w:val="center"/>
          </w:tcPr>
          <w:p w14:paraId="26384A97">
            <w:pPr>
              <w:ind w:firstLine="0" w:firstLineChars="0"/>
              <w:rPr>
                <w:rFonts w:cs="宋体"/>
                <w:sz w:val="22"/>
                <w:szCs w:val="22"/>
              </w:rPr>
            </w:pPr>
          </w:p>
        </w:tc>
      </w:tr>
      <w:tr w14:paraId="3F0B7BF8">
        <w:tblPrEx>
          <w:tblCellMar>
            <w:top w:w="15" w:type="dxa"/>
            <w:left w:w="15" w:type="dxa"/>
            <w:bottom w:w="15" w:type="dxa"/>
            <w:right w:w="15" w:type="dxa"/>
          </w:tblCellMar>
        </w:tblPrEx>
        <w:tc>
          <w:tcPr>
            <w:tcW w:w="1276" w:type="dxa"/>
            <w:tcBorders>
              <w:top w:val="single" w:color="000000" w:sz="6" w:space="0"/>
              <w:left w:val="single" w:color="000000" w:sz="6" w:space="0"/>
              <w:bottom w:val="single" w:color="000000" w:sz="6" w:space="0"/>
              <w:right w:val="single" w:color="000000" w:sz="6" w:space="0"/>
            </w:tcBorders>
            <w:vAlign w:val="center"/>
          </w:tcPr>
          <w:p w14:paraId="2C372FA4">
            <w:pPr>
              <w:ind w:firstLine="0" w:firstLineChars="0"/>
              <w:rPr>
                <w:rFonts w:cs="宋体"/>
                <w:sz w:val="22"/>
                <w:szCs w:val="22"/>
              </w:rPr>
            </w:pPr>
            <w:r>
              <w:rPr>
                <w:rFonts w:cs="宋体"/>
                <w:sz w:val="22"/>
                <w:szCs w:val="22"/>
              </w:rPr>
              <w:t>电话</w:t>
            </w:r>
          </w:p>
        </w:tc>
        <w:tc>
          <w:tcPr>
            <w:tcW w:w="3404" w:type="dxa"/>
            <w:tcBorders>
              <w:top w:val="single" w:color="000000" w:sz="6" w:space="0"/>
              <w:left w:val="single" w:color="000000" w:sz="6" w:space="0"/>
              <w:bottom w:val="single" w:color="000000" w:sz="6" w:space="0"/>
              <w:right w:val="single" w:color="000000" w:sz="6" w:space="0"/>
            </w:tcBorders>
            <w:vAlign w:val="center"/>
          </w:tcPr>
          <w:p w14:paraId="3ED125F7">
            <w:pPr>
              <w:ind w:firstLine="0" w:firstLineChars="0"/>
              <w:rPr>
                <w:rFonts w:cs="宋体"/>
                <w:sz w:val="22"/>
                <w:szCs w:val="22"/>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2386E36B">
            <w:pPr>
              <w:ind w:firstLine="0" w:firstLineChars="0"/>
              <w:rPr>
                <w:rFonts w:cs="宋体"/>
                <w:sz w:val="22"/>
                <w:szCs w:val="22"/>
              </w:rPr>
            </w:pPr>
            <w:r>
              <w:rPr>
                <w:rFonts w:cs="宋体"/>
                <w:sz w:val="22"/>
                <w:szCs w:val="22"/>
              </w:rPr>
              <w:t>电话</w:t>
            </w:r>
          </w:p>
        </w:tc>
        <w:tc>
          <w:tcPr>
            <w:tcW w:w="0" w:type="auto"/>
            <w:tcBorders>
              <w:top w:val="single" w:color="000000" w:sz="6" w:space="0"/>
              <w:left w:val="single" w:color="000000" w:sz="6" w:space="0"/>
              <w:bottom w:val="single" w:color="000000" w:sz="6" w:space="0"/>
              <w:right w:val="single" w:color="000000" w:sz="6" w:space="0"/>
            </w:tcBorders>
            <w:vAlign w:val="center"/>
          </w:tcPr>
          <w:p w14:paraId="1A189E55">
            <w:pPr>
              <w:ind w:firstLine="0" w:firstLineChars="0"/>
              <w:rPr>
                <w:rFonts w:cs="宋体"/>
                <w:sz w:val="22"/>
                <w:szCs w:val="22"/>
              </w:rPr>
            </w:pPr>
          </w:p>
        </w:tc>
      </w:tr>
      <w:tr w14:paraId="29129454">
        <w:tblPrEx>
          <w:tblCellMar>
            <w:top w:w="15" w:type="dxa"/>
            <w:left w:w="15" w:type="dxa"/>
            <w:bottom w:w="15" w:type="dxa"/>
            <w:right w:w="15" w:type="dxa"/>
          </w:tblCellMar>
        </w:tblPrEx>
        <w:tc>
          <w:tcPr>
            <w:tcW w:w="1276" w:type="dxa"/>
            <w:tcBorders>
              <w:top w:val="single" w:color="000000" w:sz="6" w:space="0"/>
              <w:left w:val="single" w:color="000000" w:sz="6" w:space="0"/>
              <w:bottom w:val="single" w:color="000000" w:sz="6" w:space="0"/>
              <w:right w:val="single" w:color="000000" w:sz="6" w:space="0"/>
            </w:tcBorders>
            <w:vAlign w:val="center"/>
          </w:tcPr>
          <w:p w14:paraId="33DBDB30">
            <w:pPr>
              <w:ind w:firstLine="0" w:firstLineChars="0"/>
              <w:rPr>
                <w:rFonts w:cs="宋体"/>
                <w:sz w:val="22"/>
                <w:szCs w:val="22"/>
              </w:rPr>
            </w:pPr>
            <w:r>
              <w:rPr>
                <w:rFonts w:cs="宋体"/>
                <w:sz w:val="22"/>
                <w:szCs w:val="22"/>
              </w:rPr>
              <w:t>传真</w:t>
            </w:r>
          </w:p>
        </w:tc>
        <w:tc>
          <w:tcPr>
            <w:tcW w:w="3404" w:type="dxa"/>
            <w:tcBorders>
              <w:top w:val="single" w:color="000000" w:sz="6" w:space="0"/>
              <w:left w:val="single" w:color="000000" w:sz="6" w:space="0"/>
              <w:bottom w:val="single" w:color="000000" w:sz="6" w:space="0"/>
              <w:right w:val="single" w:color="000000" w:sz="6" w:space="0"/>
            </w:tcBorders>
            <w:vAlign w:val="center"/>
          </w:tcPr>
          <w:p w14:paraId="087B3E96">
            <w:pPr>
              <w:ind w:firstLine="0" w:firstLineChars="0"/>
              <w:rPr>
                <w:rFonts w:cs="宋体"/>
                <w:sz w:val="22"/>
                <w:szCs w:val="22"/>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09F1ECE6">
            <w:pPr>
              <w:ind w:firstLine="0" w:firstLineChars="0"/>
              <w:rPr>
                <w:rFonts w:cs="宋体"/>
                <w:sz w:val="22"/>
                <w:szCs w:val="22"/>
              </w:rPr>
            </w:pPr>
            <w:r>
              <w:rPr>
                <w:rFonts w:cs="宋体"/>
                <w:sz w:val="22"/>
                <w:szCs w:val="22"/>
              </w:rPr>
              <w:t>传真</w:t>
            </w:r>
          </w:p>
        </w:tc>
        <w:tc>
          <w:tcPr>
            <w:tcW w:w="0" w:type="auto"/>
            <w:tcBorders>
              <w:top w:val="single" w:color="000000" w:sz="6" w:space="0"/>
              <w:left w:val="single" w:color="000000" w:sz="6" w:space="0"/>
              <w:bottom w:val="single" w:color="000000" w:sz="6" w:space="0"/>
              <w:right w:val="single" w:color="000000" w:sz="6" w:space="0"/>
            </w:tcBorders>
            <w:vAlign w:val="center"/>
          </w:tcPr>
          <w:p w14:paraId="33B73362">
            <w:pPr>
              <w:ind w:firstLine="0" w:firstLineChars="0"/>
              <w:rPr>
                <w:rFonts w:cs="宋体"/>
                <w:sz w:val="22"/>
                <w:szCs w:val="22"/>
              </w:rPr>
            </w:pPr>
          </w:p>
        </w:tc>
      </w:tr>
      <w:tr w14:paraId="4737E527">
        <w:tblPrEx>
          <w:tblCellMar>
            <w:top w:w="15" w:type="dxa"/>
            <w:left w:w="15" w:type="dxa"/>
            <w:bottom w:w="15" w:type="dxa"/>
            <w:right w:w="15" w:type="dxa"/>
          </w:tblCellMar>
        </w:tblPrEx>
        <w:tc>
          <w:tcPr>
            <w:tcW w:w="1276" w:type="dxa"/>
            <w:tcBorders>
              <w:top w:val="single" w:color="000000" w:sz="6" w:space="0"/>
              <w:left w:val="single" w:color="000000" w:sz="6" w:space="0"/>
              <w:bottom w:val="single" w:color="000000" w:sz="6" w:space="0"/>
              <w:right w:val="single" w:color="000000" w:sz="6" w:space="0"/>
            </w:tcBorders>
            <w:vAlign w:val="center"/>
          </w:tcPr>
          <w:p w14:paraId="7AA9FD56">
            <w:pPr>
              <w:ind w:firstLine="0" w:firstLineChars="0"/>
              <w:rPr>
                <w:rFonts w:cs="宋体"/>
                <w:sz w:val="22"/>
                <w:szCs w:val="22"/>
              </w:rPr>
            </w:pPr>
            <w:r>
              <w:rPr>
                <w:rFonts w:cs="宋体"/>
                <w:sz w:val="22"/>
                <w:szCs w:val="22"/>
              </w:rPr>
              <w:t>汇款人名称</w:t>
            </w:r>
          </w:p>
        </w:tc>
        <w:tc>
          <w:tcPr>
            <w:tcW w:w="3404" w:type="dxa"/>
            <w:tcBorders>
              <w:top w:val="single" w:color="000000" w:sz="6" w:space="0"/>
              <w:left w:val="single" w:color="000000" w:sz="6" w:space="0"/>
              <w:bottom w:val="single" w:color="000000" w:sz="6" w:space="0"/>
              <w:right w:val="single" w:color="000000" w:sz="6" w:space="0"/>
            </w:tcBorders>
            <w:vAlign w:val="center"/>
          </w:tcPr>
          <w:p w14:paraId="144394AC">
            <w:pPr>
              <w:ind w:firstLine="0" w:firstLineChars="0"/>
              <w:rPr>
                <w:rFonts w:cs="宋体"/>
                <w:sz w:val="22"/>
                <w:szCs w:val="22"/>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460D98CE">
            <w:pPr>
              <w:ind w:firstLine="0" w:firstLineChars="0"/>
              <w:rPr>
                <w:rFonts w:cs="宋体"/>
                <w:sz w:val="22"/>
                <w:szCs w:val="22"/>
              </w:rPr>
            </w:pPr>
            <w:r>
              <w:rPr>
                <w:rFonts w:cs="宋体"/>
                <w:sz w:val="22"/>
                <w:szCs w:val="22"/>
              </w:rPr>
              <w:t>收款人名称</w:t>
            </w:r>
          </w:p>
        </w:tc>
        <w:tc>
          <w:tcPr>
            <w:tcW w:w="0" w:type="auto"/>
            <w:tcBorders>
              <w:top w:val="single" w:color="000000" w:sz="6" w:space="0"/>
              <w:left w:val="single" w:color="000000" w:sz="6" w:space="0"/>
              <w:bottom w:val="single" w:color="000000" w:sz="6" w:space="0"/>
              <w:right w:val="single" w:color="000000" w:sz="6" w:space="0"/>
            </w:tcBorders>
            <w:vAlign w:val="center"/>
          </w:tcPr>
          <w:p w14:paraId="14017AF3">
            <w:pPr>
              <w:ind w:firstLine="0" w:firstLineChars="0"/>
              <w:rPr>
                <w:rFonts w:cs="宋体"/>
                <w:sz w:val="22"/>
                <w:szCs w:val="22"/>
              </w:rPr>
            </w:pPr>
          </w:p>
        </w:tc>
      </w:tr>
      <w:tr w14:paraId="45A1E09E">
        <w:tblPrEx>
          <w:tblCellMar>
            <w:top w:w="15" w:type="dxa"/>
            <w:left w:w="15" w:type="dxa"/>
            <w:bottom w:w="15" w:type="dxa"/>
            <w:right w:w="15" w:type="dxa"/>
          </w:tblCellMar>
        </w:tblPrEx>
        <w:tc>
          <w:tcPr>
            <w:tcW w:w="1276" w:type="dxa"/>
            <w:tcBorders>
              <w:top w:val="single" w:color="000000" w:sz="6" w:space="0"/>
              <w:left w:val="single" w:color="000000" w:sz="6" w:space="0"/>
              <w:bottom w:val="single" w:color="000000" w:sz="6" w:space="0"/>
              <w:right w:val="single" w:color="000000" w:sz="6" w:space="0"/>
            </w:tcBorders>
            <w:vAlign w:val="center"/>
          </w:tcPr>
          <w:p w14:paraId="7F4E810E">
            <w:pPr>
              <w:ind w:firstLine="0" w:firstLineChars="0"/>
              <w:rPr>
                <w:rFonts w:cs="宋体"/>
                <w:sz w:val="22"/>
                <w:szCs w:val="22"/>
              </w:rPr>
            </w:pPr>
            <w:r>
              <w:rPr>
                <w:rFonts w:cs="宋体"/>
                <w:sz w:val="22"/>
                <w:szCs w:val="22"/>
              </w:rPr>
              <w:t>开户银行</w:t>
            </w:r>
          </w:p>
        </w:tc>
        <w:tc>
          <w:tcPr>
            <w:tcW w:w="3404" w:type="dxa"/>
            <w:tcBorders>
              <w:top w:val="single" w:color="000000" w:sz="6" w:space="0"/>
              <w:left w:val="single" w:color="000000" w:sz="6" w:space="0"/>
              <w:bottom w:val="single" w:color="000000" w:sz="6" w:space="0"/>
              <w:right w:val="single" w:color="000000" w:sz="6" w:space="0"/>
            </w:tcBorders>
            <w:vAlign w:val="center"/>
          </w:tcPr>
          <w:p w14:paraId="0EBA3BC5">
            <w:pPr>
              <w:ind w:firstLine="0" w:firstLineChars="0"/>
              <w:rPr>
                <w:rFonts w:cs="宋体"/>
                <w:sz w:val="22"/>
                <w:szCs w:val="22"/>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4119BD7F">
            <w:pPr>
              <w:ind w:firstLine="0" w:firstLineChars="0"/>
              <w:rPr>
                <w:rFonts w:cs="宋体"/>
                <w:sz w:val="22"/>
                <w:szCs w:val="22"/>
              </w:rPr>
            </w:pPr>
            <w:r>
              <w:rPr>
                <w:rFonts w:cs="宋体"/>
                <w:sz w:val="22"/>
                <w:szCs w:val="22"/>
              </w:rPr>
              <w:t>开户银行</w:t>
            </w:r>
          </w:p>
        </w:tc>
        <w:tc>
          <w:tcPr>
            <w:tcW w:w="0" w:type="auto"/>
            <w:tcBorders>
              <w:top w:val="single" w:color="000000" w:sz="6" w:space="0"/>
              <w:left w:val="single" w:color="000000" w:sz="6" w:space="0"/>
              <w:bottom w:val="single" w:color="000000" w:sz="6" w:space="0"/>
              <w:right w:val="single" w:color="000000" w:sz="6" w:space="0"/>
            </w:tcBorders>
            <w:vAlign w:val="center"/>
          </w:tcPr>
          <w:p w14:paraId="43A7235B">
            <w:pPr>
              <w:ind w:firstLine="0" w:firstLineChars="0"/>
              <w:rPr>
                <w:rFonts w:cs="宋体"/>
                <w:sz w:val="22"/>
                <w:szCs w:val="22"/>
              </w:rPr>
            </w:pPr>
          </w:p>
        </w:tc>
      </w:tr>
      <w:tr w14:paraId="42EB1379">
        <w:tblPrEx>
          <w:tblCellMar>
            <w:top w:w="15" w:type="dxa"/>
            <w:left w:w="15" w:type="dxa"/>
            <w:bottom w:w="15" w:type="dxa"/>
            <w:right w:w="15" w:type="dxa"/>
          </w:tblCellMar>
        </w:tblPrEx>
        <w:tc>
          <w:tcPr>
            <w:tcW w:w="1276" w:type="dxa"/>
            <w:tcBorders>
              <w:top w:val="single" w:color="000000" w:sz="6" w:space="0"/>
              <w:left w:val="single" w:color="000000" w:sz="6" w:space="0"/>
              <w:bottom w:val="single" w:color="000000" w:sz="6" w:space="0"/>
              <w:right w:val="single" w:color="000000" w:sz="6" w:space="0"/>
            </w:tcBorders>
            <w:vAlign w:val="center"/>
          </w:tcPr>
          <w:p w14:paraId="7D900C64">
            <w:pPr>
              <w:ind w:firstLine="0" w:firstLineChars="0"/>
              <w:rPr>
                <w:rFonts w:cs="宋体"/>
                <w:sz w:val="22"/>
                <w:szCs w:val="22"/>
              </w:rPr>
            </w:pPr>
            <w:r>
              <w:rPr>
                <w:rFonts w:cs="宋体"/>
                <w:sz w:val="22"/>
                <w:szCs w:val="22"/>
              </w:rPr>
              <w:t>银行帐号</w:t>
            </w:r>
          </w:p>
        </w:tc>
        <w:tc>
          <w:tcPr>
            <w:tcW w:w="3404" w:type="dxa"/>
            <w:tcBorders>
              <w:top w:val="single" w:color="000000" w:sz="6" w:space="0"/>
              <w:left w:val="single" w:color="000000" w:sz="6" w:space="0"/>
              <w:bottom w:val="single" w:color="000000" w:sz="6" w:space="0"/>
              <w:right w:val="single" w:color="000000" w:sz="6" w:space="0"/>
            </w:tcBorders>
            <w:vAlign w:val="center"/>
          </w:tcPr>
          <w:p w14:paraId="7D56B06B">
            <w:pPr>
              <w:ind w:firstLine="0" w:firstLineChars="0"/>
              <w:rPr>
                <w:rFonts w:cs="宋体"/>
                <w:sz w:val="22"/>
                <w:szCs w:val="22"/>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6BAC7283">
            <w:pPr>
              <w:ind w:firstLine="0" w:firstLineChars="0"/>
              <w:rPr>
                <w:rFonts w:cs="宋体"/>
                <w:sz w:val="22"/>
                <w:szCs w:val="22"/>
              </w:rPr>
            </w:pPr>
            <w:r>
              <w:rPr>
                <w:rFonts w:cs="宋体"/>
                <w:sz w:val="22"/>
                <w:szCs w:val="22"/>
              </w:rPr>
              <w:t>银行帐号</w:t>
            </w:r>
          </w:p>
        </w:tc>
        <w:tc>
          <w:tcPr>
            <w:tcW w:w="0" w:type="auto"/>
            <w:tcBorders>
              <w:top w:val="single" w:color="000000" w:sz="6" w:space="0"/>
              <w:left w:val="single" w:color="000000" w:sz="6" w:space="0"/>
              <w:bottom w:val="single" w:color="000000" w:sz="6" w:space="0"/>
              <w:right w:val="single" w:color="000000" w:sz="6" w:space="0"/>
            </w:tcBorders>
            <w:vAlign w:val="center"/>
          </w:tcPr>
          <w:p w14:paraId="5C11989F">
            <w:pPr>
              <w:ind w:firstLine="0" w:firstLineChars="0"/>
              <w:rPr>
                <w:rFonts w:cs="宋体"/>
                <w:sz w:val="22"/>
                <w:szCs w:val="22"/>
              </w:rPr>
            </w:pPr>
          </w:p>
        </w:tc>
      </w:tr>
    </w:tbl>
    <w:p w14:paraId="5801CE62">
      <w:pPr>
        <w:ind w:firstLine="440"/>
        <w:rPr>
          <w:rFonts w:cs="宋体"/>
          <w:sz w:val="24"/>
          <w:szCs w:val="24"/>
        </w:rPr>
      </w:pPr>
      <w:r>
        <w:rPr>
          <w:rFonts w:cs="宋体"/>
          <w:sz w:val="22"/>
          <w:szCs w:val="22"/>
        </w:rPr>
        <w:t>2.5 甲乙任一方的名称、法定地址若有变更，变更一方应至少提前十个工作日书面通知对方</w:t>
      </w:r>
      <w:r>
        <w:rPr>
          <w:rFonts w:hint="eastAsia" w:cs="宋体"/>
          <w:sz w:val="22"/>
          <w:szCs w:val="22"/>
        </w:rPr>
        <w:t>，</w:t>
      </w:r>
      <w:r>
        <w:rPr>
          <w:rFonts w:cs="宋体"/>
          <w:sz w:val="22"/>
          <w:szCs w:val="22"/>
        </w:rPr>
        <w:t>该书面通知须加盖变更方公章后生效</w:t>
      </w:r>
      <w:r>
        <w:rPr>
          <w:rFonts w:hint="eastAsia" w:cs="宋体"/>
          <w:sz w:val="22"/>
          <w:szCs w:val="22"/>
        </w:rPr>
        <w:t>。</w:t>
      </w:r>
      <w:r>
        <w:rPr>
          <w:rFonts w:cs="宋体"/>
          <w:sz w:val="22"/>
          <w:szCs w:val="22"/>
        </w:rPr>
        <w:t>甲乙双方的</w:t>
      </w:r>
      <w:r>
        <w:rPr>
          <w:rFonts w:hint="eastAsia" w:cs="宋体"/>
          <w:sz w:val="22"/>
          <w:szCs w:val="22"/>
        </w:rPr>
        <w:t>账</w:t>
      </w:r>
      <w:r>
        <w:rPr>
          <w:rFonts w:cs="宋体"/>
          <w:sz w:val="22"/>
          <w:szCs w:val="22"/>
        </w:rPr>
        <w:t>户名称、开户银行、银行帐号有变更的，变更方应在本合同约定的相关付款期限十个工作日前以加盖财务专用章的书面文</w:t>
      </w:r>
      <w:r>
        <w:rPr>
          <w:rFonts w:hint="eastAsia" w:cs="宋体"/>
          <w:sz w:val="22"/>
          <w:szCs w:val="22"/>
        </w:rPr>
        <w:t>件通知</w:t>
      </w:r>
      <w:r>
        <w:rPr>
          <w:rFonts w:cs="宋体"/>
          <w:sz w:val="22"/>
          <w:szCs w:val="22"/>
        </w:rPr>
        <w:t>对方。</w:t>
      </w:r>
    </w:p>
    <w:p w14:paraId="212EBC21">
      <w:pPr>
        <w:ind w:firstLine="440"/>
        <w:rPr>
          <w:rFonts w:cs="宋体"/>
          <w:sz w:val="22"/>
          <w:szCs w:val="22"/>
        </w:rPr>
      </w:pPr>
      <w:r>
        <w:rPr>
          <w:rFonts w:cs="宋体"/>
          <w:sz w:val="22"/>
          <w:szCs w:val="22"/>
        </w:rPr>
        <w:t>2.6 甲方将以下项目外包给乙方：</w:t>
      </w:r>
    </w:p>
    <w:p w14:paraId="3D2854C3">
      <w:pPr>
        <w:ind w:firstLine="330" w:firstLineChars="150"/>
        <w:rPr>
          <w:rFonts w:cs="宋体"/>
          <w:sz w:val="22"/>
          <w:szCs w:val="22"/>
        </w:rPr>
      </w:pPr>
      <w:r>
        <w:rPr>
          <w:rFonts w:cs="宋体"/>
          <w:sz w:val="22"/>
          <w:szCs w:val="22"/>
        </w:rPr>
        <w:t>（1）项目地点：</w:t>
      </w:r>
      <w:r>
        <w:rPr>
          <w:rFonts w:hint="eastAsia" w:cs="宋体"/>
          <w:sz w:val="22"/>
          <w:szCs w:val="22"/>
        </w:rPr>
        <w:t>重庆</w:t>
      </w:r>
    </w:p>
    <w:p w14:paraId="2A688524">
      <w:pPr>
        <w:ind w:firstLine="330" w:firstLineChars="150"/>
        <w:rPr>
          <w:rFonts w:cs="宋体"/>
          <w:sz w:val="22"/>
          <w:szCs w:val="22"/>
        </w:rPr>
      </w:pPr>
      <w:r>
        <w:rPr>
          <w:rFonts w:cs="宋体"/>
          <w:sz w:val="22"/>
          <w:szCs w:val="22"/>
        </w:rPr>
        <w:t>（</w:t>
      </w:r>
      <w:r>
        <w:rPr>
          <w:rFonts w:hint="eastAsia" w:cs="宋体"/>
          <w:sz w:val="22"/>
          <w:szCs w:val="22"/>
        </w:rPr>
        <w:t>2</w:t>
      </w:r>
      <w:r>
        <w:rPr>
          <w:rFonts w:cs="宋体"/>
          <w:sz w:val="22"/>
          <w:szCs w:val="22"/>
        </w:rPr>
        <w:t>）项目内容：</w:t>
      </w:r>
      <w:r>
        <w:rPr>
          <w:rFonts w:hint="eastAsia" w:cs="宋体"/>
          <w:sz w:val="22"/>
          <w:szCs w:val="22"/>
        </w:rPr>
        <w:t>综合报送平台相关升级、优化、改造等开发工作。</w:t>
      </w:r>
    </w:p>
    <w:p w14:paraId="2AED05F2">
      <w:pPr>
        <w:ind w:firstLine="440"/>
        <w:rPr>
          <w:rFonts w:cs="宋体"/>
          <w:sz w:val="22"/>
          <w:szCs w:val="22"/>
        </w:rPr>
      </w:pPr>
      <w:r>
        <w:rPr>
          <w:rFonts w:cs="宋体"/>
          <w:sz w:val="22"/>
          <w:szCs w:val="22"/>
        </w:rPr>
        <w:t>2.7 甲方负责提供服务场地、设备、设施、工具，并承担服务项目的日常运作费用，包括但不限于水电费等。</w:t>
      </w:r>
    </w:p>
    <w:p w14:paraId="5D23690B">
      <w:pPr>
        <w:ind w:firstLine="440"/>
        <w:rPr>
          <w:rFonts w:cs="宋体"/>
          <w:sz w:val="22"/>
          <w:szCs w:val="22"/>
        </w:rPr>
      </w:pPr>
      <w:r>
        <w:rPr>
          <w:rFonts w:cs="宋体"/>
          <w:sz w:val="22"/>
          <w:szCs w:val="22"/>
        </w:rPr>
        <w:t xml:space="preserve">2.8 </w:t>
      </w:r>
      <w:r>
        <w:rPr>
          <w:rFonts w:hint="eastAsia" w:cs="宋体"/>
          <w:sz w:val="22"/>
          <w:szCs w:val="22"/>
        </w:rPr>
        <w:t>乙方应参照如下要求、</w:t>
      </w:r>
      <w:r>
        <w:rPr>
          <w:rFonts w:cs="宋体"/>
          <w:sz w:val="22"/>
          <w:szCs w:val="22"/>
        </w:rPr>
        <w:t>标准</w:t>
      </w:r>
      <w:r>
        <w:rPr>
          <w:rFonts w:hint="eastAsia" w:cs="宋体"/>
          <w:sz w:val="22"/>
          <w:szCs w:val="22"/>
        </w:rPr>
        <w:t>对</w:t>
      </w:r>
      <w:r>
        <w:rPr>
          <w:rFonts w:cs="宋体"/>
          <w:sz w:val="22"/>
          <w:szCs w:val="22"/>
        </w:rPr>
        <w:t>乙方人员</w:t>
      </w:r>
      <w:r>
        <w:rPr>
          <w:rFonts w:hint="eastAsia" w:cs="宋体"/>
          <w:sz w:val="22"/>
          <w:szCs w:val="22"/>
        </w:rPr>
        <w:t>进行管理：</w:t>
      </w:r>
    </w:p>
    <w:p w14:paraId="6565271D">
      <w:pPr>
        <w:ind w:firstLine="440"/>
        <w:rPr>
          <w:rFonts w:cs="宋体"/>
          <w:sz w:val="22"/>
          <w:szCs w:val="22"/>
        </w:rPr>
      </w:pPr>
      <w:r>
        <w:rPr>
          <w:rFonts w:hint="eastAsia" w:cs="宋体"/>
          <w:sz w:val="22"/>
          <w:szCs w:val="22"/>
        </w:rPr>
        <w:t>（</w:t>
      </w:r>
      <w:r>
        <w:rPr>
          <w:rFonts w:cs="宋体"/>
          <w:sz w:val="22"/>
          <w:szCs w:val="22"/>
        </w:rPr>
        <w:t>1</w:t>
      </w:r>
      <w:r>
        <w:rPr>
          <w:rFonts w:hint="eastAsia" w:cs="宋体"/>
          <w:sz w:val="22"/>
          <w:szCs w:val="22"/>
        </w:rPr>
        <w:t>）乙方指派XXX（身份证号： ）作为项目负责人，负责统筹与甲方的接洽和联系并自行管理乙方委派的工作人员。项目负责人可以指派驻场管理人员和其他支持人员，负责具体工作的执行。</w:t>
      </w:r>
    </w:p>
    <w:p w14:paraId="697B0198">
      <w:pPr>
        <w:ind w:firstLine="440"/>
        <w:rPr>
          <w:rFonts w:cs="宋体"/>
          <w:sz w:val="22"/>
          <w:szCs w:val="22"/>
        </w:rPr>
      </w:pPr>
      <w:r>
        <w:rPr>
          <w:rFonts w:hint="eastAsia" w:cs="宋体"/>
          <w:sz w:val="22"/>
          <w:szCs w:val="22"/>
        </w:rPr>
        <w:t>（2）</w:t>
      </w:r>
      <w:r>
        <w:rPr>
          <w:rFonts w:cs="宋体"/>
          <w:sz w:val="22"/>
          <w:szCs w:val="22"/>
        </w:rPr>
        <w:t>在合同执行期间，如乙方人员发生变化，乙方应提前10个工作日通过正式邮件和书面报告向甲方提交人员调整说明，经甲方确认后方可进行人员调整。乙方人员调出前须补充同等资历的人员，并经甲方资历审核及书面同意。</w:t>
      </w:r>
    </w:p>
    <w:p w14:paraId="610B20E7">
      <w:pPr>
        <w:ind w:firstLine="440"/>
        <w:rPr>
          <w:rFonts w:cs="宋体"/>
          <w:sz w:val="22"/>
          <w:szCs w:val="22"/>
        </w:rPr>
      </w:pPr>
      <w:r>
        <w:rPr>
          <w:rFonts w:hint="eastAsia" w:cs="宋体"/>
          <w:sz w:val="22"/>
          <w:szCs w:val="22"/>
        </w:rPr>
        <w:t>（</w:t>
      </w:r>
      <w:r>
        <w:rPr>
          <w:rFonts w:cs="宋体"/>
          <w:sz w:val="22"/>
          <w:szCs w:val="22"/>
        </w:rPr>
        <w:t>3</w:t>
      </w:r>
      <w:r>
        <w:rPr>
          <w:rFonts w:hint="eastAsia" w:cs="宋体"/>
          <w:sz w:val="22"/>
          <w:szCs w:val="22"/>
        </w:rPr>
        <w:t>）乙方应为外包服务人员配备的驻场管理和支持人员，数量须大于等于外包服务人员总人数</w:t>
      </w:r>
      <w:r>
        <w:rPr>
          <w:rFonts w:cs="宋体"/>
          <w:sz w:val="22"/>
          <w:szCs w:val="22"/>
        </w:rPr>
        <w:t>10%（四舍五入），如外包服务人力规模有20人，则管理人员数量需不低于2人（20x10% = 2），</w:t>
      </w:r>
      <w:r>
        <w:rPr>
          <w:rFonts w:hint="eastAsia" w:cs="宋体"/>
          <w:sz w:val="22"/>
          <w:szCs w:val="22"/>
        </w:rPr>
        <w:t>甲方不另行</w:t>
      </w:r>
      <w:r>
        <w:rPr>
          <w:rFonts w:cs="宋体"/>
          <w:sz w:val="22"/>
          <w:szCs w:val="22"/>
        </w:rPr>
        <w:t>向乙方管理人员支付任何费用。</w:t>
      </w:r>
    </w:p>
    <w:p w14:paraId="13ACC3EC">
      <w:pPr>
        <w:ind w:firstLine="440"/>
        <w:rPr>
          <w:rFonts w:cs="宋体"/>
          <w:sz w:val="22"/>
          <w:szCs w:val="22"/>
        </w:rPr>
      </w:pPr>
      <w:r>
        <w:rPr>
          <w:rFonts w:hint="eastAsia" w:cs="宋体"/>
          <w:sz w:val="22"/>
          <w:szCs w:val="22"/>
        </w:rPr>
        <w:t>（</w:t>
      </w:r>
      <w:r>
        <w:rPr>
          <w:rFonts w:cs="宋体"/>
          <w:sz w:val="22"/>
          <w:szCs w:val="22"/>
        </w:rPr>
        <w:t>4</w:t>
      </w:r>
      <w:r>
        <w:rPr>
          <w:rFonts w:hint="eastAsia" w:cs="宋体"/>
          <w:sz w:val="22"/>
          <w:szCs w:val="22"/>
        </w:rPr>
        <w:t>）乙方外包服务人员驻场后，以10个工作日为考核期限，甲方根据人员工作表现确定其录用档级</w:t>
      </w:r>
      <w:r>
        <w:rPr>
          <w:rFonts w:cs="宋体"/>
          <w:sz w:val="22"/>
          <w:szCs w:val="22"/>
        </w:rPr>
        <w:t>，并从</w:t>
      </w:r>
      <w:r>
        <w:rPr>
          <w:rFonts w:hint="eastAsia" w:cs="宋体"/>
          <w:sz w:val="22"/>
          <w:szCs w:val="22"/>
        </w:rPr>
        <w:t>确定档级</w:t>
      </w:r>
      <w:r>
        <w:rPr>
          <w:rFonts w:cs="宋体"/>
          <w:sz w:val="22"/>
          <w:szCs w:val="22"/>
        </w:rPr>
        <w:t>之日起按该档级计费。对于</w:t>
      </w:r>
      <w:r>
        <w:rPr>
          <w:rFonts w:hint="eastAsia" w:cs="宋体"/>
          <w:sz w:val="22"/>
          <w:szCs w:val="22"/>
        </w:rPr>
        <w:t>无法完成外包服务或外包服务无法达到甲方要求</w:t>
      </w:r>
      <w:r>
        <w:rPr>
          <w:rFonts w:cs="宋体"/>
          <w:sz w:val="22"/>
          <w:szCs w:val="22"/>
        </w:rPr>
        <w:t>的外包服务人员</w:t>
      </w:r>
      <w:r>
        <w:rPr>
          <w:rFonts w:hint="eastAsia" w:cs="宋体"/>
          <w:sz w:val="22"/>
          <w:szCs w:val="22"/>
        </w:rPr>
        <w:t>，甲方有权要求乙方立即更换</w:t>
      </w:r>
      <w:r>
        <w:rPr>
          <w:rFonts w:cs="宋体"/>
          <w:sz w:val="22"/>
          <w:szCs w:val="22"/>
        </w:rPr>
        <w:t>，直至符合甲方要求，</w:t>
      </w:r>
      <w:r>
        <w:rPr>
          <w:rFonts w:hint="eastAsia" w:cs="宋体"/>
          <w:sz w:val="22"/>
          <w:szCs w:val="22"/>
        </w:rPr>
        <w:t>考核期内不通过的，不计工作量</w:t>
      </w:r>
      <w:r>
        <w:rPr>
          <w:rFonts w:cs="宋体"/>
          <w:sz w:val="22"/>
          <w:szCs w:val="22"/>
        </w:rPr>
        <w:t>。</w:t>
      </w:r>
    </w:p>
    <w:p w14:paraId="6C0264C8">
      <w:pPr>
        <w:ind w:firstLine="440"/>
        <w:rPr>
          <w:rFonts w:cs="宋体"/>
          <w:sz w:val="22"/>
          <w:szCs w:val="22"/>
        </w:rPr>
      </w:pPr>
      <w:r>
        <w:rPr>
          <w:rFonts w:hint="eastAsia" w:cs="宋体"/>
          <w:sz w:val="22"/>
          <w:szCs w:val="22"/>
        </w:rPr>
        <w:t>（</w:t>
      </w:r>
      <w:r>
        <w:rPr>
          <w:rFonts w:cs="宋体"/>
          <w:sz w:val="22"/>
          <w:szCs w:val="22"/>
        </w:rPr>
        <w:t>5</w:t>
      </w:r>
      <w:r>
        <w:rPr>
          <w:rFonts w:hint="eastAsia" w:cs="宋体"/>
          <w:sz w:val="22"/>
          <w:szCs w:val="22"/>
        </w:rPr>
        <w:t>）乙方工作人员应当自觉维护甲方的工作秩序，遵守相关的规章制度，若对甲方工作秩序造成不良影响的，应承担相应的赔偿责任，甲方有权建议乙方对相应人员进行处罚。</w:t>
      </w:r>
    </w:p>
    <w:p w14:paraId="27751EE5">
      <w:pPr>
        <w:ind w:firstLine="442"/>
        <w:rPr>
          <w:rFonts w:cs="宋体"/>
          <w:b/>
          <w:sz w:val="22"/>
          <w:szCs w:val="22"/>
        </w:rPr>
      </w:pPr>
      <w:r>
        <w:rPr>
          <w:rFonts w:hint="eastAsia" w:cs="宋体"/>
          <w:b/>
          <w:sz w:val="22"/>
          <w:szCs w:val="22"/>
        </w:rPr>
        <w:t xml:space="preserve">第三章 </w:t>
      </w:r>
      <w:r>
        <w:rPr>
          <w:rFonts w:cs="宋体"/>
          <w:b/>
          <w:sz w:val="22"/>
          <w:szCs w:val="22"/>
        </w:rPr>
        <w:t>服务期限</w:t>
      </w:r>
    </w:p>
    <w:p w14:paraId="3764A2B6">
      <w:pPr>
        <w:ind w:firstLine="440"/>
        <w:rPr>
          <w:rFonts w:cs="宋体"/>
          <w:sz w:val="22"/>
          <w:szCs w:val="22"/>
        </w:rPr>
      </w:pPr>
      <w:r>
        <w:rPr>
          <w:rFonts w:hint="eastAsia" w:cs="宋体"/>
          <w:sz w:val="22"/>
          <w:szCs w:val="22"/>
        </w:rPr>
        <w:t>3.1</w:t>
      </w:r>
      <w:r>
        <w:rPr>
          <w:rFonts w:cs="宋体"/>
          <w:sz w:val="22"/>
          <w:szCs w:val="22"/>
        </w:rPr>
        <w:t>本合同项下服务期限自</w:t>
      </w:r>
      <w:r>
        <w:rPr>
          <w:rFonts w:cs="宋体"/>
          <w:sz w:val="22"/>
          <w:szCs w:val="22"/>
          <w:u w:val="single"/>
        </w:rPr>
        <w:t xml:space="preserve"> 2025 </w:t>
      </w:r>
      <w:r>
        <w:rPr>
          <w:rFonts w:cs="宋体"/>
          <w:sz w:val="22"/>
          <w:szCs w:val="22"/>
        </w:rPr>
        <w:t>年</w:t>
      </w:r>
      <w:r>
        <w:rPr>
          <w:rFonts w:cs="宋体"/>
          <w:sz w:val="22"/>
          <w:szCs w:val="22"/>
          <w:u w:val="single"/>
        </w:rPr>
        <w:t xml:space="preserve"> 7 </w:t>
      </w:r>
      <w:r>
        <w:rPr>
          <w:rFonts w:cs="宋体"/>
          <w:sz w:val="22"/>
          <w:szCs w:val="22"/>
        </w:rPr>
        <w:t>月</w:t>
      </w:r>
      <w:r>
        <w:rPr>
          <w:rFonts w:cs="宋体"/>
          <w:sz w:val="22"/>
          <w:szCs w:val="22"/>
          <w:u w:val="single"/>
        </w:rPr>
        <w:t xml:space="preserve"> 1</w:t>
      </w:r>
      <w:r>
        <w:rPr>
          <w:rFonts w:cs="宋体"/>
          <w:sz w:val="22"/>
          <w:szCs w:val="22"/>
        </w:rPr>
        <w:t>日起至</w:t>
      </w:r>
      <w:r>
        <w:rPr>
          <w:rFonts w:cs="宋体"/>
          <w:sz w:val="22"/>
          <w:szCs w:val="22"/>
          <w:u w:val="single"/>
        </w:rPr>
        <w:t xml:space="preserve"> 2027 </w:t>
      </w:r>
      <w:r>
        <w:rPr>
          <w:rFonts w:cs="宋体"/>
          <w:sz w:val="22"/>
          <w:szCs w:val="22"/>
        </w:rPr>
        <w:t>年</w:t>
      </w:r>
      <w:r>
        <w:rPr>
          <w:rFonts w:cs="宋体"/>
          <w:sz w:val="22"/>
          <w:szCs w:val="22"/>
          <w:u w:val="single"/>
        </w:rPr>
        <w:t xml:space="preserve"> 6 </w:t>
      </w:r>
      <w:r>
        <w:rPr>
          <w:rFonts w:cs="宋体"/>
          <w:sz w:val="22"/>
          <w:szCs w:val="22"/>
        </w:rPr>
        <w:t>月</w:t>
      </w:r>
      <w:r>
        <w:rPr>
          <w:rFonts w:cs="宋体"/>
          <w:sz w:val="22"/>
          <w:szCs w:val="22"/>
          <w:u w:val="single"/>
        </w:rPr>
        <w:t xml:space="preserve"> 30</w:t>
      </w:r>
      <w:r>
        <w:rPr>
          <w:rFonts w:cs="宋体"/>
          <w:sz w:val="22"/>
          <w:szCs w:val="22"/>
        </w:rPr>
        <w:t>日止。在本合同履行期间，若乙方提前终止合同，应提前</w:t>
      </w:r>
      <w:r>
        <w:rPr>
          <w:rFonts w:cs="宋体"/>
          <w:sz w:val="22"/>
          <w:szCs w:val="22"/>
          <w:u w:val="single"/>
        </w:rPr>
        <w:t>30</w:t>
      </w:r>
      <w:r>
        <w:rPr>
          <w:rFonts w:cs="宋体"/>
          <w:sz w:val="22"/>
          <w:szCs w:val="22"/>
        </w:rPr>
        <w:t>天以书面形式通知甲方，</w:t>
      </w:r>
      <w:r>
        <w:rPr>
          <w:rFonts w:hint="eastAsia" w:cs="宋体"/>
          <w:sz w:val="22"/>
          <w:szCs w:val="22"/>
        </w:rPr>
        <w:t>在取得</w:t>
      </w:r>
      <w:r>
        <w:rPr>
          <w:rFonts w:cs="宋体"/>
          <w:sz w:val="22"/>
          <w:szCs w:val="22"/>
        </w:rPr>
        <w:t>甲方书面同意后</w:t>
      </w:r>
      <w:r>
        <w:rPr>
          <w:rFonts w:hint="eastAsia" w:cs="宋体"/>
          <w:sz w:val="22"/>
          <w:szCs w:val="22"/>
        </w:rPr>
        <w:t>方可</w:t>
      </w:r>
      <w:r>
        <w:rPr>
          <w:rFonts w:cs="宋体"/>
          <w:sz w:val="22"/>
          <w:szCs w:val="22"/>
        </w:rPr>
        <w:t>解除，协助甲方处理过渡时期的人员、工作交接事宜，需确保乙方原有工作顺利交接完毕。</w:t>
      </w:r>
    </w:p>
    <w:p w14:paraId="6E8CD505">
      <w:pPr>
        <w:ind w:firstLine="440"/>
        <w:rPr>
          <w:rFonts w:cs="宋体"/>
          <w:sz w:val="22"/>
          <w:szCs w:val="22"/>
        </w:rPr>
      </w:pPr>
      <w:r>
        <w:rPr>
          <w:rFonts w:hint="eastAsia" w:cs="宋体"/>
          <w:sz w:val="22"/>
          <w:szCs w:val="22"/>
        </w:rPr>
        <w:t>在本合同履行期间，除另有约定外，甲方提前解除本合同的，自解除通知书到达乙方之日本合同解除，甲方不承担违约责任，双方据实结算费用。</w:t>
      </w:r>
    </w:p>
    <w:p w14:paraId="20DFE9FA">
      <w:pPr>
        <w:ind w:firstLine="482"/>
        <w:rPr>
          <w:rFonts w:cs="宋体"/>
          <w:b/>
          <w:sz w:val="22"/>
          <w:szCs w:val="22"/>
        </w:rPr>
      </w:pPr>
      <w:r>
        <w:rPr>
          <w:rFonts w:hint="eastAsia" w:cs="宋体"/>
          <w:b/>
          <w:sz w:val="24"/>
          <w:szCs w:val="24"/>
        </w:rPr>
        <w:t xml:space="preserve">第四章 </w:t>
      </w:r>
      <w:r>
        <w:rPr>
          <w:rFonts w:cs="宋体"/>
          <w:b/>
          <w:sz w:val="24"/>
          <w:szCs w:val="24"/>
        </w:rPr>
        <w:t>外包费标准和结算方式</w:t>
      </w:r>
    </w:p>
    <w:p w14:paraId="7E5FEFCC">
      <w:pPr>
        <w:ind w:firstLine="440"/>
        <w:rPr>
          <w:rFonts w:cs="宋体"/>
          <w:sz w:val="22"/>
          <w:szCs w:val="22"/>
        </w:rPr>
      </w:pPr>
      <w:r>
        <w:rPr>
          <w:rFonts w:cs="宋体"/>
          <w:sz w:val="22"/>
          <w:szCs w:val="22"/>
        </w:rPr>
        <w:t>4.1 外包费用计算标准为</w:t>
      </w:r>
      <w:r>
        <w:rPr>
          <w:rFonts w:hint="eastAsia" w:cs="宋体"/>
          <w:sz w:val="22"/>
          <w:szCs w:val="22"/>
        </w:rPr>
        <w:t>：按双方最终实际确认的工作量据实结算，每类人员的服务价格如下，外包服务人员档级定义参见“附件二：外包服务人员档级定义”。</w:t>
      </w:r>
    </w:p>
    <w:tbl>
      <w:tblPr>
        <w:tblStyle w:val="19"/>
        <w:tblW w:w="103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1418"/>
        <w:gridCol w:w="1809"/>
        <w:gridCol w:w="1984"/>
        <w:gridCol w:w="2036"/>
        <w:gridCol w:w="1661"/>
      </w:tblGrid>
      <w:tr w14:paraId="4CED4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0" w:type="dxa"/>
          </w:tcPr>
          <w:p w14:paraId="62CD6FC5">
            <w:pPr>
              <w:ind w:firstLine="0" w:firstLineChars="0"/>
              <w:rPr>
                <w:rFonts w:ascii="仿宋_GB2312" w:eastAsia="仿宋_GB2312"/>
                <w:snapToGrid w:val="0"/>
                <w:sz w:val="22"/>
                <w:szCs w:val="24"/>
              </w:rPr>
            </w:pPr>
            <w:r>
              <w:rPr>
                <w:rFonts w:hint="eastAsia" w:ascii="仿宋_GB2312" w:eastAsia="仿宋_GB2312"/>
                <w:snapToGrid w:val="0"/>
                <w:sz w:val="22"/>
                <w:szCs w:val="24"/>
              </w:rPr>
              <w:t>类型</w:t>
            </w:r>
          </w:p>
        </w:tc>
        <w:tc>
          <w:tcPr>
            <w:tcW w:w="1418" w:type="dxa"/>
          </w:tcPr>
          <w:p w14:paraId="402A0DC3">
            <w:pPr>
              <w:ind w:firstLine="0" w:firstLineChars="0"/>
              <w:rPr>
                <w:rFonts w:ascii="仿宋_GB2312" w:eastAsia="仿宋_GB2312"/>
                <w:snapToGrid w:val="0"/>
                <w:sz w:val="22"/>
                <w:szCs w:val="24"/>
              </w:rPr>
            </w:pPr>
            <w:r>
              <w:rPr>
                <w:rFonts w:hint="eastAsia" w:ascii="仿宋_GB2312" w:eastAsia="仿宋_GB2312"/>
                <w:snapToGrid w:val="0"/>
                <w:sz w:val="22"/>
                <w:szCs w:val="24"/>
              </w:rPr>
              <w:t>级别</w:t>
            </w:r>
          </w:p>
        </w:tc>
        <w:tc>
          <w:tcPr>
            <w:tcW w:w="1809" w:type="dxa"/>
          </w:tcPr>
          <w:p w14:paraId="6B6FD638">
            <w:pPr>
              <w:ind w:firstLine="0" w:firstLineChars="0"/>
              <w:rPr>
                <w:rFonts w:ascii="仿宋_GB2312" w:eastAsia="仿宋_GB2312"/>
                <w:snapToGrid w:val="0"/>
                <w:sz w:val="22"/>
                <w:szCs w:val="24"/>
              </w:rPr>
            </w:pPr>
            <w:r>
              <w:rPr>
                <w:rFonts w:hint="eastAsia" w:ascii="仿宋_GB2312" w:eastAsia="仿宋_GB2312"/>
                <w:snapToGrid w:val="0"/>
                <w:sz w:val="22"/>
                <w:szCs w:val="24"/>
              </w:rPr>
              <w:t>档级</w:t>
            </w:r>
          </w:p>
        </w:tc>
        <w:tc>
          <w:tcPr>
            <w:tcW w:w="1984" w:type="dxa"/>
            <w:tcBorders>
              <w:right w:val="single" w:color="auto" w:sz="4" w:space="0"/>
            </w:tcBorders>
          </w:tcPr>
          <w:p w14:paraId="31F69634">
            <w:pPr>
              <w:ind w:firstLine="0" w:firstLineChars="0"/>
              <w:rPr>
                <w:rFonts w:ascii="仿宋_GB2312" w:eastAsia="仿宋_GB2312"/>
                <w:snapToGrid w:val="0"/>
                <w:sz w:val="22"/>
                <w:szCs w:val="24"/>
              </w:rPr>
            </w:pPr>
            <w:r>
              <w:rPr>
                <w:rFonts w:hint="eastAsia" w:ascii="仿宋_GB2312" w:eastAsia="仿宋_GB2312"/>
                <w:snapToGrid w:val="0"/>
                <w:sz w:val="22"/>
                <w:szCs w:val="24"/>
              </w:rPr>
              <w:t>含税人月单价（币种：人民币</w:t>
            </w:r>
            <w:r>
              <w:rPr>
                <w:rFonts w:ascii="仿宋_GB2312" w:eastAsia="仿宋_GB2312"/>
                <w:snapToGrid w:val="0"/>
                <w:sz w:val="22"/>
                <w:szCs w:val="24"/>
              </w:rPr>
              <w:t>,单位：元</w:t>
            </w:r>
            <w:r>
              <w:rPr>
                <w:rFonts w:hint="eastAsia" w:ascii="仿宋_GB2312" w:eastAsia="仿宋_GB2312"/>
                <w:snapToGrid w:val="0"/>
                <w:sz w:val="22"/>
                <w:szCs w:val="24"/>
              </w:rPr>
              <w:t>）</w:t>
            </w:r>
          </w:p>
        </w:tc>
        <w:tc>
          <w:tcPr>
            <w:tcW w:w="2036" w:type="dxa"/>
            <w:tcBorders>
              <w:left w:val="single" w:color="auto" w:sz="4" w:space="0"/>
            </w:tcBorders>
          </w:tcPr>
          <w:p w14:paraId="116A2640">
            <w:pPr>
              <w:ind w:firstLine="0" w:firstLineChars="0"/>
              <w:rPr>
                <w:rFonts w:ascii="仿宋_GB2312" w:eastAsia="仿宋_GB2312"/>
                <w:snapToGrid w:val="0"/>
                <w:sz w:val="22"/>
                <w:szCs w:val="24"/>
              </w:rPr>
            </w:pPr>
            <w:r>
              <w:rPr>
                <w:rFonts w:hint="eastAsia" w:ascii="仿宋_GB2312" w:eastAsia="仿宋_GB2312"/>
                <w:snapToGrid w:val="0"/>
                <w:sz w:val="22"/>
                <w:szCs w:val="24"/>
              </w:rPr>
              <w:t>不含税价（币种：人民币</w:t>
            </w:r>
            <w:r>
              <w:rPr>
                <w:rFonts w:ascii="仿宋_GB2312" w:eastAsia="仿宋_GB2312"/>
                <w:snapToGrid w:val="0"/>
                <w:sz w:val="22"/>
                <w:szCs w:val="24"/>
              </w:rPr>
              <w:t>,单位：元</w:t>
            </w:r>
            <w:r>
              <w:rPr>
                <w:rFonts w:hint="eastAsia" w:ascii="仿宋_GB2312" w:eastAsia="仿宋_GB2312"/>
                <w:snapToGrid w:val="0"/>
                <w:sz w:val="22"/>
                <w:szCs w:val="24"/>
              </w:rPr>
              <w:t>）</w:t>
            </w:r>
          </w:p>
        </w:tc>
        <w:tc>
          <w:tcPr>
            <w:tcW w:w="1661" w:type="dxa"/>
            <w:tcBorders>
              <w:left w:val="single" w:color="auto" w:sz="4" w:space="0"/>
            </w:tcBorders>
          </w:tcPr>
          <w:p w14:paraId="1FEDB6C3">
            <w:pPr>
              <w:ind w:firstLine="0" w:firstLineChars="0"/>
              <w:rPr>
                <w:rFonts w:ascii="仿宋_GB2312" w:eastAsia="仿宋_GB2312"/>
                <w:snapToGrid w:val="0"/>
                <w:sz w:val="22"/>
                <w:szCs w:val="24"/>
              </w:rPr>
            </w:pPr>
            <w:r>
              <w:rPr>
                <w:rFonts w:hint="eastAsia" w:ascii="仿宋_GB2312" w:eastAsia="仿宋_GB2312"/>
                <w:snapToGrid w:val="0"/>
                <w:sz w:val="22"/>
                <w:szCs w:val="24"/>
              </w:rPr>
              <w:t>税额（币种：人民币</w:t>
            </w:r>
            <w:r>
              <w:rPr>
                <w:rFonts w:ascii="仿宋_GB2312" w:eastAsia="仿宋_GB2312"/>
                <w:snapToGrid w:val="0"/>
                <w:sz w:val="22"/>
                <w:szCs w:val="24"/>
              </w:rPr>
              <w:t>,单位：元</w:t>
            </w:r>
            <w:r>
              <w:rPr>
                <w:rFonts w:hint="eastAsia" w:ascii="仿宋_GB2312" w:eastAsia="仿宋_GB2312"/>
                <w:snapToGrid w:val="0"/>
                <w:sz w:val="22"/>
                <w:szCs w:val="24"/>
              </w:rPr>
              <w:t>）</w:t>
            </w:r>
          </w:p>
        </w:tc>
      </w:tr>
      <w:tr w14:paraId="2BC68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0" w:type="dxa"/>
            <w:vMerge w:val="restart"/>
            <w:textDirection w:val="tbRlV"/>
          </w:tcPr>
          <w:p w14:paraId="75579736">
            <w:pPr>
              <w:ind w:left="113" w:right="113" w:firstLine="0" w:firstLineChars="0"/>
              <w:rPr>
                <w:rFonts w:ascii="仿宋_GB2312" w:eastAsia="仿宋_GB2312"/>
                <w:sz w:val="22"/>
                <w:szCs w:val="24"/>
              </w:rPr>
            </w:pPr>
          </w:p>
          <w:p w14:paraId="7CBB5B94">
            <w:pPr>
              <w:ind w:left="113" w:right="113" w:firstLine="0" w:firstLineChars="0"/>
              <w:rPr>
                <w:rFonts w:ascii="仿宋_GB2312" w:eastAsia="仿宋_GB2312"/>
                <w:sz w:val="22"/>
                <w:szCs w:val="24"/>
              </w:rPr>
            </w:pPr>
            <w:r>
              <w:rPr>
                <w:rFonts w:hint="eastAsia" w:ascii="仿宋_GB2312" w:eastAsia="仿宋_GB2312"/>
                <w:sz w:val="22"/>
                <w:szCs w:val="24"/>
              </w:rPr>
              <w:t>软件开发工程师</w:t>
            </w:r>
          </w:p>
        </w:tc>
        <w:tc>
          <w:tcPr>
            <w:tcW w:w="1418" w:type="dxa"/>
            <w:vMerge w:val="restart"/>
            <w:tcBorders>
              <w:left w:val="single" w:color="000000" w:sz="4" w:space="0"/>
            </w:tcBorders>
          </w:tcPr>
          <w:p w14:paraId="2FE15DDD">
            <w:pPr>
              <w:ind w:firstLine="0" w:firstLineChars="0"/>
              <w:rPr>
                <w:rFonts w:cs="宋体"/>
                <w:sz w:val="22"/>
                <w:szCs w:val="22"/>
              </w:rPr>
            </w:pPr>
          </w:p>
          <w:p w14:paraId="3E3B129F">
            <w:pPr>
              <w:ind w:firstLine="0" w:firstLineChars="0"/>
              <w:jc w:val="center"/>
              <w:rPr>
                <w:rFonts w:cs="宋体"/>
                <w:sz w:val="22"/>
                <w:szCs w:val="22"/>
              </w:rPr>
            </w:pPr>
            <w:r>
              <w:rPr>
                <w:rFonts w:hint="eastAsia" w:ascii="仿宋_GB2312" w:eastAsia="仿宋_GB2312"/>
                <w:snapToGrid w:val="0"/>
                <w:sz w:val="22"/>
                <w:szCs w:val="24"/>
              </w:rPr>
              <w:t>高级</w:t>
            </w:r>
          </w:p>
        </w:tc>
        <w:tc>
          <w:tcPr>
            <w:tcW w:w="1809" w:type="dxa"/>
            <w:tcBorders>
              <w:left w:val="single" w:color="000000" w:sz="4" w:space="0"/>
            </w:tcBorders>
            <w:vAlign w:val="center"/>
          </w:tcPr>
          <w:p w14:paraId="10BC9FC2">
            <w:pPr>
              <w:ind w:firstLine="0" w:firstLineChars="0"/>
              <w:jc w:val="center"/>
              <w:rPr>
                <w:rFonts w:cs="宋体"/>
                <w:snapToGrid w:val="0"/>
                <w:sz w:val="22"/>
                <w:szCs w:val="22"/>
              </w:rPr>
            </w:pPr>
            <w:r>
              <w:rPr>
                <w:rFonts w:hint="eastAsia" w:cs="宋体"/>
                <w:snapToGrid w:val="0"/>
                <w:sz w:val="22"/>
                <w:szCs w:val="22"/>
              </w:rPr>
              <w:t>D-A2</w:t>
            </w:r>
          </w:p>
        </w:tc>
        <w:tc>
          <w:tcPr>
            <w:tcW w:w="1984" w:type="dxa"/>
            <w:tcBorders>
              <w:right w:val="single" w:color="auto" w:sz="4" w:space="0"/>
            </w:tcBorders>
          </w:tcPr>
          <w:p w14:paraId="00C2DF3B">
            <w:pPr>
              <w:ind w:firstLine="0" w:firstLineChars="0"/>
              <w:rPr>
                <w:rFonts w:ascii="仿宋_GB2312" w:eastAsia="仿宋_GB2312"/>
                <w:snapToGrid w:val="0"/>
                <w:sz w:val="22"/>
                <w:szCs w:val="24"/>
              </w:rPr>
            </w:pPr>
          </w:p>
        </w:tc>
        <w:tc>
          <w:tcPr>
            <w:tcW w:w="2036" w:type="dxa"/>
            <w:tcBorders>
              <w:left w:val="single" w:color="auto" w:sz="4" w:space="0"/>
            </w:tcBorders>
          </w:tcPr>
          <w:p w14:paraId="4D52F63B">
            <w:pPr>
              <w:ind w:firstLine="0" w:firstLineChars="0"/>
              <w:rPr>
                <w:rFonts w:ascii="仿宋_GB2312" w:eastAsia="仿宋_GB2312"/>
                <w:snapToGrid w:val="0"/>
                <w:sz w:val="22"/>
                <w:szCs w:val="24"/>
              </w:rPr>
            </w:pPr>
          </w:p>
        </w:tc>
        <w:tc>
          <w:tcPr>
            <w:tcW w:w="1661" w:type="dxa"/>
            <w:tcBorders>
              <w:left w:val="single" w:color="auto" w:sz="4" w:space="0"/>
            </w:tcBorders>
          </w:tcPr>
          <w:p w14:paraId="4E959192">
            <w:pPr>
              <w:ind w:firstLine="0" w:firstLineChars="0"/>
              <w:rPr>
                <w:rFonts w:ascii="仿宋_GB2312" w:eastAsia="仿宋_GB2312"/>
                <w:snapToGrid w:val="0"/>
                <w:sz w:val="22"/>
                <w:szCs w:val="24"/>
              </w:rPr>
            </w:pPr>
          </w:p>
        </w:tc>
      </w:tr>
      <w:tr w14:paraId="5B236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420" w:type="dxa"/>
            <w:vMerge w:val="continue"/>
          </w:tcPr>
          <w:p w14:paraId="4272B82C">
            <w:pPr>
              <w:ind w:firstLine="400"/>
              <w:rPr>
                <w:sz w:val="20"/>
                <w:szCs w:val="18"/>
              </w:rPr>
            </w:pPr>
          </w:p>
        </w:tc>
        <w:tc>
          <w:tcPr>
            <w:tcW w:w="1418" w:type="dxa"/>
            <w:vMerge w:val="continue"/>
            <w:tcBorders>
              <w:left w:val="single" w:color="000000" w:sz="4" w:space="0"/>
            </w:tcBorders>
          </w:tcPr>
          <w:p w14:paraId="1D362499">
            <w:pPr>
              <w:ind w:firstLine="400"/>
              <w:rPr>
                <w:sz w:val="20"/>
                <w:szCs w:val="18"/>
              </w:rPr>
            </w:pPr>
          </w:p>
        </w:tc>
        <w:tc>
          <w:tcPr>
            <w:tcW w:w="1809" w:type="dxa"/>
            <w:tcBorders>
              <w:left w:val="single" w:color="000000" w:sz="4" w:space="0"/>
            </w:tcBorders>
            <w:vAlign w:val="center"/>
          </w:tcPr>
          <w:p w14:paraId="18D995EE">
            <w:pPr>
              <w:ind w:firstLine="0" w:firstLineChars="0"/>
              <w:jc w:val="center"/>
              <w:rPr>
                <w:rFonts w:cs="宋体"/>
                <w:snapToGrid w:val="0"/>
                <w:sz w:val="22"/>
                <w:szCs w:val="22"/>
              </w:rPr>
            </w:pPr>
            <w:r>
              <w:rPr>
                <w:rFonts w:hint="eastAsia" w:cs="宋体"/>
                <w:snapToGrid w:val="0"/>
                <w:sz w:val="22"/>
                <w:szCs w:val="22"/>
              </w:rPr>
              <w:t>D-A1</w:t>
            </w:r>
          </w:p>
        </w:tc>
        <w:tc>
          <w:tcPr>
            <w:tcW w:w="1984" w:type="dxa"/>
            <w:tcBorders>
              <w:right w:val="single" w:color="auto" w:sz="4" w:space="0"/>
            </w:tcBorders>
          </w:tcPr>
          <w:p w14:paraId="3E0870BB">
            <w:pPr>
              <w:ind w:firstLine="0" w:firstLineChars="0"/>
              <w:rPr>
                <w:rFonts w:ascii="仿宋_GB2312" w:eastAsia="仿宋_GB2312"/>
                <w:snapToGrid w:val="0"/>
                <w:sz w:val="22"/>
                <w:szCs w:val="24"/>
              </w:rPr>
            </w:pPr>
          </w:p>
        </w:tc>
        <w:tc>
          <w:tcPr>
            <w:tcW w:w="2036" w:type="dxa"/>
            <w:tcBorders>
              <w:left w:val="single" w:color="auto" w:sz="4" w:space="0"/>
            </w:tcBorders>
          </w:tcPr>
          <w:p w14:paraId="2B286742">
            <w:pPr>
              <w:ind w:firstLine="0" w:firstLineChars="0"/>
              <w:rPr>
                <w:rFonts w:ascii="仿宋_GB2312" w:eastAsia="仿宋_GB2312"/>
                <w:snapToGrid w:val="0"/>
                <w:sz w:val="22"/>
                <w:szCs w:val="24"/>
              </w:rPr>
            </w:pPr>
          </w:p>
        </w:tc>
        <w:tc>
          <w:tcPr>
            <w:tcW w:w="1661" w:type="dxa"/>
            <w:tcBorders>
              <w:left w:val="single" w:color="auto" w:sz="4" w:space="0"/>
            </w:tcBorders>
          </w:tcPr>
          <w:p w14:paraId="5F94E3C7">
            <w:pPr>
              <w:ind w:firstLine="0" w:firstLineChars="0"/>
              <w:rPr>
                <w:rFonts w:ascii="仿宋_GB2312" w:eastAsia="仿宋_GB2312"/>
                <w:snapToGrid w:val="0"/>
                <w:sz w:val="22"/>
                <w:szCs w:val="24"/>
              </w:rPr>
            </w:pPr>
          </w:p>
        </w:tc>
      </w:tr>
      <w:tr w14:paraId="03BEC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0" w:type="dxa"/>
            <w:vMerge w:val="continue"/>
          </w:tcPr>
          <w:p w14:paraId="7BDC8558">
            <w:pPr>
              <w:ind w:firstLine="400"/>
              <w:rPr>
                <w:sz w:val="20"/>
                <w:szCs w:val="18"/>
              </w:rPr>
            </w:pPr>
          </w:p>
        </w:tc>
        <w:tc>
          <w:tcPr>
            <w:tcW w:w="1418" w:type="dxa"/>
            <w:vMerge w:val="restart"/>
            <w:tcBorders>
              <w:left w:val="single" w:color="000000" w:sz="4" w:space="0"/>
            </w:tcBorders>
            <w:vAlign w:val="center"/>
          </w:tcPr>
          <w:p w14:paraId="02EBE2D5">
            <w:pPr>
              <w:ind w:firstLine="0" w:firstLineChars="0"/>
              <w:jc w:val="center"/>
              <w:rPr>
                <w:rFonts w:ascii="仿宋_GB2312" w:eastAsia="仿宋_GB2312"/>
                <w:snapToGrid w:val="0"/>
                <w:sz w:val="22"/>
                <w:szCs w:val="24"/>
              </w:rPr>
            </w:pPr>
            <w:r>
              <w:rPr>
                <w:rFonts w:hint="eastAsia" w:ascii="仿宋_GB2312" w:eastAsia="仿宋_GB2312"/>
                <w:snapToGrid w:val="0"/>
                <w:sz w:val="22"/>
                <w:szCs w:val="24"/>
              </w:rPr>
              <w:t>中级</w:t>
            </w:r>
          </w:p>
        </w:tc>
        <w:tc>
          <w:tcPr>
            <w:tcW w:w="1809" w:type="dxa"/>
            <w:tcBorders>
              <w:left w:val="single" w:color="000000" w:sz="4" w:space="0"/>
            </w:tcBorders>
            <w:vAlign w:val="center"/>
          </w:tcPr>
          <w:p w14:paraId="3CA4AC11">
            <w:pPr>
              <w:ind w:firstLine="0" w:firstLineChars="0"/>
              <w:jc w:val="center"/>
              <w:rPr>
                <w:rFonts w:cs="宋体"/>
                <w:snapToGrid w:val="0"/>
                <w:sz w:val="22"/>
                <w:szCs w:val="22"/>
              </w:rPr>
            </w:pPr>
            <w:r>
              <w:rPr>
                <w:rFonts w:hint="eastAsia" w:cs="宋体"/>
                <w:snapToGrid w:val="0"/>
                <w:sz w:val="22"/>
                <w:szCs w:val="22"/>
              </w:rPr>
              <w:t>D-B4</w:t>
            </w:r>
          </w:p>
        </w:tc>
        <w:tc>
          <w:tcPr>
            <w:tcW w:w="1984" w:type="dxa"/>
            <w:tcBorders>
              <w:right w:val="single" w:color="auto" w:sz="4" w:space="0"/>
            </w:tcBorders>
          </w:tcPr>
          <w:p w14:paraId="29C1C4B2">
            <w:pPr>
              <w:ind w:firstLine="0" w:firstLineChars="0"/>
              <w:rPr>
                <w:rFonts w:ascii="仿宋_GB2312" w:eastAsia="仿宋_GB2312"/>
                <w:snapToGrid w:val="0"/>
                <w:sz w:val="22"/>
                <w:szCs w:val="24"/>
              </w:rPr>
            </w:pPr>
          </w:p>
        </w:tc>
        <w:tc>
          <w:tcPr>
            <w:tcW w:w="2036" w:type="dxa"/>
            <w:tcBorders>
              <w:left w:val="single" w:color="auto" w:sz="4" w:space="0"/>
            </w:tcBorders>
          </w:tcPr>
          <w:p w14:paraId="402F70C4">
            <w:pPr>
              <w:ind w:firstLine="0" w:firstLineChars="0"/>
              <w:rPr>
                <w:rFonts w:ascii="仿宋_GB2312" w:eastAsia="仿宋_GB2312"/>
                <w:snapToGrid w:val="0"/>
                <w:sz w:val="22"/>
                <w:szCs w:val="24"/>
              </w:rPr>
            </w:pPr>
          </w:p>
        </w:tc>
        <w:tc>
          <w:tcPr>
            <w:tcW w:w="1661" w:type="dxa"/>
            <w:tcBorders>
              <w:left w:val="single" w:color="auto" w:sz="4" w:space="0"/>
            </w:tcBorders>
          </w:tcPr>
          <w:p w14:paraId="31C39E56">
            <w:pPr>
              <w:ind w:firstLine="0" w:firstLineChars="0"/>
              <w:rPr>
                <w:rFonts w:ascii="仿宋_GB2312" w:eastAsia="仿宋_GB2312"/>
                <w:snapToGrid w:val="0"/>
                <w:sz w:val="22"/>
                <w:szCs w:val="24"/>
              </w:rPr>
            </w:pPr>
          </w:p>
        </w:tc>
      </w:tr>
      <w:tr w14:paraId="42861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0" w:type="dxa"/>
            <w:vMerge w:val="continue"/>
          </w:tcPr>
          <w:p w14:paraId="5813E691">
            <w:pPr>
              <w:ind w:firstLine="400"/>
              <w:rPr>
                <w:sz w:val="20"/>
                <w:szCs w:val="18"/>
              </w:rPr>
            </w:pPr>
          </w:p>
        </w:tc>
        <w:tc>
          <w:tcPr>
            <w:tcW w:w="1418" w:type="dxa"/>
            <w:vMerge w:val="continue"/>
            <w:tcBorders>
              <w:left w:val="single" w:color="000000" w:sz="4" w:space="0"/>
            </w:tcBorders>
          </w:tcPr>
          <w:p w14:paraId="5522F1F6">
            <w:pPr>
              <w:ind w:firstLine="400"/>
              <w:rPr>
                <w:sz w:val="20"/>
                <w:szCs w:val="18"/>
              </w:rPr>
            </w:pPr>
          </w:p>
        </w:tc>
        <w:tc>
          <w:tcPr>
            <w:tcW w:w="1809" w:type="dxa"/>
            <w:tcBorders>
              <w:left w:val="single" w:color="000000" w:sz="4" w:space="0"/>
            </w:tcBorders>
            <w:vAlign w:val="center"/>
          </w:tcPr>
          <w:p w14:paraId="21B898E4">
            <w:pPr>
              <w:ind w:firstLine="0" w:firstLineChars="0"/>
              <w:jc w:val="center"/>
              <w:rPr>
                <w:rFonts w:cs="宋体"/>
                <w:snapToGrid w:val="0"/>
                <w:sz w:val="22"/>
                <w:szCs w:val="22"/>
              </w:rPr>
            </w:pPr>
            <w:r>
              <w:rPr>
                <w:rFonts w:hint="eastAsia" w:cs="宋体"/>
                <w:snapToGrid w:val="0"/>
                <w:sz w:val="22"/>
                <w:szCs w:val="22"/>
              </w:rPr>
              <w:t>D-B3</w:t>
            </w:r>
          </w:p>
        </w:tc>
        <w:tc>
          <w:tcPr>
            <w:tcW w:w="1984" w:type="dxa"/>
            <w:tcBorders>
              <w:right w:val="single" w:color="auto" w:sz="4" w:space="0"/>
            </w:tcBorders>
          </w:tcPr>
          <w:p w14:paraId="55224F1D">
            <w:pPr>
              <w:ind w:firstLine="0" w:firstLineChars="0"/>
              <w:rPr>
                <w:rFonts w:ascii="仿宋_GB2312" w:eastAsia="仿宋_GB2312"/>
                <w:snapToGrid w:val="0"/>
                <w:sz w:val="22"/>
                <w:szCs w:val="24"/>
              </w:rPr>
            </w:pPr>
          </w:p>
        </w:tc>
        <w:tc>
          <w:tcPr>
            <w:tcW w:w="2036" w:type="dxa"/>
            <w:tcBorders>
              <w:left w:val="single" w:color="auto" w:sz="4" w:space="0"/>
            </w:tcBorders>
          </w:tcPr>
          <w:p w14:paraId="2FCF0A45">
            <w:pPr>
              <w:ind w:firstLine="0" w:firstLineChars="0"/>
              <w:rPr>
                <w:rFonts w:ascii="仿宋_GB2312" w:eastAsia="仿宋_GB2312"/>
                <w:snapToGrid w:val="0"/>
                <w:sz w:val="22"/>
                <w:szCs w:val="24"/>
              </w:rPr>
            </w:pPr>
          </w:p>
        </w:tc>
        <w:tc>
          <w:tcPr>
            <w:tcW w:w="1661" w:type="dxa"/>
            <w:tcBorders>
              <w:left w:val="single" w:color="auto" w:sz="4" w:space="0"/>
            </w:tcBorders>
          </w:tcPr>
          <w:p w14:paraId="04AC29E3">
            <w:pPr>
              <w:ind w:firstLine="0" w:firstLineChars="0"/>
              <w:rPr>
                <w:rFonts w:ascii="仿宋_GB2312" w:eastAsia="仿宋_GB2312"/>
                <w:snapToGrid w:val="0"/>
                <w:sz w:val="22"/>
                <w:szCs w:val="24"/>
              </w:rPr>
            </w:pPr>
          </w:p>
        </w:tc>
      </w:tr>
      <w:tr w14:paraId="6EBB8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0" w:type="dxa"/>
            <w:vMerge w:val="continue"/>
          </w:tcPr>
          <w:p w14:paraId="4E3EAC56">
            <w:pPr>
              <w:ind w:firstLine="400"/>
              <w:rPr>
                <w:sz w:val="20"/>
                <w:szCs w:val="18"/>
              </w:rPr>
            </w:pPr>
          </w:p>
        </w:tc>
        <w:tc>
          <w:tcPr>
            <w:tcW w:w="1418" w:type="dxa"/>
            <w:vMerge w:val="continue"/>
            <w:tcBorders>
              <w:left w:val="single" w:color="000000" w:sz="4" w:space="0"/>
            </w:tcBorders>
          </w:tcPr>
          <w:p w14:paraId="110C2254">
            <w:pPr>
              <w:ind w:firstLine="400"/>
              <w:rPr>
                <w:sz w:val="20"/>
                <w:szCs w:val="18"/>
              </w:rPr>
            </w:pPr>
          </w:p>
        </w:tc>
        <w:tc>
          <w:tcPr>
            <w:tcW w:w="1809" w:type="dxa"/>
            <w:tcBorders>
              <w:left w:val="single" w:color="000000" w:sz="4" w:space="0"/>
            </w:tcBorders>
            <w:vAlign w:val="center"/>
          </w:tcPr>
          <w:p w14:paraId="7E29DBCB">
            <w:pPr>
              <w:ind w:firstLine="0" w:firstLineChars="0"/>
              <w:jc w:val="center"/>
              <w:rPr>
                <w:rFonts w:cs="宋体"/>
                <w:snapToGrid w:val="0"/>
                <w:sz w:val="22"/>
                <w:szCs w:val="22"/>
              </w:rPr>
            </w:pPr>
            <w:r>
              <w:rPr>
                <w:rFonts w:hint="eastAsia" w:cs="宋体"/>
                <w:snapToGrid w:val="0"/>
                <w:sz w:val="22"/>
                <w:szCs w:val="22"/>
              </w:rPr>
              <w:t>D-B2</w:t>
            </w:r>
          </w:p>
        </w:tc>
        <w:tc>
          <w:tcPr>
            <w:tcW w:w="1984" w:type="dxa"/>
            <w:tcBorders>
              <w:right w:val="single" w:color="auto" w:sz="4" w:space="0"/>
            </w:tcBorders>
          </w:tcPr>
          <w:p w14:paraId="278149DB">
            <w:pPr>
              <w:ind w:firstLine="0" w:firstLineChars="0"/>
              <w:rPr>
                <w:rFonts w:ascii="仿宋_GB2312" w:eastAsia="仿宋_GB2312"/>
                <w:snapToGrid w:val="0"/>
                <w:sz w:val="22"/>
                <w:szCs w:val="24"/>
              </w:rPr>
            </w:pPr>
          </w:p>
        </w:tc>
        <w:tc>
          <w:tcPr>
            <w:tcW w:w="2036" w:type="dxa"/>
            <w:tcBorders>
              <w:left w:val="single" w:color="auto" w:sz="4" w:space="0"/>
            </w:tcBorders>
          </w:tcPr>
          <w:p w14:paraId="64F828B1">
            <w:pPr>
              <w:ind w:firstLine="0" w:firstLineChars="0"/>
              <w:rPr>
                <w:rFonts w:ascii="仿宋_GB2312" w:eastAsia="仿宋_GB2312"/>
                <w:snapToGrid w:val="0"/>
                <w:sz w:val="22"/>
                <w:szCs w:val="24"/>
              </w:rPr>
            </w:pPr>
          </w:p>
        </w:tc>
        <w:tc>
          <w:tcPr>
            <w:tcW w:w="1661" w:type="dxa"/>
            <w:tcBorders>
              <w:left w:val="single" w:color="auto" w:sz="4" w:space="0"/>
            </w:tcBorders>
          </w:tcPr>
          <w:p w14:paraId="382D3222">
            <w:pPr>
              <w:ind w:firstLine="0" w:firstLineChars="0"/>
              <w:rPr>
                <w:rFonts w:ascii="仿宋_GB2312" w:eastAsia="仿宋_GB2312"/>
                <w:snapToGrid w:val="0"/>
                <w:sz w:val="22"/>
                <w:szCs w:val="24"/>
              </w:rPr>
            </w:pPr>
          </w:p>
        </w:tc>
      </w:tr>
      <w:tr w14:paraId="3A875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0" w:type="dxa"/>
            <w:vMerge w:val="continue"/>
          </w:tcPr>
          <w:p w14:paraId="706FC67C">
            <w:pPr>
              <w:ind w:firstLine="400"/>
              <w:rPr>
                <w:sz w:val="20"/>
                <w:szCs w:val="18"/>
              </w:rPr>
            </w:pPr>
          </w:p>
        </w:tc>
        <w:tc>
          <w:tcPr>
            <w:tcW w:w="1418" w:type="dxa"/>
            <w:vMerge w:val="continue"/>
            <w:tcBorders>
              <w:left w:val="single" w:color="000000" w:sz="4" w:space="0"/>
            </w:tcBorders>
          </w:tcPr>
          <w:p w14:paraId="540187B2">
            <w:pPr>
              <w:ind w:firstLine="400"/>
              <w:rPr>
                <w:sz w:val="20"/>
                <w:szCs w:val="18"/>
              </w:rPr>
            </w:pPr>
          </w:p>
        </w:tc>
        <w:tc>
          <w:tcPr>
            <w:tcW w:w="1809" w:type="dxa"/>
            <w:tcBorders>
              <w:left w:val="single" w:color="000000" w:sz="4" w:space="0"/>
            </w:tcBorders>
            <w:vAlign w:val="center"/>
          </w:tcPr>
          <w:p w14:paraId="7614BA26">
            <w:pPr>
              <w:ind w:firstLine="0" w:firstLineChars="0"/>
              <w:jc w:val="center"/>
              <w:rPr>
                <w:rFonts w:cs="宋体"/>
                <w:snapToGrid w:val="0"/>
                <w:sz w:val="22"/>
                <w:szCs w:val="22"/>
              </w:rPr>
            </w:pPr>
            <w:r>
              <w:rPr>
                <w:rFonts w:hint="eastAsia" w:cs="宋体"/>
                <w:snapToGrid w:val="0"/>
                <w:sz w:val="22"/>
                <w:szCs w:val="22"/>
              </w:rPr>
              <w:t>D-B1</w:t>
            </w:r>
          </w:p>
        </w:tc>
        <w:tc>
          <w:tcPr>
            <w:tcW w:w="1984" w:type="dxa"/>
            <w:tcBorders>
              <w:right w:val="single" w:color="auto" w:sz="4" w:space="0"/>
            </w:tcBorders>
          </w:tcPr>
          <w:p w14:paraId="50C86478">
            <w:pPr>
              <w:ind w:firstLine="0" w:firstLineChars="0"/>
              <w:rPr>
                <w:rFonts w:ascii="仿宋_GB2312" w:eastAsia="仿宋_GB2312"/>
                <w:snapToGrid w:val="0"/>
                <w:sz w:val="22"/>
                <w:szCs w:val="24"/>
              </w:rPr>
            </w:pPr>
          </w:p>
        </w:tc>
        <w:tc>
          <w:tcPr>
            <w:tcW w:w="2036" w:type="dxa"/>
            <w:tcBorders>
              <w:left w:val="single" w:color="auto" w:sz="4" w:space="0"/>
            </w:tcBorders>
          </w:tcPr>
          <w:p w14:paraId="05918CAC">
            <w:pPr>
              <w:ind w:firstLine="0" w:firstLineChars="0"/>
              <w:rPr>
                <w:rFonts w:ascii="仿宋_GB2312" w:eastAsia="仿宋_GB2312"/>
                <w:snapToGrid w:val="0"/>
                <w:sz w:val="22"/>
                <w:szCs w:val="24"/>
              </w:rPr>
            </w:pPr>
          </w:p>
        </w:tc>
        <w:tc>
          <w:tcPr>
            <w:tcW w:w="1661" w:type="dxa"/>
            <w:tcBorders>
              <w:left w:val="single" w:color="auto" w:sz="4" w:space="0"/>
            </w:tcBorders>
          </w:tcPr>
          <w:p w14:paraId="4A6E8FE4">
            <w:pPr>
              <w:ind w:firstLine="0" w:firstLineChars="0"/>
              <w:rPr>
                <w:rFonts w:ascii="仿宋_GB2312" w:eastAsia="仿宋_GB2312"/>
                <w:snapToGrid w:val="0"/>
                <w:sz w:val="22"/>
                <w:szCs w:val="24"/>
              </w:rPr>
            </w:pPr>
          </w:p>
        </w:tc>
      </w:tr>
    </w:tbl>
    <w:p w14:paraId="4567EF12">
      <w:pPr>
        <w:ind w:firstLine="440"/>
        <w:rPr>
          <w:rFonts w:ascii="仿宋_GB2312" w:eastAsia="仿宋_GB2312"/>
          <w:sz w:val="22"/>
          <w:szCs w:val="24"/>
        </w:rPr>
      </w:pPr>
      <w:r>
        <w:rPr>
          <w:rFonts w:hint="eastAsia" w:cs="宋体"/>
          <w:sz w:val="22"/>
          <w:szCs w:val="22"/>
        </w:rPr>
        <w:t>不含税价格不因国家税率变化而变化，若在合同履行期间，如遇国家的税率调整，则价税合计应相应调整，以开具发票的时间为准。</w:t>
      </w:r>
    </w:p>
    <w:p w14:paraId="46445A34">
      <w:pPr>
        <w:ind w:firstLine="440"/>
        <w:rPr>
          <w:rFonts w:cs="宋体"/>
          <w:sz w:val="22"/>
          <w:szCs w:val="22"/>
        </w:rPr>
      </w:pPr>
      <w:r>
        <w:rPr>
          <w:rFonts w:cs="宋体"/>
          <w:sz w:val="22"/>
          <w:szCs w:val="22"/>
        </w:rPr>
        <w:t>4.2</w:t>
      </w:r>
      <w:r>
        <w:rPr>
          <w:rFonts w:hint="eastAsia" w:cs="宋体"/>
          <w:sz w:val="22"/>
          <w:szCs w:val="22"/>
        </w:rPr>
        <w:t>单个外包服务人员月费用计算公式如下：</w:t>
      </w:r>
    </w:p>
    <w:p w14:paraId="7B01A3A6">
      <w:pPr>
        <w:ind w:firstLine="440"/>
        <w:rPr>
          <w:rFonts w:cs="宋体"/>
          <w:sz w:val="22"/>
          <w:szCs w:val="22"/>
        </w:rPr>
      </w:pPr>
      <w:r>
        <w:rPr>
          <w:rFonts w:hint="eastAsia" w:cs="宋体"/>
          <w:sz w:val="22"/>
          <w:szCs w:val="22"/>
        </w:rPr>
        <w:t>费用＝单价×（计费天数÷</w:t>
      </w:r>
      <w:r>
        <w:rPr>
          <w:rFonts w:cs="宋体"/>
          <w:sz w:val="22"/>
          <w:szCs w:val="22"/>
        </w:rPr>
        <w:t>22）</w:t>
      </w:r>
    </w:p>
    <w:p w14:paraId="368A6D83">
      <w:pPr>
        <w:ind w:firstLine="440"/>
        <w:rPr>
          <w:rFonts w:cs="宋体"/>
          <w:sz w:val="22"/>
          <w:szCs w:val="22"/>
        </w:rPr>
      </w:pPr>
      <w:r>
        <w:rPr>
          <w:rFonts w:hint="eastAsia" w:cs="宋体"/>
          <w:sz w:val="22"/>
          <w:szCs w:val="22"/>
        </w:rPr>
        <w:t>计费天数＝工作天数＋（延时服务工时折算－缺勤工时折算）÷</w:t>
      </w:r>
      <w:r>
        <w:rPr>
          <w:rFonts w:cs="宋体"/>
          <w:sz w:val="22"/>
          <w:szCs w:val="22"/>
        </w:rPr>
        <w:t>8</w:t>
      </w:r>
    </w:p>
    <w:p w14:paraId="653EFAD5">
      <w:pPr>
        <w:ind w:firstLine="440"/>
        <w:rPr>
          <w:rFonts w:cs="宋体"/>
          <w:sz w:val="22"/>
          <w:szCs w:val="22"/>
        </w:rPr>
      </w:pPr>
      <w:r>
        <w:rPr>
          <w:rFonts w:cs="宋体"/>
          <w:sz w:val="22"/>
          <w:szCs w:val="22"/>
        </w:rPr>
        <w:t>(1) 费用：单位为元，按公式计算，按四舍五入精确到0.01元。</w:t>
      </w:r>
    </w:p>
    <w:p w14:paraId="4A92CF26">
      <w:pPr>
        <w:ind w:firstLine="440"/>
        <w:rPr>
          <w:rFonts w:cs="宋体"/>
          <w:sz w:val="22"/>
          <w:szCs w:val="22"/>
        </w:rPr>
      </w:pPr>
      <w:r>
        <w:rPr>
          <w:rFonts w:cs="宋体"/>
          <w:sz w:val="22"/>
          <w:szCs w:val="22"/>
        </w:rPr>
        <w:t>(2) 单价：即该外包服务人员对应级别的月费用，单位为“元/月”。</w:t>
      </w:r>
    </w:p>
    <w:p w14:paraId="472317FF">
      <w:pPr>
        <w:ind w:firstLine="440"/>
        <w:rPr>
          <w:rFonts w:cs="宋体"/>
          <w:sz w:val="22"/>
          <w:szCs w:val="22"/>
        </w:rPr>
      </w:pPr>
      <w:r>
        <w:rPr>
          <w:rFonts w:cs="宋体"/>
          <w:sz w:val="22"/>
          <w:szCs w:val="22"/>
        </w:rPr>
        <w:t>(3) 计费天数：当每月计费天数按公式计算为负值时，计费天数取0值。</w:t>
      </w:r>
    </w:p>
    <w:p w14:paraId="56A6AA28">
      <w:pPr>
        <w:ind w:firstLine="440"/>
        <w:rPr>
          <w:rFonts w:cs="宋体"/>
          <w:sz w:val="22"/>
          <w:szCs w:val="22"/>
        </w:rPr>
      </w:pPr>
      <w:r>
        <w:rPr>
          <w:rFonts w:cs="宋体"/>
          <w:sz w:val="22"/>
          <w:szCs w:val="22"/>
        </w:rPr>
        <w:t>(4) 工作天数计算：外包服务人员当月的计费开始日期不是自然月第一日，或计费截止日期不是自然月最后一日时，称为工作不足月。工作不足月时，工作天数按该外包服务人员在</w:t>
      </w:r>
      <w:r>
        <w:rPr>
          <w:rFonts w:hint="eastAsia" w:cs="宋体"/>
          <w:sz w:val="22"/>
          <w:szCs w:val="22"/>
        </w:rPr>
        <w:t>甲方</w:t>
      </w:r>
      <w:r>
        <w:rPr>
          <w:rFonts w:cs="宋体"/>
          <w:sz w:val="22"/>
          <w:szCs w:val="22"/>
        </w:rPr>
        <w:t>工作计费期间的在职工作日计算（计费期间的国家法定节假日计入在职工作日）；足月时，工作天数按22天计。</w:t>
      </w:r>
    </w:p>
    <w:p w14:paraId="5C2D9CDD">
      <w:pPr>
        <w:ind w:firstLine="440"/>
        <w:rPr>
          <w:rFonts w:cs="宋体"/>
          <w:sz w:val="22"/>
          <w:szCs w:val="22"/>
        </w:rPr>
      </w:pPr>
      <w:r>
        <w:rPr>
          <w:rFonts w:cs="宋体"/>
          <w:sz w:val="22"/>
          <w:szCs w:val="22"/>
        </w:rPr>
        <w:t>(5) 每天正常工作时间为8小时(上午 9 点 0 分至下午 18 点 00 分，不含午餐、午休共 1 小时)。延时服务工时和缺勤工时最小单位为0.5小时，即实际时长为0.5小时的整数倍。</w:t>
      </w:r>
    </w:p>
    <w:p w14:paraId="580970A8">
      <w:pPr>
        <w:ind w:firstLine="440"/>
        <w:rPr>
          <w:rFonts w:cs="宋体"/>
          <w:sz w:val="22"/>
          <w:szCs w:val="22"/>
        </w:rPr>
      </w:pPr>
      <w:r>
        <w:rPr>
          <w:rFonts w:cs="宋体"/>
          <w:sz w:val="22"/>
          <w:szCs w:val="22"/>
        </w:rPr>
        <w:t>(6)延时服务工时折算：延时服务工时折算＝延时服务工时×折算率</w:t>
      </w:r>
    </w:p>
    <w:tbl>
      <w:tblPr>
        <w:tblStyle w:val="19"/>
        <w:tblW w:w="0" w:type="auto"/>
        <w:tblInd w:w="2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2098"/>
      </w:tblGrid>
      <w:tr w14:paraId="2AB6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shd w:val="clear" w:color="auto" w:fill="A6A6A6"/>
          </w:tcPr>
          <w:p w14:paraId="06706675">
            <w:pPr>
              <w:pStyle w:val="49"/>
              <w:ind w:firstLine="360"/>
              <w:jc w:val="center"/>
              <w:rPr>
                <w:rFonts w:ascii="宋体" w:eastAsia="宋体" w:cs="Times New Roman"/>
                <w:snapToGrid w:val="0"/>
                <w:color w:val="auto"/>
                <w:sz w:val="16"/>
                <w:szCs w:val="16"/>
              </w:rPr>
            </w:pPr>
            <w:r>
              <w:rPr>
                <w:rFonts w:hint="eastAsia" w:ascii="宋体" w:eastAsia="宋体" w:cs="Times New Roman"/>
                <w:snapToGrid w:val="0"/>
                <w:color w:val="auto"/>
                <w:sz w:val="16"/>
                <w:szCs w:val="16"/>
              </w:rPr>
              <w:t>延时服务类别</w:t>
            </w:r>
          </w:p>
        </w:tc>
        <w:tc>
          <w:tcPr>
            <w:tcW w:w="2098" w:type="dxa"/>
            <w:shd w:val="clear" w:color="auto" w:fill="A6A6A6"/>
          </w:tcPr>
          <w:p w14:paraId="13444FE7">
            <w:pPr>
              <w:pStyle w:val="49"/>
              <w:ind w:firstLine="360"/>
              <w:jc w:val="center"/>
              <w:rPr>
                <w:rFonts w:ascii="宋体" w:eastAsia="宋体" w:cs="Times New Roman"/>
                <w:snapToGrid w:val="0"/>
                <w:color w:val="auto"/>
                <w:sz w:val="16"/>
                <w:szCs w:val="16"/>
              </w:rPr>
            </w:pPr>
            <w:r>
              <w:rPr>
                <w:rFonts w:hint="eastAsia" w:ascii="宋体" w:eastAsia="宋体" w:cs="Times New Roman"/>
                <w:snapToGrid w:val="0"/>
                <w:color w:val="auto"/>
                <w:sz w:val="16"/>
                <w:szCs w:val="16"/>
              </w:rPr>
              <w:t>折算率</w:t>
            </w:r>
          </w:p>
        </w:tc>
      </w:tr>
      <w:tr w14:paraId="2642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14:paraId="13766E7D">
            <w:pPr>
              <w:ind w:firstLine="320"/>
              <w:jc w:val="center"/>
              <w:rPr>
                <w:sz w:val="16"/>
                <w:szCs w:val="16"/>
              </w:rPr>
            </w:pPr>
            <w:r>
              <w:rPr>
                <w:rFonts w:hint="eastAsia"/>
                <w:sz w:val="16"/>
                <w:szCs w:val="16"/>
              </w:rPr>
              <w:t>工作日</w:t>
            </w:r>
          </w:p>
        </w:tc>
        <w:tc>
          <w:tcPr>
            <w:tcW w:w="2098" w:type="dxa"/>
            <w:tcBorders>
              <w:left w:val="single" w:color="auto" w:sz="4" w:space="0"/>
            </w:tcBorders>
          </w:tcPr>
          <w:p w14:paraId="781CE22D">
            <w:pPr>
              <w:ind w:firstLine="320"/>
              <w:jc w:val="center"/>
              <w:rPr>
                <w:sz w:val="16"/>
                <w:szCs w:val="16"/>
              </w:rPr>
            </w:pPr>
            <w:r>
              <w:rPr>
                <w:rFonts w:hint="eastAsia"/>
                <w:sz w:val="16"/>
                <w:szCs w:val="16"/>
              </w:rPr>
              <w:t>1</w:t>
            </w:r>
          </w:p>
        </w:tc>
      </w:tr>
      <w:tr w14:paraId="70DA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14:paraId="08F14FB3">
            <w:pPr>
              <w:ind w:firstLine="320"/>
              <w:jc w:val="center"/>
              <w:rPr>
                <w:sz w:val="16"/>
                <w:szCs w:val="16"/>
              </w:rPr>
            </w:pPr>
            <w:r>
              <w:rPr>
                <w:rFonts w:hint="eastAsia"/>
                <w:sz w:val="16"/>
                <w:szCs w:val="16"/>
              </w:rPr>
              <w:t>周末</w:t>
            </w:r>
          </w:p>
        </w:tc>
        <w:tc>
          <w:tcPr>
            <w:tcW w:w="2098" w:type="dxa"/>
            <w:tcBorders>
              <w:left w:val="single" w:color="auto" w:sz="4" w:space="0"/>
            </w:tcBorders>
          </w:tcPr>
          <w:p w14:paraId="316DC976">
            <w:pPr>
              <w:ind w:firstLine="320"/>
              <w:jc w:val="center"/>
              <w:rPr>
                <w:sz w:val="16"/>
                <w:szCs w:val="16"/>
              </w:rPr>
            </w:pPr>
            <w:r>
              <w:rPr>
                <w:rFonts w:hint="eastAsia"/>
                <w:sz w:val="16"/>
                <w:szCs w:val="16"/>
              </w:rPr>
              <w:t>1.5</w:t>
            </w:r>
          </w:p>
        </w:tc>
      </w:tr>
      <w:tr w14:paraId="482D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14:paraId="2240D178">
            <w:pPr>
              <w:ind w:firstLine="320"/>
              <w:jc w:val="center"/>
              <w:rPr>
                <w:sz w:val="16"/>
                <w:szCs w:val="16"/>
              </w:rPr>
            </w:pPr>
            <w:r>
              <w:rPr>
                <w:rFonts w:hint="eastAsia"/>
                <w:sz w:val="16"/>
                <w:szCs w:val="16"/>
              </w:rPr>
              <w:t>其他节假日</w:t>
            </w:r>
          </w:p>
        </w:tc>
        <w:tc>
          <w:tcPr>
            <w:tcW w:w="2098" w:type="dxa"/>
            <w:tcBorders>
              <w:left w:val="single" w:color="auto" w:sz="4" w:space="0"/>
            </w:tcBorders>
          </w:tcPr>
          <w:p w14:paraId="6E1C7761">
            <w:pPr>
              <w:ind w:firstLine="320"/>
              <w:jc w:val="center"/>
              <w:rPr>
                <w:sz w:val="16"/>
                <w:szCs w:val="16"/>
              </w:rPr>
            </w:pPr>
            <w:r>
              <w:rPr>
                <w:rFonts w:hint="eastAsia"/>
                <w:sz w:val="16"/>
                <w:szCs w:val="16"/>
              </w:rPr>
              <w:t>2</w:t>
            </w:r>
          </w:p>
        </w:tc>
      </w:tr>
    </w:tbl>
    <w:p w14:paraId="03AF1ECD">
      <w:pPr>
        <w:ind w:firstLine="440"/>
        <w:rPr>
          <w:rFonts w:cs="宋体"/>
          <w:sz w:val="22"/>
          <w:szCs w:val="22"/>
        </w:rPr>
      </w:pPr>
      <w:r>
        <w:rPr>
          <w:rFonts w:cs="宋体"/>
          <w:sz w:val="22"/>
          <w:szCs w:val="22"/>
        </w:rPr>
        <w:t>(7) 缺勤工时折算： 婚假、产假、丧假、病假折算率为1，其他请假按公式计算：</w:t>
      </w:r>
    </w:p>
    <w:p w14:paraId="1D116002">
      <w:pPr>
        <w:ind w:firstLine="440"/>
        <w:rPr>
          <w:rFonts w:cs="宋体"/>
          <w:sz w:val="22"/>
          <w:szCs w:val="22"/>
        </w:rPr>
      </w:pPr>
      <w:r>
        <w:rPr>
          <w:rFonts w:hint="eastAsia" w:cs="宋体"/>
          <w:sz w:val="22"/>
          <w:szCs w:val="22"/>
        </w:rPr>
        <w:t>缺勤工时折算＝缺勤工时×折算率</w:t>
      </w:r>
    </w:p>
    <w:tbl>
      <w:tblPr>
        <w:tblStyle w:val="19"/>
        <w:tblW w:w="0" w:type="auto"/>
        <w:tblInd w:w="2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2098"/>
      </w:tblGrid>
      <w:tr w14:paraId="54EB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shd w:val="clear" w:color="auto" w:fill="A6A6A6"/>
          </w:tcPr>
          <w:p w14:paraId="650CF576">
            <w:pPr>
              <w:pStyle w:val="49"/>
              <w:ind w:firstLine="360"/>
              <w:jc w:val="center"/>
              <w:rPr>
                <w:rFonts w:ascii="宋体" w:eastAsia="宋体" w:cs="Times New Roman"/>
                <w:snapToGrid w:val="0"/>
                <w:color w:val="auto"/>
                <w:sz w:val="16"/>
                <w:szCs w:val="16"/>
              </w:rPr>
            </w:pPr>
            <w:r>
              <w:rPr>
                <w:rFonts w:hint="eastAsia" w:ascii="宋体" w:eastAsia="宋体" w:cs="Times New Roman"/>
                <w:snapToGrid w:val="0"/>
                <w:color w:val="auto"/>
                <w:sz w:val="16"/>
                <w:szCs w:val="16"/>
              </w:rPr>
              <w:t>缺勤工时区间</w:t>
            </w:r>
          </w:p>
        </w:tc>
        <w:tc>
          <w:tcPr>
            <w:tcW w:w="2098" w:type="dxa"/>
            <w:shd w:val="clear" w:color="auto" w:fill="A6A6A6"/>
          </w:tcPr>
          <w:p w14:paraId="0094B841">
            <w:pPr>
              <w:pStyle w:val="49"/>
              <w:ind w:firstLine="360"/>
              <w:jc w:val="center"/>
              <w:rPr>
                <w:rFonts w:ascii="宋体" w:eastAsia="宋体" w:cs="Times New Roman"/>
                <w:snapToGrid w:val="0"/>
                <w:color w:val="auto"/>
                <w:sz w:val="16"/>
                <w:szCs w:val="16"/>
              </w:rPr>
            </w:pPr>
            <w:r>
              <w:rPr>
                <w:rFonts w:hint="eastAsia" w:ascii="宋体" w:eastAsia="宋体" w:cs="Times New Roman"/>
                <w:snapToGrid w:val="0"/>
                <w:color w:val="auto"/>
                <w:sz w:val="16"/>
                <w:szCs w:val="16"/>
              </w:rPr>
              <w:t>折算率</w:t>
            </w:r>
          </w:p>
        </w:tc>
      </w:tr>
      <w:tr w14:paraId="78EC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14:paraId="12E41147">
            <w:pPr>
              <w:pStyle w:val="49"/>
              <w:ind w:firstLine="360"/>
              <w:jc w:val="center"/>
              <w:rPr>
                <w:rFonts w:ascii="宋体" w:eastAsia="宋体" w:cs="Times New Roman"/>
                <w:snapToGrid w:val="0"/>
                <w:color w:val="auto"/>
                <w:sz w:val="16"/>
                <w:szCs w:val="16"/>
              </w:rPr>
            </w:pPr>
            <w:r>
              <w:rPr>
                <w:rFonts w:hint="eastAsia" w:ascii="宋体" w:eastAsia="宋体" w:cs="Times New Roman"/>
                <w:snapToGrid w:val="0"/>
                <w:color w:val="auto"/>
                <w:sz w:val="16"/>
                <w:szCs w:val="16"/>
              </w:rPr>
              <w:t>24≥缺勤工时＞0</w:t>
            </w:r>
          </w:p>
        </w:tc>
        <w:tc>
          <w:tcPr>
            <w:tcW w:w="2098" w:type="dxa"/>
            <w:tcBorders>
              <w:left w:val="single" w:color="auto" w:sz="4" w:space="0"/>
            </w:tcBorders>
          </w:tcPr>
          <w:p w14:paraId="285579B0">
            <w:pPr>
              <w:pStyle w:val="49"/>
              <w:ind w:firstLine="360"/>
              <w:jc w:val="center"/>
              <w:rPr>
                <w:rFonts w:ascii="宋体" w:eastAsia="宋体" w:cs="Times New Roman"/>
                <w:snapToGrid w:val="0"/>
                <w:color w:val="auto"/>
                <w:sz w:val="16"/>
                <w:szCs w:val="16"/>
              </w:rPr>
            </w:pPr>
            <w:r>
              <w:rPr>
                <w:rFonts w:hint="eastAsia" w:ascii="宋体" w:eastAsia="宋体" w:cs="Times New Roman"/>
                <w:snapToGrid w:val="0"/>
                <w:color w:val="auto"/>
                <w:sz w:val="16"/>
                <w:szCs w:val="16"/>
              </w:rPr>
              <w:t xml:space="preserve">1 </w:t>
            </w:r>
          </w:p>
        </w:tc>
      </w:tr>
      <w:tr w14:paraId="26C0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14:paraId="4DA2F712">
            <w:pPr>
              <w:pStyle w:val="49"/>
              <w:ind w:firstLine="360"/>
              <w:jc w:val="center"/>
              <w:rPr>
                <w:rFonts w:ascii="宋体" w:eastAsia="宋体" w:cs="Times New Roman"/>
                <w:snapToGrid w:val="0"/>
                <w:color w:val="auto"/>
                <w:sz w:val="16"/>
                <w:szCs w:val="16"/>
              </w:rPr>
            </w:pPr>
            <w:r>
              <w:rPr>
                <w:rFonts w:hint="eastAsia" w:ascii="宋体" w:eastAsia="宋体" w:cs="Times New Roman"/>
                <w:snapToGrid w:val="0"/>
                <w:color w:val="auto"/>
                <w:sz w:val="16"/>
                <w:szCs w:val="16"/>
              </w:rPr>
              <w:t xml:space="preserve">48≥缺勤工时＞24 </w:t>
            </w:r>
          </w:p>
        </w:tc>
        <w:tc>
          <w:tcPr>
            <w:tcW w:w="2098" w:type="dxa"/>
            <w:tcBorders>
              <w:left w:val="single" w:color="auto" w:sz="4" w:space="0"/>
            </w:tcBorders>
          </w:tcPr>
          <w:p w14:paraId="678D03EE">
            <w:pPr>
              <w:pStyle w:val="49"/>
              <w:ind w:firstLine="360"/>
              <w:jc w:val="center"/>
              <w:rPr>
                <w:rFonts w:ascii="宋体" w:eastAsia="宋体" w:cs="Times New Roman"/>
                <w:snapToGrid w:val="0"/>
                <w:color w:val="auto"/>
                <w:sz w:val="16"/>
                <w:szCs w:val="16"/>
              </w:rPr>
            </w:pPr>
            <w:r>
              <w:rPr>
                <w:rFonts w:hint="eastAsia" w:ascii="宋体" w:eastAsia="宋体" w:cs="Times New Roman"/>
                <w:snapToGrid w:val="0"/>
                <w:color w:val="auto"/>
                <w:sz w:val="16"/>
                <w:szCs w:val="16"/>
              </w:rPr>
              <w:t xml:space="preserve">1.2 </w:t>
            </w:r>
          </w:p>
        </w:tc>
      </w:tr>
      <w:tr w14:paraId="0AA8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14:paraId="5AF79244">
            <w:pPr>
              <w:pStyle w:val="49"/>
              <w:ind w:firstLine="360"/>
              <w:jc w:val="center"/>
              <w:rPr>
                <w:rFonts w:ascii="宋体" w:eastAsia="宋体" w:cs="Times New Roman"/>
                <w:snapToGrid w:val="0"/>
                <w:color w:val="auto"/>
                <w:sz w:val="16"/>
                <w:szCs w:val="16"/>
              </w:rPr>
            </w:pPr>
            <w:r>
              <w:rPr>
                <w:rFonts w:hint="eastAsia" w:ascii="宋体" w:eastAsia="宋体" w:cs="Times New Roman"/>
                <w:snapToGrid w:val="0"/>
                <w:color w:val="auto"/>
                <w:sz w:val="16"/>
                <w:szCs w:val="16"/>
              </w:rPr>
              <w:t xml:space="preserve">72≥缺勤工时＞48 </w:t>
            </w:r>
          </w:p>
        </w:tc>
        <w:tc>
          <w:tcPr>
            <w:tcW w:w="2098" w:type="dxa"/>
            <w:tcBorders>
              <w:left w:val="single" w:color="auto" w:sz="4" w:space="0"/>
            </w:tcBorders>
          </w:tcPr>
          <w:p w14:paraId="0099A659">
            <w:pPr>
              <w:pStyle w:val="49"/>
              <w:ind w:firstLine="360"/>
              <w:jc w:val="center"/>
              <w:rPr>
                <w:rFonts w:ascii="宋体" w:eastAsia="宋体" w:cs="Times New Roman"/>
                <w:snapToGrid w:val="0"/>
                <w:color w:val="auto"/>
                <w:sz w:val="16"/>
                <w:szCs w:val="16"/>
              </w:rPr>
            </w:pPr>
            <w:r>
              <w:rPr>
                <w:rFonts w:hint="eastAsia" w:ascii="宋体" w:eastAsia="宋体" w:cs="Times New Roman"/>
                <w:snapToGrid w:val="0"/>
                <w:color w:val="auto"/>
                <w:sz w:val="16"/>
                <w:szCs w:val="16"/>
              </w:rPr>
              <w:t xml:space="preserve">1.4 </w:t>
            </w:r>
          </w:p>
        </w:tc>
      </w:tr>
      <w:tr w14:paraId="1931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14:paraId="51D17EEC">
            <w:pPr>
              <w:pStyle w:val="49"/>
              <w:ind w:firstLine="360"/>
              <w:jc w:val="center"/>
              <w:rPr>
                <w:rFonts w:ascii="宋体" w:eastAsia="宋体" w:cs="Times New Roman"/>
                <w:snapToGrid w:val="0"/>
                <w:color w:val="auto"/>
                <w:sz w:val="16"/>
                <w:szCs w:val="16"/>
              </w:rPr>
            </w:pPr>
            <w:r>
              <w:rPr>
                <w:rFonts w:hint="eastAsia" w:ascii="宋体" w:eastAsia="宋体" w:cs="Times New Roman"/>
                <w:snapToGrid w:val="0"/>
                <w:color w:val="auto"/>
                <w:sz w:val="16"/>
                <w:szCs w:val="16"/>
              </w:rPr>
              <w:t xml:space="preserve">缺勤工时＞72 </w:t>
            </w:r>
          </w:p>
        </w:tc>
        <w:tc>
          <w:tcPr>
            <w:tcW w:w="2098" w:type="dxa"/>
            <w:tcBorders>
              <w:left w:val="single" w:color="auto" w:sz="4" w:space="0"/>
            </w:tcBorders>
          </w:tcPr>
          <w:p w14:paraId="37298B28">
            <w:pPr>
              <w:pStyle w:val="49"/>
              <w:ind w:firstLine="360"/>
              <w:jc w:val="center"/>
              <w:rPr>
                <w:rFonts w:ascii="宋体" w:eastAsia="宋体" w:cs="Times New Roman"/>
                <w:snapToGrid w:val="0"/>
                <w:color w:val="auto"/>
                <w:sz w:val="16"/>
                <w:szCs w:val="16"/>
              </w:rPr>
            </w:pPr>
            <w:r>
              <w:rPr>
                <w:rFonts w:hint="eastAsia" w:ascii="宋体" w:eastAsia="宋体" w:cs="Times New Roman"/>
                <w:snapToGrid w:val="0"/>
                <w:color w:val="auto"/>
                <w:sz w:val="16"/>
                <w:szCs w:val="16"/>
              </w:rPr>
              <w:t xml:space="preserve">1.6 </w:t>
            </w:r>
          </w:p>
        </w:tc>
      </w:tr>
    </w:tbl>
    <w:p w14:paraId="0DB190D8">
      <w:pPr>
        <w:ind w:firstLine="440"/>
        <w:rPr>
          <w:rFonts w:cs="宋体"/>
          <w:sz w:val="22"/>
          <w:szCs w:val="22"/>
        </w:rPr>
      </w:pPr>
      <w:r>
        <w:rPr>
          <w:rFonts w:hint="eastAsia" w:cs="宋体"/>
          <w:sz w:val="22"/>
          <w:szCs w:val="22"/>
        </w:rPr>
        <w:t>4.3 结算方式</w:t>
      </w:r>
    </w:p>
    <w:p w14:paraId="6BFA9DD9">
      <w:pPr>
        <w:ind w:firstLine="440"/>
        <w:rPr>
          <w:rFonts w:cs="宋体"/>
          <w:sz w:val="22"/>
          <w:szCs w:val="22"/>
        </w:rPr>
      </w:pPr>
      <w:r>
        <w:rPr>
          <w:rFonts w:hint="eastAsia" w:cs="宋体"/>
          <w:sz w:val="22"/>
          <w:szCs w:val="22"/>
        </w:rPr>
        <w:t>（1）甲方与乙方的结算方式采用季度（连续三个自然月视为一个季度）结算形式。甲乙双方在</w:t>
      </w:r>
      <w:r>
        <w:rPr>
          <w:rFonts w:cs="宋体"/>
          <w:sz w:val="22"/>
          <w:szCs w:val="22"/>
        </w:rPr>
        <w:t>下一季度</w:t>
      </w:r>
      <w:r>
        <w:rPr>
          <w:rFonts w:hint="eastAsia" w:cs="宋体"/>
          <w:sz w:val="22"/>
          <w:szCs w:val="22"/>
        </w:rPr>
        <w:t>次月开始后前</w:t>
      </w:r>
      <w:r>
        <w:rPr>
          <w:rFonts w:cs="宋体"/>
          <w:sz w:val="22"/>
          <w:szCs w:val="22"/>
        </w:rPr>
        <w:t>10个工作日</w:t>
      </w:r>
      <w:r>
        <w:rPr>
          <w:rFonts w:hint="eastAsia" w:cs="宋体"/>
          <w:sz w:val="22"/>
          <w:szCs w:val="22"/>
        </w:rPr>
        <w:t>内</w:t>
      </w:r>
      <w:r>
        <w:rPr>
          <w:rFonts w:cs="宋体"/>
          <w:sz w:val="22"/>
          <w:szCs w:val="22"/>
        </w:rPr>
        <w:t>确认上一季度的评价结果和服务汇总，乙方应就双方确认后的实际支付人月费用开具合法足额的增值税专用发票，并向甲方提交付款申请，否则甲方有权拒绝支付任何费用且不承担逾期付款违约责任。</w:t>
      </w:r>
    </w:p>
    <w:p w14:paraId="7710CBAD">
      <w:pPr>
        <w:ind w:firstLine="440"/>
        <w:rPr>
          <w:rFonts w:cs="宋体"/>
          <w:sz w:val="22"/>
          <w:szCs w:val="22"/>
        </w:rPr>
      </w:pPr>
      <w:r>
        <w:rPr>
          <w:rFonts w:hint="eastAsia" w:cs="宋体"/>
          <w:sz w:val="22"/>
          <w:szCs w:val="22"/>
        </w:rPr>
        <w:t>（2）</w:t>
      </w:r>
      <w:r>
        <w:rPr>
          <w:rFonts w:cs="宋体"/>
          <w:sz w:val="22"/>
          <w:szCs w:val="22"/>
        </w:rPr>
        <w:t>根据实际工作量按</w:t>
      </w:r>
      <w:r>
        <w:rPr>
          <w:rFonts w:hint="eastAsia" w:cs="宋体"/>
          <w:sz w:val="22"/>
          <w:szCs w:val="22"/>
        </w:rPr>
        <w:t>【季度】</w:t>
      </w:r>
      <w:r>
        <w:rPr>
          <w:rFonts w:cs="宋体"/>
          <w:sz w:val="22"/>
          <w:szCs w:val="22"/>
        </w:rPr>
        <w:t>进行核算，乙方联系人在</w:t>
      </w:r>
      <w:r>
        <w:rPr>
          <w:rFonts w:hint="eastAsia" w:cs="宋体"/>
          <w:sz w:val="22"/>
          <w:szCs w:val="22"/>
        </w:rPr>
        <w:t>【</w:t>
      </w:r>
      <w:r>
        <w:rPr>
          <w:rFonts w:cs="宋体"/>
          <w:sz w:val="22"/>
          <w:szCs w:val="22"/>
        </w:rPr>
        <w:t>下一季度首月开始后10个工作日内】，向甲方联系人提交</w:t>
      </w:r>
      <w:r>
        <w:rPr>
          <w:rFonts w:hint="eastAsia" w:cs="宋体"/>
          <w:sz w:val="22"/>
          <w:szCs w:val="22"/>
        </w:rPr>
        <w:t>【上一季度】</w:t>
      </w:r>
      <w:r>
        <w:rPr>
          <w:rFonts w:cs="宋体"/>
          <w:sz w:val="22"/>
          <w:szCs w:val="22"/>
        </w:rPr>
        <w:t>实际</w:t>
      </w:r>
      <w:r>
        <w:rPr>
          <w:rFonts w:hint="eastAsia" w:cs="宋体"/>
          <w:sz w:val="22"/>
          <w:szCs w:val="22"/>
        </w:rPr>
        <w:t>工作量</w:t>
      </w:r>
      <w:r>
        <w:rPr>
          <w:rFonts w:cs="宋体"/>
          <w:sz w:val="22"/>
          <w:szCs w:val="22"/>
        </w:rPr>
        <w:t>及费用明细清单。</w:t>
      </w:r>
    </w:p>
    <w:p w14:paraId="0C58275C">
      <w:pPr>
        <w:ind w:firstLine="440"/>
        <w:rPr>
          <w:rFonts w:cs="宋体"/>
          <w:sz w:val="22"/>
          <w:szCs w:val="22"/>
        </w:rPr>
      </w:pPr>
      <w:r>
        <w:rPr>
          <w:rFonts w:hint="eastAsia" w:cs="宋体"/>
          <w:sz w:val="22"/>
          <w:szCs w:val="22"/>
        </w:rPr>
        <w:t>（3）</w:t>
      </w:r>
      <w:r>
        <w:rPr>
          <w:rFonts w:cs="宋体"/>
          <w:sz w:val="22"/>
          <w:szCs w:val="22"/>
        </w:rPr>
        <w:t xml:space="preserve">实际工作量经双方核实后，在下一季度次月第10 个工作日前由甲方联系人出具结论。甲方如对费用明细清单提出异议且双方在 5 个工作日内未能达成一致，乙方可以先就无异议部分开具合法足额的增值税专用发票，甲方应先支付该部分费用。 </w:t>
      </w:r>
    </w:p>
    <w:p w14:paraId="3295307C">
      <w:pPr>
        <w:ind w:firstLine="440"/>
        <w:rPr>
          <w:rFonts w:cs="宋体"/>
          <w:sz w:val="22"/>
          <w:szCs w:val="22"/>
        </w:rPr>
      </w:pPr>
      <w:r>
        <w:rPr>
          <w:rFonts w:hint="eastAsia" w:cs="宋体"/>
          <w:sz w:val="22"/>
          <w:szCs w:val="22"/>
        </w:rPr>
        <w:t>（4）</w:t>
      </w:r>
      <w:r>
        <w:rPr>
          <w:rFonts w:cs="宋体"/>
          <w:sz w:val="22"/>
          <w:szCs w:val="22"/>
        </w:rPr>
        <w:t>对于指令性加班，甲方应按以下标准向乙方支付额外费用</w:t>
      </w:r>
      <w:r>
        <w:rPr>
          <w:rFonts w:hint="eastAsia" w:cs="宋体"/>
          <w:sz w:val="22"/>
          <w:szCs w:val="22"/>
        </w:rPr>
        <w:t>：</w:t>
      </w:r>
      <w:r>
        <w:rPr>
          <w:rFonts w:cs="宋体"/>
          <w:sz w:val="22"/>
          <w:szCs w:val="22"/>
        </w:rPr>
        <w:t>将加班时长折算为服务天数(加班 8 小时折合 l 天，不足 8 小时按比例折算)，并入本合同约定的</w:t>
      </w:r>
      <w:r>
        <w:rPr>
          <w:rFonts w:hint="eastAsia" w:cs="宋体"/>
          <w:sz w:val="22"/>
          <w:szCs w:val="22"/>
        </w:rPr>
        <w:t>“</w:t>
      </w:r>
      <w:r>
        <w:rPr>
          <w:rFonts w:cs="宋体"/>
          <w:sz w:val="22"/>
          <w:szCs w:val="22"/>
        </w:rPr>
        <w:t>当月实际服务天数</w:t>
      </w:r>
      <w:r>
        <w:rPr>
          <w:rFonts w:hint="eastAsia" w:cs="宋体"/>
          <w:sz w:val="22"/>
          <w:szCs w:val="22"/>
        </w:rPr>
        <w:t>”</w:t>
      </w:r>
      <w:r>
        <w:rPr>
          <w:rFonts w:cs="宋体"/>
          <w:sz w:val="22"/>
          <w:szCs w:val="22"/>
        </w:rPr>
        <w:t>进行计算。</w:t>
      </w:r>
    </w:p>
    <w:p w14:paraId="13A1D1A8">
      <w:pPr>
        <w:ind w:firstLine="440"/>
        <w:rPr>
          <w:rFonts w:cs="宋体"/>
          <w:sz w:val="22"/>
          <w:szCs w:val="22"/>
        </w:rPr>
      </w:pPr>
      <w:r>
        <w:rPr>
          <w:rFonts w:hint="eastAsia" w:cs="宋体"/>
          <w:sz w:val="22"/>
          <w:szCs w:val="22"/>
        </w:rPr>
        <w:t>（5）</w:t>
      </w:r>
      <w:r>
        <w:rPr>
          <w:rFonts w:cs="宋体"/>
          <w:sz w:val="22"/>
          <w:szCs w:val="22"/>
        </w:rPr>
        <w:t>甲方有权对乙方加班费用发放情况进行核实，如存在甲方所支付的加班费用未实际发放给乙方外包服务人员的情况，甲方有权拒付该部分费用给乙方。</w:t>
      </w:r>
    </w:p>
    <w:p w14:paraId="58B55BD1">
      <w:pPr>
        <w:ind w:firstLine="440"/>
        <w:rPr>
          <w:rFonts w:cs="宋体"/>
          <w:sz w:val="22"/>
          <w:szCs w:val="22"/>
        </w:rPr>
      </w:pPr>
      <w:r>
        <w:rPr>
          <w:rFonts w:hint="eastAsia" w:cs="宋体"/>
          <w:sz w:val="22"/>
          <w:szCs w:val="22"/>
        </w:rPr>
        <w:t>（6）外包费用为含税包干价，含乙方为履行本合同项下义务产生的所有费用及合理利润。</w:t>
      </w:r>
      <w:r>
        <w:rPr>
          <w:rFonts w:cs="宋体"/>
          <w:sz w:val="22"/>
          <w:szCs w:val="22"/>
        </w:rPr>
        <w:t>结算时，乙方应先行提供符合甲方要求的</w:t>
      </w:r>
      <w:r>
        <w:rPr>
          <w:rFonts w:hint="eastAsia" w:cs="宋体"/>
          <w:sz w:val="22"/>
          <w:szCs w:val="22"/>
        </w:rPr>
        <w:t>税率为【</w:t>
      </w:r>
      <w:r>
        <w:rPr>
          <w:rFonts w:cs="宋体"/>
          <w:sz w:val="22"/>
          <w:szCs w:val="22"/>
        </w:rPr>
        <w:t>6%</w:t>
      </w:r>
      <w:r>
        <w:rPr>
          <w:rFonts w:hint="eastAsia" w:cs="宋体"/>
          <w:sz w:val="22"/>
          <w:szCs w:val="22"/>
        </w:rPr>
        <w:t>】</w:t>
      </w:r>
      <w:r>
        <w:rPr>
          <w:rFonts w:cs="宋体"/>
          <w:sz w:val="22"/>
          <w:szCs w:val="22"/>
        </w:rPr>
        <w:t>增值税发票，甲方在收到发票后</w:t>
      </w:r>
      <w:r>
        <w:rPr>
          <w:rFonts w:hint="eastAsia" w:cs="宋体"/>
          <w:sz w:val="22"/>
          <w:szCs w:val="22"/>
        </w:rPr>
        <w:t>【3</w:t>
      </w:r>
      <w:r>
        <w:rPr>
          <w:rFonts w:cs="宋体"/>
          <w:sz w:val="22"/>
          <w:szCs w:val="22"/>
        </w:rPr>
        <w:t>0</w:t>
      </w:r>
      <w:r>
        <w:rPr>
          <w:rFonts w:hint="eastAsia" w:cs="宋体"/>
          <w:sz w:val="22"/>
          <w:szCs w:val="22"/>
        </w:rPr>
        <w:t>】</w:t>
      </w:r>
      <w:r>
        <w:rPr>
          <w:rFonts w:cs="宋体"/>
          <w:sz w:val="22"/>
          <w:szCs w:val="22"/>
        </w:rPr>
        <w:t>个工作日内完成对乙方的付款义务。若乙方未按甲方要求开具发票的，甲方有权不予付款且不承担逾期付款违约责任</w:t>
      </w:r>
      <w:r>
        <w:rPr>
          <w:rFonts w:hint="eastAsia" w:cs="宋体"/>
          <w:sz w:val="22"/>
          <w:szCs w:val="22"/>
        </w:rPr>
        <w:t>。</w:t>
      </w:r>
    </w:p>
    <w:p w14:paraId="188D9280">
      <w:pPr>
        <w:ind w:firstLine="442"/>
        <w:rPr>
          <w:rFonts w:cs="宋体"/>
          <w:b/>
          <w:sz w:val="22"/>
          <w:szCs w:val="22"/>
        </w:rPr>
      </w:pPr>
      <w:r>
        <w:rPr>
          <w:rFonts w:hint="eastAsia" w:cs="宋体"/>
          <w:b/>
          <w:sz w:val="22"/>
          <w:szCs w:val="22"/>
        </w:rPr>
        <w:t xml:space="preserve">第五章 </w:t>
      </w:r>
      <w:r>
        <w:rPr>
          <w:rFonts w:cs="宋体"/>
          <w:b/>
          <w:sz w:val="22"/>
          <w:szCs w:val="22"/>
        </w:rPr>
        <w:t>权利和义务</w:t>
      </w:r>
    </w:p>
    <w:p w14:paraId="7CF5D68C">
      <w:pPr>
        <w:ind w:firstLine="440"/>
        <w:rPr>
          <w:rFonts w:cs="宋体"/>
          <w:sz w:val="22"/>
          <w:szCs w:val="22"/>
        </w:rPr>
      </w:pPr>
      <w:r>
        <w:rPr>
          <w:rFonts w:cs="宋体"/>
          <w:sz w:val="22"/>
          <w:szCs w:val="22"/>
        </w:rPr>
        <w:t>5.1 甲方的权利：</w:t>
      </w:r>
    </w:p>
    <w:p w14:paraId="29AB9BCF">
      <w:pPr>
        <w:ind w:firstLine="440"/>
        <w:rPr>
          <w:rFonts w:cs="宋体"/>
          <w:sz w:val="22"/>
          <w:szCs w:val="22"/>
        </w:rPr>
      </w:pPr>
      <w:r>
        <w:rPr>
          <w:rFonts w:cs="宋体"/>
          <w:sz w:val="22"/>
          <w:szCs w:val="22"/>
        </w:rPr>
        <w:t>（1）甲方有权自行决定是否接受</w:t>
      </w:r>
      <w:r>
        <w:rPr>
          <w:rFonts w:hint="eastAsia" w:cs="宋体"/>
          <w:sz w:val="22"/>
          <w:szCs w:val="22"/>
        </w:rPr>
        <w:t>、更换</w:t>
      </w:r>
      <w:r>
        <w:rPr>
          <w:rFonts w:cs="宋体"/>
          <w:sz w:val="22"/>
          <w:szCs w:val="22"/>
        </w:rPr>
        <w:t>乙方派出的外包服务人员。</w:t>
      </w:r>
    </w:p>
    <w:p w14:paraId="0A78D301">
      <w:pPr>
        <w:ind w:firstLine="440"/>
        <w:rPr>
          <w:rFonts w:cs="宋体"/>
          <w:sz w:val="22"/>
          <w:szCs w:val="22"/>
        </w:rPr>
      </w:pPr>
      <w:r>
        <w:rPr>
          <w:rFonts w:cs="宋体"/>
          <w:sz w:val="22"/>
          <w:szCs w:val="22"/>
        </w:rPr>
        <w:t>（</w:t>
      </w:r>
      <w:r>
        <w:rPr>
          <w:rFonts w:hint="eastAsia" w:cs="宋体"/>
          <w:sz w:val="22"/>
          <w:szCs w:val="22"/>
        </w:rPr>
        <w:t>2</w:t>
      </w:r>
      <w:r>
        <w:rPr>
          <w:rFonts w:cs="宋体"/>
          <w:sz w:val="22"/>
          <w:szCs w:val="22"/>
        </w:rPr>
        <w:t>）甲方有权根据外包项目的工作需要制订相应的服务规范、</w:t>
      </w:r>
      <w:r>
        <w:rPr>
          <w:rFonts w:hint="eastAsia" w:cs="宋体"/>
          <w:sz w:val="22"/>
          <w:szCs w:val="22"/>
        </w:rPr>
        <w:t>评价</w:t>
      </w:r>
      <w:r>
        <w:rPr>
          <w:rFonts w:cs="宋体"/>
          <w:sz w:val="22"/>
          <w:szCs w:val="22"/>
        </w:rPr>
        <w:t>办法，并及时通知乙方</w:t>
      </w:r>
      <w:r>
        <w:rPr>
          <w:rFonts w:hint="eastAsia" w:cs="宋体"/>
          <w:sz w:val="22"/>
          <w:szCs w:val="22"/>
        </w:rPr>
        <w:t>，</w:t>
      </w:r>
      <w:r>
        <w:rPr>
          <w:rFonts w:cs="宋体"/>
          <w:sz w:val="22"/>
          <w:szCs w:val="22"/>
        </w:rPr>
        <w:t>由乙方参照执行，服务规范、评价办法的解释权在甲方；甲方有权要求乙方</w:t>
      </w:r>
      <w:r>
        <w:rPr>
          <w:rFonts w:hint="eastAsia" w:cs="宋体"/>
          <w:sz w:val="22"/>
          <w:szCs w:val="22"/>
        </w:rPr>
        <w:t>规定其</w:t>
      </w:r>
      <w:r>
        <w:rPr>
          <w:rFonts w:cs="宋体"/>
          <w:sz w:val="22"/>
          <w:szCs w:val="22"/>
        </w:rPr>
        <w:t>外包服务人员遵照</w:t>
      </w:r>
      <w:r>
        <w:rPr>
          <w:rFonts w:hint="eastAsia" w:cs="宋体"/>
          <w:sz w:val="22"/>
          <w:szCs w:val="22"/>
        </w:rPr>
        <w:t>前述</w:t>
      </w:r>
      <w:r>
        <w:rPr>
          <w:rFonts w:cs="宋体"/>
          <w:sz w:val="22"/>
          <w:szCs w:val="22"/>
        </w:rPr>
        <w:t>服务规范和本合同的规定为甲方提供服务。甲方根据相关服务项目的质量评价指标要求，按</w:t>
      </w:r>
      <w:r>
        <w:rPr>
          <w:rFonts w:hint="eastAsia" w:cs="宋体"/>
          <w:sz w:val="22"/>
          <w:szCs w:val="22"/>
        </w:rPr>
        <w:t>季度</w:t>
      </w:r>
      <w:r>
        <w:rPr>
          <w:rFonts w:cs="宋体"/>
          <w:sz w:val="22"/>
          <w:szCs w:val="22"/>
        </w:rPr>
        <w:t>对乙方的服务质量进行</w:t>
      </w:r>
      <w:r>
        <w:rPr>
          <w:rFonts w:hint="eastAsia" w:cs="宋体"/>
          <w:sz w:val="22"/>
          <w:szCs w:val="22"/>
        </w:rPr>
        <w:t>评价</w:t>
      </w:r>
      <w:r>
        <w:rPr>
          <w:rFonts w:cs="宋体"/>
          <w:sz w:val="22"/>
          <w:szCs w:val="22"/>
        </w:rPr>
        <w:t>。</w:t>
      </w:r>
    </w:p>
    <w:p w14:paraId="7338994A">
      <w:pPr>
        <w:ind w:firstLine="440"/>
        <w:rPr>
          <w:rFonts w:cs="宋体"/>
          <w:sz w:val="22"/>
          <w:szCs w:val="22"/>
        </w:rPr>
      </w:pPr>
      <w:r>
        <w:rPr>
          <w:rFonts w:cs="宋体"/>
          <w:sz w:val="22"/>
          <w:szCs w:val="22"/>
        </w:rPr>
        <w:t>（</w:t>
      </w:r>
      <w:r>
        <w:rPr>
          <w:rFonts w:hint="eastAsia" w:cs="宋体"/>
          <w:sz w:val="22"/>
          <w:szCs w:val="22"/>
        </w:rPr>
        <w:t>3</w:t>
      </w:r>
      <w:r>
        <w:rPr>
          <w:rFonts w:cs="宋体"/>
          <w:sz w:val="22"/>
          <w:szCs w:val="22"/>
        </w:rPr>
        <w:t>）甲方有权</w:t>
      </w:r>
      <w:r>
        <w:rPr>
          <w:rFonts w:hint="eastAsia" w:cs="宋体"/>
          <w:sz w:val="22"/>
          <w:szCs w:val="22"/>
        </w:rPr>
        <w:t>要求</w:t>
      </w:r>
      <w:r>
        <w:rPr>
          <w:rFonts w:cs="宋体"/>
          <w:sz w:val="22"/>
          <w:szCs w:val="22"/>
        </w:rPr>
        <w:t>乙方</w:t>
      </w:r>
      <w:r>
        <w:rPr>
          <w:rFonts w:hint="eastAsia" w:cs="宋体"/>
          <w:sz w:val="22"/>
          <w:szCs w:val="22"/>
        </w:rPr>
        <w:t>对</w:t>
      </w:r>
      <w:r>
        <w:rPr>
          <w:rFonts w:cs="宋体"/>
          <w:sz w:val="22"/>
          <w:szCs w:val="22"/>
        </w:rPr>
        <w:t>其派出的外包服务人员进行与服务项目相关的管理，并检查乙方外包服务人员的工作表现情况，包括上、下班记录、服务情况、违规违纪情况、受表扬、被投诉等</w:t>
      </w:r>
      <w:r>
        <w:rPr>
          <w:rFonts w:hint="eastAsia" w:cs="宋体"/>
          <w:sz w:val="22"/>
          <w:szCs w:val="22"/>
        </w:rPr>
        <w:t>，甲方有权随时要求乙方提供该类资料，进行查验和检查</w:t>
      </w:r>
      <w:r>
        <w:rPr>
          <w:rFonts w:cs="宋体"/>
          <w:sz w:val="22"/>
          <w:szCs w:val="22"/>
        </w:rPr>
        <w:t>。</w:t>
      </w:r>
    </w:p>
    <w:p w14:paraId="11435168">
      <w:pPr>
        <w:ind w:firstLine="440"/>
        <w:rPr>
          <w:rFonts w:cs="宋体"/>
          <w:sz w:val="22"/>
          <w:szCs w:val="22"/>
        </w:rPr>
      </w:pPr>
      <w:r>
        <w:rPr>
          <w:rFonts w:cs="宋体"/>
          <w:sz w:val="22"/>
          <w:szCs w:val="22"/>
        </w:rPr>
        <w:t>（</w:t>
      </w:r>
      <w:r>
        <w:rPr>
          <w:rFonts w:hint="eastAsia" w:cs="宋体"/>
          <w:sz w:val="22"/>
          <w:szCs w:val="22"/>
        </w:rPr>
        <w:t>4</w:t>
      </w:r>
      <w:r>
        <w:rPr>
          <w:rFonts w:cs="宋体"/>
          <w:sz w:val="22"/>
          <w:szCs w:val="22"/>
        </w:rPr>
        <w:t>）甲方有权要求乙方提供外包服务人员的有关资料，包括健康证、劳动合同、社会保险证明、学历证明等。</w:t>
      </w:r>
    </w:p>
    <w:p w14:paraId="3C603724">
      <w:pPr>
        <w:ind w:firstLine="440"/>
        <w:rPr>
          <w:rFonts w:cs="宋体"/>
          <w:sz w:val="22"/>
          <w:szCs w:val="22"/>
        </w:rPr>
      </w:pPr>
      <w:r>
        <w:rPr>
          <w:rFonts w:cs="宋体"/>
          <w:sz w:val="22"/>
          <w:szCs w:val="22"/>
        </w:rPr>
        <w:t>（</w:t>
      </w:r>
      <w:r>
        <w:rPr>
          <w:rFonts w:hint="eastAsia" w:cs="宋体"/>
          <w:sz w:val="22"/>
          <w:szCs w:val="22"/>
        </w:rPr>
        <w:t>5</w:t>
      </w:r>
      <w:r>
        <w:rPr>
          <w:rFonts w:cs="宋体"/>
          <w:sz w:val="22"/>
          <w:szCs w:val="22"/>
        </w:rPr>
        <w:t>）在提供项目外包服务过程中产生的或主要利用甲方的物质条件或资料开发出的任何成果归甲方所有。</w:t>
      </w:r>
    </w:p>
    <w:p w14:paraId="02D34073">
      <w:pPr>
        <w:ind w:firstLine="440"/>
        <w:rPr>
          <w:rFonts w:cs="宋体"/>
          <w:sz w:val="22"/>
          <w:szCs w:val="22"/>
        </w:rPr>
      </w:pPr>
      <w:r>
        <w:rPr>
          <w:rFonts w:cs="宋体"/>
          <w:sz w:val="22"/>
          <w:szCs w:val="22"/>
        </w:rPr>
        <w:t>（</w:t>
      </w:r>
      <w:r>
        <w:rPr>
          <w:rFonts w:hint="eastAsia" w:cs="宋体"/>
          <w:sz w:val="22"/>
          <w:szCs w:val="22"/>
        </w:rPr>
        <w:t>6</w:t>
      </w:r>
      <w:r>
        <w:rPr>
          <w:rFonts w:cs="宋体"/>
          <w:sz w:val="22"/>
          <w:szCs w:val="22"/>
        </w:rPr>
        <w:t>）甲方认为乙方有任何违反或可能违反本合同的行为，甲方有权提出意见要求乙方限期整改。乙方应在收到甲方的意见后</w:t>
      </w:r>
      <w:r>
        <w:rPr>
          <w:rFonts w:cs="宋体"/>
          <w:sz w:val="22"/>
          <w:szCs w:val="22"/>
          <w:u w:val="single"/>
        </w:rPr>
        <w:t>10</w:t>
      </w:r>
      <w:r>
        <w:rPr>
          <w:rFonts w:cs="宋体"/>
          <w:sz w:val="22"/>
          <w:szCs w:val="22"/>
        </w:rPr>
        <w:t>个工作日内，以书面形式将其整改的结果或整改措施回复甲方。若乙方未按甲方要求整改的</w:t>
      </w:r>
      <w:r>
        <w:rPr>
          <w:rFonts w:hint="eastAsia" w:cs="宋体"/>
          <w:sz w:val="22"/>
          <w:szCs w:val="22"/>
        </w:rPr>
        <w:t>，</w:t>
      </w:r>
      <w:r>
        <w:rPr>
          <w:rFonts w:cs="宋体"/>
          <w:sz w:val="22"/>
          <w:szCs w:val="22"/>
        </w:rPr>
        <w:t>每出现一次</w:t>
      </w:r>
      <w:r>
        <w:rPr>
          <w:rFonts w:hint="eastAsia" w:cs="宋体"/>
          <w:sz w:val="22"/>
          <w:szCs w:val="22"/>
        </w:rPr>
        <w:t>，</w:t>
      </w:r>
      <w:r>
        <w:rPr>
          <w:rFonts w:cs="宋体"/>
          <w:sz w:val="22"/>
          <w:szCs w:val="22"/>
        </w:rPr>
        <w:t>应向甲方支付</w:t>
      </w:r>
      <w:r>
        <w:rPr>
          <w:rFonts w:hint="eastAsia" w:cs="宋体"/>
          <w:sz w:val="22"/>
          <w:szCs w:val="22"/>
        </w:rPr>
        <w:t>【20,000】元的违约金，附件一约定的违约金标准除外，不进行重复扣罚；前述情况出现超过【3】次（含本数），甲方有权随时解除或</w:t>
      </w:r>
      <w:r>
        <w:rPr>
          <w:rFonts w:cs="宋体"/>
          <w:sz w:val="22"/>
          <w:szCs w:val="22"/>
        </w:rPr>
        <w:t>终止</w:t>
      </w:r>
      <w:r>
        <w:rPr>
          <w:rFonts w:hint="eastAsia" w:cs="宋体"/>
          <w:sz w:val="22"/>
          <w:szCs w:val="22"/>
        </w:rPr>
        <w:t>本合同，并不再支付任何费用，且乙方应赔偿给甲方造成的损失。</w:t>
      </w:r>
    </w:p>
    <w:p w14:paraId="7E042EB0">
      <w:pPr>
        <w:ind w:firstLine="440"/>
        <w:rPr>
          <w:rFonts w:cs="宋体"/>
          <w:sz w:val="22"/>
          <w:szCs w:val="22"/>
        </w:rPr>
      </w:pPr>
      <w:r>
        <w:rPr>
          <w:rFonts w:cs="宋体"/>
          <w:sz w:val="22"/>
          <w:szCs w:val="22"/>
        </w:rPr>
        <w:t>5.2 甲方的义务</w:t>
      </w:r>
    </w:p>
    <w:p w14:paraId="42BBEBB4">
      <w:pPr>
        <w:ind w:firstLine="440"/>
        <w:rPr>
          <w:rFonts w:cs="宋体"/>
          <w:sz w:val="22"/>
          <w:szCs w:val="22"/>
        </w:rPr>
      </w:pPr>
      <w:r>
        <w:rPr>
          <w:rFonts w:cs="宋体"/>
          <w:sz w:val="22"/>
          <w:szCs w:val="22"/>
        </w:rPr>
        <w:t>（1）在外包服务实施过程中，甲方应为乙方提供必要的技术支持与工作指导，配合乙方履行职责。</w:t>
      </w:r>
    </w:p>
    <w:p w14:paraId="2DD8449B">
      <w:pPr>
        <w:ind w:firstLine="440"/>
        <w:rPr>
          <w:rFonts w:cs="宋体"/>
          <w:sz w:val="22"/>
          <w:szCs w:val="22"/>
        </w:rPr>
      </w:pPr>
      <w:r>
        <w:rPr>
          <w:rFonts w:hint="eastAsia" w:cs="宋体"/>
          <w:sz w:val="22"/>
          <w:szCs w:val="22"/>
        </w:rPr>
        <w:t>（2）按时支付外包费用。</w:t>
      </w:r>
    </w:p>
    <w:p w14:paraId="49A57DA9">
      <w:pPr>
        <w:ind w:firstLine="440"/>
        <w:rPr>
          <w:rFonts w:cs="宋体"/>
          <w:sz w:val="22"/>
          <w:szCs w:val="22"/>
        </w:rPr>
      </w:pPr>
      <w:r>
        <w:rPr>
          <w:rFonts w:cs="宋体"/>
          <w:sz w:val="22"/>
          <w:szCs w:val="22"/>
        </w:rPr>
        <w:t>（3）甲方不得将本合同的内容向甲乙双方以外的、与签订和履行本合同无关的任何第三方透露，不得泄露乙方的商业秘密（包括本合同及其附件和合同签订前的各项方案）。</w:t>
      </w:r>
    </w:p>
    <w:p w14:paraId="151B46DE">
      <w:pPr>
        <w:ind w:firstLine="440"/>
        <w:rPr>
          <w:rFonts w:cs="宋体"/>
          <w:sz w:val="22"/>
          <w:szCs w:val="22"/>
        </w:rPr>
      </w:pPr>
      <w:r>
        <w:rPr>
          <w:rFonts w:cs="宋体"/>
          <w:sz w:val="22"/>
          <w:szCs w:val="22"/>
        </w:rPr>
        <w:t>5.3 乙方的权利</w:t>
      </w:r>
    </w:p>
    <w:p w14:paraId="43D32D7B">
      <w:pPr>
        <w:ind w:firstLine="440"/>
        <w:rPr>
          <w:rFonts w:cs="宋体"/>
          <w:sz w:val="22"/>
          <w:szCs w:val="22"/>
        </w:rPr>
      </w:pPr>
      <w:r>
        <w:rPr>
          <w:rFonts w:cs="宋体"/>
          <w:sz w:val="22"/>
          <w:szCs w:val="22"/>
        </w:rPr>
        <w:t>根据法律、法规和本合同有关规定，乙方有权要求甲方依据本合同规定保障乙方派出外包服务人员的合法权益。</w:t>
      </w:r>
    </w:p>
    <w:p w14:paraId="7629DA4D">
      <w:pPr>
        <w:ind w:firstLine="440"/>
        <w:rPr>
          <w:rFonts w:cs="宋体"/>
          <w:sz w:val="22"/>
          <w:szCs w:val="22"/>
        </w:rPr>
      </w:pPr>
      <w:r>
        <w:rPr>
          <w:rFonts w:cs="宋体"/>
          <w:sz w:val="22"/>
          <w:szCs w:val="22"/>
        </w:rPr>
        <w:t>5.4 乙方的义务</w:t>
      </w:r>
    </w:p>
    <w:p w14:paraId="7340CE8C">
      <w:pPr>
        <w:ind w:firstLine="440"/>
        <w:rPr>
          <w:rFonts w:cs="宋体"/>
          <w:sz w:val="22"/>
          <w:szCs w:val="22"/>
        </w:rPr>
      </w:pPr>
      <w:r>
        <w:rPr>
          <w:rFonts w:cs="宋体"/>
          <w:sz w:val="22"/>
          <w:szCs w:val="22"/>
        </w:rPr>
        <w:t>（1）乙方需为甲方提供持续的风险识别和控制措施，并按甲方要求提供公司财务分析报告以及重大事项报告等。</w:t>
      </w:r>
    </w:p>
    <w:p w14:paraId="0E4BEB2B">
      <w:pPr>
        <w:ind w:firstLine="440"/>
        <w:rPr>
          <w:rFonts w:cs="宋体"/>
          <w:sz w:val="22"/>
          <w:szCs w:val="22"/>
        </w:rPr>
      </w:pPr>
      <w:r>
        <w:rPr>
          <w:rFonts w:hint="eastAsia" w:cs="宋体"/>
          <w:sz w:val="22"/>
          <w:szCs w:val="22"/>
        </w:rPr>
        <w:t>（2）</w:t>
      </w:r>
      <w:r>
        <w:rPr>
          <w:rFonts w:cs="宋体"/>
          <w:sz w:val="22"/>
          <w:szCs w:val="22"/>
        </w:rPr>
        <w:t xml:space="preserve"> 乙方应该适时开展风险管理评估和第三方审计工作，应该接受甲方的审核、评估以及外包检查，并配合接受来自监管机构的各项检查，配合对监管意见做出相应整改。</w:t>
      </w:r>
    </w:p>
    <w:p w14:paraId="59B1B626">
      <w:pPr>
        <w:ind w:firstLine="440"/>
        <w:rPr>
          <w:rFonts w:cs="宋体"/>
          <w:sz w:val="22"/>
          <w:szCs w:val="22"/>
        </w:rPr>
      </w:pPr>
      <w:r>
        <w:rPr>
          <w:rFonts w:hint="eastAsia" w:cs="宋体"/>
          <w:sz w:val="22"/>
          <w:szCs w:val="22"/>
        </w:rPr>
        <w:t>（3）</w:t>
      </w:r>
      <w:r>
        <w:rPr>
          <w:rFonts w:cs="宋体"/>
          <w:sz w:val="22"/>
          <w:szCs w:val="22"/>
        </w:rPr>
        <w:t>乙方代表甲方完成外包服务项目工作，必须严格遵守国家有关法律法规和行业规章制度</w:t>
      </w:r>
      <w:r>
        <w:rPr>
          <w:rFonts w:hint="eastAsia" w:cs="宋体"/>
          <w:sz w:val="22"/>
          <w:szCs w:val="22"/>
        </w:rPr>
        <w:t>，</w:t>
      </w:r>
      <w:r>
        <w:rPr>
          <w:rFonts w:cs="宋体"/>
          <w:sz w:val="22"/>
          <w:szCs w:val="22"/>
        </w:rPr>
        <w:t>且应参照甲方有关规定，规范</w:t>
      </w:r>
      <w:r>
        <w:rPr>
          <w:rFonts w:hint="eastAsia" w:cs="宋体"/>
          <w:sz w:val="22"/>
          <w:szCs w:val="22"/>
        </w:rPr>
        <w:t>要求</w:t>
      </w:r>
      <w:r>
        <w:rPr>
          <w:rFonts w:cs="宋体"/>
          <w:sz w:val="22"/>
          <w:szCs w:val="22"/>
        </w:rPr>
        <w:t>其外包人员履行职责。</w:t>
      </w:r>
    </w:p>
    <w:p w14:paraId="072E9857">
      <w:pPr>
        <w:ind w:firstLine="440"/>
        <w:rPr>
          <w:rFonts w:cs="宋体"/>
          <w:sz w:val="22"/>
          <w:szCs w:val="22"/>
        </w:rPr>
      </w:pPr>
      <w:r>
        <w:rPr>
          <w:rFonts w:cs="宋体"/>
          <w:sz w:val="22"/>
          <w:szCs w:val="22"/>
        </w:rPr>
        <w:t>（4）乙方应按照甲方服务需求和标准提供外包服务人员，外包服务人员必须通过乙方的岗前公共职业培训，且具备甲方</w:t>
      </w:r>
      <w:r>
        <w:rPr>
          <w:rFonts w:hint="eastAsia" w:cs="宋体"/>
          <w:sz w:val="22"/>
          <w:szCs w:val="22"/>
        </w:rPr>
        <w:t>外包</w:t>
      </w:r>
      <w:r>
        <w:rPr>
          <w:rFonts w:cs="宋体"/>
          <w:sz w:val="22"/>
          <w:szCs w:val="22"/>
        </w:rPr>
        <w:t>岗位所需要的技能素质和体能素质。</w:t>
      </w:r>
    </w:p>
    <w:p w14:paraId="045266AE">
      <w:pPr>
        <w:ind w:firstLine="440"/>
        <w:rPr>
          <w:rFonts w:cs="宋体"/>
          <w:sz w:val="22"/>
          <w:szCs w:val="22"/>
        </w:rPr>
      </w:pPr>
      <w:r>
        <w:rPr>
          <w:rFonts w:cs="宋体"/>
          <w:sz w:val="22"/>
          <w:szCs w:val="22"/>
        </w:rPr>
        <w:t>（5）乙方负责为乙方外包服务人员依法办理劳动用工手续，在外包服务人员的聘用、辞退、工资福利、社会保险、奖惩升降、劳动保护等事项上依法保证乙方外包服务人员的合法权益，按时、足额为外包服务人员缴纳社会保险，保持外包服务人员的稳定性。</w:t>
      </w:r>
    </w:p>
    <w:p w14:paraId="357D3D84">
      <w:pPr>
        <w:ind w:firstLine="440"/>
        <w:rPr>
          <w:rFonts w:cs="宋体"/>
          <w:sz w:val="22"/>
          <w:szCs w:val="22"/>
        </w:rPr>
      </w:pPr>
      <w:r>
        <w:rPr>
          <w:rFonts w:cs="宋体"/>
          <w:sz w:val="22"/>
          <w:szCs w:val="22"/>
        </w:rPr>
        <w:t>（6）乙方与外包服务人员发生劳动纠纷时，乙方应直接与外包服务人员交涉解决并自行承担相关责任，处理好纠纷，以免影响甲方的外包服务工作，如出现严重影响甲方外包服务工作的，由乙方承担所有损失责任。</w:t>
      </w:r>
    </w:p>
    <w:p w14:paraId="039B5481">
      <w:pPr>
        <w:ind w:firstLine="440"/>
        <w:rPr>
          <w:rFonts w:cs="宋体"/>
          <w:sz w:val="22"/>
          <w:szCs w:val="22"/>
        </w:rPr>
      </w:pPr>
      <w:r>
        <w:rPr>
          <w:rFonts w:cs="宋体"/>
          <w:sz w:val="22"/>
          <w:szCs w:val="22"/>
        </w:rPr>
        <w:t>（7）外包服务人员因工发生伤亡事故，由乙方按《工伤保险条例》的相关规定进行妥善处理。非因工发生的伤亡事故，乙方负责伤亡事故的处理，对发生的事故处理费用和对外包服务人员的经济补偿等由责任方承担。</w:t>
      </w:r>
    </w:p>
    <w:p w14:paraId="7E663A9F">
      <w:pPr>
        <w:ind w:firstLine="440"/>
        <w:rPr>
          <w:rFonts w:cs="宋体"/>
          <w:sz w:val="22"/>
          <w:szCs w:val="22"/>
        </w:rPr>
      </w:pPr>
      <w:r>
        <w:rPr>
          <w:rFonts w:cs="宋体"/>
          <w:sz w:val="22"/>
          <w:szCs w:val="22"/>
        </w:rPr>
        <w:t>（8）乙方应教育、督促乙方外包服务人员在为甲方提供服务期间按</w:t>
      </w:r>
      <w:r>
        <w:rPr>
          <w:rFonts w:hint="eastAsia" w:cs="宋体"/>
          <w:sz w:val="22"/>
          <w:szCs w:val="22"/>
        </w:rPr>
        <w:t>乙方参照</w:t>
      </w:r>
      <w:r>
        <w:rPr>
          <w:rFonts w:cs="宋体"/>
          <w:sz w:val="22"/>
          <w:szCs w:val="22"/>
        </w:rPr>
        <w:t>甲方要求制定的有关规章制度和作息时间完成相应服务工作，接受</w:t>
      </w:r>
      <w:r>
        <w:rPr>
          <w:rFonts w:hint="eastAsia" w:cs="宋体"/>
          <w:sz w:val="22"/>
          <w:szCs w:val="22"/>
        </w:rPr>
        <w:t>乙方</w:t>
      </w:r>
      <w:r>
        <w:rPr>
          <w:rFonts w:cs="宋体"/>
          <w:sz w:val="22"/>
          <w:szCs w:val="22"/>
        </w:rPr>
        <w:t>监督和检查，以保障甲方业务的正常进行。</w:t>
      </w:r>
    </w:p>
    <w:p w14:paraId="677C4B9F">
      <w:pPr>
        <w:ind w:firstLine="440"/>
        <w:rPr>
          <w:rFonts w:cs="宋体"/>
          <w:sz w:val="22"/>
          <w:szCs w:val="22"/>
        </w:rPr>
      </w:pPr>
      <w:r>
        <w:rPr>
          <w:rFonts w:cs="宋体"/>
          <w:sz w:val="22"/>
          <w:szCs w:val="22"/>
        </w:rPr>
        <w:t>（9）乙方应教育、督促外包服务人员不得以任何形式向他人提供或泄露甲方的商业秘密，保证甲方业务利益不受损失，对甲方各类客户的资料、业务数据等应按照甲方相关文件及工作要求执行保密工作。如乙方外包服务人员泄露甲方商业机密造成甲方或任何第三方经济损失的，乙方应承担赔偿责任。</w:t>
      </w:r>
    </w:p>
    <w:p w14:paraId="0397A672">
      <w:pPr>
        <w:ind w:firstLine="440"/>
        <w:rPr>
          <w:rFonts w:cs="宋体"/>
          <w:sz w:val="22"/>
          <w:szCs w:val="22"/>
        </w:rPr>
      </w:pPr>
      <w:r>
        <w:rPr>
          <w:rFonts w:cs="宋体"/>
          <w:sz w:val="22"/>
          <w:szCs w:val="22"/>
        </w:rPr>
        <w:t>（10）乙方管理人员应经常到项目外包服务人员工作现场，协调及处理甲乙双方与外包服务人员之间的关系。</w:t>
      </w:r>
    </w:p>
    <w:p w14:paraId="2F91D493">
      <w:pPr>
        <w:ind w:firstLine="440"/>
        <w:rPr>
          <w:rFonts w:cs="宋体"/>
          <w:sz w:val="22"/>
          <w:szCs w:val="22"/>
        </w:rPr>
      </w:pPr>
      <w:r>
        <w:rPr>
          <w:rFonts w:cs="宋体"/>
          <w:sz w:val="22"/>
          <w:szCs w:val="22"/>
        </w:rPr>
        <w:t>（11）乙方从甲方领取的</w:t>
      </w:r>
      <w:r>
        <w:rPr>
          <w:rFonts w:hint="eastAsia" w:cs="宋体"/>
          <w:sz w:val="22"/>
          <w:szCs w:val="22"/>
        </w:rPr>
        <w:t>外包</w:t>
      </w:r>
      <w:r>
        <w:rPr>
          <w:rFonts w:cs="宋体"/>
          <w:sz w:val="22"/>
          <w:szCs w:val="22"/>
        </w:rPr>
        <w:t>工作工具、设备和其他物品，由甲方负责登记管理，在</w:t>
      </w:r>
      <w:r>
        <w:rPr>
          <w:rFonts w:hint="eastAsia" w:cs="宋体"/>
          <w:sz w:val="22"/>
          <w:szCs w:val="22"/>
        </w:rPr>
        <w:t>外包</w:t>
      </w:r>
      <w:r>
        <w:rPr>
          <w:rFonts w:cs="宋体"/>
          <w:sz w:val="22"/>
          <w:szCs w:val="22"/>
        </w:rPr>
        <w:t>员工离场时，由乙方负责协助收回交还甲方</w:t>
      </w:r>
      <w:r>
        <w:rPr>
          <w:rFonts w:hint="eastAsia" w:cs="宋体"/>
          <w:sz w:val="22"/>
          <w:szCs w:val="22"/>
        </w:rPr>
        <w:t>，若有损失，应进行赔偿</w:t>
      </w:r>
      <w:r>
        <w:rPr>
          <w:rFonts w:cs="宋体"/>
          <w:sz w:val="22"/>
          <w:szCs w:val="22"/>
        </w:rPr>
        <w:t>。</w:t>
      </w:r>
    </w:p>
    <w:p w14:paraId="44C22014">
      <w:pPr>
        <w:ind w:firstLine="440"/>
        <w:rPr>
          <w:rFonts w:cs="宋体"/>
          <w:sz w:val="22"/>
          <w:szCs w:val="22"/>
        </w:rPr>
      </w:pPr>
      <w:r>
        <w:rPr>
          <w:rFonts w:cs="宋体"/>
          <w:sz w:val="22"/>
          <w:szCs w:val="22"/>
        </w:rPr>
        <w:t>（12）乙方有义务向甲方提供外包服务人员有关资料，包括健康证、劳务合同、社会保险证明、学历证明等。</w:t>
      </w:r>
    </w:p>
    <w:p w14:paraId="3B8DC467">
      <w:pPr>
        <w:ind w:firstLine="440"/>
        <w:rPr>
          <w:rFonts w:cs="宋体"/>
          <w:sz w:val="22"/>
          <w:szCs w:val="22"/>
        </w:rPr>
      </w:pPr>
      <w:r>
        <w:rPr>
          <w:rFonts w:hint="eastAsia" w:cs="宋体"/>
          <w:sz w:val="22"/>
          <w:szCs w:val="22"/>
        </w:rPr>
        <w:t>（</w:t>
      </w:r>
      <w:r>
        <w:rPr>
          <w:rFonts w:cs="宋体"/>
          <w:sz w:val="22"/>
          <w:szCs w:val="22"/>
        </w:rPr>
        <w:t>13</w:t>
      </w:r>
      <w:r>
        <w:rPr>
          <w:rFonts w:hint="eastAsia" w:cs="宋体"/>
          <w:sz w:val="22"/>
          <w:szCs w:val="22"/>
        </w:rPr>
        <w:t>）乙方保证其人员无不良记录，服务商与其建立合法的雇佣关系，依法履行用工管理职责。</w:t>
      </w:r>
    </w:p>
    <w:p w14:paraId="71507867">
      <w:pPr>
        <w:ind w:firstLine="440"/>
        <w:rPr>
          <w:rFonts w:cs="宋体"/>
          <w:sz w:val="22"/>
          <w:szCs w:val="22"/>
        </w:rPr>
      </w:pPr>
      <w:r>
        <w:rPr>
          <w:rFonts w:hint="eastAsia" w:cs="宋体"/>
          <w:sz w:val="22"/>
          <w:szCs w:val="22"/>
        </w:rPr>
        <w:t>（</w:t>
      </w:r>
      <w:r>
        <w:rPr>
          <w:rFonts w:cs="宋体"/>
          <w:sz w:val="22"/>
          <w:szCs w:val="22"/>
        </w:rPr>
        <w:t>14</w:t>
      </w:r>
      <w:r>
        <w:rPr>
          <w:rFonts w:hint="eastAsia" w:cs="宋体"/>
          <w:sz w:val="22"/>
          <w:szCs w:val="22"/>
        </w:rPr>
        <w:t>）本合同</w:t>
      </w:r>
      <w:r>
        <w:rPr>
          <w:rFonts w:cs="宋体"/>
          <w:sz w:val="22"/>
          <w:szCs w:val="22"/>
        </w:rPr>
        <w:t>项下乙方</w:t>
      </w:r>
      <w:r>
        <w:rPr>
          <w:rFonts w:hint="eastAsia" w:cs="宋体"/>
          <w:sz w:val="22"/>
          <w:szCs w:val="22"/>
        </w:rPr>
        <w:t>人员</w:t>
      </w:r>
      <w:r>
        <w:rPr>
          <w:rFonts w:cs="宋体"/>
          <w:sz w:val="22"/>
          <w:szCs w:val="22"/>
        </w:rPr>
        <w:t>行为视为乙方行为，</w:t>
      </w:r>
      <w:r>
        <w:rPr>
          <w:rFonts w:hint="eastAsia" w:cs="宋体"/>
          <w:sz w:val="22"/>
          <w:szCs w:val="22"/>
        </w:rPr>
        <w:t>乙方应承担全部责任及损失</w:t>
      </w:r>
      <w:r>
        <w:rPr>
          <w:rFonts w:cs="宋体"/>
          <w:sz w:val="22"/>
          <w:szCs w:val="22"/>
        </w:rPr>
        <w:t>。</w:t>
      </w:r>
      <w:r>
        <w:rPr>
          <w:rFonts w:hint="eastAsia" w:cs="宋体"/>
          <w:sz w:val="22"/>
          <w:szCs w:val="22"/>
        </w:rPr>
        <w:t>当客户信息不安全或客户权利受到重大不利影响时，甲方有权随时终止合同。</w:t>
      </w:r>
    </w:p>
    <w:p w14:paraId="613B800A">
      <w:pPr>
        <w:ind w:firstLine="440"/>
        <w:rPr>
          <w:rFonts w:cs="宋体"/>
          <w:sz w:val="22"/>
          <w:szCs w:val="22"/>
        </w:rPr>
      </w:pPr>
      <w:r>
        <w:rPr>
          <w:rFonts w:hint="eastAsia" w:cs="宋体"/>
          <w:sz w:val="22"/>
          <w:szCs w:val="22"/>
        </w:rPr>
        <w:t>（1</w:t>
      </w:r>
      <w:r>
        <w:rPr>
          <w:rFonts w:cs="宋体"/>
          <w:sz w:val="22"/>
          <w:szCs w:val="22"/>
        </w:rPr>
        <w:t>5</w:t>
      </w:r>
      <w:r>
        <w:rPr>
          <w:rFonts w:hint="eastAsia" w:cs="宋体"/>
          <w:sz w:val="22"/>
          <w:szCs w:val="22"/>
        </w:rPr>
        <w:t>）乙方保证遵守甲方《重庆三峡银行员工回避管理办法》中招录回避、任职回避、公务回避的相关要求。若发现乙方人员与甲方内部人员存在亲属关系，乙方应主动报告，并采取相应回避措施。</w:t>
      </w:r>
    </w:p>
    <w:p w14:paraId="429B3263">
      <w:pPr>
        <w:ind w:firstLine="440"/>
        <w:rPr>
          <w:rFonts w:cs="宋体"/>
          <w:sz w:val="22"/>
          <w:szCs w:val="22"/>
        </w:rPr>
      </w:pPr>
      <w:r>
        <w:rPr>
          <w:rFonts w:hint="eastAsia" w:cs="宋体"/>
          <w:sz w:val="22"/>
          <w:szCs w:val="22"/>
        </w:rPr>
        <w:t>（1</w:t>
      </w:r>
      <w:r>
        <w:rPr>
          <w:rFonts w:cs="宋体"/>
          <w:sz w:val="22"/>
          <w:szCs w:val="22"/>
        </w:rPr>
        <w:t>6</w:t>
      </w:r>
      <w:r>
        <w:rPr>
          <w:rFonts w:hint="eastAsia" w:cs="宋体"/>
          <w:sz w:val="22"/>
          <w:szCs w:val="22"/>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交付物，完成资料交接。</w:t>
      </w:r>
    </w:p>
    <w:p w14:paraId="043D6982">
      <w:pPr>
        <w:ind w:firstLine="442"/>
        <w:rPr>
          <w:rFonts w:cs="宋体"/>
          <w:b/>
          <w:sz w:val="22"/>
          <w:szCs w:val="22"/>
        </w:rPr>
      </w:pPr>
      <w:r>
        <w:rPr>
          <w:rFonts w:hint="eastAsia" w:cs="宋体"/>
          <w:b/>
          <w:sz w:val="22"/>
          <w:szCs w:val="22"/>
        </w:rPr>
        <w:t xml:space="preserve">第六章 </w:t>
      </w:r>
      <w:r>
        <w:rPr>
          <w:rFonts w:cs="宋体"/>
          <w:b/>
          <w:sz w:val="22"/>
          <w:szCs w:val="22"/>
        </w:rPr>
        <w:t>知识产权</w:t>
      </w:r>
    </w:p>
    <w:p w14:paraId="18B73666">
      <w:pPr>
        <w:ind w:firstLine="440"/>
        <w:rPr>
          <w:rFonts w:cs="宋体"/>
          <w:sz w:val="22"/>
          <w:szCs w:val="22"/>
        </w:rPr>
      </w:pPr>
      <w:r>
        <w:rPr>
          <w:rFonts w:cs="宋体"/>
          <w:sz w:val="22"/>
          <w:szCs w:val="22"/>
        </w:rPr>
        <w:t xml:space="preserve">6.1 </w:t>
      </w:r>
      <w:r>
        <w:rPr>
          <w:rFonts w:hint="eastAsia" w:cs="宋体"/>
          <w:sz w:val="22"/>
          <w:szCs w:val="22"/>
        </w:rPr>
        <w:t>本合同项下所产生的所有业务或技术创造成果（包括著作权、专利申请权、商标权、所有权或使用授权、专有技术、技术秘密以及技术资料等的知识产权）的所有权利均归甲方所有（但项目实施前乙方自有的原型系统、技术模块、开发工具软件包版权仍属乙方，甲方及其所属各级机构均享有永久免费使用权，使用时间、使用地点和使用用户数不受乙方限制），未经甲方书面许可，乙方不得以任何形式在其他项目中使用或享有或向第三方透露。</w:t>
      </w:r>
    </w:p>
    <w:p w14:paraId="2C098B10">
      <w:pPr>
        <w:ind w:firstLine="440"/>
        <w:rPr>
          <w:rFonts w:cs="宋体"/>
          <w:sz w:val="22"/>
          <w:szCs w:val="22"/>
        </w:rPr>
      </w:pPr>
      <w:r>
        <w:rPr>
          <w:rFonts w:cs="宋体"/>
          <w:sz w:val="22"/>
          <w:szCs w:val="22"/>
        </w:rPr>
        <w:t xml:space="preserve">6.2 </w:t>
      </w:r>
      <w:r>
        <w:rPr>
          <w:rFonts w:hint="eastAsia" w:cs="宋体"/>
          <w:sz w:val="22"/>
          <w:szCs w:val="22"/>
        </w:rPr>
        <w:t>甲乙双方在本合同项下服务完成的所有工作成果（包括文档、测试案例、测试脚本等）都是版权的组成部分，乙方应以电子文档和纸介质文档的形式完成保存，乙方按时将完整的工作成果提交给甲方，否则甲方可拒绝付款。</w:t>
      </w:r>
    </w:p>
    <w:p w14:paraId="615C3A3A">
      <w:pPr>
        <w:ind w:firstLine="440"/>
        <w:rPr>
          <w:rFonts w:cs="宋体"/>
          <w:sz w:val="22"/>
          <w:szCs w:val="22"/>
        </w:rPr>
      </w:pPr>
      <w:r>
        <w:rPr>
          <w:rFonts w:cs="宋体"/>
          <w:sz w:val="22"/>
          <w:szCs w:val="22"/>
        </w:rPr>
        <w:t xml:space="preserve">6.3 </w:t>
      </w:r>
      <w:r>
        <w:rPr>
          <w:rFonts w:hint="eastAsia" w:cs="宋体"/>
          <w:sz w:val="22"/>
          <w:szCs w:val="22"/>
        </w:rPr>
        <w:t>乙方保证本合同项下服务所使用</w:t>
      </w:r>
      <w:r>
        <w:rPr>
          <w:rFonts w:hint="eastAsia"/>
          <w:snapToGrid w:val="0"/>
          <w:sz w:val="22"/>
          <w:szCs w:val="24"/>
        </w:rPr>
        <w:t>或</w:t>
      </w:r>
      <w:r>
        <w:rPr>
          <w:snapToGrid w:val="0"/>
          <w:sz w:val="22"/>
          <w:szCs w:val="24"/>
        </w:rPr>
        <w:t>开发</w:t>
      </w:r>
      <w:r>
        <w:rPr>
          <w:rFonts w:hint="eastAsia" w:cs="宋体"/>
          <w:sz w:val="22"/>
          <w:szCs w:val="22"/>
        </w:rPr>
        <w:t>的一切软件、工具、知识、成果等没有侵犯任何第三人的知识产权、所有权或使用权，否则由此引发的一切责任由乙方承担。</w:t>
      </w:r>
    </w:p>
    <w:p w14:paraId="14AE9316">
      <w:pPr>
        <w:ind w:firstLine="442"/>
        <w:rPr>
          <w:b/>
          <w:snapToGrid w:val="0"/>
          <w:sz w:val="22"/>
          <w:szCs w:val="22"/>
        </w:rPr>
      </w:pPr>
      <w:r>
        <w:rPr>
          <w:rFonts w:hint="eastAsia"/>
          <w:b/>
          <w:snapToGrid w:val="0"/>
          <w:sz w:val="22"/>
          <w:szCs w:val="22"/>
        </w:rPr>
        <w:t>第七章 保密</w:t>
      </w:r>
      <w:r>
        <w:rPr>
          <w:b/>
          <w:snapToGrid w:val="0"/>
          <w:sz w:val="22"/>
          <w:szCs w:val="22"/>
        </w:rPr>
        <w:t>条款</w:t>
      </w:r>
    </w:p>
    <w:p w14:paraId="32F25F95">
      <w:pPr>
        <w:ind w:firstLine="440"/>
        <w:rPr>
          <w:rFonts w:cs="宋体"/>
          <w:sz w:val="22"/>
          <w:szCs w:val="22"/>
        </w:rPr>
      </w:pPr>
      <w:r>
        <w:rPr>
          <w:rFonts w:cs="宋体"/>
          <w:sz w:val="22"/>
          <w:szCs w:val="22"/>
        </w:rPr>
        <w:t>7.1 本合同项下的所有条款。乙方外包服务人员入场前须与甲方签订相应诚信安全</w:t>
      </w:r>
      <w:r>
        <w:rPr>
          <w:rFonts w:hint="eastAsia" w:cs="宋体"/>
          <w:sz w:val="22"/>
          <w:szCs w:val="22"/>
        </w:rPr>
        <w:t>承诺书</w:t>
      </w:r>
      <w:r>
        <w:rPr>
          <w:rFonts w:cs="宋体"/>
          <w:sz w:val="22"/>
          <w:szCs w:val="22"/>
        </w:rPr>
        <w:t>。乙方有义务约束其外包服务人员遵守本合同项下的保密约定，且此类保密义务不因乙方外包人员离职、退休等而减损。</w:t>
      </w:r>
    </w:p>
    <w:p w14:paraId="0B5DC3D3">
      <w:pPr>
        <w:ind w:firstLine="440"/>
        <w:rPr>
          <w:rFonts w:cs="宋体"/>
          <w:sz w:val="22"/>
          <w:szCs w:val="22"/>
        </w:rPr>
      </w:pPr>
      <w:r>
        <w:rPr>
          <w:rFonts w:hint="eastAsia" w:cs="宋体"/>
          <w:sz w:val="22"/>
          <w:szCs w:val="22"/>
        </w:rPr>
        <w:t>7.2乙方应对本合同所述的客户信息、技术资料、业务流程、数据等</w:t>
      </w:r>
      <w:r>
        <w:rPr>
          <w:rFonts w:cs="宋体"/>
          <w:sz w:val="22"/>
          <w:szCs w:val="22"/>
        </w:rPr>
        <w:t>重要</w:t>
      </w:r>
      <w:r>
        <w:rPr>
          <w:rFonts w:hint="eastAsia" w:cs="宋体"/>
          <w:sz w:val="22"/>
          <w:szCs w:val="22"/>
        </w:rPr>
        <w:t>信息采取保密措施，未经甲方的书面同意，乙方不得在合同允许范围外使用、披露、向无关人员或第三方透露，也不能就有关合同内容的任何部分进行新闻的发布、公开的宣称、否认或承认。</w:t>
      </w:r>
    </w:p>
    <w:p w14:paraId="3240C21C">
      <w:pPr>
        <w:ind w:firstLine="440"/>
        <w:rPr>
          <w:rFonts w:cs="宋体"/>
          <w:sz w:val="22"/>
          <w:szCs w:val="22"/>
        </w:rPr>
      </w:pPr>
      <w:r>
        <w:rPr>
          <w:rFonts w:hint="eastAsia" w:cs="宋体"/>
          <w:sz w:val="22"/>
          <w:szCs w:val="22"/>
        </w:rPr>
        <w:t>7.3乙方不得以甲方名义开展活动，不得将甲方数据、信息以任何形式转移、挪用或谋取合同约定以外的利益。</w:t>
      </w:r>
    </w:p>
    <w:p w14:paraId="0AA4F87F">
      <w:pPr>
        <w:ind w:firstLine="440"/>
        <w:rPr>
          <w:rFonts w:cs="宋体"/>
          <w:sz w:val="22"/>
          <w:szCs w:val="22"/>
        </w:rPr>
      </w:pPr>
      <w:r>
        <w:rPr>
          <w:rFonts w:cs="宋体"/>
          <w:sz w:val="22"/>
          <w:szCs w:val="22"/>
        </w:rPr>
        <w:t>7.4 乙方知道违反本条规定将给甲方客户权利以及甲方造成难以弥补的损失，为此同意承担由此产生的经济上和法律上的责任。</w:t>
      </w:r>
    </w:p>
    <w:p w14:paraId="330BA540">
      <w:pPr>
        <w:ind w:firstLine="440"/>
        <w:rPr>
          <w:rFonts w:cs="宋体"/>
          <w:sz w:val="22"/>
          <w:szCs w:val="22"/>
        </w:rPr>
      </w:pPr>
      <w:r>
        <w:rPr>
          <w:rFonts w:cs="宋体"/>
          <w:sz w:val="22"/>
          <w:szCs w:val="22"/>
        </w:rPr>
        <w:t>7.5 乙方承认本合同中的技术资料和技术秘密为甲方所专有，将其对乙方进行披露并不意味着任何所有权、专利权的转让</w:t>
      </w:r>
      <w:r>
        <w:rPr>
          <w:rFonts w:hint="eastAsia"/>
          <w:snapToGrid w:val="0"/>
          <w:sz w:val="22"/>
          <w:szCs w:val="24"/>
        </w:rPr>
        <w:t>，未经甲方书面许可，乙方不得出于除履行本合同项下义务外的其他目的使用前述技术资料和技术秘密</w:t>
      </w:r>
      <w:r>
        <w:rPr>
          <w:rFonts w:cs="宋体"/>
          <w:sz w:val="22"/>
          <w:szCs w:val="22"/>
        </w:rPr>
        <w:t>。</w:t>
      </w:r>
    </w:p>
    <w:p w14:paraId="5C978B3B">
      <w:pPr>
        <w:ind w:firstLine="440"/>
        <w:rPr>
          <w:rFonts w:cs="宋体"/>
          <w:sz w:val="22"/>
          <w:szCs w:val="22"/>
        </w:rPr>
      </w:pPr>
      <w:r>
        <w:rPr>
          <w:rFonts w:cs="宋体"/>
          <w:sz w:val="22"/>
          <w:szCs w:val="22"/>
        </w:rPr>
        <w:t>7.6 在本合同服务项目的研究开发结束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72D894B7">
      <w:pPr>
        <w:ind w:firstLine="440"/>
        <w:rPr>
          <w:rFonts w:cs="宋体"/>
          <w:sz w:val="22"/>
          <w:szCs w:val="22"/>
        </w:rPr>
      </w:pPr>
      <w:r>
        <w:rPr>
          <w:rFonts w:cs="宋体"/>
          <w:sz w:val="22"/>
          <w:szCs w:val="22"/>
        </w:rPr>
        <w:t>7.7 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11651FB9">
      <w:pPr>
        <w:ind w:firstLine="440"/>
        <w:rPr>
          <w:rFonts w:cs="宋体"/>
          <w:sz w:val="22"/>
          <w:szCs w:val="22"/>
        </w:rPr>
      </w:pPr>
      <w:r>
        <w:rPr>
          <w:rFonts w:cs="宋体"/>
          <w:sz w:val="22"/>
          <w:szCs w:val="22"/>
        </w:rPr>
        <w:t>7.8 除非甲方特别声明，乙方对于保密信息的保密义务为无限期保密，直至甲方宣布解密或者保密信息实际上已经公开。</w:t>
      </w:r>
    </w:p>
    <w:p w14:paraId="08248356">
      <w:pPr>
        <w:ind w:firstLine="442"/>
        <w:rPr>
          <w:b/>
          <w:sz w:val="22"/>
          <w:szCs w:val="22"/>
        </w:rPr>
      </w:pPr>
      <w:r>
        <w:rPr>
          <w:rFonts w:hint="eastAsia"/>
          <w:b/>
          <w:snapToGrid w:val="0"/>
          <w:sz w:val="22"/>
          <w:szCs w:val="22"/>
        </w:rPr>
        <w:t xml:space="preserve">第八章 </w:t>
      </w:r>
      <w:r>
        <w:rPr>
          <w:rFonts w:cs="宋体"/>
          <w:b/>
          <w:sz w:val="22"/>
          <w:szCs w:val="22"/>
        </w:rPr>
        <w:t>违约责任</w:t>
      </w:r>
    </w:p>
    <w:p w14:paraId="0CBE0287">
      <w:pPr>
        <w:ind w:firstLine="440"/>
        <w:rPr>
          <w:rFonts w:cs="宋体"/>
          <w:sz w:val="22"/>
          <w:szCs w:val="22"/>
        </w:rPr>
      </w:pPr>
      <w:r>
        <w:rPr>
          <w:rFonts w:cs="宋体"/>
          <w:sz w:val="22"/>
          <w:szCs w:val="22"/>
        </w:rPr>
        <w:t>8.1 任何一方违反或擅自变更本合同的约定，应当承担由此给对方造成的经济损失和相关责任。</w:t>
      </w:r>
    </w:p>
    <w:p w14:paraId="32EABDE8">
      <w:pPr>
        <w:ind w:firstLine="440"/>
        <w:rPr>
          <w:rFonts w:cs="宋体"/>
          <w:sz w:val="22"/>
          <w:szCs w:val="22"/>
        </w:rPr>
      </w:pPr>
      <w:r>
        <w:rPr>
          <w:rFonts w:cs="宋体"/>
          <w:sz w:val="22"/>
          <w:szCs w:val="22"/>
        </w:rPr>
        <w:t>8.2因甲方原因不能按合同规定的时间及时支付外包费，从逾期第31日起，甲方每日按0.5‰的比例向乙方支付拖欠部分的违约金，因乙方原因引起的除外。</w:t>
      </w:r>
    </w:p>
    <w:p w14:paraId="16B5FA21">
      <w:pPr>
        <w:ind w:firstLine="440"/>
        <w:rPr>
          <w:rFonts w:cs="宋体"/>
          <w:sz w:val="22"/>
          <w:szCs w:val="22"/>
        </w:rPr>
      </w:pPr>
      <w:r>
        <w:rPr>
          <w:rFonts w:cs="宋体"/>
          <w:sz w:val="22"/>
          <w:szCs w:val="22"/>
        </w:rPr>
        <w:t>8.3 乙方无正当理由，未按时支付派出外包服务人员的工资及办理各种社会保险等福利的，逾期</w:t>
      </w:r>
      <w:r>
        <w:rPr>
          <w:rFonts w:cs="宋体"/>
          <w:sz w:val="22"/>
          <w:szCs w:val="22"/>
          <w:u w:val="single"/>
        </w:rPr>
        <w:t>30</w:t>
      </w:r>
      <w:r>
        <w:rPr>
          <w:rFonts w:cs="宋体"/>
          <w:sz w:val="22"/>
          <w:szCs w:val="22"/>
        </w:rPr>
        <w:t>日以上的，甲方可终止本合同的履行，并不再支付任何费用</w:t>
      </w:r>
      <w:r>
        <w:rPr>
          <w:rFonts w:hint="eastAsia" w:cs="宋体"/>
          <w:sz w:val="22"/>
          <w:szCs w:val="22"/>
        </w:rPr>
        <w:t>，</w:t>
      </w:r>
      <w:r>
        <w:rPr>
          <w:rFonts w:cs="宋体"/>
          <w:sz w:val="22"/>
          <w:szCs w:val="22"/>
        </w:rPr>
        <w:t>由此造成的损失和一切法律责任，由乙方自行承担</w:t>
      </w:r>
      <w:r>
        <w:rPr>
          <w:rFonts w:hint="eastAsia" w:cs="宋体"/>
          <w:sz w:val="22"/>
          <w:szCs w:val="22"/>
        </w:rPr>
        <w:t>；因此耽误甲方正常工作或造成其他甲方损失的，乙方应当向甲方承担赔偿责任</w:t>
      </w:r>
      <w:r>
        <w:rPr>
          <w:rFonts w:cs="宋体"/>
          <w:sz w:val="22"/>
          <w:szCs w:val="22"/>
        </w:rPr>
        <w:t>。</w:t>
      </w:r>
    </w:p>
    <w:p w14:paraId="4E030E2A">
      <w:pPr>
        <w:ind w:firstLine="440"/>
        <w:rPr>
          <w:sz w:val="20"/>
          <w:szCs w:val="18"/>
        </w:rPr>
      </w:pPr>
      <w:r>
        <w:rPr>
          <w:rFonts w:cs="宋体"/>
          <w:sz w:val="22"/>
          <w:szCs w:val="22"/>
        </w:rPr>
        <w:t>8.4</w:t>
      </w:r>
      <w:r>
        <w:rPr>
          <w:rFonts w:hint="eastAsia" w:cs="宋体"/>
          <w:sz w:val="22"/>
          <w:szCs w:val="22"/>
        </w:rPr>
        <w:t>乙方应配备经甲方认可的、具备专业胜任能力的外包服务人员为甲方提供软件开发和测试服务。乙方须确认人员简历的真实性。乙方新增人员入场时，由乙方提前</w:t>
      </w:r>
      <w:r>
        <w:rPr>
          <w:rFonts w:cs="宋体"/>
          <w:sz w:val="22"/>
          <w:szCs w:val="22"/>
        </w:rPr>
        <w:t>5个工作日向甲方提交书面材料，由甲方进行审核，审核不通过的，不安排入场。对于资质经审查不满足甲方基本要求的，乙方</w:t>
      </w:r>
      <w:r>
        <w:rPr>
          <w:rFonts w:hint="eastAsia" w:cs="宋体"/>
          <w:sz w:val="22"/>
          <w:szCs w:val="22"/>
        </w:rPr>
        <w:t>应在甲方规定期限内</w:t>
      </w:r>
      <w:r>
        <w:rPr>
          <w:rFonts w:cs="宋体"/>
          <w:sz w:val="22"/>
          <w:szCs w:val="22"/>
        </w:rPr>
        <w:t>对相关人员进行主动更换以满足甲方的要求。</w:t>
      </w:r>
      <w:r>
        <w:rPr>
          <w:rFonts w:hint="eastAsia" w:cs="宋体"/>
          <w:sz w:val="22"/>
          <w:szCs w:val="22"/>
        </w:rPr>
        <w:t>否则，甲方有权随时解除或终止本合同，并不再支付任何费用，且乙方应赔偿给甲方造成的损失。</w:t>
      </w:r>
    </w:p>
    <w:p w14:paraId="51D528ED">
      <w:pPr>
        <w:ind w:firstLine="440"/>
        <w:rPr>
          <w:rFonts w:cs="宋体"/>
          <w:sz w:val="22"/>
          <w:szCs w:val="22"/>
        </w:rPr>
      </w:pPr>
      <w:r>
        <w:rPr>
          <w:sz w:val="22"/>
          <w:szCs w:val="22"/>
        </w:rPr>
        <w:t xml:space="preserve">8.5 </w:t>
      </w:r>
      <w:r>
        <w:rPr>
          <w:rFonts w:hint="eastAsia" w:cs="宋体"/>
          <w:sz w:val="22"/>
          <w:szCs w:val="22"/>
        </w:rPr>
        <w:t>在服务期限内，若乙方工作人员不符合甲方工作要求或工作岗位所需要的技能素质和体能素质的，乙方应在甲方规定期限内予以更换符合要求的人员。否则，甲方有权随时解除或</w:t>
      </w:r>
      <w:r>
        <w:rPr>
          <w:rFonts w:cs="宋体"/>
          <w:sz w:val="22"/>
          <w:szCs w:val="22"/>
        </w:rPr>
        <w:t>终止</w:t>
      </w:r>
      <w:r>
        <w:rPr>
          <w:rFonts w:hint="eastAsia" w:cs="宋体"/>
          <w:sz w:val="22"/>
          <w:szCs w:val="22"/>
        </w:rPr>
        <w:t>本合同，并不再支付任何费用，且乙方应赔偿给甲方造成的损失。</w:t>
      </w:r>
    </w:p>
    <w:p w14:paraId="20D47B15">
      <w:pPr>
        <w:ind w:left="105" w:leftChars="50" w:firstLine="330" w:firstLineChars="150"/>
        <w:rPr>
          <w:rFonts w:cs="宋体"/>
          <w:sz w:val="22"/>
          <w:szCs w:val="22"/>
        </w:rPr>
      </w:pPr>
      <w:r>
        <w:rPr>
          <w:rFonts w:hint="eastAsia" w:cs="宋体"/>
          <w:sz w:val="22"/>
          <w:szCs w:val="22"/>
        </w:rPr>
        <w:t>8.6</w:t>
      </w:r>
      <w:r>
        <w:rPr>
          <w:rFonts w:cs="宋体"/>
          <w:sz w:val="22"/>
          <w:szCs w:val="22"/>
        </w:rPr>
        <w:t>除另有约定，</w:t>
      </w:r>
      <w:r>
        <w:rPr>
          <w:rFonts w:hint="eastAsia"/>
          <w:snapToGrid w:val="0"/>
          <w:sz w:val="22"/>
          <w:szCs w:val="24"/>
        </w:rPr>
        <w:t>乙方</w:t>
      </w:r>
      <w:r>
        <w:rPr>
          <w:snapToGrid w:val="0"/>
          <w:sz w:val="22"/>
          <w:szCs w:val="24"/>
        </w:rPr>
        <w:t>或</w:t>
      </w:r>
      <w:r>
        <w:rPr>
          <w:rFonts w:hint="eastAsia"/>
          <w:snapToGrid w:val="0"/>
          <w:sz w:val="22"/>
          <w:szCs w:val="24"/>
        </w:rPr>
        <w:t>/及</w:t>
      </w:r>
      <w:r>
        <w:rPr>
          <w:snapToGrid w:val="0"/>
          <w:sz w:val="22"/>
          <w:szCs w:val="24"/>
        </w:rPr>
        <w:t>其人员违反本合同</w:t>
      </w:r>
      <w:r>
        <w:rPr>
          <w:rFonts w:hint="eastAsia"/>
          <w:snapToGrid w:val="0"/>
          <w:sz w:val="22"/>
          <w:szCs w:val="24"/>
        </w:rPr>
        <w:t>及附件</w:t>
      </w:r>
      <w:r>
        <w:rPr>
          <w:snapToGrid w:val="0"/>
          <w:sz w:val="22"/>
          <w:szCs w:val="24"/>
        </w:rPr>
        <w:t>任一一条约定的，</w:t>
      </w:r>
      <w:r>
        <w:rPr>
          <w:rFonts w:hint="eastAsia"/>
          <w:snapToGrid w:val="0"/>
          <w:sz w:val="22"/>
          <w:szCs w:val="24"/>
        </w:rPr>
        <w:t>每</w:t>
      </w:r>
      <w:r>
        <w:rPr>
          <w:snapToGrid w:val="0"/>
          <w:sz w:val="22"/>
          <w:szCs w:val="24"/>
        </w:rPr>
        <w:t>违反一</w:t>
      </w:r>
      <w:r>
        <w:rPr>
          <w:rFonts w:hint="eastAsia"/>
          <w:snapToGrid w:val="0"/>
          <w:sz w:val="22"/>
          <w:szCs w:val="24"/>
        </w:rPr>
        <w:t>次乙方应</w:t>
      </w:r>
      <w:r>
        <w:rPr>
          <w:snapToGrid w:val="0"/>
          <w:sz w:val="22"/>
          <w:szCs w:val="24"/>
        </w:rPr>
        <w:t>向甲方支付</w:t>
      </w:r>
      <w:r>
        <w:rPr>
          <w:rFonts w:hint="eastAsia"/>
          <w:snapToGrid w:val="0"/>
          <w:sz w:val="22"/>
          <w:szCs w:val="24"/>
        </w:rPr>
        <w:t>【20,000】元</w:t>
      </w:r>
      <w:r>
        <w:rPr>
          <w:snapToGrid w:val="0"/>
          <w:sz w:val="22"/>
          <w:szCs w:val="24"/>
        </w:rPr>
        <w:t>的违约金，并赔偿甲方损失</w:t>
      </w:r>
      <w:r>
        <w:rPr>
          <w:rFonts w:cs="宋体"/>
          <w:sz w:val="22"/>
          <w:szCs w:val="22"/>
        </w:rPr>
        <w:t>，甲方有权从任一应支付给乙方的款项</w:t>
      </w:r>
      <w:r>
        <w:rPr>
          <w:rFonts w:hint="eastAsia" w:cs="宋体"/>
          <w:sz w:val="22"/>
          <w:szCs w:val="22"/>
        </w:rPr>
        <w:t>中</w:t>
      </w:r>
      <w:r>
        <w:rPr>
          <w:rFonts w:cs="宋体"/>
          <w:sz w:val="22"/>
          <w:szCs w:val="22"/>
        </w:rPr>
        <w:t>优先扣除违约金、赔偿金，不足部分由乙方另行筹措资金</w:t>
      </w:r>
      <w:r>
        <w:rPr>
          <w:rFonts w:hint="eastAsia" w:cs="宋体"/>
          <w:sz w:val="22"/>
          <w:szCs w:val="22"/>
        </w:rPr>
        <w:t>补足</w:t>
      </w:r>
      <w:r>
        <w:rPr>
          <w:rFonts w:cs="宋体"/>
          <w:sz w:val="22"/>
          <w:szCs w:val="22"/>
        </w:rPr>
        <w:t>。</w:t>
      </w:r>
    </w:p>
    <w:p w14:paraId="0FD46109">
      <w:pPr>
        <w:ind w:firstLine="442"/>
        <w:rPr>
          <w:rFonts w:cs="宋体"/>
          <w:b/>
          <w:sz w:val="22"/>
          <w:szCs w:val="22"/>
        </w:rPr>
      </w:pPr>
      <w:r>
        <w:rPr>
          <w:rFonts w:hint="eastAsia" w:cs="宋体"/>
          <w:b/>
          <w:sz w:val="22"/>
          <w:szCs w:val="22"/>
        </w:rPr>
        <w:t>第九章 不可</w:t>
      </w:r>
      <w:r>
        <w:rPr>
          <w:rFonts w:cs="宋体"/>
          <w:b/>
          <w:sz w:val="22"/>
          <w:szCs w:val="22"/>
        </w:rPr>
        <w:t>抗力</w:t>
      </w:r>
    </w:p>
    <w:p w14:paraId="0BB0BF1D">
      <w:pPr>
        <w:ind w:firstLine="440"/>
        <w:rPr>
          <w:rFonts w:cs="宋体"/>
          <w:sz w:val="22"/>
          <w:szCs w:val="22"/>
        </w:rPr>
      </w:pPr>
      <w:r>
        <w:rPr>
          <w:rFonts w:cs="宋体"/>
          <w:sz w:val="22"/>
          <w:szCs w:val="22"/>
        </w:rPr>
        <w:t>9.1不可抗力是指本合同生效后，发生不能预见并且对其发生和后果不能防止或避免的事件，如地震、台风、水灾、火灾、战争</w:t>
      </w:r>
      <w:r>
        <w:rPr>
          <w:rFonts w:hint="eastAsia" w:cs="宋体"/>
          <w:sz w:val="22"/>
          <w:szCs w:val="22"/>
        </w:rPr>
        <w:t>、传染病</w:t>
      </w:r>
      <w:r>
        <w:rPr>
          <w:rFonts w:cs="宋体"/>
          <w:sz w:val="22"/>
          <w:szCs w:val="22"/>
        </w:rPr>
        <w:t>等，致使直接影响本合同的履行或不能按约定的条件履行。</w:t>
      </w:r>
    </w:p>
    <w:p w14:paraId="1481AF7A">
      <w:pPr>
        <w:ind w:firstLine="440"/>
        <w:rPr>
          <w:rFonts w:cs="宋体"/>
          <w:sz w:val="22"/>
          <w:szCs w:val="22"/>
        </w:rPr>
      </w:pPr>
      <w:r>
        <w:rPr>
          <w:rFonts w:cs="宋体"/>
          <w:sz w:val="22"/>
          <w:szCs w:val="22"/>
        </w:rPr>
        <w:t>9.2发生不可抗力的一方应立即通知对方，并在十五天内提供不可抗力的详情及将有关证明文件送交对方。</w:t>
      </w:r>
    </w:p>
    <w:p w14:paraId="209A9FA4">
      <w:pPr>
        <w:ind w:firstLine="440"/>
        <w:rPr>
          <w:rFonts w:cs="宋体"/>
          <w:sz w:val="22"/>
          <w:szCs w:val="22"/>
        </w:rPr>
      </w:pPr>
      <w:r>
        <w:rPr>
          <w:rFonts w:cs="宋体"/>
          <w:sz w:val="22"/>
          <w:szCs w:val="22"/>
        </w:rPr>
        <w:t>9.3发生不可抗力事件时，甲乙双方应协商以寻找一个合理的解决方法，并尽一切努力减轻不可抗力产生的后果。</w:t>
      </w:r>
    </w:p>
    <w:p w14:paraId="7429BC51">
      <w:pPr>
        <w:ind w:firstLine="440"/>
        <w:rPr>
          <w:rFonts w:cs="宋体"/>
          <w:sz w:val="22"/>
          <w:szCs w:val="22"/>
        </w:rPr>
      </w:pPr>
      <w:r>
        <w:rPr>
          <w:rFonts w:cs="宋体"/>
          <w:sz w:val="22"/>
          <w:szCs w:val="22"/>
        </w:rPr>
        <w:t>9.4如不可抗力事件持续三十天时，甲乙双方应友好协商解决本合同是否继续履行或终止的问题。</w:t>
      </w:r>
    </w:p>
    <w:p w14:paraId="21EE497C">
      <w:pPr>
        <w:ind w:firstLine="442"/>
        <w:rPr>
          <w:rFonts w:cs="宋体"/>
          <w:b/>
          <w:sz w:val="22"/>
          <w:szCs w:val="22"/>
        </w:rPr>
      </w:pPr>
      <w:r>
        <w:rPr>
          <w:rFonts w:hint="eastAsia" w:cs="宋体"/>
          <w:b/>
          <w:sz w:val="22"/>
          <w:szCs w:val="22"/>
        </w:rPr>
        <w:t xml:space="preserve">第十章 </w:t>
      </w:r>
      <w:r>
        <w:rPr>
          <w:rFonts w:cs="宋体"/>
          <w:b/>
          <w:sz w:val="22"/>
          <w:szCs w:val="22"/>
        </w:rPr>
        <w:t>合同变更和终止</w:t>
      </w:r>
      <w:r>
        <w:rPr>
          <w:rFonts w:hint="eastAsia" w:cs="宋体"/>
          <w:b/>
          <w:sz w:val="22"/>
          <w:szCs w:val="22"/>
        </w:rPr>
        <w:t>、</w:t>
      </w:r>
      <w:r>
        <w:rPr>
          <w:rFonts w:cs="宋体"/>
          <w:b/>
          <w:sz w:val="22"/>
          <w:szCs w:val="22"/>
        </w:rPr>
        <w:t>解除</w:t>
      </w:r>
    </w:p>
    <w:p w14:paraId="569A928F">
      <w:pPr>
        <w:ind w:firstLine="440"/>
        <w:rPr>
          <w:rFonts w:cs="宋体"/>
          <w:b/>
          <w:sz w:val="22"/>
          <w:szCs w:val="22"/>
        </w:rPr>
      </w:pPr>
      <w:r>
        <w:rPr>
          <w:rFonts w:cs="宋体"/>
          <w:sz w:val="22"/>
          <w:szCs w:val="22"/>
        </w:rPr>
        <w:t>10.1 甲、乙双方有一方有正当理由要求变更本合同，须提前一个月以书面形式通知对方并协商解决，协商一致后，双方应签署变更合同。</w:t>
      </w:r>
    </w:p>
    <w:p w14:paraId="74C11E71">
      <w:pPr>
        <w:ind w:firstLine="440"/>
        <w:rPr>
          <w:rFonts w:cs="宋体"/>
          <w:sz w:val="22"/>
          <w:szCs w:val="22"/>
        </w:rPr>
      </w:pPr>
      <w:r>
        <w:rPr>
          <w:rFonts w:cs="宋体"/>
          <w:sz w:val="22"/>
          <w:szCs w:val="22"/>
        </w:rPr>
        <w:t>10.2 本合同期满双方不再续约或者因一方违约导致本合同无法履行，则本合同终止。</w:t>
      </w:r>
    </w:p>
    <w:p w14:paraId="798E699D">
      <w:pPr>
        <w:ind w:firstLine="440"/>
        <w:rPr>
          <w:rFonts w:cs="宋体"/>
          <w:sz w:val="22"/>
          <w:szCs w:val="22"/>
        </w:rPr>
      </w:pPr>
      <w:r>
        <w:rPr>
          <w:rFonts w:cs="宋体"/>
          <w:sz w:val="22"/>
          <w:szCs w:val="22"/>
        </w:rPr>
        <w:t>10.3 如果满足以下条件，任一方在通知对方后，都可以解除本合同。</w:t>
      </w:r>
    </w:p>
    <w:p w14:paraId="48C54B7A">
      <w:pPr>
        <w:ind w:firstLine="440"/>
        <w:rPr>
          <w:rFonts w:cs="宋体"/>
          <w:sz w:val="22"/>
          <w:szCs w:val="22"/>
        </w:rPr>
      </w:pPr>
      <w:r>
        <w:rPr>
          <w:rFonts w:cs="宋体"/>
          <w:sz w:val="22"/>
          <w:szCs w:val="22"/>
        </w:rPr>
        <w:t>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1B4BCB60">
      <w:pPr>
        <w:ind w:firstLine="440"/>
        <w:rPr>
          <w:rFonts w:cs="宋体"/>
          <w:sz w:val="22"/>
          <w:szCs w:val="22"/>
        </w:rPr>
      </w:pPr>
      <w:r>
        <w:rPr>
          <w:rFonts w:cs="宋体"/>
          <w:sz w:val="22"/>
          <w:szCs w:val="22"/>
        </w:rPr>
        <w:t>10.4 如果发生以下情况，可以视为合同解除或终止，有关责任方承担相应的责任：</w:t>
      </w:r>
    </w:p>
    <w:p w14:paraId="088DA4F2">
      <w:pPr>
        <w:ind w:firstLine="440"/>
        <w:rPr>
          <w:rFonts w:cs="宋体"/>
          <w:sz w:val="22"/>
          <w:szCs w:val="22"/>
        </w:rPr>
      </w:pPr>
      <w:r>
        <w:rPr>
          <w:rFonts w:hint="eastAsia" w:cs="宋体"/>
          <w:sz w:val="22"/>
          <w:szCs w:val="22"/>
        </w:rPr>
        <w:t>（1）</w:t>
      </w:r>
      <w:r>
        <w:rPr>
          <w:rFonts w:cs="宋体"/>
          <w:sz w:val="22"/>
          <w:szCs w:val="22"/>
        </w:rPr>
        <w:t>一方进入解散或清算阶段；</w:t>
      </w:r>
    </w:p>
    <w:p w14:paraId="7E901735">
      <w:pPr>
        <w:ind w:firstLine="440"/>
        <w:rPr>
          <w:rFonts w:cs="宋体"/>
          <w:sz w:val="22"/>
          <w:szCs w:val="22"/>
        </w:rPr>
      </w:pPr>
      <w:r>
        <w:rPr>
          <w:rFonts w:hint="eastAsia" w:cs="宋体"/>
          <w:sz w:val="22"/>
          <w:szCs w:val="22"/>
        </w:rPr>
        <w:t>（2）</w:t>
      </w:r>
      <w:r>
        <w:rPr>
          <w:rFonts w:cs="宋体"/>
          <w:sz w:val="22"/>
          <w:szCs w:val="22"/>
        </w:rPr>
        <w:t>一方被判为破产或其它原因致使资不抵债；</w:t>
      </w:r>
    </w:p>
    <w:p w14:paraId="2E9A6FFE">
      <w:pPr>
        <w:ind w:firstLine="440"/>
        <w:rPr>
          <w:rFonts w:cs="宋体"/>
          <w:sz w:val="22"/>
          <w:szCs w:val="22"/>
        </w:rPr>
      </w:pPr>
      <w:r>
        <w:rPr>
          <w:rFonts w:hint="eastAsia" w:cs="宋体"/>
          <w:sz w:val="22"/>
          <w:szCs w:val="22"/>
        </w:rPr>
        <w:t>（3）</w:t>
      </w:r>
      <w:r>
        <w:rPr>
          <w:rFonts w:cs="宋体"/>
          <w:sz w:val="22"/>
          <w:szCs w:val="22"/>
        </w:rPr>
        <w:t>本合同已有效、适当、全面得到履行；</w:t>
      </w:r>
    </w:p>
    <w:p w14:paraId="7C6F2B9E">
      <w:pPr>
        <w:ind w:firstLine="440"/>
        <w:rPr>
          <w:rFonts w:cs="宋体"/>
          <w:sz w:val="22"/>
          <w:szCs w:val="22"/>
        </w:rPr>
      </w:pPr>
      <w:r>
        <w:rPr>
          <w:rFonts w:hint="eastAsia" w:cs="宋体"/>
          <w:sz w:val="22"/>
          <w:szCs w:val="22"/>
        </w:rPr>
        <w:t>（4）</w:t>
      </w:r>
      <w:r>
        <w:rPr>
          <w:rFonts w:cs="宋体"/>
          <w:sz w:val="22"/>
          <w:szCs w:val="22"/>
        </w:rPr>
        <w:t>双方共同同意以书面文件提前解除</w:t>
      </w:r>
      <w:r>
        <w:rPr>
          <w:rFonts w:hint="eastAsia" w:cs="宋体"/>
          <w:sz w:val="22"/>
          <w:szCs w:val="22"/>
        </w:rPr>
        <w:t>或</w:t>
      </w:r>
      <w:r>
        <w:rPr>
          <w:rFonts w:cs="宋体"/>
          <w:sz w:val="22"/>
          <w:szCs w:val="22"/>
        </w:rPr>
        <w:t>终止协议。</w:t>
      </w:r>
    </w:p>
    <w:p w14:paraId="4068E058">
      <w:pPr>
        <w:ind w:firstLine="440"/>
        <w:rPr>
          <w:rFonts w:cs="宋体"/>
          <w:b/>
          <w:sz w:val="22"/>
          <w:szCs w:val="22"/>
        </w:rPr>
      </w:pPr>
      <w:r>
        <w:rPr>
          <w:rFonts w:cs="宋体"/>
          <w:sz w:val="22"/>
          <w:szCs w:val="22"/>
        </w:rPr>
        <w:t>10.5当本合同以任何原因终止</w:t>
      </w:r>
      <w:r>
        <w:rPr>
          <w:rFonts w:hint="eastAsia" w:cs="宋体"/>
          <w:sz w:val="22"/>
          <w:szCs w:val="22"/>
        </w:rPr>
        <w:t>或解除</w:t>
      </w:r>
      <w:r>
        <w:rPr>
          <w:rFonts w:cs="宋体"/>
          <w:sz w:val="22"/>
          <w:szCs w:val="22"/>
        </w:rPr>
        <w:t>时，乙方应立即停止使用并销毁包含甲方机密信息的所有物件，并证明该销毁情况；或者将这些物件归还对方。</w:t>
      </w:r>
    </w:p>
    <w:p w14:paraId="17F4E8E3">
      <w:pPr>
        <w:ind w:firstLine="442"/>
        <w:rPr>
          <w:rFonts w:cs="宋体"/>
          <w:b/>
          <w:sz w:val="22"/>
          <w:szCs w:val="22"/>
        </w:rPr>
      </w:pPr>
      <w:r>
        <w:rPr>
          <w:rFonts w:hint="eastAsia" w:cs="宋体"/>
          <w:b/>
          <w:sz w:val="22"/>
          <w:szCs w:val="22"/>
        </w:rPr>
        <w:t>第十一章</w:t>
      </w:r>
      <w:r>
        <w:rPr>
          <w:rFonts w:cs="宋体"/>
          <w:b/>
          <w:sz w:val="22"/>
          <w:szCs w:val="22"/>
        </w:rPr>
        <w:t xml:space="preserve"> 争议解决</w:t>
      </w:r>
      <w:r>
        <w:rPr>
          <w:rFonts w:hint="eastAsia" w:cs="宋体"/>
          <w:b/>
          <w:sz w:val="22"/>
          <w:szCs w:val="22"/>
        </w:rPr>
        <w:t>及</w:t>
      </w:r>
      <w:r>
        <w:rPr>
          <w:rFonts w:cs="宋体"/>
          <w:b/>
          <w:sz w:val="22"/>
          <w:szCs w:val="22"/>
        </w:rPr>
        <w:t>通知送达</w:t>
      </w:r>
    </w:p>
    <w:p w14:paraId="0BB5B9FF">
      <w:pPr>
        <w:ind w:firstLine="440"/>
        <w:rPr>
          <w:rFonts w:cs="宋体"/>
          <w:sz w:val="22"/>
          <w:szCs w:val="22"/>
        </w:rPr>
      </w:pPr>
      <w:r>
        <w:rPr>
          <w:rFonts w:cs="宋体"/>
          <w:sz w:val="22"/>
          <w:szCs w:val="22"/>
        </w:rPr>
        <w:t xml:space="preserve">11.1 </w:t>
      </w:r>
      <w:r>
        <w:rPr>
          <w:rFonts w:hint="eastAsia" w:cs="宋体"/>
          <w:sz w:val="22"/>
          <w:szCs w:val="22"/>
        </w:rPr>
        <w:t>因执行本合同发生的一切争议，双方应首先友好协商解决。经协商不能解决，可向本合同首部载明的甲方地址所在地有管辖权</w:t>
      </w:r>
      <w:r>
        <w:rPr>
          <w:rFonts w:cs="宋体"/>
          <w:sz w:val="22"/>
          <w:szCs w:val="22"/>
        </w:rPr>
        <w:t>的</w:t>
      </w:r>
      <w:r>
        <w:rPr>
          <w:rFonts w:hint="eastAsia" w:cs="宋体"/>
          <w:sz w:val="22"/>
          <w:szCs w:val="22"/>
        </w:rPr>
        <w:t>人民法院提起诉讼。在诉讼期间，除</w:t>
      </w:r>
      <w:r>
        <w:rPr>
          <w:rFonts w:cs="宋体"/>
          <w:sz w:val="22"/>
          <w:szCs w:val="22"/>
        </w:rPr>
        <w:t>有争议的</w:t>
      </w:r>
      <w:r>
        <w:rPr>
          <w:rFonts w:hint="eastAsia" w:cs="宋体"/>
          <w:sz w:val="22"/>
          <w:szCs w:val="22"/>
        </w:rPr>
        <w:t>问题外，合同其余部分应继续履行。</w:t>
      </w:r>
    </w:p>
    <w:p w14:paraId="07CDD2BE">
      <w:pPr>
        <w:ind w:firstLine="440"/>
        <w:rPr>
          <w:rFonts w:cs="宋体"/>
          <w:sz w:val="22"/>
          <w:szCs w:val="22"/>
        </w:rPr>
      </w:pPr>
      <w:r>
        <w:rPr>
          <w:rFonts w:hint="eastAsia" w:cs="宋体"/>
          <w:sz w:val="22"/>
          <w:szCs w:val="22"/>
        </w:rPr>
        <w:t>11.2</w:t>
      </w:r>
      <w:r>
        <w:rPr>
          <w:rFonts w:cs="宋体"/>
          <w:sz w:val="22"/>
          <w:szCs w:val="22"/>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所载明的地址和联系方式发送有关文件，均视为送达。</w:t>
      </w:r>
    </w:p>
    <w:p w14:paraId="2503D473">
      <w:pPr>
        <w:ind w:firstLine="440"/>
        <w:rPr>
          <w:rFonts w:cs="宋体"/>
          <w:sz w:val="22"/>
          <w:szCs w:val="22"/>
        </w:rPr>
      </w:pPr>
      <w:r>
        <w:rPr>
          <w:rFonts w:hint="eastAsia" w:cs="宋体"/>
          <w:sz w:val="22"/>
          <w:szCs w:val="22"/>
        </w:rPr>
        <w:t>发生纠纷的，本合同首部所载明的</w:t>
      </w:r>
      <w:r>
        <w:rPr>
          <w:rFonts w:cs="宋体"/>
          <w:sz w:val="22"/>
          <w:szCs w:val="22"/>
        </w:rPr>
        <w:t>地址为司法送达地址，法院、仲裁机构等有权机关依照前述地址邮寄的传票、证据、通知、裁定、判决等诉讼（仲裁）文书及执行阶段法律文书资料，无论是否签收，均视为送达，当事人承担法律责任。</w:t>
      </w:r>
    </w:p>
    <w:p w14:paraId="15537566">
      <w:pPr>
        <w:ind w:firstLine="442"/>
        <w:rPr>
          <w:rFonts w:cs="宋体"/>
          <w:b/>
          <w:sz w:val="22"/>
          <w:szCs w:val="22"/>
        </w:rPr>
      </w:pPr>
      <w:r>
        <w:rPr>
          <w:rFonts w:hint="eastAsia" w:cs="宋体"/>
          <w:b/>
          <w:sz w:val="22"/>
          <w:szCs w:val="22"/>
        </w:rPr>
        <w:t>第十二章</w:t>
      </w:r>
      <w:r>
        <w:rPr>
          <w:rFonts w:cs="宋体"/>
          <w:b/>
          <w:sz w:val="22"/>
          <w:szCs w:val="22"/>
        </w:rPr>
        <w:t xml:space="preserve">  侵权诉讼</w:t>
      </w:r>
    </w:p>
    <w:p w14:paraId="4C48DFAF">
      <w:pPr>
        <w:ind w:firstLine="440"/>
        <w:rPr>
          <w:rFonts w:cs="宋体"/>
          <w:sz w:val="22"/>
          <w:szCs w:val="22"/>
        </w:rPr>
      </w:pPr>
      <w:r>
        <w:rPr>
          <w:rFonts w:cs="宋体"/>
          <w:sz w:val="22"/>
          <w:szCs w:val="22"/>
        </w:rPr>
        <w:t>12.1 如第三方对本合同项下的乙方服务产生的知识产权等提出权利请求的，甲方不涉入任何此等纠纷，由乙方负责解决并承担责任，由此给甲方造成损失的，乙方还应向甲方承担赔偿责任；如甲方被动涉入纠纷，则乙方同意赔偿甲方因任何侵权指控所承担的所有费用，包括上述侵权指控中所产生的一切诉讼费用、仲裁费用、合理的律师费用、人员差旅费、和解金额或终审判决中规定的赔偿金额。</w:t>
      </w:r>
    </w:p>
    <w:p w14:paraId="4CBF732F">
      <w:pPr>
        <w:ind w:firstLine="440"/>
        <w:rPr>
          <w:rFonts w:cs="宋体"/>
          <w:sz w:val="22"/>
          <w:szCs w:val="22"/>
        </w:rPr>
      </w:pPr>
      <w:r>
        <w:rPr>
          <w:rFonts w:cs="宋体"/>
          <w:sz w:val="22"/>
          <w:szCs w:val="22"/>
        </w:rPr>
        <w:t>12.2 如果在侵权指控的审理过程中有关法院或行政机关禁止甲方继续使用本合同项目下相关产品的部分或全部，乙方应酌情采取以下措施之一：</w:t>
      </w:r>
    </w:p>
    <w:p w14:paraId="1EDF7699">
      <w:pPr>
        <w:ind w:firstLine="440"/>
        <w:rPr>
          <w:rFonts w:cs="宋体"/>
          <w:sz w:val="22"/>
          <w:szCs w:val="22"/>
        </w:rPr>
      </w:pPr>
      <w:r>
        <w:rPr>
          <w:rFonts w:hint="eastAsia" w:cs="宋体"/>
          <w:sz w:val="22"/>
          <w:szCs w:val="22"/>
        </w:rPr>
        <w:t>（1）</w:t>
      </w:r>
      <w:r>
        <w:rPr>
          <w:rFonts w:cs="宋体"/>
          <w:sz w:val="22"/>
          <w:szCs w:val="22"/>
        </w:rPr>
        <w:t>使甲方重新免费获得使用上述相关产品的权利</w:t>
      </w:r>
      <w:r>
        <w:rPr>
          <w:rFonts w:hint="eastAsia" w:cs="宋体"/>
          <w:sz w:val="22"/>
          <w:szCs w:val="22"/>
        </w:rPr>
        <w:t>；</w:t>
      </w:r>
    </w:p>
    <w:p w14:paraId="0E5EF44D">
      <w:pPr>
        <w:ind w:firstLine="440"/>
        <w:rPr>
          <w:rFonts w:cs="宋体"/>
          <w:sz w:val="22"/>
          <w:szCs w:val="22"/>
        </w:rPr>
      </w:pPr>
      <w:r>
        <w:rPr>
          <w:rFonts w:hint="eastAsia" w:cs="宋体"/>
          <w:sz w:val="22"/>
          <w:szCs w:val="22"/>
        </w:rPr>
        <w:t>（2）</w:t>
      </w:r>
      <w:r>
        <w:rPr>
          <w:rFonts w:cs="宋体"/>
          <w:sz w:val="22"/>
          <w:szCs w:val="22"/>
        </w:rPr>
        <w:t>免费更换或改造上述相关产品，使甲方不受上述禁令限制继续使用该产品。</w:t>
      </w:r>
    </w:p>
    <w:p w14:paraId="50405FF8">
      <w:pPr>
        <w:ind w:firstLine="440"/>
        <w:rPr>
          <w:rFonts w:cs="宋体"/>
          <w:sz w:val="22"/>
          <w:szCs w:val="22"/>
        </w:rPr>
      </w:pPr>
      <w:r>
        <w:rPr>
          <w:rFonts w:cs="宋体"/>
          <w:sz w:val="22"/>
          <w:szCs w:val="22"/>
        </w:rPr>
        <w:t>12.3 乙方采取上述措施不能免除乙方就甲方因此遭受的损失进行赔偿的义务。</w:t>
      </w:r>
    </w:p>
    <w:p w14:paraId="5C57CA14">
      <w:pPr>
        <w:ind w:firstLine="442"/>
        <w:rPr>
          <w:rFonts w:cs="宋体"/>
          <w:b/>
          <w:sz w:val="22"/>
          <w:szCs w:val="22"/>
        </w:rPr>
      </w:pPr>
      <w:r>
        <w:rPr>
          <w:rFonts w:hint="eastAsia" w:cs="宋体"/>
          <w:b/>
          <w:sz w:val="22"/>
          <w:szCs w:val="22"/>
        </w:rPr>
        <w:t>第十三章</w:t>
      </w:r>
      <w:r>
        <w:rPr>
          <w:rFonts w:cs="宋体"/>
          <w:b/>
          <w:sz w:val="22"/>
          <w:szCs w:val="22"/>
        </w:rPr>
        <w:t xml:space="preserve">  反商业贿赂</w:t>
      </w:r>
    </w:p>
    <w:p w14:paraId="597A06B1">
      <w:pPr>
        <w:ind w:firstLine="440"/>
        <w:rPr>
          <w:rFonts w:cs="宋体"/>
          <w:sz w:val="22"/>
          <w:szCs w:val="22"/>
        </w:rPr>
      </w:pPr>
      <w:r>
        <w:rPr>
          <w:rFonts w:cs="宋体"/>
          <w:sz w:val="22"/>
          <w:szCs w:val="22"/>
        </w:rPr>
        <w:t>13.1 乙方不得对甲方或甲方任何员工有任何商业贿赂的行为，否则经查证属实后，乙方应对甲方赔付相当于合同总额50%的赔偿金。该条在法律允许的范围内，不受任何免责或限制责任的条款制约。</w:t>
      </w:r>
    </w:p>
    <w:p w14:paraId="175927DB">
      <w:pPr>
        <w:ind w:firstLine="442"/>
        <w:rPr>
          <w:rFonts w:cs="宋体"/>
          <w:b/>
          <w:sz w:val="22"/>
          <w:szCs w:val="22"/>
        </w:rPr>
      </w:pPr>
      <w:r>
        <w:rPr>
          <w:rFonts w:hint="eastAsia" w:cs="宋体"/>
          <w:b/>
          <w:sz w:val="22"/>
          <w:szCs w:val="22"/>
        </w:rPr>
        <w:t>第十四</w:t>
      </w:r>
      <w:r>
        <w:rPr>
          <w:rFonts w:cs="宋体"/>
          <w:b/>
          <w:sz w:val="22"/>
          <w:szCs w:val="22"/>
        </w:rPr>
        <w:t>条</w:t>
      </w:r>
      <w:r>
        <w:rPr>
          <w:rFonts w:hint="eastAsia" w:cs="宋体"/>
          <w:b/>
          <w:sz w:val="22"/>
          <w:szCs w:val="22"/>
        </w:rPr>
        <w:t xml:space="preserve"> 合同</w:t>
      </w:r>
      <w:r>
        <w:rPr>
          <w:rFonts w:cs="宋体"/>
          <w:b/>
          <w:sz w:val="22"/>
          <w:szCs w:val="22"/>
        </w:rPr>
        <w:t>生效</w:t>
      </w:r>
    </w:p>
    <w:p w14:paraId="0C865969">
      <w:pPr>
        <w:ind w:firstLine="440"/>
        <w:rPr>
          <w:rFonts w:cs="宋体"/>
          <w:sz w:val="22"/>
          <w:szCs w:val="22"/>
        </w:rPr>
      </w:pPr>
      <w:r>
        <w:rPr>
          <w:rFonts w:cs="宋体"/>
          <w:sz w:val="22"/>
          <w:szCs w:val="22"/>
        </w:rPr>
        <w:t>14.1 本合同经各方加盖公章或合同专用章后生效。</w:t>
      </w:r>
    </w:p>
    <w:p w14:paraId="415CACE7">
      <w:pPr>
        <w:ind w:firstLine="440"/>
        <w:rPr>
          <w:rFonts w:cs="宋体"/>
          <w:sz w:val="22"/>
          <w:szCs w:val="22"/>
        </w:rPr>
      </w:pPr>
      <w:r>
        <w:rPr>
          <w:rFonts w:cs="宋体"/>
          <w:sz w:val="22"/>
          <w:szCs w:val="22"/>
        </w:rPr>
        <w:t>14.2 本合同一式</w:t>
      </w:r>
      <w:r>
        <w:rPr>
          <w:rFonts w:hint="eastAsia" w:cs="宋体"/>
          <w:sz w:val="22"/>
          <w:szCs w:val="22"/>
        </w:rPr>
        <w:t>【肆】</w:t>
      </w:r>
      <w:r>
        <w:rPr>
          <w:rFonts w:cs="宋体"/>
          <w:sz w:val="22"/>
          <w:szCs w:val="22"/>
        </w:rPr>
        <w:t>份，协议各方各执</w:t>
      </w:r>
      <w:r>
        <w:rPr>
          <w:rFonts w:hint="eastAsia" w:cs="宋体"/>
          <w:sz w:val="22"/>
          <w:szCs w:val="22"/>
        </w:rPr>
        <w:t>【贰】</w:t>
      </w:r>
      <w:r>
        <w:rPr>
          <w:rFonts w:cs="宋体"/>
          <w:sz w:val="22"/>
          <w:szCs w:val="22"/>
        </w:rPr>
        <w:t>份。各份协议文本具有同等法律效力。</w:t>
      </w:r>
    </w:p>
    <w:p w14:paraId="2F4657B2">
      <w:pPr>
        <w:ind w:firstLine="442"/>
        <w:rPr>
          <w:rFonts w:cs="宋体"/>
          <w:b/>
          <w:sz w:val="22"/>
          <w:szCs w:val="22"/>
        </w:rPr>
      </w:pPr>
      <w:r>
        <w:rPr>
          <w:rFonts w:hint="eastAsia" w:cs="宋体"/>
          <w:b/>
          <w:sz w:val="22"/>
          <w:szCs w:val="22"/>
        </w:rPr>
        <w:t>第十五章  附则</w:t>
      </w:r>
    </w:p>
    <w:p w14:paraId="3B7EB9B3">
      <w:pPr>
        <w:ind w:firstLine="440"/>
        <w:rPr>
          <w:rFonts w:cs="宋体"/>
          <w:sz w:val="22"/>
          <w:szCs w:val="22"/>
        </w:rPr>
      </w:pPr>
      <w:r>
        <w:rPr>
          <w:rFonts w:cs="宋体"/>
          <w:sz w:val="22"/>
          <w:szCs w:val="22"/>
        </w:rPr>
        <w:t>15.1 未经对方同意，甲乙任何一方不得将本合同部分或全部权利和义务转让给第三方。</w:t>
      </w:r>
    </w:p>
    <w:p w14:paraId="0041735C">
      <w:pPr>
        <w:ind w:firstLine="440"/>
        <w:rPr>
          <w:rFonts w:cs="宋体"/>
          <w:sz w:val="22"/>
          <w:szCs w:val="22"/>
        </w:rPr>
      </w:pPr>
      <w:r>
        <w:rPr>
          <w:rFonts w:cs="宋体"/>
          <w:sz w:val="22"/>
          <w:szCs w:val="22"/>
        </w:rPr>
        <w:t>15.2 本合同中涉及的所有“通知”、“同意”、“确认”等事项均应以书面形式做出，并作为依据。</w:t>
      </w:r>
    </w:p>
    <w:p w14:paraId="6ED55266">
      <w:pPr>
        <w:ind w:firstLine="440"/>
        <w:rPr>
          <w:rFonts w:cs="宋体"/>
          <w:sz w:val="22"/>
          <w:szCs w:val="22"/>
        </w:rPr>
      </w:pPr>
      <w:r>
        <w:rPr>
          <w:rFonts w:cs="宋体"/>
          <w:sz w:val="22"/>
          <w:szCs w:val="22"/>
        </w:rPr>
        <w:t>15.3 本合同有关附件及补充合同是本合同不可分割的组成部分，与本合同具有同等法律效力；本合同未尽事宜，双方另行协商并签署补充合同，作为本合同的附件，具有同等法律效力。</w:t>
      </w:r>
    </w:p>
    <w:p w14:paraId="63212EE3">
      <w:pPr>
        <w:ind w:firstLine="440"/>
        <w:rPr>
          <w:rFonts w:cs="宋体"/>
          <w:sz w:val="22"/>
          <w:szCs w:val="22"/>
        </w:rPr>
      </w:pPr>
      <w:r>
        <w:rPr>
          <w:rFonts w:hint="eastAsia" w:cs="宋体"/>
          <w:sz w:val="22"/>
          <w:szCs w:val="22"/>
        </w:rPr>
        <w:t>本合同</w:t>
      </w:r>
      <w:r>
        <w:rPr>
          <w:rFonts w:cs="宋体"/>
          <w:sz w:val="22"/>
          <w:szCs w:val="22"/>
        </w:rPr>
        <w:t>附件包括：</w:t>
      </w:r>
    </w:p>
    <w:p w14:paraId="273A8953">
      <w:pPr>
        <w:ind w:firstLine="440"/>
        <w:rPr>
          <w:rFonts w:cs="宋体"/>
          <w:sz w:val="22"/>
          <w:szCs w:val="22"/>
        </w:rPr>
      </w:pPr>
      <w:r>
        <w:rPr>
          <w:rFonts w:hint="eastAsia" w:cs="宋体"/>
          <w:sz w:val="22"/>
          <w:szCs w:val="22"/>
        </w:rPr>
        <w:t>附件一：服务水平协议（</w:t>
      </w:r>
      <w:r>
        <w:rPr>
          <w:rFonts w:cs="宋体"/>
          <w:sz w:val="22"/>
          <w:szCs w:val="22"/>
        </w:rPr>
        <w:t>SLA）</w:t>
      </w:r>
    </w:p>
    <w:p w14:paraId="5E5D6B1C">
      <w:pPr>
        <w:ind w:firstLine="440"/>
        <w:rPr>
          <w:rFonts w:cs="宋体"/>
          <w:sz w:val="22"/>
          <w:szCs w:val="22"/>
        </w:rPr>
      </w:pPr>
      <w:r>
        <w:rPr>
          <w:rFonts w:hint="eastAsia" w:cs="宋体"/>
          <w:sz w:val="22"/>
          <w:szCs w:val="22"/>
        </w:rPr>
        <w:t>附件二：外包服务人员档级定义</w:t>
      </w:r>
    </w:p>
    <w:p w14:paraId="4E9C5B3B">
      <w:pPr>
        <w:ind w:firstLine="440"/>
        <w:rPr>
          <w:rFonts w:cs="宋体"/>
          <w:sz w:val="22"/>
          <w:szCs w:val="22"/>
        </w:rPr>
      </w:pPr>
      <w:r>
        <w:rPr>
          <w:rFonts w:hint="eastAsia" w:cs="宋体"/>
          <w:sz w:val="22"/>
          <w:szCs w:val="22"/>
        </w:rPr>
        <w:t>附件三：外包服务人员简历表</w:t>
      </w:r>
    </w:p>
    <w:p w14:paraId="6035ED1A">
      <w:pPr>
        <w:ind w:firstLine="440"/>
        <w:rPr>
          <w:rFonts w:cs="宋体"/>
          <w:sz w:val="22"/>
          <w:szCs w:val="22"/>
        </w:rPr>
      </w:pPr>
      <w:r>
        <w:rPr>
          <w:rFonts w:hint="eastAsia" w:cs="宋体"/>
          <w:sz w:val="22"/>
          <w:szCs w:val="22"/>
        </w:rPr>
        <w:t>附件四：服务连续性预案</w:t>
      </w:r>
    </w:p>
    <w:p w14:paraId="5753C0AC">
      <w:pPr>
        <w:ind w:firstLine="440"/>
        <w:rPr>
          <w:rFonts w:cs="宋体"/>
          <w:sz w:val="22"/>
          <w:szCs w:val="22"/>
        </w:rPr>
      </w:pPr>
    </w:p>
    <w:p w14:paraId="2CEF6647">
      <w:pPr>
        <w:ind w:firstLine="440"/>
        <w:rPr>
          <w:rFonts w:cs="宋体"/>
          <w:sz w:val="22"/>
          <w:szCs w:val="22"/>
        </w:rPr>
      </w:pPr>
    </w:p>
    <w:p w14:paraId="16C5D558">
      <w:pPr>
        <w:ind w:firstLine="440"/>
        <w:rPr>
          <w:rFonts w:cs="宋体"/>
          <w:sz w:val="22"/>
          <w:szCs w:val="22"/>
        </w:rPr>
      </w:pPr>
      <w:r>
        <w:rPr>
          <w:rFonts w:cs="宋体"/>
          <w:sz w:val="22"/>
          <w:szCs w:val="22"/>
        </w:rPr>
        <w:t>签署地点：重庆</w:t>
      </w:r>
    </w:p>
    <w:p w14:paraId="3447A472">
      <w:pPr>
        <w:ind w:firstLine="440"/>
        <w:rPr>
          <w:rFonts w:cs="宋体"/>
          <w:sz w:val="22"/>
          <w:szCs w:val="22"/>
        </w:rPr>
      </w:pPr>
      <w:r>
        <w:rPr>
          <w:rFonts w:cs="宋体"/>
          <w:sz w:val="22"/>
          <w:szCs w:val="22"/>
        </w:rPr>
        <w:t xml:space="preserve">签署时间：    </w:t>
      </w:r>
    </w:p>
    <w:p w14:paraId="335B6255">
      <w:pPr>
        <w:ind w:firstLine="400"/>
        <w:rPr>
          <w:sz w:val="20"/>
          <w:szCs w:val="18"/>
        </w:rPr>
      </w:pPr>
    </w:p>
    <w:p w14:paraId="2757CE14">
      <w:pPr>
        <w:ind w:firstLine="400"/>
        <w:rPr>
          <w:sz w:val="20"/>
          <w:szCs w:val="18"/>
        </w:rPr>
      </w:pPr>
    </w:p>
    <w:p w14:paraId="66BB1919">
      <w:pPr>
        <w:ind w:firstLine="400"/>
        <w:rPr>
          <w:sz w:val="20"/>
          <w:szCs w:val="18"/>
        </w:rPr>
      </w:pPr>
    </w:p>
    <w:p w14:paraId="6EC81258">
      <w:pPr>
        <w:ind w:firstLine="400"/>
        <w:rPr>
          <w:sz w:val="20"/>
          <w:szCs w:val="18"/>
        </w:rPr>
      </w:pPr>
    </w:p>
    <w:p w14:paraId="1A769709">
      <w:pPr>
        <w:ind w:firstLine="400"/>
        <w:rPr>
          <w:sz w:val="20"/>
          <w:szCs w:val="18"/>
        </w:rPr>
      </w:pPr>
    </w:p>
    <w:p w14:paraId="30D9C115">
      <w:pPr>
        <w:ind w:firstLine="400"/>
        <w:rPr>
          <w:sz w:val="20"/>
          <w:szCs w:val="18"/>
        </w:rPr>
      </w:pPr>
    </w:p>
    <w:p w14:paraId="7329E4DC">
      <w:pPr>
        <w:ind w:firstLine="400"/>
        <w:rPr>
          <w:sz w:val="20"/>
          <w:szCs w:val="18"/>
        </w:rPr>
      </w:pPr>
    </w:p>
    <w:p w14:paraId="0F97E2D5">
      <w:pPr>
        <w:ind w:firstLine="400"/>
        <w:rPr>
          <w:sz w:val="20"/>
          <w:szCs w:val="18"/>
        </w:rPr>
      </w:pPr>
    </w:p>
    <w:p w14:paraId="7D9740F2">
      <w:pPr>
        <w:ind w:firstLine="400"/>
        <w:rPr>
          <w:sz w:val="20"/>
          <w:szCs w:val="18"/>
        </w:rPr>
      </w:pPr>
    </w:p>
    <w:p w14:paraId="72713618">
      <w:pPr>
        <w:ind w:firstLine="400"/>
        <w:rPr>
          <w:sz w:val="20"/>
          <w:szCs w:val="18"/>
        </w:rPr>
      </w:pPr>
    </w:p>
    <w:p w14:paraId="3E14EAC6">
      <w:pPr>
        <w:ind w:firstLine="400"/>
        <w:rPr>
          <w:rFonts w:cs="宋体"/>
          <w:sz w:val="22"/>
          <w:szCs w:val="22"/>
        </w:rPr>
      </w:pPr>
      <w:r>
        <w:rPr>
          <w:sz w:val="20"/>
          <w:szCs w:val="18"/>
        </w:rPr>
        <w:br w:type="textWrapping"/>
      </w:r>
      <w:r>
        <w:rPr>
          <w:rFonts w:cs="宋体"/>
          <w:b/>
          <w:bCs/>
          <w:sz w:val="22"/>
          <w:szCs w:val="22"/>
        </w:rPr>
        <w:t>甲方（盖章）：</w:t>
      </w:r>
    </w:p>
    <w:p w14:paraId="51689D5E">
      <w:pPr>
        <w:ind w:firstLine="440"/>
        <w:rPr>
          <w:rFonts w:cs="宋体"/>
          <w:sz w:val="22"/>
          <w:szCs w:val="22"/>
        </w:rPr>
      </w:pPr>
    </w:p>
    <w:p w14:paraId="7BDF03BB">
      <w:pPr>
        <w:ind w:firstLine="400"/>
        <w:rPr>
          <w:rFonts w:cs="宋体"/>
          <w:sz w:val="22"/>
          <w:szCs w:val="22"/>
        </w:rPr>
      </w:pPr>
      <w:r>
        <w:rPr>
          <w:sz w:val="20"/>
          <w:szCs w:val="18"/>
        </w:rPr>
        <w:br w:type="textWrapping"/>
      </w:r>
      <w:r>
        <w:rPr>
          <w:rFonts w:cs="宋体"/>
          <w:b/>
          <w:bCs/>
          <w:sz w:val="22"/>
          <w:szCs w:val="22"/>
        </w:rPr>
        <w:t>乙方（盖章）：</w:t>
      </w:r>
    </w:p>
    <w:p w14:paraId="44E6E3CA">
      <w:pPr>
        <w:ind w:firstLine="440"/>
        <w:rPr>
          <w:rFonts w:cs="宋体"/>
          <w:sz w:val="22"/>
          <w:szCs w:val="22"/>
        </w:rPr>
      </w:pPr>
    </w:p>
    <w:p w14:paraId="4FCE5981">
      <w:pPr>
        <w:ind w:firstLine="440"/>
        <w:rPr>
          <w:rFonts w:cs="宋体"/>
          <w:sz w:val="22"/>
          <w:szCs w:val="22"/>
        </w:rPr>
      </w:pPr>
    </w:p>
    <w:p w14:paraId="5871FBEE">
      <w:pPr>
        <w:ind w:firstLine="440"/>
        <w:rPr>
          <w:rFonts w:cs="宋体"/>
          <w:sz w:val="22"/>
          <w:szCs w:val="22"/>
        </w:rPr>
      </w:pPr>
    </w:p>
    <w:p w14:paraId="5E33AD5A">
      <w:pPr>
        <w:ind w:firstLine="440"/>
        <w:rPr>
          <w:rFonts w:cs="宋体"/>
          <w:sz w:val="22"/>
          <w:szCs w:val="22"/>
        </w:rPr>
      </w:pPr>
    </w:p>
    <w:p w14:paraId="50EF04F4">
      <w:pPr>
        <w:ind w:firstLine="440"/>
        <w:rPr>
          <w:rFonts w:cs="宋体"/>
          <w:sz w:val="22"/>
          <w:szCs w:val="22"/>
        </w:rPr>
      </w:pPr>
    </w:p>
    <w:p w14:paraId="6E042F48">
      <w:pPr>
        <w:ind w:firstLine="440"/>
        <w:rPr>
          <w:rFonts w:cs="宋体"/>
          <w:sz w:val="22"/>
          <w:szCs w:val="22"/>
        </w:rPr>
      </w:pPr>
      <w:r>
        <w:rPr>
          <w:rFonts w:cs="宋体"/>
          <w:sz w:val="22"/>
          <w:szCs w:val="22"/>
        </w:rPr>
        <w:br w:type="page"/>
      </w:r>
      <w:r>
        <w:rPr>
          <w:rFonts w:hint="eastAsia" w:cs="宋体"/>
          <w:sz w:val="22"/>
          <w:szCs w:val="22"/>
        </w:rPr>
        <w:t>附件一：服务水平协议（</w:t>
      </w:r>
      <w:r>
        <w:rPr>
          <w:rFonts w:cs="宋体"/>
          <w:sz w:val="22"/>
          <w:szCs w:val="22"/>
        </w:rPr>
        <w:t>SLA）</w:t>
      </w:r>
    </w:p>
    <w:p w14:paraId="50E08CCA">
      <w:pPr>
        <w:ind w:firstLine="440"/>
        <w:rPr>
          <w:rFonts w:cs="宋体"/>
          <w:sz w:val="22"/>
          <w:szCs w:val="22"/>
        </w:rPr>
      </w:pPr>
      <w:r>
        <w:rPr>
          <w:rFonts w:cs="宋体"/>
          <w:sz w:val="22"/>
          <w:szCs w:val="22"/>
        </w:rPr>
        <w:t>1．目标</w:t>
      </w:r>
    </w:p>
    <w:p w14:paraId="630073AE">
      <w:pPr>
        <w:ind w:firstLine="440"/>
        <w:rPr>
          <w:rFonts w:cs="宋体"/>
          <w:sz w:val="22"/>
          <w:szCs w:val="22"/>
        </w:rPr>
      </w:pPr>
      <w:r>
        <w:rPr>
          <w:rFonts w:hint="eastAsia" w:cs="宋体"/>
          <w:sz w:val="22"/>
          <w:szCs w:val="22"/>
        </w:rPr>
        <w:t>本服务水平协议（</w:t>
      </w:r>
      <w:r>
        <w:rPr>
          <w:rFonts w:cs="宋体"/>
          <w:sz w:val="22"/>
          <w:szCs w:val="22"/>
        </w:rPr>
        <w:t>SLA）的目标是为了清晰地定义由（乙方）在本项目中为重庆三峡银行（甲方）提供的服务水平，本SLA主要：</w:t>
      </w:r>
    </w:p>
    <w:p w14:paraId="0C358F99">
      <w:pPr>
        <w:ind w:firstLine="440"/>
        <w:rPr>
          <w:rFonts w:cs="宋体"/>
          <w:sz w:val="22"/>
          <w:szCs w:val="22"/>
        </w:rPr>
      </w:pPr>
      <w:r>
        <w:rPr>
          <w:rFonts w:hint="eastAsia" w:cs="宋体"/>
          <w:sz w:val="22"/>
          <w:szCs w:val="22"/>
        </w:rPr>
        <w:t>•</w:t>
      </w:r>
      <w:r>
        <w:rPr>
          <w:rFonts w:cs="宋体"/>
          <w:sz w:val="22"/>
          <w:szCs w:val="22"/>
        </w:rPr>
        <w:tab/>
      </w:r>
      <w:r>
        <w:rPr>
          <w:rFonts w:cs="宋体"/>
          <w:sz w:val="22"/>
          <w:szCs w:val="22"/>
        </w:rPr>
        <w:t>明确甲方对外包乙方所提供服务水平的期望</w:t>
      </w:r>
    </w:p>
    <w:p w14:paraId="3A54DDFA">
      <w:pPr>
        <w:ind w:firstLine="440"/>
        <w:rPr>
          <w:rFonts w:cs="宋体"/>
          <w:sz w:val="22"/>
          <w:szCs w:val="22"/>
        </w:rPr>
      </w:pPr>
      <w:r>
        <w:rPr>
          <w:rFonts w:hint="eastAsia" w:cs="宋体"/>
          <w:sz w:val="22"/>
          <w:szCs w:val="22"/>
        </w:rPr>
        <w:t>•</w:t>
      </w:r>
      <w:r>
        <w:rPr>
          <w:rFonts w:cs="宋体"/>
          <w:sz w:val="22"/>
          <w:szCs w:val="22"/>
        </w:rPr>
        <w:tab/>
      </w:r>
      <w:r>
        <w:rPr>
          <w:rFonts w:cs="宋体"/>
          <w:sz w:val="22"/>
          <w:szCs w:val="22"/>
        </w:rPr>
        <w:t>规范和加强甲方对乙方所提供服务水平的控制</w:t>
      </w:r>
    </w:p>
    <w:p w14:paraId="0C2189FE">
      <w:pPr>
        <w:ind w:firstLine="440"/>
        <w:rPr>
          <w:rFonts w:cs="宋体"/>
          <w:sz w:val="22"/>
          <w:szCs w:val="22"/>
        </w:rPr>
      </w:pPr>
      <w:r>
        <w:rPr>
          <w:rFonts w:hint="eastAsia" w:cs="宋体"/>
          <w:sz w:val="22"/>
          <w:szCs w:val="22"/>
        </w:rPr>
        <w:t>双方将针对本项目制定明确的职责分工表用来确定计划和管理服务水平协议的角色和职责。</w:t>
      </w:r>
    </w:p>
    <w:p w14:paraId="6EEF6F35">
      <w:pPr>
        <w:ind w:firstLine="440"/>
        <w:rPr>
          <w:rFonts w:cs="宋体"/>
          <w:sz w:val="22"/>
          <w:szCs w:val="22"/>
        </w:rPr>
      </w:pPr>
      <w:r>
        <w:rPr>
          <w:rFonts w:cs="宋体"/>
          <w:sz w:val="22"/>
          <w:szCs w:val="22"/>
        </w:rPr>
        <w:t>2.协议期限</w:t>
      </w:r>
    </w:p>
    <w:p w14:paraId="3ADEABE9">
      <w:pPr>
        <w:ind w:firstLine="440"/>
        <w:rPr>
          <w:rFonts w:cs="宋体"/>
          <w:sz w:val="22"/>
          <w:szCs w:val="22"/>
        </w:rPr>
      </w:pPr>
      <w:r>
        <w:rPr>
          <w:rFonts w:hint="eastAsia" w:cs="宋体"/>
          <w:sz w:val="22"/>
          <w:szCs w:val="22"/>
        </w:rPr>
        <w:t>根据双方达成的一致要求，本协议的有效期与服务期限中约定的期限保持一致。</w:t>
      </w:r>
    </w:p>
    <w:p w14:paraId="13515DDF">
      <w:pPr>
        <w:ind w:firstLine="440"/>
        <w:rPr>
          <w:rFonts w:cs="宋体"/>
          <w:sz w:val="22"/>
          <w:szCs w:val="22"/>
        </w:rPr>
      </w:pPr>
      <w:r>
        <w:rPr>
          <w:rFonts w:cs="宋体"/>
          <w:sz w:val="22"/>
          <w:szCs w:val="22"/>
        </w:rPr>
        <w:t>3.双方职责</w:t>
      </w:r>
    </w:p>
    <w:p w14:paraId="51627CF2">
      <w:pPr>
        <w:ind w:firstLine="440"/>
        <w:rPr>
          <w:rFonts w:cs="宋体"/>
          <w:sz w:val="22"/>
          <w:szCs w:val="22"/>
        </w:rPr>
      </w:pPr>
      <w:r>
        <w:rPr>
          <w:rFonts w:hint="eastAsia" w:cs="宋体"/>
          <w:sz w:val="22"/>
          <w:szCs w:val="22"/>
        </w:rPr>
        <w:t>（1）</w:t>
      </w:r>
      <w:r>
        <w:rPr>
          <w:rFonts w:cs="宋体"/>
          <w:sz w:val="22"/>
          <w:szCs w:val="22"/>
        </w:rPr>
        <w:t>乙方</w:t>
      </w:r>
    </w:p>
    <w:p w14:paraId="585FAF22">
      <w:pPr>
        <w:ind w:firstLine="440"/>
        <w:rPr>
          <w:rFonts w:cs="宋体"/>
          <w:sz w:val="22"/>
          <w:szCs w:val="22"/>
        </w:rPr>
      </w:pPr>
      <w:r>
        <w:rPr>
          <w:rFonts w:hint="eastAsia" w:cs="宋体"/>
          <w:sz w:val="22"/>
          <w:szCs w:val="22"/>
        </w:rPr>
        <w:t>除本合同</w:t>
      </w:r>
      <w:r>
        <w:rPr>
          <w:rFonts w:cs="宋体"/>
          <w:sz w:val="22"/>
          <w:szCs w:val="22"/>
        </w:rPr>
        <w:t>描述的服务水平衡量和目标外，乙方还应：</w:t>
      </w:r>
    </w:p>
    <w:p w14:paraId="7A293527">
      <w:pPr>
        <w:ind w:firstLine="440"/>
        <w:rPr>
          <w:rFonts w:cs="宋体"/>
          <w:sz w:val="22"/>
          <w:szCs w:val="22"/>
        </w:rPr>
      </w:pPr>
      <w:r>
        <w:rPr>
          <w:rFonts w:hint="eastAsia" w:cs="宋体"/>
          <w:sz w:val="22"/>
          <w:szCs w:val="22"/>
        </w:rPr>
        <w:t>•</w:t>
      </w:r>
      <w:r>
        <w:rPr>
          <w:rFonts w:cs="宋体"/>
          <w:sz w:val="22"/>
          <w:szCs w:val="22"/>
        </w:rPr>
        <w:tab/>
      </w:r>
      <w:r>
        <w:rPr>
          <w:rFonts w:cs="宋体"/>
          <w:sz w:val="22"/>
          <w:szCs w:val="22"/>
        </w:rPr>
        <w:t>尽快向甲方管理层汇报发现的问题；</w:t>
      </w:r>
    </w:p>
    <w:p w14:paraId="73234B9D">
      <w:pPr>
        <w:ind w:firstLine="440"/>
        <w:rPr>
          <w:rFonts w:cs="宋体"/>
          <w:sz w:val="22"/>
          <w:szCs w:val="22"/>
        </w:rPr>
      </w:pPr>
      <w:r>
        <w:rPr>
          <w:rFonts w:hint="eastAsia" w:cs="宋体"/>
          <w:sz w:val="22"/>
          <w:szCs w:val="22"/>
        </w:rPr>
        <w:t>•</w:t>
      </w:r>
      <w:r>
        <w:rPr>
          <w:rFonts w:cs="宋体"/>
          <w:sz w:val="22"/>
          <w:szCs w:val="22"/>
        </w:rPr>
        <w:tab/>
      </w:r>
      <w:r>
        <w:rPr>
          <w:rFonts w:cs="宋体"/>
          <w:sz w:val="22"/>
          <w:szCs w:val="22"/>
        </w:rPr>
        <w:t>任何可能影响SLA中规定服务的服务能力的事件，乙方应尽早向甲方提供预警信息。事件包括：</w:t>
      </w:r>
    </w:p>
    <w:p w14:paraId="596B1210">
      <w:pPr>
        <w:ind w:firstLine="440"/>
        <w:rPr>
          <w:rFonts w:cs="宋体"/>
          <w:sz w:val="22"/>
          <w:szCs w:val="22"/>
        </w:rPr>
      </w:pPr>
      <w:r>
        <w:rPr>
          <w:rFonts w:cs="宋体"/>
          <w:sz w:val="22"/>
          <w:szCs w:val="22"/>
        </w:rPr>
        <w:t></w:t>
      </w:r>
      <w:r>
        <w:rPr>
          <w:rFonts w:cs="宋体"/>
          <w:sz w:val="22"/>
          <w:szCs w:val="22"/>
        </w:rPr>
        <w:tab/>
      </w:r>
      <w:r>
        <w:rPr>
          <w:rFonts w:cs="宋体"/>
          <w:sz w:val="22"/>
          <w:szCs w:val="22"/>
        </w:rPr>
        <w:t>组织架构变更</w:t>
      </w:r>
    </w:p>
    <w:p w14:paraId="73B8F9C4">
      <w:pPr>
        <w:ind w:firstLine="440"/>
        <w:rPr>
          <w:rFonts w:cs="宋体"/>
          <w:sz w:val="22"/>
          <w:szCs w:val="22"/>
        </w:rPr>
      </w:pPr>
      <w:r>
        <w:rPr>
          <w:rFonts w:cs="宋体"/>
          <w:sz w:val="22"/>
          <w:szCs w:val="22"/>
        </w:rPr>
        <w:t></w:t>
      </w:r>
      <w:r>
        <w:rPr>
          <w:rFonts w:cs="宋体"/>
          <w:sz w:val="22"/>
          <w:szCs w:val="22"/>
        </w:rPr>
        <w:tab/>
      </w:r>
      <w:r>
        <w:rPr>
          <w:rFonts w:cs="宋体"/>
          <w:sz w:val="22"/>
          <w:szCs w:val="22"/>
        </w:rPr>
        <w:t>技术变更</w:t>
      </w:r>
    </w:p>
    <w:p w14:paraId="3197B61B">
      <w:pPr>
        <w:ind w:firstLine="440"/>
        <w:rPr>
          <w:rFonts w:cs="宋体"/>
          <w:sz w:val="22"/>
          <w:szCs w:val="22"/>
        </w:rPr>
      </w:pPr>
      <w:r>
        <w:rPr>
          <w:rFonts w:cs="宋体"/>
          <w:sz w:val="22"/>
          <w:szCs w:val="22"/>
        </w:rPr>
        <w:t></w:t>
      </w:r>
      <w:r>
        <w:rPr>
          <w:rFonts w:cs="宋体"/>
          <w:sz w:val="22"/>
          <w:szCs w:val="22"/>
        </w:rPr>
        <w:tab/>
      </w:r>
      <w:r>
        <w:rPr>
          <w:rFonts w:cs="宋体"/>
          <w:sz w:val="22"/>
          <w:szCs w:val="22"/>
        </w:rPr>
        <w:t>职能变更</w:t>
      </w:r>
    </w:p>
    <w:p w14:paraId="6D4A19E0">
      <w:pPr>
        <w:ind w:firstLine="440"/>
        <w:rPr>
          <w:rFonts w:cs="宋体"/>
          <w:sz w:val="22"/>
          <w:szCs w:val="22"/>
        </w:rPr>
      </w:pPr>
      <w:r>
        <w:rPr>
          <w:rFonts w:hint="eastAsia" w:cs="宋体"/>
          <w:sz w:val="22"/>
          <w:szCs w:val="22"/>
        </w:rPr>
        <w:t>•</w:t>
      </w:r>
      <w:r>
        <w:rPr>
          <w:rFonts w:cs="宋体"/>
          <w:sz w:val="22"/>
          <w:szCs w:val="22"/>
        </w:rPr>
        <w:tab/>
      </w:r>
      <w:r>
        <w:rPr>
          <w:rFonts w:cs="宋体"/>
          <w:sz w:val="22"/>
          <w:szCs w:val="22"/>
        </w:rPr>
        <w:t>协助甲方及时解决生产事件。当问题产生时，应尽快采取适当的措施识别并修复改问题。</w:t>
      </w:r>
    </w:p>
    <w:p w14:paraId="0766E417">
      <w:pPr>
        <w:ind w:firstLine="440"/>
        <w:rPr>
          <w:rFonts w:cs="宋体"/>
          <w:sz w:val="22"/>
          <w:szCs w:val="22"/>
        </w:rPr>
      </w:pPr>
      <w:r>
        <w:rPr>
          <w:rFonts w:hint="eastAsia" w:cs="宋体"/>
          <w:sz w:val="22"/>
          <w:szCs w:val="22"/>
        </w:rPr>
        <w:t>•</w:t>
      </w:r>
      <w:r>
        <w:rPr>
          <w:rFonts w:cs="宋体"/>
          <w:sz w:val="22"/>
          <w:szCs w:val="22"/>
        </w:rPr>
        <w:tab/>
      </w:r>
      <w:r>
        <w:rPr>
          <w:rFonts w:cs="宋体"/>
          <w:sz w:val="22"/>
          <w:szCs w:val="22"/>
        </w:rPr>
        <w:t>乙方应该</w:t>
      </w:r>
      <w:r>
        <w:rPr>
          <w:rFonts w:hint="eastAsia" w:cs="宋体"/>
          <w:sz w:val="22"/>
          <w:szCs w:val="22"/>
        </w:rPr>
        <w:t>适时</w:t>
      </w:r>
      <w:r>
        <w:rPr>
          <w:rFonts w:cs="宋体"/>
          <w:sz w:val="22"/>
          <w:szCs w:val="22"/>
        </w:rPr>
        <w:t>开展风险管理评估和第三方审计工作，应该接受甲方的审核和评估，并配合接受来自监管机构的各项检查，配合对监管意见做出相应的管理、服务、基础设施、软硬件等整改。</w:t>
      </w:r>
    </w:p>
    <w:p w14:paraId="2F31F9A8">
      <w:pPr>
        <w:ind w:firstLine="440"/>
        <w:rPr>
          <w:rFonts w:cs="宋体"/>
          <w:sz w:val="22"/>
          <w:szCs w:val="22"/>
        </w:rPr>
      </w:pPr>
      <w:r>
        <w:rPr>
          <w:rFonts w:hint="eastAsia" w:cs="宋体"/>
          <w:sz w:val="22"/>
          <w:szCs w:val="22"/>
        </w:rPr>
        <w:t>•</w:t>
      </w:r>
      <w:r>
        <w:rPr>
          <w:rFonts w:cs="宋体"/>
          <w:sz w:val="22"/>
          <w:szCs w:val="22"/>
        </w:rPr>
        <w:tab/>
      </w:r>
      <w:r>
        <w:rPr>
          <w:rFonts w:hint="eastAsia" w:cs="宋体"/>
          <w:sz w:val="22"/>
          <w:szCs w:val="22"/>
        </w:rPr>
        <w:t>乙方定期通报外包事项，及时通报外包突发性事件及解决情况。</w:t>
      </w:r>
    </w:p>
    <w:p w14:paraId="50DD9843">
      <w:pPr>
        <w:ind w:firstLine="440"/>
        <w:rPr>
          <w:rFonts w:cs="宋体"/>
          <w:sz w:val="22"/>
          <w:szCs w:val="22"/>
        </w:rPr>
      </w:pPr>
      <w:r>
        <w:rPr>
          <w:rFonts w:hint="eastAsia" w:cs="宋体"/>
          <w:sz w:val="22"/>
          <w:szCs w:val="22"/>
        </w:rPr>
        <w:t>（2）</w:t>
      </w:r>
      <w:r>
        <w:rPr>
          <w:rFonts w:cs="宋体"/>
          <w:sz w:val="22"/>
          <w:szCs w:val="22"/>
        </w:rPr>
        <w:t>甲方</w:t>
      </w:r>
    </w:p>
    <w:p w14:paraId="457983B2">
      <w:pPr>
        <w:ind w:firstLine="440"/>
        <w:rPr>
          <w:rFonts w:cs="宋体"/>
          <w:sz w:val="22"/>
          <w:szCs w:val="22"/>
        </w:rPr>
      </w:pPr>
      <w:r>
        <w:rPr>
          <w:rFonts w:hint="eastAsia" w:cs="宋体"/>
          <w:sz w:val="22"/>
          <w:szCs w:val="22"/>
        </w:rPr>
        <w:t>•</w:t>
      </w:r>
      <w:r>
        <w:rPr>
          <w:rFonts w:cs="宋体"/>
          <w:sz w:val="22"/>
          <w:szCs w:val="22"/>
        </w:rPr>
        <w:tab/>
      </w:r>
      <w:r>
        <w:rPr>
          <w:rFonts w:cs="宋体"/>
          <w:sz w:val="22"/>
          <w:szCs w:val="22"/>
        </w:rPr>
        <w:t>甲方及时将发现问题与乙方管理层沟通；</w:t>
      </w:r>
    </w:p>
    <w:p w14:paraId="5C03E9C1">
      <w:pPr>
        <w:ind w:firstLine="440"/>
        <w:rPr>
          <w:rFonts w:cs="宋体"/>
          <w:sz w:val="22"/>
          <w:szCs w:val="22"/>
        </w:rPr>
      </w:pPr>
      <w:r>
        <w:rPr>
          <w:rFonts w:hint="eastAsia" w:cs="宋体"/>
          <w:sz w:val="22"/>
          <w:szCs w:val="22"/>
        </w:rPr>
        <w:t>•</w:t>
      </w:r>
      <w:r>
        <w:rPr>
          <w:rFonts w:cs="宋体"/>
          <w:sz w:val="22"/>
          <w:szCs w:val="22"/>
        </w:rPr>
        <w:tab/>
      </w:r>
      <w:r>
        <w:rPr>
          <w:rFonts w:cs="宋体"/>
          <w:sz w:val="22"/>
          <w:szCs w:val="22"/>
        </w:rPr>
        <w:t>提供任何可能影响乙方向甲方提供SLA中规定服务的服务能力的事件信息，包括：</w:t>
      </w:r>
    </w:p>
    <w:p w14:paraId="399AE6A8">
      <w:pPr>
        <w:ind w:firstLine="440"/>
        <w:rPr>
          <w:rFonts w:cs="宋体"/>
          <w:sz w:val="22"/>
          <w:szCs w:val="22"/>
        </w:rPr>
      </w:pPr>
      <w:r>
        <w:rPr>
          <w:rFonts w:cs="宋体"/>
          <w:sz w:val="22"/>
          <w:szCs w:val="22"/>
        </w:rPr>
        <w:t></w:t>
      </w:r>
      <w:r>
        <w:rPr>
          <w:rFonts w:cs="宋体"/>
          <w:sz w:val="22"/>
          <w:szCs w:val="22"/>
        </w:rPr>
        <w:tab/>
      </w:r>
      <w:r>
        <w:rPr>
          <w:rFonts w:cs="宋体"/>
          <w:sz w:val="22"/>
          <w:szCs w:val="22"/>
        </w:rPr>
        <w:t>组织架构变更</w:t>
      </w:r>
    </w:p>
    <w:p w14:paraId="06269E4F">
      <w:pPr>
        <w:ind w:firstLine="440"/>
        <w:rPr>
          <w:rFonts w:cs="宋体"/>
          <w:sz w:val="22"/>
          <w:szCs w:val="22"/>
        </w:rPr>
      </w:pPr>
      <w:r>
        <w:rPr>
          <w:rFonts w:cs="宋体"/>
          <w:sz w:val="22"/>
          <w:szCs w:val="22"/>
        </w:rPr>
        <w:t></w:t>
      </w:r>
      <w:r>
        <w:rPr>
          <w:rFonts w:cs="宋体"/>
          <w:sz w:val="22"/>
          <w:szCs w:val="22"/>
        </w:rPr>
        <w:tab/>
      </w:r>
      <w:r>
        <w:rPr>
          <w:rFonts w:cs="宋体"/>
          <w:sz w:val="22"/>
          <w:szCs w:val="22"/>
        </w:rPr>
        <w:t>技术变更</w:t>
      </w:r>
    </w:p>
    <w:p w14:paraId="1DB6DF38">
      <w:pPr>
        <w:ind w:firstLine="440"/>
        <w:rPr>
          <w:rFonts w:cs="宋体"/>
          <w:sz w:val="22"/>
          <w:szCs w:val="22"/>
        </w:rPr>
      </w:pPr>
      <w:r>
        <w:rPr>
          <w:rFonts w:cs="宋体"/>
          <w:sz w:val="22"/>
          <w:szCs w:val="22"/>
        </w:rPr>
        <w:t></w:t>
      </w:r>
      <w:r>
        <w:rPr>
          <w:rFonts w:cs="宋体"/>
          <w:sz w:val="22"/>
          <w:szCs w:val="22"/>
        </w:rPr>
        <w:tab/>
      </w:r>
      <w:r>
        <w:rPr>
          <w:rFonts w:cs="宋体"/>
          <w:sz w:val="22"/>
          <w:szCs w:val="22"/>
        </w:rPr>
        <w:t>职能变更</w:t>
      </w:r>
    </w:p>
    <w:p w14:paraId="790FC3A4">
      <w:pPr>
        <w:ind w:firstLine="440"/>
        <w:rPr>
          <w:rFonts w:cs="宋体"/>
          <w:sz w:val="22"/>
          <w:szCs w:val="22"/>
        </w:rPr>
      </w:pPr>
      <w:r>
        <w:rPr>
          <w:rFonts w:cs="宋体"/>
          <w:sz w:val="22"/>
          <w:szCs w:val="22"/>
        </w:rPr>
        <w:t>4.服务水平和指标</w:t>
      </w:r>
    </w:p>
    <w:p w14:paraId="6E0035CE">
      <w:pPr>
        <w:ind w:firstLine="440"/>
        <w:rPr>
          <w:rFonts w:cs="宋体"/>
          <w:sz w:val="22"/>
          <w:szCs w:val="22"/>
        </w:rPr>
      </w:pPr>
      <w:r>
        <w:rPr>
          <w:rFonts w:hint="eastAsia" w:cs="宋体"/>
          <w:sz w:val="22"/>
          <w:szCs w:val="22"/>
        </w:rPr>
        <w:t>【开发】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554F73FA">
      <w:pPr>
        <w:ind w:firstLine="440"/>
        <w:rPr>
          <w:rFonts w:cs="宋体"/>
          <w:sz w:val="22"/>
          <w:szCs w:val="22"/>
        </w:rPr>
        <w:sectPr>
          <w:headerReference r:id="rId12" w:type="default"/>
          <w:footerReference r:id="rId13" w:type="default"/>
          <w:pgSz w:w="12240" w:h="15840"/>
          <w:pgMar w:top="1440" w:right="1440" w:bottom="1440" w:left="1440" w:header="720" w:footer="720" w:gutter="0"/>
          <w:cols w:space="720" w:num="1"/>
          <w:docGrid w:linePitch="312" w:charSpace="0"/>
        </w:sectPr>
      </w:pPr>
    </w:p>
    <w:tbl>
      <w:tblPr>
        <w:tblStyle w:val="19"/>
        <w:tblW w:w="13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2268"/>
        <w:gridCol w:w="3686"/>
        <w:gridCol w:w="2410"/>
        <w:gridCol w:w="1134"/>
        <w:gridCol w:w="1086"/>
      </w:tblGrid>
      <w:tr w14:paraId="0110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14:paraId="4EAF445C">
            <w:pPr>
              <w:ind w:firstLine="0" w:firstLineChars="0"/>
              <w:jc w:val="center"/>
              <w:rPr>
                <w:rFonts w:cs="Times New Roman"/>
                <w:b/>
                <w:sz w:val="20"/>
              </w:rPr>
            </w:pPr>
            <w:r>
              <w:rPr>
                <w:rFonts w:cs="Times New Roman"/>
                <w:b/>
                <w:sz w:val="20"/>
              </w:rPr>
              <w:t>序号</w:t>
            </w:r>
          </w:p>
        </w:tc>
        <w:tc>
          <w:tcPr>
            <w:tcW w:w="1134" w:type="dxa"/>
            <w:vAlign w:val="center"/>
          </w:tcPr>
          <w:p w14:paraId="7CCCCCC6">
            <w:pPr>
              <w:ind w:firstLine="0" w:firstLineChars="0"/>
              <w:jc w:val="center"/>
              <w:rPr>
                <w:rFonts w:cs="Times New Roman"/>
                <w:b/>
                <w:sz w:val="20"/>
              </w:rPr>
            </w:pPr>
            <w:r>
              <w:rPr>
                <w:rFonts w:cs="Times New Roman"/>
                <w:b/>
                <w:sz w:val="20"/>
              </w:rPr>
              <w:t>评价维度</w:t>
            </w:r>
          </w:p>
        </w:tc>
        <w:tc>
          <w:tcPr>
            <w:tcW w:w="1559" w:type="dxa"/>
            <w:vAlign w:val="center"/>
          </w:tcPr>
          <w:p w14:paraId="448BFFAC">
            <w:pPr>
              <w:ind w:firstLine="0" w:firstLineChars="0"/>
              <w:jc w:val="center"/>
              <w:rPr>
                <w:rFonts w:cs="Times New Roman"/>
                <w:b/>
                <w:sz w:val="20"/>
              </w:rPr>
            </w:pPr>
            <w:r>
              <w:rPr>
                <w:rFonts w:cs="Times New Roman"/>
                <w:b/>
                <w:sz w:val="20"/>
              </w:rPr>
              <w:t>评价指标</w:t>
            </w:r>
          </w:p>
        </w:tc>
        <w:tc>
          <w:tcPr>
            <w:tcW w:w="2268" w:type="dxa"/>
            <w:vAlign w:val="center"/>
          </w:tcPr>
          <w:p w14:paraId="2B6ABCFF">
            <w:pPr>
              <w:ind w:firstLine="0" w:firstLineChars="0"/>
              <w:jc w:val="center"/>
              <w:rPr>
                <w:rFonts w:cs="Times New Roman"/>
                <w:b/>
                <w:sz w:val="20"/>
              </w:rPr>
            </w:pPr>
            <w:r>
              <w:rPr>
                <w:rFonts w:cs="Times New Roman"/>
                <w:b/>
                <w:sz w:val="20"/>
              </w:rPr>
              <w:t>指标定义</w:t>
            </w:r>
          </w:p>
        </w:tc>
        <w:tc>
          <w:tcPr>
            <w:tcW w:w="3686" w:type="dxa"/>
            <w:vAlign w:val="center"/>
          </w:tcPr>
          <w:p w14:paraId="20DDD6AB">
            <w:pPr>
              <w:ind w:firstLine="0" w:firstLineChars="0"/>
              <w:jc w:val="center"/>
              <w:rPr>
                <w:rFonts w:cs="Times New Roman"/>
                <w:b/>
                <w:sz w:val="20"/>
              </w:rPr>
            </w:pPr>
            <w:r>
              <w:rPr>
                <w:rFonts w:cs="Times New Roman"/>
                <w:b/>
                <w:sz w:val="20"/>
              </w:rPr>
              <w:t>评分</w:t>
            </w:r>
            <w:r>
              <w:rPr>
                <w:rFonts w:hint="eastAsia" w:cs="Times New Roman"/>
                <w:b/>
                <w:sz w:val="20"/>
              </w:rPr>
              <w:t>/价</w:t>
            </w:r>
            <w:r>
              <w:rPr>
                <w:rFonts w:cs="Times New Roman"/>
                <w:b/>
                <w:sz w:val="20"/>
              </w:rPr>
              <w:t>标准</w:t>
            </w:r>
          </w:p>
        </w:tc>
        <w:tc>
          <w:tcPr>
            <w:tcW w:w="2410" w:type="dxa"/>
            <w:vAlign w:val="center"/>
          </w:tcPr>
          <w:p w14:paraId="7E28AD9B">
            <w:pPr>
              <w:ind w:firstLine="0" w:firstLineChars="0"/>
              <w:jc w:val="center"/>
              <w:rPr>
                <w:rFonts w:cs="Times New Roman"/>
                <w:b/>
                <w:sz w:val="20"/>
              </w:rPr>
            </w:pPr>
            <w:r>
              <w:rPr>
                <w:rFonts w:hint="eastAsia" w:cs="Times New Roman"/>
                <w:b/>
                <w:sz w:val="20"/>
              </w:rPr>
              <w:t>违约金标准</w:t>
            </w:r>
          </w:p>
        </w:tc>
        <w:tc>
          <w:tcPr>
            <w:tcW w:w="1134" w:type="dxa"/>
            <w:vAlign w:val="center"/>
          </w:tcPr>
          <w:p w14:paraId="21C776BA">
            <w:pPr>
              <w:ind w:firstLine="0" w:firstLineChars="0"/>
              <w:jc w:val="center"/>
              <w:rPr>
                <w:rFonts w:cs="Times New Roman"/>
                <w:b/>
                <w:sz w:val="20"/>
              </w:rPr>
            </w:pPr>
            <w:r>
              <w:rPr>
                <w:rFonts w:cs="Times New Roman"/>
                <w:b/>
                <w:sz w:val="20"/>
              </w:rPr>
              <w:t>评价结果</w:t>
            </w:r>
          </w:p>
        </w:tc>
        <w:tc>
          <w:tcPr>
            <w:tcW w:w="1086" w:type="dxa"/>
            <w:vAlign w:val="center"/>
          </w:tcPr>
          <w:p w14:paraId="341F8C42">
            <w:pPr>
              <w:ind w:firstLine="0" w:firstLineChars="0"/>
              <w:jc w:val="center"/>
              <w:rPr>
                <w:rFonts w:cs="Times New Roman"/>
                <w:b/>
                <w:sz w:val="20"/>
              </w:rPr>
            </w:pPr>
            <w:r>
              <w:rPr>
                <w:rFonts w:cs="Times New Roman"/>
                <w:b/>
                <w:sz w:val="20"/>
              </w:rPr>
              <w:t>评价得分</w:t>
            </w:r>
          </w:p>
        </w:tc>
      </w:tr>
      <w:tr w14:paraId="3730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E96E992">
            <w:pPr>
              <w:ind w:firstLine="0" w:firstLineChars="0"/>
              <w:jc w:val="center"/>
              <w:rPr>
                <w:rFonts w:cs="Times New Roman"/>
                <w:sz w:val="20"/>
              </w:rPr>
            </w:pPr>
            <w:r>
              <w:rPr>
                <w:rFonts w:hint="eastAsia" w:cs="Times New Roman"/>
                <w:sz w:val="20"/>
              </w:rPr>
              <w:t>1</w:t>
            </w:r>
          </w:p>
        </w:tc>
        <w:tc>
          <w:tcPr>
            <w:tcW w:w="1134" w:type="dxa"/>
            <w:vMerge w:val="restart"/>
            <w:tcBorders>
              <w:left w:val="single" w:color="auto" w:sz="4" w:space="0"/>
            </w:tcBorders>
            <w:vAlign w:val="center"/>
          </w:tcPr>
          <w:p w14:paraId="718D4C61">
            <w:pPr>
              <w:ind w:firstLine="0" w:firstLineChars="0"/>
              <w:rPr>
                <w:rFonts w:cs="Times New Roman"/>
                <w:sz w:val="20"/>
              </w:rPr>
            </w:pPr>
            <w:r>
              <w:rPr>
                <w:rFonts w:hint="eastAsia" w:cs="Times New Roman"/>
                <w:sz w:val="20"/>
              </w:rPr>
              <w:t>服务质量</w:t>
            </w:r>
          </w:p>
        </w:tc>
        <w:tc>
          <w:tcPr>
            <w:tcW w:w="1559" w:type="dxa"/>
            <w:tcBorders>
              <w:left w:val="single" w:color="auto" w:sz="4" w:space="0"/>
            </w:tcBorders>
            <w:vAlign w:val="center"/>
          </w:tcPr>
          <w:p w14:paraId="2077899A">
            <w:pPr>
              <w:ind w:firstLine="0" w:firstLineChars="0"/>
              <w:rPr>
                <w:rFonts w:cs="Times New Roman"/>
                <w:sz w:val="20"/>
              </w:rPr>
            </w:pPr>
            <w:r>
              <w:rPr>
                <w:rFonts w:cs="Times New Roman"/>
                <w:sz w:val="20"/>
              </w:rPr>
              <w:t>交付成果质量</w:t>
            </w:r>
          </w:p>
        </w:tc>
        <w:tc>
          <w:tcPr>
            <w:tcW w:w="2268" w:type="dxa"/>
            <w:tcBorders>
              <w:left w:val="single" w:color="auto" w:sz="4" w:space="0"/>
            </w:tcBorders>
            <w:vAlign w:val="center"/>
          </w:tcPr>
          <w:p w14:paraId="161EF444">
            <w:pPr>
              <w:ind w:firstLine="0" w:firstLineChars="0"/>
              <w:rPr>
                <w:rFonts w:cs="Times New Roman"/>
                <w:sz w:val="20"/>
              </w:rPr>
            </w:pPr>
            <w:r>
              <w:rPr>
                <w:rFonts w:cs="Times New Roman"/>
                <w:sz w:val="20"/>
              </w:rPr>
              <w:t>用于记录</w:t>
            </w:r>
            <w:r>
              <w:rPr>
                <w:rFonts w:hint="eastAsia" w:cs="Times New Roman"/>
                <w:sz w:val="20"/>
              </w:rPr>
              <w:t>乙方</w:t>
            </w:r>
            <w:r>
              <w:rPr>
                <w:rFonts w:cs="Times New Roman"/>
                <w:sz w:val="20"/>
              </w:rPr>
              <w:t>所提交的项目交付成果与</w:t>
            </w:r>
            <w:r>
              <w:rPr>
                <w:rFonts w:hint="eastAsia" w:cs="Times New Roman"/>
                <w:sz w:val="20"/>
              </w:rPr>
              <w:t>甲方</w:t>
            </w:r>
            <w:r>
              <w:rPr>
                <w:rFonts w:cs="Times New Roman"/>
                <w:sz w:val="20"/>
              </w:rPr>
              <w:t>要求的项目交付成果的契合度或交付成果质量与合同所约定要求的项目交付成果质量的满足程度</w:t>
            </w:r>
          </w:p>
        </w:tc>
        <w:tc>
          <w:tcPr>
            <w:tcW w:w="3686" w:type="dxa"/>
            <w:tcBorders>
              <w:left w:val="single" w:color="auto" w:sz="4" w:space="0"/>
            </w:tcBorders>
            <w:vAlign w:val="center"/>
          </w:tcPr>
          <w:p w14:paraId="7F326554">
            <w:pPr>
              <w:ind w:firstLine="0" w:firstLineChars="0"/>
              <w:rPr>
                <w:rFonts w:cs="Times New Roman"/>
                <w:sz w:val="20"/>
              </w:rPr>
            </w:pPr>
            <w:r>
              <w:rPr>
                <w:rFonts w:hint="eastAsia" w:cs="Times New Roman"/>
                <w:b/>
                <w:bCs/>
                <w:sz w:val="20"/>
              </w:rPr>
              <w:t>优秀：</w:t>
            </w:r>
            <w:r>
              <w:rPr>
                <w:rFonts w:hint="eastAsia" w:cs="Times New Roman"/>
                <w:sz w:val="20"/>
              </w:rPr>
              <w:t>5分，</w:t>
            </w:r>
            <w:r>
              <w:rPr>
                <w:rFonts w:cs="Times New Roman"/>
                <w:sz w:val="20"/>
              </w:rPr>
              <w:t>指</w:t>
            </w:r>
            <w:r>
              <w:rPr>
                <w:rFonts w:hint="eastAsia" w:cs="Times New Roman"/>
                <w:sz w:val="20"/>
              </w:rPr>
              <w:t>乙方</w:t>
            </w:r>
            <w:r>
              <w:rPr>
                <w:rFonts w:cs="Times New Roman"/>
                <w:sz w:val="20"/>
              </w:rPr>
              <w:t>能够主动快速与</w:t>
            </w:r>
            <w:r>
              <w:rPr>
                <w:rFonts w:hint="eastAsia" w:cs="Times New Roman"/>
                <w:sz w:val="20"/>
              </w:rPr>
              <w:t>甲方</w:t>
            </w:r>
            <w:r>
              <w:rPr>
                <w:rFonts w:cs="Times New Roman"/>
                <w:sz w:val="20"/>
              </w:rPr>
              <w:t>进行有效的沟通，交付成果高度契合需求，完全满足并超出合同约定的预期目标，给</w:t>
            </w:r>
            <w:r>
              <w:rPr>
                <w:rFonts w:hint="eastAsia" w:cs="Times New Roman"/>
                <w:sz w:val="20"/>
              </w:rPr>
              <w:t>甲方</w:t>
            </w:r>
            <w:r>
              <w:rPr>
                <w:rFonts w:cs="Times New Roman"/>
                <w:sz w:val="20"/>
              </w:rPr>
              <w:t>带来显著的附加价值</w:t>
            </w:r>
            <w:r>
              <w:rPr>
                <w:rFonts w:hint="eastAsia" w:cs="Times New Roman"/>
                <w:sz w:val="20"/>
              </w:rPr>
              <w:t>；</w:t>
            </w:r>
          </w:p>
          <w:p w14:paraId="4DEABC86">
            <w:pPr>
              <w:ind w:firstLine="0" w:firstLineChars="0"/>
              <w:rPr>
                <w:rFonts w:cs="Times New Roman"/>
                <w:sz w:val="20"/>
              </w:rPr>
            </w:pPr>
            <w:r>
              <w:rPr>
                <w:rFonts w:hint="eastAsia" w:cs="Times New Roman"/>
                <w:b/>
                <w:bCs/>
                <w:sz w:val="20"/>
              </w:rPr>
              <w:t>良好：</w:t>
            </w:r>
            <w:r>
              <w:rPr>
                <w:rFonts w:hint="eastAsia" w:cs="Times New Roman"/>
                <w:sz w:val="20"/>
              </w:rPr>
              <w:t>4分，</w:t>
            </w:r>
            <w:r>
              <w:rPr>
                <w:rFonts w:cs="Times New Roman"/>
                <w:sz w:val="20"/>
              </w:rPr>
              <w:t>指</w:t>
            </w:r>
            <w:r>
              <w:rPr>
                <w:rFonts w:hint="eastAsia" w:cs="Times New Roman"/>
                <w:sz w:val="20"/>
              </w:rPr>
              <w:t>乙方</w:t>
            </w:r>
            <w:r>
              <w:rPr>
                <w:rFonts w:cs="Times New Roman"/>
                <w:sz w:val="20"/>
              </w:rPr>
              <w:t>能够快速响应需求，交付成果达到合同约定的预期目标，基本契合需求，满足合同约定的预期目标</w:t>
            </w:r>
            <w:r>
              <w:rPr>
                <w:rFonts w:hint="eastAsia" w:cs="Times New Roman"/>
                <w:sz w:val="20"/>
              </w:rPr>
              <w:t>；</w:t>
            </w:r>
          </w:p>
          <w:p w14:paraId="580DE363">
            <w:pPr>
              <w:ind w:firstLine="0" w:firstLineChars="0"/>
              <w:rPr>
                <w:rFonts w:cs="Times New Roman"/>
                <w:sz w:val="20"/>
              </w:rPr>
            </w:pPr>
            <w:r>
              <w:rPr>
                <w:rFonts w:hint="eastAsia" w:cs="Times New Roman"/>
                <w:b/>
                <w:bCs/>
                <w:sz w:val="20"/>
              </w:rPr>
              <w:t>合格：</w:t>
            </w:r>
            <w:r>
              <w:rPr>
                <w:rFonts w:hint="eastAsia" w:cs="Times New Roman"/>
                <w:sz w:val="20"/>
              </w:rPr>
              <w:t>3分，</w:t>
            </w:r>
            <w:r>
              <w:rPr>
                <w:rFonts w:cs="Times New Roman"/>
                <w:sz w:val="20"/>
              </w:rPr>
              <w:t>指</w:t>
            </w:r>
            <w:r>
              <w:rPr>
                <w:rFonts w:hint="eastAsia" w:cs="Times New Roman"/>
                <w:sz w:val="20"/>
              </w:rPr>
              <w:t>乙方</w:t>
            </w:r>
            <w:r>
              <w:rPr>
                <w:rFonts w:cs="Times New Roman"/>
                <w:sz w:val="20"/>
              </w:rPr>
              <w:t>能够按要求响应需求，交付成果</w:t>
            </w:r>
            <w:r>
              <w:rPr>
                <w:rFonts w:hint="eastAsia" w:cs="Times New Roman"/>
                <w:sz w:val="20"/>
              </w:rPr>
              <w:t>基本满足</w:t>
            </w:r>
            <w:r>
              <w:rPr>
                <w:rFonts w:cs="Times New Roman"/>
                <w:sz w:val="20"/>
              </w:rPr>
              <w:t>需求，但是总体可满足合同约定的预期目标</w:t>
            </w:r>
            <w:r>
              <w:rPr>
                <w:rFonts w:hint="eastAsia" w:cs="Times New Roman"/>
                <w:sz w:val="20"/>
              </w:rPr>
              <w:t>；</w:t>
            </w:r>
          </w:p>
          <w:p w14:paraId="69328856">
            <w:pPr>
              <w:ind w:firstLine="0" w:firstLineChars="0"/>
              <w:rPr>
                <w:rFonts w:cs="Times New Roman"/>
                <w:sz w:val="20"/>
              </w:rPr>
            </w:pPr>
            <w:r>
              <w:rPr>
                <w:rFonts w:hint="eastAsia" w:cs="Times New Roman"/>
                <w:b/>
                <w:bCs/>
                <w:sz w:val="20"/>
              </w:rPr>
              <w:t>较差/差：</w:t>
            </w:r>
            <w:r>
              <w:rPr>
                <w:rFonts w:hint="eastAsia" w:cs="Times New Roman"/>
                <w:sz w:val="20"/>
              </w:rPr>
              <w:t>0分，</w:t>
            </w:r>
            <w:r>
              <w:rPr>
                <w:rFonts w:cs="Times New Roman"/>
                <w:sz w:val="20"/>
              </w:rPr>
              <w:t>指</w:t>
            </w:r>
            <w:r>
              <w:rPr>
                <w:rFonts w:hint="eastAsia" w:cs="Times New Roman"/>
                <w:sz w:val="20"/>
              </w:rPr>
              <w:t>乙方未</w:t>
            </w:r>
            <w:r>
              <w:rPr>
                <w:rFonts w:cs="Times New Roman"/>
                <w:sz w:val="20"/>
              </w:rPr>
              <w:t>能够按要求响应需求，</w:t>
            </w:r>
            <w:r>
              <w:rPr>
                <w:rFonts w:hint="eastAsia" w:cs="Times New Roman"/>
                <w:sz w:val="20"/>
              </w:rPr>
              <w:t>或</w:t>
            </w:r>
            <w:r>
              <w:rPr>
                <w:rFonts w:cs="Times New Roman"/>
                <w:sz w:val="20"/>
              </w:rPr>
              <w:t>交付成果与需求</w:t>
            </w:r>
            <w:r>
              <w:rPr>
                <w:rFonts w:hint="eastAsia" w:cs="Times New Roman"/>
                <w:sz w:val="20"/>
              </w:rPr>
              <w:t>契合度</w:t>
            </w:r>
            <w:r>
              <w:rPr>
                <w:rFonts w:cs="Times New Roman"/>
                <w:sz w:val="20"/>
              </w:rPr>
              <w:t>差距较大，无法达到合同约定的预期目标</w:t>
            </w:r>
            <w:r>
              <w:rPr>
                <w:rFonts w:hint="eastAsia" w:cs="Times New Roman"/>
                <w:sz w:val="20"/>
              </w:rPr>
              <w:t>。</w:t>
            </w:r>
          </w:p>
        </w:tc>
        <w:tc>
          <w:tcPr>
            <w:tcW w:w="2410" w:type="dxa"/>
            <w:tcBorders>
              <w:left w:val="single" w:color="auto" w:sz="4" w:space="0"/>
            </w:tcBorders>
            <w:vAlign w:val="center"/>
          </w:tcPr>
          <w:p w14:paraId="2F8E438E">
            <w:pPr>
              <w:ind w:firstLine="0" w:firstLineChars="0"/>
              <w:rPr>
                <w:rFonts w:cs="Times New Roman"/>
                <w:sz w:val="20"/>
              </w:rPr>
            </w:pPr>
            <w:r>
              <w:rPr>
                <w:rFonts w:hint="eastAsia" w:cs="Times New Roman"/>
                <w:sz w:val="20"/>
              </w:rPr>
              <w:t>交付成果每缺少一项扣除乙方金额人民币2</w:t>
            </w:r>
            <w:r>
              <w:rPr>
                <w:rFonts w:cs="Times New Roman"/>
                <w:sz w:val="20"/>
              </w:rPr>
              <w:t>000</w:t>
            </w:r>
            <w:r>
              <w:rPr>
                <w:rFonts w:hint="eastAsia" w:cs="Times New Roman"/>
                <w:sz w:val="20"/>
              </w:rPr>
              <w:t>元；每有一项交付成果质量不合格扣除乙方金额人民币2</w:t>
            </w:r>
            <w:r>
              <w:rPr>
                <w:rFonts w:cs="Times New Roman"/>
                <w:sz w:val="20"/>
              </w:rPr>
              <w:t>000</w:t>
            </w:r>
            <w:r>
              <w:rPr>
                <w:rFonts w:hint="eastAsia" w:cs="Times New Roman"/>
                <w:sz w:val="20"/>
              </w:rPr>
              <w:t>元。</w:t>
            </w:r>
          </w:p>
        </w:tc>
        <w:tc>
          <w:tcPr>
            <w:tcW w:w="1134" w:type="dxa"/>
            <w:tcBorders>
              <w:left w:val="single" w:color="auto" w:sz="4" w:space="0"/>
            </w:tcBorders>
            <w:vAlign w:val="center"/>
          </w:tcPr>
          <w:p w14:paraId="53FDA058">
            <w:pPr>
              <w:ind w:firstLine="0" w:firstLineChars="0"/>
              <w:rPr>
                <w:rFonts w:cs="Times New Roman"/>
                <w:sz w:val="20"/>
              </w:rPr>
            </w:pPr>
          </w:p>
        </w:tc>
        <w:tc>
          <w:tcPr>
            <w:tcW w:w="1086" w:type="dxa"/>
            <w:tcBorders>
              <w:left w:val="single" w:color="auto" w:sz="4" w:space="0"/>
            </w:tcBorders>
            <w:vAlign w:val="center"/>
          </w:tcPr>
          <w:p w14:paraId="3741A9AC">
            <w:pPr>
              <w:ind w:firstLine="0" w:firstLineChars="0"/>
              <w:rPr>
                <w:rFonts w:cs="Times New Roman"/>
                <w:sz w:val="20"/>
              </w:rPr>
            </w:pPr>
          </w:p>
        </w:tc>
      </w:tr>
      <w:tr w14:paraId="1604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7A6C145">
            <w:pPr>
              <w:ind w:firstLine="0" w:firstLineChars="0"/>
              <w:jc w:val="center"/>
              <w:rPr>
                <w:rFonts w:cs="Times New Roman"/>
                <w:sz w:val="20"/>
              </w:rPr>
            </w:pPr>
            <w:r>
              <w:rPr>
                <w:rFonts w:hint="eastAsia" w:cs="Times New Roman"/>
                <w:sz w:val="20"/>
              </w:rPr>
              <w:t>2</w:t>
            </w:r>
          </w:p>
        </w:tc>
        <w:tc>
          <w:tcPr>
            <w:tcW w:w="1134" w:type="dxa"/>
            <w:vMerge w:val="continue"/>
            <w:tcBorders>
              <w:left w:val="single" w:color="auto" w:sz="4" w:space="0"/>
            </w:tcBorders>
          </w:tcPr>
          <w:p w14:paraId="0388B8DE">
            <w:pPr>
              <w:ind w:firstLine="400"/>
              <w:rPr>
                <w:sz w:val="20"/>
                <w:szCs w:val="18"/>
              </w:rPr>
            </w:pPr>
          </w:p>
        </w:tc>
        <w:tc>
          <w:tcPr>
            <w:tcW w:w="1559" w:type="dxa"/>
            <w:tcBorders>
              <w:left w:val="single" w:color="auto" w:sz="4" w:space="0"/>
            </w:tcBorders>
            <w:vAlign w:val="center"/>
          </w:tcPr>
          <w:p w14:paraId="5B4C8B1B">
            <w:pPr>
              <w:ind w:firstLine="0" w:firstLineChars="0"/>
              <w:rPr>
                <w:rFonts w:cs="Times New Roman"/>
                <w:sz w:val="20"/>
              </w:rPr>
            </w:pPr>
            <w:r>
              <w:rPr>
                <w:rFonts w:cs="Times New Roman"/>
                <w:sz w:val="20"/>
              </w:rPr>
              <w:t>成果交付延期情况</w:t>
            </w:r>
          </w:p>
        </w:tc>
        <w:tc>
          <w:tcPr>
            <w:tcW w:w="2268" w:type="dxa"/>
            <w:tcBorders>
              <w:left w:val="single" w:color="auto" w:sz="4" w:space="0"/>
            </w:tcBorders>
            <w:vAlign w:val="center"/>
          </w:tcPr>
          <w:p w14:paraId="275FDD76">
            <w:pPr>
              <w:ind w:firstLine="0" w:firstLineChars="0"/>
              <w:rPr>
                <w:rFonts w:cs="Times New Roman"/>
                <w:sz w:val="20"/>
              </w:rPr>
            </w:pPr>
            <w:r>
              <w:rPr>
                <w:rFonts w:cs="Times New Roman"/>
                <w:sz w:val="20"/>
              </w:rPr>
              <w:t>用于记录</w:t>
            </w:r>
            <w:r>
              <w:rPr>
                <w:rFonts w:hint="eastAsia" w:cs="Times New Roman"/>
                <w:sz w:val="20"/>
              </w:rPr>
              <w:t>因乙方原因导致</w:t>
            </w:r>
            <w:r>
              <w:rPr>
                <w:rFonts w:cs="Times New Roman"/>
                <w:sz w:val="20"/>
              </w:rPr>
              <w:t>项目交付成果时间与合同规定时间之间的差距</w:t>
            </w:r>
          </w:p>
        </w:tc>
        <w:tc>
          <w:tcPr>
            <w:tcW w:w="3686" w:type="dxa"/>
            <w:tcBorders>
              <w:left w:val="single" w:color="auto" w:sz="4" w:space="0"/>
            </w:tcBorders>
            <w:vAlign w:val="center"/>
          </w:tcPr>
          <w:p w14:paraId="4516C461">
            <w:pPr>
              <w:ind w:firstLine="0" w:firstLineChars="0"/>
              <w:rPr>
                <w:rFonts w:cs="Times New Roman"/>
                <w:sz w:val="20"/>
              </w:rPr>
            </w:pPr>
            <w:r>
              <w:rPr>
                <w:rFonts w:hint="eastAsia" w:cs="Times New Roman"/>
                <w:sz w:val="20"/>
              </w:rPr>
              <w:t>实</w:t>
            </w:r>
            <w:r>
              <w:rPr>
                <w:rFonts w:cs="Times New Roman"/>
                <w:sz w:val="20"/>
              </w:rPr>
              <w:t>际交付成果日期与合同约定交付日期之差</w:t>
            </w:r>
          </w:p>
          <w:p w14:paraId="6778E3B6">
            <w:pPr>
              <w:ind w:firstLine="0" w:firstLineChars="0"/>
              <w:rPr>
                <w:rFonts w:cs="Times New Roman"/>
                <w:sz w:val="20"/>
              </w:rPr>
            </w:pPr>
            <w:r>
              <w:rPr>
                <w:rFonts w:hint="eastAsia" w:cs="Times New Roman"/>
                <w:b/>
                <w:bCs/>
                <w:sz w:val="20"/>
              </w:rPr>
              <w:t>【得分上限5分】</w:t>
            </w:r>
          </w:p>
          <w:p w14:paraId="5383CB42">
            <w:pPr>
              <w:ind w:firstLine="0" w:firstLineChars="0"/>
              <w:rPr>
                <w:rFonts w:cs="Times New Roman"/>
                <w:sz w:val="20"/>
              </w:rPr>
            </w:pPr>
            <w:r>
              <w:rPr>
                <w:rFonts w:hint="eastAsia" w:cs="Times New Roman"/>
                <w:b/>
                <w:bCs/>
                <w:sz w:val="20"/>
              </w:rPr>
              <w:t>无延期：</w:t>
            </w:r>
            <w:r>
              <w:rPr>
                <w:rFonts w:hint="eastAsia" w:cs="Times New Roman"/>
                <w:sz w:val="20"/>
              </w:rPr>
              <w:t>指未出现延期，该项指标满分；</w:t>
            </w:r>
          </w:p>
          <w:p w14:paraId="01FB718D">
            <w:pPr>
              <w:ind w:firstLine="0" w:firstLineChars="0"/>
              <w:rPr>
                <w:rFonts w:cs="Times New Roman"/>
                <w:sz w:val="20"/>
              </w:rPr>
            </w:pPr>
            <w:r>
              <w:rPr>
                <w:rFonts w:hint="eastAsia" w:cs="Times New Roman"/>
                <w:b/>
                <w:bCs/>
                <w:sz w:val="20"/>
              </w:rPr>
              <w:t>0＜延期≤3个月：</w:t>
            </w:r>
            <w:r>
              <w:rPr>
                <w:rFonts w:hint="eastAsia" w:cs="Times New Roman"/>
                <w:sz w:val="20"/>
              </w:rPr>
              <w:t>扣2分，指出现延期3个月</w:t>
            </w:r>
            <w:r>
              <w:rPr>
                <w:rFonts w:cs="Times New Roman"/>
                <w:sz w:val="20"/>
              </w:rPr>
              <w:t>（含）</w:t>
            </w:r>
            <w:r>
              <w:rPr>
                <w:rFonts w:hint="eastAsia" w:cs="Times New Roman"/>
                <w:sz w:val="20"/>
              </w:rPr>
              <w:t>以内；</w:t>
            </w:r>
          </w:p>
          <w:p w14:paraId="0EBBC69D">
            <w:pPr>
              <w:ind w:firstLine="0" w:firstLineChars="0"/>
              <w:rPr>
                <w:rFonts w:cs="Times New Roman"/>
                <w:sz w:val="20"/>
              </w:rPr>
            </w:pPr>
            <w:r>
              <w:rPr>
                <w:rFonts w:hint="eastAsia" w:cs="Times New Roman"/>
                <w:b/>
                <w:bCs/>
                <w:sz w:val="20"/>
              </w:rPr>
              <w:t>3＜延期≤6个月：</w:t>
            </w:r>
            <w:r>
              <w:rPr>
                <w:rFonts w:hint="eastAsia" w:cs="Times New Roman"/>
                <w:sz w:val="20"/>
              </w:rPr>
              <w:t>扣3分，指出现延期大于3个月且小于等于6个月；</w:t>
            </w:r>
          </w:p>
          <w:p w14:paraId="1FEC3BED">
            <w:pPr>
              <w:ind w:firstLine="0" w:firstLineChars="0"/>
              <w:rPr>
                <w:rFonts w:cs="Times New Roman"/>
                <w:b/>
                <w:bCs/>
                <w:sz w:val="20"/>
              </w:rPr>
            </w:pPr>
            <w:r>
              <w:rPr>
                <w:rFonts w:hint="eastAsia" w:cs="Times New Roman"/>
                <w:b/>
                <w:bCs/>
                <w:sz w:val="20"/>
              </w:rPr>
              <w:t>延期6个月以上：</w:t>
            </w:r>
            <w:r>
              <w:rPr>
                <w:rFonts w:hint="eastAsia" w:cs="Times New Roman"/>
                <w:sz w:val="20"/>
              </w:rPr>
              <w:t>扣5分，指出现延期6个月以上。</w:t>
            </w:r>
          </w:p>
        </w:tc>
        <w:tc>
          <w:tcPr>
            <w:tcW w:w="2410" w:type="dxa"/>
            <w:tcBorders>
              <w:left w:val="single" w:color="auto" w:sz="4" w:space="0"/>
            </w:tcBorders>
            <w:vAlign w:val="center"/>
          </w:tcPr>
          <w:p w14:paraId="7C6C4892">
            <w:pPr>
              <w:ind w:firstLine="0" w:firstLineChars="0"/>
              <w:rPr>
                <w:rFonts w:cs="Times New Roman"/>
                <w:b/>
                <w:bCs/>
                <w:sz w:val="20"/>
              </w:rPr>
            </w:pPr>
            <w:r>
              <w:rPr>
                <w:rFonts w:hint="eastAsia" w:cs="Times New Roman"/>
                <w:sz w:val="20"/>
              </w:rPr>
              <w:t>若延期超过1个月，每延期增加一天扣除合同总金额的0.1%（注：最多扣除不超过合同总金额的10%）。</w:t>
            </w:r>
          </w:p>
        </w:tc>
        <w:tc>
          <w:tcPr>
            <w:tcW w:w="1134" w:type="dxa"/>
            <w:tcBorders>
              <w:left w:val="single" w:color="auto" w:sz="4" w:space="0"/>
            </w:tcBorders>
            <w:vAlign w:val="center"/>
          </w:tcPr>
          <w:p w14:paraId="4FA41AA3">
            <w:pPr>
              <w:ind w:firstLine="0" w:firstLineChars="0"/>
              <w:rPr>
                <w:rFonts w:cs="Times New Roman"/>
                <w:sz w:val="20"/>
              </w:rPr>
            </w:pPr>
          </w:p>
        </w:tc>
        <w:tc>
          <w:tcPr>
            <w:tcW w:w="1086" w:type="dxa"/>
            <w:tcBorders>
              <w:left w:val="single" w:color="auto" w:sz="4" w:space="0"/>
            </w:tcBorders>
            <w:vAlign w:val="center"/>
          </w:tcPr>
          <w:p w14:paraId="3772CEC7">
            <w:pPr>
              <w:ind w:firstLine="0" w:firstLineChars="0"/>
              <w:rPr>
                <w:rFonts w:cs="Times New Roman"/>
                <w:sz w:val="20"/>
              </w:rPr>
            </w:pPr>
          </w:p>
        </w:tc>
      </w:tr>
      <w:tr w14:paraId="5DF0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9B7DD9C">
            <w:pPr>
              <w:ind w:firstLine="0" w:firstLineChars="0"/>
              <w:jc w:val="center"/>
              <w:rPr>
                <w:rFonts w:cs="Times New Roman"/>
                <w:sz w:val="20"/>
              </w:rPr>
            </w:pPr>
            <w:r>
              <w:rPr>
                <w:rFonts w:hint="eastAsia" w:cs="Times New Roman"/>
                <w:sz w:val="20"/>
              </w:rPr>
              <w:t>3</w:t>
            </w:r>
          </w:p>
        </w:tc>
        <w:tc>
          <w:tcPr>
            <w:tcW w:w="1134" w:type="dxa"/>
            <w:vMerge w:val="continue"/>
            <w:tcBorders>
              <w:left w:val="single" w:color="auto" w:sz="4" w:space="0"/>
            </w:tcBorders>
          </w:tcPr>
          <w:p w14:paraId="4DCE1E2F">
            <w:pPr>
              <w:ind w:firstLine="400"/>
              <w:rPr>
                <w:sz w:val="20"/>
                <w:szCs w:val="18"/>
              </w:rPr>
            </w:pPr>
          </w:p>
        </w:tc>
        <w:tc>
          <w:tcPr>
            <w:tcW w:w="1559" w:type="dxa"/>
            <w:tcBorders>
              <w:left w:val="single" w:color="auto" w:sz="4" w:space="0"/>
            </w:tcBorders>
            <w:vAlign w:val="center"/>
          </w:tcPr>
          <w:p w14:paraId="5B449C75">
            <w:pPr>
              <w:ind w:firstLine="0" w:firstLineChars="0"/>
              <w:rPr>
                <w:rFonts w:cs="Times New Roman"/>
                <w:sz w:val="20"/>
              </w:rPr>
            </w:pPr>
            <w:r>
              <w:rPr>
                <w:rFonts w:cs="Times New Roman"/>
                <w:sz w:val="20"/>
              </w:rPr>
              <w:t>产品缺陷密度</w:t>
            </w:r>
          </w:p>
        </w:tc>
        <w:tc>
          <w:tcPr>
            <w:tcW w:w="2268" w:type="dxa"/>
            <w:tcBorders>
              <w:left w:val="single" w:color="auto" w:sz="4" w:space="0"/>
            </w:tcBorders>
            <w:vAlign w:val="center"/>
          </w:tcPr>
          <w:p w14:paraId="03167406">
            <w:pPr>
              <w:ind w:firstLine="0" w:firstLineChars="0"/>
              <w:rPr>
                <w:rFonts w:cs="Times New Roman"/>
                <w:sz w:val="20"/>
              </w:rPr>
            </w:pPr>
            <w:r>
              <w:rPr>
                <w:rFonts w:cs="Times New Roman"/>
                <w:sz w:val="20"/>
              </w:rPr>
              <w:t>用于记录统计周期内单位功能</w:t>
            </w:r>
            <w:r>
              <w:rPr>
                <w:rFonts w:hint="eastAsia" w:cs="Times New Roman"/>
                <w:sz w:val="20"/>
              </w:rPr>
              <w:t>（案例）</w:t>
            </w:r>
            <w:r>
              <w:rPr>
                <w:rFonts w:cs="Times New Roman"/>
                <w:sz w:val="20"/>
              </w:rPr>
              <w:t>点发现的缺陷数量</w:t>
            </w:r>
          </w:p>
        </w:tc>
        <w:tc>
          <w:tcPr>
            <w:tcW w:w="3686" w:type="dxa"/>
            <w:tcBorders>
              <w:left w:val="single" w:color="auto" w:sz="4" w:space="0"/>
            </w:tcBorders>
            <w:vAlign w:val="center"/>
          </w:tcPr>
          <w:p w14:paraId="57CA53B0">
            <w:pPr>
              <w:ind w:firstLine="0" w:firstLineChars="0"/>
              <w:rPr>
                <w:rFonts w:cs="Times New Roman"/>
                <w:sz w:val="20"/>
              </w:rPr>
            </w:pPr>
            <w:r>
              <w:rPr>
                <w:rFonts w:hint="eastAsia" w:cs="Times New Roman"/>
                <w:sz w:val="20"/>
              </w:rPr>
              <w:t>产</w:t>
            </w:r>
            <w:r>
              <w:rPr>
                <w:rFonts w:cs="Times New Roman"/>
                <w:sz w:val="20"/>
              </w:rPr>
              <w:t>品缺陷密度=统计周期内发现的该系统有效缺陷数/统计周期内该系统功能点总数</w:t>
            </w:r>
            <w:r>
              <w:rPr>
                <w:rFonts w:hint="eastAsia" w:cs="Times New Roman"/>
                <w:sz w:val="20"/>
              </w:rPr>
              <w:t>（案例数）</w:t>
            </w:r>
          </w:p>
          <w:p w14:paraId="041466E2">
            <w:pPr>
              <w:ind w:firstLine="0" w:firstLineChars="0"/>
              <w:rPr>
                <w:rFonts w:cs="Times New Roman"/>
                <w:b/>
                <w:sz w:val="20"/>
              </w:rPr>
            </w:pPr>
            <w:r>
              <w:rPr>
                <w:rFonts w:hint="eastAsia" w:cs="Times New Roman"/>
                <w:b/>
                <w:sz w:val="20"/>
              </w:rPr>
              <w:t>10分【0-5%】</w:t>
            </w:r>
          </w:p>
          <w:p w14:paraId="589B35FC">
            <w:pPr>
              <w:ind w:firstLine="0" w:firstLineChars="0"/>
              <w:rPr>
                <w:rFonts w:cs="Times New Roman"/>
                <w:b/>
                <w:sz w:val="20"/>
              </w:rPr>
            </w:pPr>
            <w:r>
              <w:rPr>
                <w:rFonts w:hint="eastAsia" w:cs="Times New Roman"/>
                <w:b/>
                <w:sz w:val="20"/>
              </w:rPr>
              <w:t>5分【5%-20%】</w:t>
            </w:r>
          </w:p>
          <w:p w14:paraId="60F9AAB2">
            <w:pPr>
              <w:ind w:firstLine="0" w:firstLineChars="0"/>
              <w:rPr>
                <w:rFonts w:cs="Times New Roman"/>
                <w:b/>
                <w:sz w:val="20"/>
              </w:rPr>
            </w:pPr>
            <w:r>
              <w:rPr>
                <w:rFonts w:hint="eastAsia" w:cs="Times New Roman"/>
                <w:b/>
                <w:sz w:val="20"/>
              </w:rPr>
              <w:t>0分【超过20%】</w:t>
            </w:r>
          </w:p>
        </w:tc>
        <w:tc>
          <w:tcPr>
            <w:tcW w:w="2410" w:type="dxa"/>
            <w:tcBorders>
              <w:left w:val="single" w:color="auto" w:sz="4" w:space="0"/>
            </w:tcBorders>
            <w:vAlign w:val="center"/>
          </w:tcPr>
          <w:p w14:paraId="5EB3976C">
            <w:pPr>
              <w:ind w:firstLine="0" w:firstLineChars="0"/>
              <w:rPr>
                <w:rFonts w:cs="Times New Roman"/>
                <w:sz w:val="20"/>
              </w:rPr>
            </w:pPr>
            <w:r>
              <w:rPr>
                <w:rFonts w:hint="eastAsia" w:cs="Times New Roman"/>
                <w:sz w:val="20"/>
              </w:rPr>
              <w:t>产</w:t>
            </w:r>
            <w:r>
              <w:rPr>
                <w:rFonts w:cs="Times New Roman"/>
                <w:sz w:val="20"/>
              </w:rPr>
              <w:t>品缺</w:t>
            </w:r>
            <w:r>
              <w:rPr>
                <w:rFonts w:hint="eastAsia" w:cs="Times New Roman"/>
                <w:sz w:val="20"/>
              </w:rPr>
              <w:t>陷</w:t>
            </w:r>
            <w:r>
              <w:rPr>
                <w:rFonts w:cs="Times New Roman"/>
                <w:sz w:val="20"/>
              </w:rPr>
              <w:t>密度</w:t>
            </w:r>
            <w:r>
              <w:rPr>
                <w:rFonts w:hint="eastAsia" w:cs="Times New Roman"/>
                <w:sz w:val="20"/>
              </w:rPr>
              <w:t>超过20%，缺陷密度每增加1%扣除合同总金额的0.1%。</w:t>
            </w:r>
          </w:p>
        </w:tc>
        <w:tc>
          <w:tcPr>
            <w:tcW w:w="1134" w:type="dxa"/>
            <w:tcBorders>
              <w:left w:val="single" w:color="auto" w:sz="4" w:space="0"/>
            </w:tcBorders>
            <w:vAlign w:val="center"/>
          </w:tcPr>
          <w:p w14:paraId="3C7D0219">
            <w:pPr>
              <w:ind w:firstLine="0" w:firstLineChars="0"/>
              <w:rPr>
                <w:rFonts w:cs="Times New Roman"/>
                <w:sz w:val="20"/>
              </w:rPr>
            </w:pPr>
          </w:p>
        </w:tc>
        <w:tc>
          <w:tcPr>
            <w:tcW w:w="1086" w:type="dxa"/>
            <w:tcBorders>
              <w:left w:val="single" w:color="auto" w:sz="4" w:space="0"/>
            </w:tcBorders>
            <w:vAlign w:val="center"/>
          </w:tcPr>
          <w:p w14:paraId="69A0FED7">
            <w:pPr>
              <w:ind w:firstLine="0" w:firstLineChars="0"/>
              <w:rPr>
                <w:rFonts w:cs="Times New Roman"/>
                <w:sz w:val="20"/>
              </w:rPr>
            </w:pPr>
          </w:p>
        </w:tc>
      </w:tr>
      <w:tr w14:paraId="1208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87FED4C">
            <w:pPr>
              <w:ind w:firstLine="0" w:firstLineChars="0"/>
              <w:jc w:val="center"/>
              <w:rPr>
                <w:rFonts w:cs="Times New Roman"/>
                <w:sz w:val="20"/>
              </w:rPr>
            </w:pPr>
            <w:r>
              <w:rPr>
                <w:rFonts w:hint="eastAsia" w:cs="Times New Roman"/>
                <w:sz w:val="20"/>
              </w:rPr>
              <w:t>4</w:t>
            </w:r>
          </w:p>
        </w:tc>
        <w:tc>
          <w:tcPr>
            <w:tcW w:w="1134" w:type="dxa"/>
            <w:vMerge w:val="continue"/>
            <w:tcBorders>
              <w:left w:val="single" w:color="auto" w:sz="4" w:space="0"/>
            </w:tcBorders>
          </w:tcPr>
          <w:p w14:paraId="4B36885E">
            <w:pPr>
              <w:ind w:firstLine="400"/>
              <w:rPr>
                <w:sz w:val="20"/>
                <w:szCs w:val="18"/>
              </w:rPr>
            </w:pPr>
          </w:p>
        </w:tc>
        <w:tc>
          <w:tcPr>
            <w:tcW w:w="1559" w:type="dxa"/>
            <w:tcBorders>
              <w:left w:val="single" w:color="auto" w:sz="4" w:space="0"/>
            </w:tcBorders>
            <w:vAlign w:val="center"/>
          </w:tcPr>
          <w:p w14:paraId="3507B302">
            <w:pPr>
              <w:ind w:firstLine="0" w:firstLineChars="0"/>
              <w:rPr>
                <w:rFonts w:cs="Times New Roman"/>
                <w:sz w:val="20"/>
              </w:rPr>
            </w:pPr>
            <w:r>
              <w:rPr>
                <w:rFonts w:cs="Times New Roman"/>
                <w:sz w:val="20"/>
              </w:rPr>
              <w:t>缺陷</w:t>
            </w:r>
            <w:r>
              <w:rPr>
                <w:rFonts w:hint="eastAsia" w:cs="Times New Roman"/>
                <w:sz w:val="20"/>
              </w:rPr>
              <w:t>解决率</w:t>
            </w:r>
          </w:p>
        </w:tc>
        <w:tc>
          <w:tcPr>
            <w:tcW w:w="2268" w:type="dxa"/>
            <w:tcBorders>
              <w:left w:val="single" w:color="auto" w:sz="4" w:space="0"/>
            </w:tcBorders>
            <w:vAlign w:val="center"/>
          </w:tcPr>
          <w:p w14:paraId="5688EB10">
            <w:pPr>
              <w:ind w:firstLine="0" w:firstLineChars="0"/>
              <w:rPr>
                <w:rFonts w:cs="Times New Roman"/>
                <w:sz w:val="20"/>
              </w:rPr>
            </w:pPr>
            <w:r>
              <w:rPr>
                <w:rFonts w:cs="Times New Roman"/>
                <w:sz w:val="20"/>
              </w:rPr>
              <w:t>用于记录统计周期内测试发现的缺陷中已解决缺陷的比例</w:t>
            </w:r>
          </w:p>
        </w:tc>
        <w:tc>
          <w:tcPr>
            <w:tcW w:w="3686" w:type="dxa"/>
            <w:tcBorders>
              <w:left w:val="single" w:color="auto" w:sz="4" w:space="0"/>
            </w:tcBorders>
            <w:vAlign w:val="center"/>
          </w:tcPr>
          <w:p w14:paraId="77563567">
            <w:pPr>
              <w:ind w:firstLine="0" w:firstLineChars="0"/>
              <w:rPr>
                <w:rFonts w:cs="Times New Roman"/>
                <w:sz w:val="20"/>
              </w:rPr>
            </w:pPr>
            <w:r>
              <w:rPr>
                <w:rFonts w:cs="Times New Roman"/>
                <w:sz w:val="20"/>
              </w:rPr>
              <w:t>缺陷解决率=统计周期内测试发现的有效缺陷中已解决的数量/统计周期内测试发现的有效缺陷总数量</w:t>
            </w:r>
          </w:p>
          <w:p w14:paraId="13975124">
            <w:pPr>
              <w:ind w:firstLine="0" w:firstLineChars="0"/>
              <w:rPr>
                <w:rFonts w:cs="Times New Roman"/>
                <w:b/>
                <w:sz w:val="20"/>
              </w:rPr>
            </w:pPr>
            <w:r>
              <w:rPr>
                <w:rFonts w:hint="eastAsia" w:cs="Times New Roman"/>
                <w:b/>
                <w:sz w:val="20"/>
              </w:rPr>
              <w:t>10分【98%-100%】</w:t>
            </w:r>
          </w:p>
          <w:p w14:paraId="7D6667A8">
            <w:pPr>
              <w:ind w:firstLine="0" w:firstLineChars="0"/>
              <w:rPr>
                <w:rFonts w:cs="Times New Roman"/>
                <w:b/>
                <w:sz w:val="20"/>
              </w:rPr>
            </w:pPr>
            <w:r>
              <w:rPr>
                <w:rFonts w:hint="eastAsia" w:cs="Times New Roman"/>
                <w:b/>
                <w:sz w:val="20"/>
              </w:rPr>
              <w:t>5分【95%-97%】</w:t>
            </w:r>
          </w:p>
          <w:p w14:paraId="32A31472">
            <w:pPr>
              <w:ind w:firstLine="0" w:firstLineChars="0"/>
              <w:rPr>
                <w:rFonts w:cs="Times New Roman"/>
                <w:b/>
                <w:sz w:val="20"/>
              </w:rPr>
            </w:pPr>
            <w:r>
              <w:rPr>
                <w:rFonts w:hint="eastAsia" w:cs="Times New Roman"/>
                <w:b/>
                <w:sz w:val="20"/>
              </w:rPr>
              <w:t>0分【低于95%】</w:t>
            </w:r>
          </w:p>
        </w:tc>
        <w:tc>
          <w:tcPr>
            <w:tcW w:w="2410" w:type="dxa"/>
            <w:tcBorders>
              <w:left w:val="single" w:color="auto" w:sz="4" w:space="0"/>
            </w:tcBorders>
            <w:vAlign w:val="center"/>
          </w:tcPr>
          <w:p w14:paraId="6BA6F325">
            <w:pPr>
              <w:ind w:firstLine="0" w:firstLineChars="0"/>
              <w:rPr>
                <w:rFonts w:cs="Times New Roman"/>
                <w:sz w:val="20"/>
              </w:rPr>
            </w:pPr>
            <w:r>
              <w:rPr>
                <w:rFonts w:hint="eastAsia" w:cs="Times New Roman"/>
                <w:sz w:val="20"/>
              </w:rPr>
              <w:t>若</w:t>
            </w:r>
            <w:r>
              <w:rPr>
                <w:rFonts w:cs="Times New Roman"/>
                <w:sz w:val="20"/>
              </w:rPr>
              <w:t>缺陷解决率</w:t>
            </w:r>
            <w:r>
              <w:rPr>
                <w:rFonts w:hint="eastAsia" w:cs="Times New Roman"/>
                <w:bCs/>
                <w:sz w:val="20"/>
              </w:rPr>
              <w:t>低于95</w:t>
            </w:r>
            <w:r>
              <w:rPr>
                <w:rFonts w:hint="eastAsia" w:cs="Times New Roman"/>
                <w:sz w:val="20"/>
              </w:rPr>
              <w:t>%，</w:t>
            </w:r>
            <w:r>
              <w:rPr>
                <w:rFonts w:cs="Times New Roman"/>
                <w:sz w:val="20"/>
              </w:rPr>
              <w:t>缺陷</w:t>
            </w:r>
            <w:r>
              <w:rPr>
                <w:rFonts w:hint="eastAsia" w:cs="Times New Roman"/>
                <w:sz w:val="20"/>
              </w:rPr>
              <w:t>解决率每低1%扣除合同总金额的0.1%。</w:t>
            </w:r>
          </w:p>
        </w:tc>
        <w:tc>
          <w:tcPr>
            <w:tcW w:w="1134" w:type="dxa"/>
            <w:tcBorders>
              <w:left w:val="single" w:color="auto" w:sz="4" w:space="0"/>
            </w:tcBorders>
            <w:vAlign w:val="center"/>
          </w:tcPr>
          <w:p w14:paraId="32DF4CF1">
            <w:pPr>
              <w:ind w:firstLine="0" w:firstLineChars="0"/>
              <w:rPr>
                <w:rFonts w:cs="Times New Roman"/>
                <w:sz w:val="20"/>
              </w:rPr>
            </w:pPr>
          </w:p>
        </w:tc>
        <w:tc>
          <w:tcPr>
            <w:tcW w:w="1086" w:type="dxa"/>
            <w:tcBorders>
              <w:left w:val="single" w:color="auto" w:sz="4" w:space="0"/>
            </w:tcBorders>
            <w:vAlign w:val="center"/>
          </w:tcPr>
          <w:p w14:paraId="4AADE850">
            <w:pPr>
              <w:ind w:firstLine="0" w:firstLineChars="0"/>
              <w:rPr>
                <w:rFonts w:cs="Times New Roman"/>
                <w:sz w:val="20"/>
              </w:rPr>
            </w:pPr>
          </w:p>
        </w:tc>
      </w:tr>
      <w:tr w14:paraId="4694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BE36FDE">
            <w:pPr>
              <w:ind w:firstLine="0" w:firstLineChars="0"/>
              <w:jc w:val="center"/>
              <w:rPr>
                <w:rFonts w:cs="Times New Roman"/>
                <w:sz w:val="20"/>
              </w:rPr>
            </w:pPr>
            <w:r>
              <w:rPr>
                <w:rFonts w:hint="eastAsia" w:cs="Times New Roman"/>
                <w:sz w:val="20"/>
              </w:rPr>
              <w:t>5</w:t>
            </w:r>
          </w:p>
        </w:tc>
        <w:tc>
          <w:tcPr>
            <w:tcW w:w="1134" w:type="dxa"/>
            <w:vMerge w:val="restart"/>
            <w:tcBorders>
              <w:left w:val="single" w:color="auto" w:sz="4" w:space="0"/>
            </w:tcBorders>
            <w:vAlign w:val="center"/>
          </w:tcPr>
          <w:p w14:paraId="26CC6D76">
            <w:pPr>
              <w:ind w:firstLine="0" w:firstLineChars="0"/>
              <w:rPr>
                <w:rFonts w:cs="Times New Roman"/>
                <w:sz w:val="20"/>
              </w:rPr>
            </w:pPr>
            <w:r>
              <w:rPr>
                <w:rFonts w:hint="eastAsia" w:cs="Times New Roman"/>
                <w:sz w:val="20"/>
              </w:rPr>
              <w:t>协议履行</w:t>
            </w:r>
          </w:p>
        </w:tc>
        <w:tc>
          <w:tcPr>
            <w:tcW w:w="1559" w:type="dxa"/>
            <w:tcBorders>
              <w:left w:val="single" w:color="auto" w:sz="4" w:space="0"/>
            </w:tcBorders>
            <w:vAlign w:val="center"/>
          </w:tcPr>
          <w:p w14:paraId="5845EE30">
            <w:pPr>
              <w:ind w:firstLine="0" w:firstLineChars="0"/>
              <w:rPr>
                <w:rFonts w:cs="Times New Roman"/>
                <w:sz w:val="20"/>
              </w:rPr>
            </w:pPr>
            <w:r>
              <w:rPr>
                <w:rFonts w:cs="Times New Roman"/>
                <w:sz w:val="20"/>
              </w:rPr>
              <w:t>重大事项报告</w:t>
            </w:r>
          </w:p>
        </w:tc>
        <w:tc>
          <w:tcPr>
            <w:tcW w:w="2268" w:type="dxa"/>
            <w:tcBorders>
              <w:left w:val="single" w:color="auto" w:sz="4" w:space="0"/>
            </w:tcBorders>
            <w:vAlign w:val="center"/>
          </w:tcPr>
          <w:p w14:paraId="6B0A24FE">
            <w:pPr>
              <w:ind w:firstLine="0" w:firstLineChars="0"/>
              <w:rPr>
                <w:rFonts w:cs="Times New Roman"/>
                <w:sz w:val="20"/>
              </w:rPr>
            </w:pPr>
            <w:r>
              <w:rPr>
                <w:rFonts w:hint="eastAsia" w:cs="Times New Roman"/>
                <w:sz w:val="20"/>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tcBorders>
              <w:left w:val="single" w:color="auto" w:sz="4" w:space="0"/>
            </w:tcBorders>
            <w:vAlign w:val="center"/>
          </w:tcPr>
          <w:p w14:paraId="0A9AD319">
            <w:pPr>
              <w:ind w:firstLine="0" w:firstLineChars="0"/>
              <w:rPr>
                <w:rFonts w:cs="Times New Roman"/>
                <w:sz w:val="20"/>
              </w:rPr>
            </w:pPr>
            <w:r>
              <w:rPr>
                <w:rFonts w:hint="eastAsia" w:cs="Times New Roman"/>
                <w:b/>
                <w:bCs/>
                <w:sz w:val="20"/>
              </w:rPr>
              <w:t>优秀：</w:t>
            </w:r>
            <w:r>
              <w:rPr>
                <w:rFonts w:hint="eastAsia" w:cs="Times New Roman"/>
                <w:sz w:val="20"/>
              </w:rPr>
              <w:t>5分，</w:t>
            </w:r>
            <w:r>
              <w:rPr>
                <w:rFonts w:cs="Times New Roman"/>
                <w:sz w:val="20"/>
              </w:rPr>
              <w:t>指无重大事项或当发生重大事项时，能够于24小时内</w:t>
            </w:r>
            <w:r>
              <w:rPr>
                <w:rFonts w:hint="eastAsia" w:cs="Times New Roman"/>
                <w:sz w:val="20"/>
              </w:rPr>
              <w:t>告知甲方；</w:t>
            </w:r>
          </w:p>
          <w:p w14:paraId="50976B13">
            <w:pPr>
              <w:ind w:firstLine="0" w:firstLineChars="0"/>
              <w:rPr>
                <w:rFonts w:cs="Times New Roman"/>
                <w:sz w:val="20"/>
              </w:rPr>
            </w:pPr>
            <w:r>
              <w:rPr>
                <w:rFonts w:hint="eastAsia" w:cs="Times New Roman"/>
                <w:b/>
                <w:bCs/>
                <w:sz w:val="20"/>
              </w:rPr>
              <w:t>良好：</w:t>
            </w:r>
            <w:r>
              <w:rPr>
                <w:rFonts w:hint="eastAsia" w:cs="Times New Roman"/>
                <w:sz w:val="20"/>
              </w:rPr>
              <w:t>4分，</w:t>
            </w:r>
            <w:r>
              <w:rPr>
                <w:rFonts w:cs="Times New Roman"/>
                <w:sz w:val="20"/>
              </w:rPr>
              <w:t>指当发生重大事项时，能够于一周内告知</w:t>
            </w:r>
            <w:r>
              <w:rPr>
                <w:rFonts w:hint="eastAsia" w:cs="Times New Roman"/>
                <w:sz w:val="20"/>
              </w:rPr>
              <w:t>甲方；</w:t>
            </w:r>
          </w:p>
          <w:p w14:paraId="23CF9412">
            <w:pPr>
              <w:ind w:firstLine="0" w:firstLineChars="0"/>
              <w:rPr>
                <w:rFonts w:cs="Times New Roman"/>
                <w:sz w:val="20"/>
              </w:rPr>
            </w:pPr>
            <w:r>
              <w:rPr>
                <w:rFonts w:hint="eastAsia" w:cs="Times New Roman"/>
                <w:b/>
                <w:bCs/>
                <w:sz w:val="20"/>
              </w:rPr>
              <w:t>合格：</w:t>
            </w:r>
            <w:r>
              <w:rPr>
                <w:rFonts w:hint="eastAsia" w:cs="Times New Roman"/>
                <w:sz w:val="20"/>
              </w:rPr>
              <w:t>3分，</w:t>
            </w:r>
            <w:r>
              <w:rPr>
                <w:rFonts w:cs="Times New Roman"/>
                <w:sz w:val="20"/>
              </w:rPr>
              <w:t>指当发生重大事项时，能够于一</w:t>
            </w:r>
            <w:r>
              <w:rPr>
                <w:rFonts w:hint="eastAsia" w:cs="Times New Roman"/>
                <w:sz w:val="20"/>
              </w:rPr>
              <w:t>月</w:t>
            </w:r>
            <w:r>
              <w:rPr>
                <w:rFonts w:cs="Times New Roman"/>
                <w:sz w:val="20"/>
              </w:rPr>
              <w:t>内告知</w:t>
            </w:r>
            <w:r>
              <w:rPr>
                <w:rFonts w:hint="eastAsia" w:cs="Times New Roman"/>
                <w:sz w:val="20"/>
              </w:rPr>
              <w:t>甲方；</w:t>
            </w:r>
          </w:p>
          <w:p w14:paraId="53840E43">
            <w:pPr>
              <w:ind w:firstLine="0" w:firstLineChars="0"/>
              <w:rPr>
                <w:rFonts w:cs="Times New Roman"/>
                <w:sz w:val="20"/>
              </w:rPr>
            </w:pPr>
            <w:r>
              <w:rPr>
                <w:rFonts w:hint="eastAsia" w:cs="Times New Roman"/>
                <w:b/>
                <w:bCs/>
                <w:sz w:val="20"/>
              </w:rPr>
              <w:t>较差/差</w:t>
            </w:r>
            <w:r>
              <w:rPr>
                <w:rFonts w:hint="eastAsia" w:cs="Times New Roman"/>
                <w:sz w:val="20"/>
              </w:rPr>
              <w:t>：0分，</w:t>
            </w:r>
            <w:r>
              <w:rPr>
                <w:rFonts w:cs="Times New Roman"/>
                <w:sz w:val="20"/>
              </w:rPr>
              <w:t>指当发生重大事项时，</w:t>
            </w:r>
            <w:r>
              <w:rPr>
                <w:rFonts w:hint="eastAsia" w:cs="Times New Roman"/>
                <w:sz w:val="20"/>
              </w:rPr>
              <w:t>未</w:t>
            </w:r>
            <w:r>
              <w:rPr>
                <w:rFonts w:cs="Times New Roman"/>
                <w:sz w:val="20"/>
              </w:rPr>
              <w:t>告知</w:t>
            </w:r>
            <w:r>
              <w:rPr>
                <w:rFonts w:hint="eastAsia" w:cs="Times New Roman"/>
                <w:sz w:val="20"/>
              </w:rPr>
              <w:t>甲方。</w:t>
            </w:r>
          </w:p>
        </w:tc>
        <w:tc>
          <w:tcPr>
            <w:tcW w:w="2410" w:type="dxa"/>
            <w:tcBorders>
              <w:left w:val="single" w:color="auto" w:sz="4" w:space="0"/>
            </w:tcBorders>
            <w:vAlign w:val="center"/>
          </w:tcPr>
          <w:p w14:paraId="2D2E726C">
            <w:pPr>
              <w:ind w:firstLine="0" w:firstLineChars="0"/>
              <w:rPr>
                <w:rFonts w:cs="Times New Roman"/>
                <w:sz w:val="20"/>
              </w:rPr>
            </w:pPr>
            <w:r>
              <w:rPr>
                <w:rFonts w:hint="eastAsia" w:cs="Times New Roman"/>
                <w:sz w:val="20"/>
              </w:rPr>
              <w:t>评价为较差/差时，甲方根据实际情况有权终止合同，并要求乙方赔偿实际损失。</w:t>
            </w:r>
          </w:p>
        </w:tc>
        <w:tc>
          <w:tcPr>
            <w:tcW w:w="1134" w:type="dxa"/>
            <w:tcBorders>
              <w:left w:val="single" w:color="auto" w:sz="4" w:space="0"/>
            </w:tcBorders>
            <w:vAlign w:val="center"/>
          </w:tcPr>
          <w:p w14:paraId="6BFBEC2A">
            <w:pPr>
              <w:ind w:firstLine="0" w:firstLineChars="0"/>
              <w:rPr>
                <w:rFonts w:cs="Times New Roman"/>
                <w:sz w:val="20"/>
              </w:rPr>
            </w:pPr>
          </w:p>
        </w:tc>
        <w:tc>
          <w:tcPr>
            <w:tcW w:w="1086" w:type="dxa"/>
            <w:tcBorders>
              <w:left w:val="single" w:color="auto" w:sz="4" w:space="0"/>
            </w:tcBorders>
            <w:vAlign w:val="center"/>
          </w:tcPr>
          <w:p w14:paraId="1E12C256">
            <w:pPr>
              <w:ind w:firstLine="0" w:firstLineChars="0"/>
              <w:rPr>
                <w:rFonts w:cs="Times New Roman"/>
                <w:sz w:val="20"/>
              </w:rPr>
            </w:pPr>
          </w:p>
        </w:tc>
      </w:tr>
      <w:tr w14:paraId="0F06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C0F808A">
            <w:pPr>
              <w:ind w:firstLine="0" w:firstLineChars="0"/>
              <w:jc w:val="center"/>
              <w:rPr>
                <w:rFonts w:cs="Times New Roman"/>
                <w:sz w:val="20"/>
              </w:rPr>
            </w:pPr>
            <w:r>
              <w:rPr>
                <w:rFonts w:hint="eastAsia" w:cs="Times New Roman"/>
                <w:sz w:val="20"/>
              </w:rPr>
              <w:t>6</w:t>
            </w:r>
          </w:p>
        </w:tc>
        <w:tc>
          <w:tcPr>
            <w:tcW w:w="1134" w:type="dxa"/>
            <w:vMerge w:val="continue"/>
            <w:tcBorders>
              <w:left w:val="single" w:color="auto" w:sz="4" w:space="0"/>
            </w:tcBorders>
          </w:tcPr>
          <w:p w14:paraId="619F3FE8">
            <w:pPr>
              <w:ind w:firstLine="400"/>
              <w:rPr>
                <w:sz w:val="20"/>
                <w:szCs w:val="18"/>
              </w:rPr>
            </w:pPr>
          </w:p>
        </w:tc>
        <w:tc>
          <w:tcPr>
            <w:tcW w:w="1559" w:type="dxa"/>
            <w:tcBorders>
              <w:left w:val="single" w:color="auto" w:sz="4" w:space="0"/>
            </w:tcBorders>
            <w:vAlign w:val="center"/>
          </w:tcPr>
          <w:p w14:paraId="6FE7591D">
            <w:pPr>
              <w:ind w:firstLine="0" w:firstLineChars="0"/>
              <w:rPr>
                <w:rFonts w:cs="Times New Roman"/>
                <w:sz w:val="20"/>
              </w:rPr>
            </w:pPr>
            <w:r>
              <w:rPr>
                <w:rFonts w:cs="Times New Roman"/>
                <w:sz w:val="20"/>
              </w:rPr>
              <w:t>重大</w:t>
            </w:r>
            <w:r>
              <w:rPr>
                <w:rFonts w:hint="eastAsia" w:cs="Times New Roman"/>
                <w:sz w:val="20"/>
              </w:rPr>
              <w:t>事件及质量缺陷</w:t>
            </w:r>
          </w:p>
        </w:tc>
        <w:tc>
          <w:tcPr>
            <w:tcW w:w="2268" w:type="dxa"/>
            <w:tcBorders>
              <w:left w:val="single" w:color="auto" w:sz="4" w:space="0"/>
            </w:tcBorders>
            <w:vAlign w:val="center"/>
          </w:tcPr>
          <w:p w14:paraId="0B6E5D00">
            <w:pPr>
              <w:ind w:firstLine="0" w:firstLineChars="0"/>
              <w:rPr>
                <w:rFonts w:cs="Times New Roman"/>
                <w:sz w:val="20"/>
              </w:rPr>
            </w:pPr>
            <w:r>
              <w:rPr>
                <w:rFonts w:hint="eastAsia" w:cs="Times New Roman"/>
                <w:sz w:val="20"/>
              </w:rPr>
              <w:t>用</w:t>
            </w:r>
            <w:r>
              <w:rPr>
                <w:rFonts w:cs="Times New Roman"/>
                <w:sz w:val="20"/>
              </w:rPr>
              <w:t>于记录</w:t>
            </w:r>
            <w:r>
              <w:rPr>
                <w:rFonts w:hint="eastAsia" w:cs="Times New Roman"/>
                <w:sz w:val="20"/>
              </w:rPr>
              <w:t>乙方在服务</w:t>
            </w:r>
            <w:r>
              <w:rPr>
                <w:rFonts w:cs="Times New Roman"/>
                <w:sz w:val="20"/>
              </w:rPr>
              <w:t>期内出现</w:t>
            </w:r>
            <w:r>
              <w:rPr>
                <w:rFonts w:hint="eastAsia" w:cs="Times New Roman"/>
                <w:sz w:val="20"/>
              </w:rPr>
              <w:t>以下重大事件及质量缺陷次数：</w:t>
            </w:r>
          </w:p>
          <w:p w14:paraId="5375B44F">
            <w:pPr>
              <w:ind w:firstLine="0" w:firstLineChars="0"/>
              <w:rPr>
                <w:rFonts w:cs="Times New Roman"/>
                <w:sz w:val="20"/>
              </w:rPr>
            </w:pPr>
            <w:r>
              <w:rPr>
                <w:rFonts w:hint="eastAsia" w:cs="Times New Roman"/>
                <w:sz w:val="20"/>
              </w:rPr>
              <w:t>a.应用软件出现I</w:t>
            </w:r>
            <w:r>
              <w:rPr>
                <w:rFonts w:cs="Times New Roman"/>
                <w:sz w:val="20"/>
              </w:rPr>
              <w:t>II</w:t>
            </w:r>
            <w:r>
              <w:rPr>
                <w:rFonts w:hint="eastAsia" w:cs="Times New Roman"/>
                <w:sz w:val="20"/>
              </w:rPr>
              <w:t>级（含）以上的运营中断事件；</w:t>
            </w:r>
          </w:p>
          <w:p w14:paraId="7B596F1F">
            <w:pPr>
              <w:ind w:firstLine="0" w:firstLineChars="0"/>
              <w:rPr>
                <w:rFonts w:cs="Times New Roman"/>
                <w:sz w:val="20"/>
              </w:rPr>
            </w:pPr>
            <w:r>
              <w:rPr>
                <w:rFonts w:hint="eastAsia" w:cs="Times New Roman"/>
                <w:sz w:val="20"/>
              </w:rPr>
              <w:t>b.因乙方原因（含乙方合作的第三方）导致甲方发生网络安全事件；</w:t>
            </w:r>
          </w:p>
          <w:p w14:paraId="3C12CF03">
            <w:pPr>
              <w:ind w:firstLine="0" w:firstLineChars="0"/>
              <w:rPr>
                <w:rFonts w:cs="Times New Roman"/>
                <w:sz w:val="20"/>
              </w:rPr>
            </w:pPr>
            <w:r>
              <w:rPr>
                <w:rFonts w:hint="eastAsia" w:cs="Times New Roman"/>
                <w:sz w:val="20"/>
              </w:rPr>
              <w:t>c.应用软件出现严重缺陷和致命缺陷。</w:t>
            </w:r>
          </w:p>
        </w:tc>
        <w:tc>
          <w:tcPr>
            <w:tcW w:w="3686" w:type="dxa"/>
            <w:tcBorders>
              <w:left w:val="single" w:color="auto" w:sz="4" w:space="0"/>
            </w:tcBorders>
            <w:vAlign w:val="center"/>
          </w:tcPr>
          <w:p w14:paraId="61DDC44E">
            <w:pPr>
              <w:ind w:firstLine="0" w:firstLineChars="0"/>
              <w:rPr>
                <w:rFonts w:cs="Times New Roman"/>
                <w:b/>
                <w:bCs/>
                <w:sz w:val="20"/>
              </w:rPr>
            </w:pPr>
            <w:r>
              <w:rPr>
                <w:rFonts w:hint="eastAsia" w:cs="Times New Roman"/>
                <w:b/>
                <w:bCs/>
                <w:sz w:val="20"/>
              </w:rPr>
              <w:t>【得分上限10分】</w:t>
            </w:r>
          </w:p>
          <w:p w14:paraId="52191296">
            <w:pPr>
              <w:ind w:firstLine="0" w:firstLineChars="0"/>
              <w:rPr>
                <w:rFonts w:cs="Times New Roman"/>
                <w:sz w:val="20"/>
              </w:rPr>
            </w:pPr>
            <w:r>
              <w:rPr>
                <w:rFonts w:hint="eastAsia" w:cs="Times New Roman"/>
                <w:b/>
                <w:bCs/>
                <w:sz w:val="20"/>
              </w:rPr>
              <w:t>0次：</w:t>
            </w:r>
            <w:r>
              <w:rPr>
                <w:rFonts w:hint="eastAsia" w:cs="Times New Roman"/>
                <w:sz w:val="20"/>
              </w:rPr>
              <w:t>指未出现</w:t>
            </w:r>
            <w:r>
              <w:rPr>
                <w:rFonts w:cs="Times New Roman"/>
                <w:sz w:val="20"/>
              </w:rPr>
              <w:t>重大事件</w:t>
            </w:r>
            <w:r>
              <w:rPr>
                <w:rFonts w:hint="eastAsia" w:cs="Times New Roman"/>
                <w:sz w:val="20"/>
              </w:rPr>
              <w:t>及质量缺陷，该项指标满分；</w:t>
            </w:r>
          </w:p>
          <w:p w14:paraId="5B797936">
            <w:pPr>
              <w:ind w:firstLine="0" w:firstLineChars="0"/>
              <w:rPr>
                <w:rFonts w:cs="Times New Roman"/>
                <w:sz w:val="20"/>
              </w:rPr>
            </w:pPr>
            <w:r>
              <w:rPr>
                <w:rFonts w:hint="eastAsia" w:cs="Times New Roman"/>
                <w:b/>
                <w:bCs/>
                <w:sz w:val="20"/>
              </w:rPr>
              <w:t>1次及以上：</w:t>
            </w:r>
            <w:r>
              <w:rPr>
                <w:rFonts w:hint="eastAsia" w:cs="Times New Roman"/>
                <w:sz w:val="20"/>
              </w:rPr>
              <w:t>0分，指出现1次及以上任意一项</w:t>
            </w:r>
            <w:r>
              <w:rPr>
                <w:rFonts w:cs="Times New Roman"/>
                <w:sz w:val="20"/>
              </w:rPr>
              <w:t>重大事件</w:t>
            </w:r>
            <w:r>
              <w:rPr>
                <w:rFonts w:hint="eastAsia" w:cs="Times New Roman"/>
                <w:sz w:val="20"/>
              </w:rPr>
              <w:t>或质量缺陷。</w:t>
            </w:r>
          </w:p>
        </w:tc>
        <w:tc>
          <w:tcPr>
            <w:tcW w:w="2410" w:type="dxa"/>
            <w:tcBorders>
              <w:left w:val="single" w:color="auto" w:sz="4" w:space="0"/>
            </w:tcBorders>
            <w:vAlign w:val="center"/>
          </w:tcPr>
          <w:p w14:paraId="48C78A21">
            <w:pPr>
              <w:ind w:firstLine="0" w:firstLineChars="0"/>
              <w:rPr>
                <w:rFonts w:cs="Times New Roman"/>
                <w:sz w:val="20"/>
              </w:rPr>
            </w:pPr>
            <w:r>
              <w:rPr>
                <w:rFonts w:hint="eastAsia" w:cs="Times New Roman"/>
                <w:sz w:val="20"/>
              </w:rPr>
              <w:t>每出现一次</w:t>
            </w:r>
            <w:r>
              <w:rPr>
                <w:rFonts w:cs="Times New Roman"/>
                <w:sz w:val="20"/>
              </w:rPr>
              <w:t>重大事件</w:t>
            </w:r>
            <w:r>
              <w:rPr>
                <w:rFonts w:hint="eastAsia" w:cs="Times New Roman"/>
                <w:sz w:val="20"/>
              </w:rPr>
              <w:t>或质量缺陷，扣除乙方合同总金额不低于5%（不低于2万元），并要求乙方赔偿实际损失。</w:t>
            </w:r>
          </w:p>
        </w:tc>
        <w:tc>
          <w:tcPr>
            <w:tcW w:w="1134" w:type="dxa"/>
            <w:tcBorders>
              <w:left w:val="single" w:color="auto" w:sz="4" w:space="0"/>
            </w:tcBorders>
            <w:vAlign w:val="center"/>
          </w:tcPr>
          <w:p w14:paraId="5415D8BA">
            <w:pPr>
              <w:ind w:firstLine="0" w:firstLineChars="0"/>
              <w:rPr>
                <w:rFonts w:cs="Times New Roman"/>
                <w:sz w:val="20"/>
              </w:rPr>
            </w:pPr>
          </w:p>
        </w:tc>
        <w:tc>
          <w:tcPr>
            <w:tcW w:w="1086" w:type="dxa"/>
            <w:tcBorders>
              <w:left w:val="single" w:color="auto" w:sz="4" w:space="0"/>
            </w:tcBorders>
            <w:vAlign w:val="center"/>
          </w:tcPr>
          <w:p w14:paraId="20F07869">
            <w:pPr>
              <w:ind w:firstLine="0" w:firstLineChars="0"/>
              <w:rPr>
                <w:rFonts w:cs="Times New Roman"/>
                <w:sz w:val="20"/>
              </w:rPr>
            </w:pPr>
          </w:p>
        </w:tc>
      </w:tr>
      <w:tr w14:paraId="384C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0F8909B">
            <w:pPr>
              <w:ind w:firstLine="0" w:firstLineChars="0"/>
              <w:jc w:val="center"/>
              <w:rPr>
                <w:rFonts w:cs="Times New Roman"/>
                <w:sz w:val="20"/>
              </w:rPr>
            </w:pPr>
            <w:r>
              <w:rPr>
                <w:rFonts w:hint="eastAsia" w:cs="Times New Roman"/>
                <w:sz w:val="20"/>
              </w:rPr>
              <w:t>7</w:t>
            </w:r>
          </w:p>
        </w:tc>
        <w:tc>
          <w:tcPr>
            <w:tcW w:w="1134" w:type="dxa"/>
            <w:vMerge w:val="continue"/>
            <w:tcBorders>
              <w:left w:val="single" w:color="auto" w:sz="4" w:space="0"/>
            </w:tcBorders>
          </w:tcPr>
          <w:p w14:paraId="1F2607A5">
            <w:pPr>
              <w:ind w:firstLine="400"/>
              <w:rPr>
                <w:sz w:val="20"/>
                <w:szCs w:val="18"/>
              </w:rPr>
            </w:pPr>
          </w:p>
        </w:tc>
        <w:tc>
          <w:tcPr>
            <w:tcW w:w="1559" w:type="dxa"/>
            <w:tcBorders>
              <w:left w:val="single" w:color="auto" w:sz="4" w:space="0"/>
            </w:tcBorders>
            <w:vAlign w:val="center"/>
          </w:tcPr>
          <w:p w14:paraId="5F3AF28B">
            <w:pPr>
              <w:ind w:firstLine="0" w:firstLineChars="0"/>
              <w:rPr>
                <w:rFonts w:cs="Times New Roman"/>
                <w:sz w:val="20"/>
              </w:rPr>
            </w:pPr>
            <w:r>
              <w:rPr>
                <w:rFonts w:hint="eastAsia" w:cs="Times New Roman"/>
                <w:sz w:val="20"/>
              </w:rPr>
              <w:t>信息安全管理</w:t>
            </w:r>
          </w:p>
        </w:tc>
        <w:tc>
          <w:tcPr>
            <w:tcW w:w="2268" w:type="dxa"/>
            <w:tcBorders>
              <w:left w:val="single" w:color="auto" w:sz="4" w:space="0"/>
            </w:tcBorders>
            <w:vAlign w:val="center"/>
          </w:tcPr>
          <w:p w14:paraId="0863834D">
            <w:pPr>
              <w:ind w:firstLine="0" w:firstLineChars="0"/>
              <w:rPr>
                <w:rFonts w:cs="Times New Roman"/>
                <w:sz w:val="20"/>
              </w:rPr>
            </w:pPr>
            <w:r>
              <w:rPr>
                <w:rFonts w:hint="eastAsia" w:cs="Times New Roman"/>
                <w:sz w:val="20"/>
              </w:rPr>
              <w:t>用</w:t>
            </w:r>
            <w:r>
              <w:rPr>
                <w:rFonts w:cs="Times New Roman"/>
                <w:sz w:val="20"/>
              </w:rPr>
              <w:t>于记录</w:t>
            </w:r>
            <w:r>
              <w:rPr>
                <w:rFonts w:hint="eastAsia" w:cs="Times New Roman"/>
                <w:sz w:val="20"/>
              </w:rPr>
              <w:t>乙方在服务</w:t>
            </w:r>
            <w:r>
              <w:rPr>
                <w:rFonts w:cs="Times New Roman"/>
                <w:sz w:val="20"/>
              </w:rPr>
              <w:t>期内</w:t>
            </w:r>
            <w:r>
              <w:rPr>
                <w:rFonts w:hint="eastAsia" w:cs="Times New Roman"/>
                <w:sz w:val="20"/>
              </w:rPr>
              <w:t>网络和信息安全服务的管理能力，针对发现的安全漏洞及安全缺陷（包括源代码、第三方SDK或第三方小程序、第三方软件产品及开源组件等），须按甲方要求完成整改</w:t>
            </w:r>
          </w:p>
        </w:tc>
        <w:tc>
          <w:tcPr>
            <w:tcW w:w="3686" w:type="dxa"/>
            <w:tcBorders>
              <w:left w:val="single" w:color="auto" w:sz="4" w:space="0"/>
            </w:tcBorders>
            <w:vAlign w:val="center"/>
          </w:tcPr>
          <w:p w14:paraId="44E7B910">
            <w:pPr>
              <w:ind w:firstLine="0" w:firstLineChars="0"/>
              <w:rPr>
                <w:rFonts w:cs="Times New Roman"/>
                <w:sz w:val="20"/>
              </w:rPr>
            </w:pPr>
            <w:r>
              <w:rPr>
                <w:rFonts w:hint="eastAsia" w:cs="Times New Roman"/>
                <w:sz w:val="20"/>
              </w:rPr>
              <w:t>互联网或电子银行类系统：</w:t>
            </w:r>
          </w:p>
          <w:p w14:paraId="19203002">
            <w:pPr>
              <w:ind w:firstLine="0" w:firstLineChars="0"/>
              <w:rPr>
                <w:rFonts w:cs="Times New Roman"/>
                <w:sz w:val="20"/>
              </w:rPr>
            </w:pPr>
            <w:r>
              <w:rPr>
                <w:rFonts w:hint="eastAsia" w:cs="Times New Roman"/>
                <w:sz w:val="20"/>
              </w:rPr>
              <w:t>1.安全漏洞及安全缺陷整改及时率=100%</w:t>
            </w:r>
          </w:p>
          <w:p w14:paraId="04EA561D">
            <w:pPr>
              <w:ind w:firstLine="0" w:firstLineChars="0"/>
              <w:rPr>
                <w:rFonts w:cs="Times New Roman"/>
                <w:sz w:val="20"/>
              </w:rPr>
            </w:pPr>
            <w:r>
              <w:rPr>
                <w:rFonts w:hint="eastAsia" w:cs="Times New Roman"/>
                <w:sz w:val="20"/>
              </w:rPr>
              <w:t>2.安全漏洞及安全缺陷整改通过率=100%</w:t>
            </w:r>
          </w:p>
          <w:p w14:paraId="0FFBCA60">
            <w:pPr>
              <w:ind w:firstLine="0" w:firstLineChars="0"/>
              <w:rPr>
                <w:rFonts w:cs="Times New Roman"/>
                <w:sz w:val="20"/>
              </w:rPr>
            </w:pPr>
            <w:r>
              <w:rPr>
                <w:rFonts w:hint="eastAsia" w:cs="Times New Roman"/>
                <w:sz w:val="20"/>
              </w:rPr>
              <w:t>非互联网或电子银行类系统：</w:t>
            </w:r>
          </w:p>
          <w:p w14:paraId="4E5F75B8">
            <w:pPr>
              <w:ind w:firstLine="0" w:firstLineChars="0"/>
              <w:rPr>
                <w:rFonts w:cs="Times New Roman"/>
                <w:sz w:val="20"/>
              </w:rPr>
            </w:pPr>
            <w:r>
              <w:rPr>
                <w:rFonts w:hint="eastAsia" w:cs="Times New Roman"/>
                <w:sz w:val="20"/>
              </w:rPr>
              <w:t>1.中高危安全漏洞及安全缺陷整改及时率=100%</w:t>
            </w:r>
          </w:p>
          <w:p w14:paraId="528AF153">
            <w:pPr>
              <w:ind w:firstLine="0" w:firstLineChars="0"/>
              <w:rPr>
                <w:rFonts w:cs="Times New Roman"/>
                <w:sz w:val="20"/>
              </w:rPr>
            </w:pPr>
            <w:r>
              <w:rPr>
                <w:rFonts w:hint="eastAsia" w:cs="Times New Roman"/>
                <w:sz w:val="20"/>
              </w:rPr>
              <w:t>2.中高危安全漏洞及安全缺陷整改通过率=100%</w:t>
            </w:r>
          </w:p>
          <w:p w14:paraId="6110088B">
            <w:pPr>
              <w:ind w:firstLine="0" w:firstLineChars="0"/>
              <w:rPr>
                <w:rFonts w:cs="Times New Roman"/>
                <w:sz w:val="20"/>
              </w:rPr>
            </w:pPr>
            <w:r>
              <w:rPr>
                <w:rFonts w:hint="eastAsia" w:cs="Times New Roman"/>
                <w:b/>
                <w:bCs/>
                <w:sz w:val="20"/>
              </w:rPr>
              <w:t>优秀：</w:t>
            </w:r>
            <w:r>
              <w:rPr>
                <w:rFonts w:hint="eastAsia" w:cs="Times New Roman"/>
                <w:sz w:val="20"/>
              </w:rPr>
              <w:t>5分，指未出现安全漏洞及安全缺陷，该项指标满分；</w:t>
            </w:r>
          </w:p>
          <w:p w14:paraId="35B6820D">
            <w:pPr>
              <w:ind w:firstLine="0" w:firstLineChars="0"/>
              <w:rPr>
                <w:rFonts w:cs="Times New Roman"/>
                <w:sz w:val="20"/>
              </w:rPr>
            </w:pPr>
            <w:r>
              <w:rPr>
                <w:rFonts w:hint="eastAsia" w:cs="Times New Roman"/>
                <w:b/>
                <w:bCs/>
                <w:sz w:val="20"/>
              </w:rPr>
              <w:t>合格：</w:t>
            </w:r>
            <w:r>
              <w:rPr>
                <w:rFonts w:hint="eastAsia" w:cs="Times New Roman"/>
                <w:sz w:val="20"/>
              </w:rPr>
              <w:t>3分，指出现安全漏洞或安全缺陷，但整改及时率、通过率均为100%；</w:t>
            </w:r>
          </w:p>
          <w:p w14:paraId="0A8292F9">
            <w:pPr>
              <w:ind w:firstLine="0" w:firstLineChars="0"/>
              <w:rPr>
                <w:rFonts w:cs="Times New Roman"/>
                <w:sz w:val="20"/>
              </w:rPr>
            </w:pPr>
            <w:r>
              <w:rPr>
                <w:rFonts w:hint="eastAsia" w:cs="Times New Roman"/>
                <w:b/>
                <w:bCs/>
                <w:sz w:val="20"/>
              </w:rPr>
              <w:t>较差/差：</w:t>
            </w:r>
            <w:r>
              <w:rPr>
                <w:rFonts w:hint="eastAsia" w:cs="Times New Roman"/>
                <w:sz w:val="20"/>
              </w:rPr>
              <w:t>0分，指出现安全漏洞及安全缺陷，但整改及时率或通过率未达到100%。</w:t>
            </w:r>
          </w:p>
        </w:tc>
        <w:tc>
          <w:tcPr>
            <w:tcW w:w="2410" w:type="dxa"/>
            <w:tcBorders>
              <w:left w:val="single" w:color="auto" w:sz="4" w:space="0"/>
            </w:tcBorders>
            <w:vAlign w:val="center"/>
          </w:tcPr>
          <w:p w14:paraId="4936EFB1">
            <w:pPr>
              <w:ind w:firstLine="0" w:firstLineChars="0"/>
              <w:rPr>
                <w:rFonts w:cs="Times New Roman"/>
                <w:sz w:val="20"/>
              </w:rPr>
            </w:pPr>
            <w:r>
              <w:rPr>
                <w:rFonts w:hint="eastAsia" w:cs="Times New Roman"/>
                <w:sz w:val="20"/>
              </w:rPr>
              <w:t>若评价为较差/差时，扣除乙方金额人民币不低于2万元，并要求乙方赔偿实际损失。</w:t>
            </w:r>
          </w:p>
          <w:p w14:paraId="2026823F">
            <w:pPr>
              <w:ind w:firstLine="0" w:firstLineChars="0"/>
              <w:rPr>
                <w:rFonts w:cs="Times New Roman"/>
                <w:sz w:val="20"/>
              </w:rPr>
            </w:pPr>
            <w:r>
              <w:rPr>
                <w:rFonts w:hint="eastAsia" w:cs="Times New Roman"/>
                <w:sz w:val="20"/>
              </w:rPr>
              <w:t>若出现的安全漏洞或安全缺陷被上级或监管单位通报的，扣除乙方合同总金额不低于5%（不低于2万元），并要求乙方赔偿实际损失。</w:t>
            </w:r>
          </w:p>
        </w:tc>
        <w:tc>
          <w:tcPr>
            <w:tcW w:w="1134" w:type="dxa"/>
            <w:tcBorders>
              <w:left w:val="single" w:color="auto" w:sz="4" w:space="0"/>
            </w:tcBorders>
            <w:vAlign w:val="center"/>
          </w:tcPr>
          <w:p w14:paraId="3B5BC7AF">
            <w:pPr>
              <w:ind w:firstLine="0" w:firstLineChars="0"/>
              <w:rPr>
                <w:rFonts w:cs="Times New Roman"/>
                <w:sz w:val="20"/>
              </w:rPr>
            </w:pPr>
          </w:p>
        </w:tc>
        <w:tc>
          <w:tcPr>
            <w:tcW w:w="1086" w:type="dxa"/>
            <w:tcBorders>
              <w:left w:val="single" w:color="auto" w:sz="4" w:space="0"/>
            </w:tcBorders>
            <w:vAlign w:val="center"/>
          </w:tcPr>
          <w:p w14:paraId="3CF26254">
            <w:pPr>
              <w:ind w:firstLine="0" w:firstLineChars="0"/>
              <w:rPr>
                <w:rFonts w:cs="Times New Roman"/>
                <w:sz w:val="20"/>
              </w:rPr>
            </w:pPr>
          </w:p>
        </w:tc>
      </w:tr>
      <w:tr w14:paraId="45EC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80E068C">
            <w:pPr>
              <w:ind w:firstLine="0" w:firstLineChars="0"/>
              <w:jc w:val="center"/>
              <w:rPr>
                <w:rFonts w:cs="Times New Roman"/>
                <w:sz w:val="20"/>
              </w:rPr>
            </w:pPr>
            <w:r>
              <w:rPr>
                <w:rFonts w:hint="eastAsia" w:cs="Times New Roman"/>
                <w:sz w:val="20"/>
              </w:rPr>
              <w:t>8</w:t>
            </w:r>
          </w:p>
        </w:tc>
        <w:tc>
          <w:tcPr>
            <w:tcW w:w="1134" w:type="dxa"/>
            <w:vMerge w:val="continue"/>
            <w:tcBorders>
              <w:left w:val="single" w:color="auto" w:sz="4" w:space="0"/>
            </w:tcBorders>
          </w:tcPr>
          <w:p w14:paraId="10E17FF4">
            <w:pPr>
              <w:ind w:firstLine="400"/>
              <w:rPr>
                <w:sz w:val="20"/>
                <w:szCs w:val="18"/>
              </w:rPr>
            </w:pPr>
          </w:p>
        </w:tc>
        <w:tc>
          <w:tcPr>
            <w:tcW w:w="1559" w:type="dxa"/>
            <w:tcBorders>
              <w:left w:val="single" w:color="auto" w:sz="4" w:space="0"/>
            </w:tcBorders>
            <w:vAlign w:val="center"/>
          </w:tcPr>
          <w:p w14:paraId="702B30E8">
            <w:pPr>
              <w:ind w:firstLine="0" w:firstLineChars="0"/>
              <w:rPr>
                <w:rFonts w:cs="Times New Roman"/>
                <w:sz w:val="20"/>
              </w:rPr>
            </w:pPr>
            <w:r>
              <w:rPr>
                <w:rFonts w:hint="eastAsia" w:cs="Times New Roman"/>
                <w:sz w:val="20"/>
              </w:rPr>
              <w:t>外包安全行为</w:t>
            </w:r>
          </w:p>
        </w:tc>
        <w:tc>
          <w:tcPr>
            <w:tcW w:w="2268" w:type="dxa"/>
            <w:tcBorders>
              <w:left w:val="single" w:color="auto" w:sz="4" w:space="0"/>
            </w:tcBorders>
            <w:vAlign w:val="center"/>
          </w:tcPr>
          <w:p w14:paraId="122692FF">
            <w:pPr>
              <w:ind w:firstLine="0" w:firstLineChars="0"/>
              <w:rPr>
                <w:rFonts w:cs="Times New Roman"/>
                <w:sz w:val="20"/>
              </w:rPr>
            </w:pPr>
            <w:r>
              <w:rPr>
                <w:rFonts w:hint="eastAsia" w:cs="Times New Roman"/>
                <w:sz w:val="20"/>
              </w:rPr>
              <w:t>用</w:t>
            </w:r>
            <w:r>
              <w:rPr>
                <w:rFonts w:cs="Times New Roman"/>
                <w:sz w:val="20"/>
              </w:rPr>
              <w:t>于记录在外包人员安全防护意识方面的管理有效</w:t>
            </w:r>
            <w:r>
              <w:rPr>
                <w:rFonts w:hint="eastAsia" w:cs="Times New Roman"/>
                <w:sz w:val="20"/>
              </w:rPr>
              <w:t>性</w:t>
            </w:r>
          </w:p>
        </w:tc>
        <w:tc>
          <w:tcPr>
            <w:tcW w:w="3686" w:type="dxa"/>
            <w:tcBorders>
              <w:left w:val="single" w:color="auto" w:sz="4" w:space="0"/>
            </w:tcBorders>
            <w:vAlign w:val="center"/>
          </w:tcPr>
          <w:p w14:paraId="5B4F0FF2">
            <w:pPr>
              <w:ind w:firstLine="0" w:firstLineChars="0"/>
              <w:rPr>
                <w:rFonts w:cs="Times New Roman"/>
                <w:sz w:val="20"/>
              </w:rPr>
            </w:pPr>
            <w:r>
              <w:rPr>
                <w:rFonts w:cs="Times New Roman"/>
                <w:sz w:val="20"/>
              </w:rPr>
              <w:t>统计周期内安全防护失效的次数。</w:t>
            </w:r>
          </w:p>
          <w:p w14:paraId="27955798">
            <w:pPr>
              <w:ind w:firstLine="0" w:firstLineChars="0"/>
              <w:rPr>
                <w:rFonts w:cs="Times New Roman"/>
                <w:sz w:val="20"/>
              </w:rPr>
            </w:pPr>
            <w:r>
              <w:rPr>
                <w:rFonts w:hint="eastAsia" w:cs="Times New Roman"/>
                <w:sz w:val="20"/>
              </w:rPr>
              <w:t>（</w:t>
            </w:r>
            <w:r>
              <w:rPr>
                <w:rFonts w:cs="Times New Roman"/>
                <w:sz w:val="20"/>
              </w:rPr>
              <w:t>注：在服务期间出现以下行为，即为安全防护失效：a）代码泄漏、敏感数据泄漏、被钓鱼攻击、共享数据使用弱口令、账户借用。b）在互联网上泄露客户代码和敏感数据。</w:t>
            </w:r>
            <w:r>
              <w:rPr>
                <w:rFonts w:hint="eastAsia" w:cs="Times New Roman"/>
                <w:sz w:val="20"/>
              </w:rPr>
              <w:t>c）</w:t>
            </w:r>
            <w:r>
              <w:rPr>
                <w:rFonts w:cs="Times New Roman"/>
                <w:sz w:val="20"/>
              </w:rPr>
              <w:t>随意搭建测试环境导致信息泄露或被作为攻击入口</w:t>
            </w:r>
            <w:r>
              <w:rPr>
                <w:rFonts w:hint="eastAsia" w:cs="Times New Roman"/>
                <w:sz w:val="20"/>
              </w:rPr>
              <w:t>。d）在生产运营系统上违反规定进行操作或在实施过程中留下信息系统后门等</w:t>
            </w:r>
            <w:r>
              <w:rPr>
                <w:rFonts w:cs="Times New Roman"/>
                <w:sz w:val="20"/>
              </w:rPr>
              <w:t>。</w:t>
            </w:r>
          </w:p>
          <w:p w14:paraId="19368288">
            <w:pPr>
              <w:ind w:firstLine="0" w:firstLineChars="0"/>
              <w:rPr>
                <w:rFonts w:cs="Times New Roman"/>
                <w:b/>
                <w:bCs/>
                <w:sz w:val="20"/>
              </w:rPr>
            </w:pPr>
            <w:r>
              <w:rPr>
                <w:rFonts w:hint="eastAsia" w:cs="Times New Roman"/>
                <w:b/>
                <w:bCs/>
                <w:sz w:val="20"/>
              </w:rPr>
              <w:t>【得分上限10分】</w:t>
            </w:r>
          </w:p>
          <w:p w14:paraId="38774D59">
            <w:pPr>
              <w:ind w:firstLine="0" w:firstLineChars="0"/>
              <w:rPr>
                <w:rFonts w:cs="Times New Roman"/>
                <w:sz w:val="20"/>
              </w:rPr>
            </w:pPr>
            <w:r>
              <w:rPr>
                <w:rFonts w:hint="eastAsia" w:cs="Times New Roman"/>
                <w:b/>
                <w:bCs/>
                <w:sz w:val="20"/>
              </w:rPr>
              <w:t>0次：</w:t>
            </w:r>
            <w:r>
              <w:rPr>
                <w:rFonts w:hint="eastAsia" w:cs="Times New Roman"/>
                <w:sz w:val="20"/>
              </w:rPr>
              <w:t>未出现安全防护失效行为，10分；</w:t>
            </w:r>
          </w:p>
          <w:p w14:paraId="0004B20D">
            <w:pPr>
              <w:ind w:firstLine="0" w:firstLineChars="0"/>
              <w:rPr>
                <w:rFonts w:cs="Times New Roman"/>
                <w:sz w:val="20"/>
              </w:rPr>
            </w:pPr>
            <w:r>
              <w:rPr>
                <w:rFonts w:hint="eastAsia" w:cs="Times New Roman"/>
                <w:b/>
                <w:bCs/>
                <w:sz w:val="20"/>
              </w:rPr>
              <w:t>1次及以上</w:t>
            </w:r>
            <w:r>
              <w:rPr>
                <w:rFonts w:hint="eastAsia" w:cs="Times New Roman"/>
                <w:sz w:val="20"/>
              </w:rPr>
              <w:t>：出现安全防护失效行为，每出现一次扣5分，最多扣10分。</w:t>
            </w:r>
          </w:p>
        </w:tc>
        <w:tc>
          <w:tcPr>
            <w:tcW w:w="2410" w:type="dxa"/>
            <w:tcBorders>
              <w:left w:val="single" w:color="auto" w:sz="4" w:space="0"/>
            </w:tcBorders>
            <w:vAlign w:val="center"/>
          </w:tcPr>
          <w:p w14:paraId="75D378D3">
            <w:pPr>
              <w:ind w:firstLine="0" w:firstLineChars="0"/>
              <w:rPr>
                <w:rFonts w:cs="Times New Roman"/>
                <w:sz w:val="20"/>
              </w:rPr>
            </w:pPr>
            <w:r>
              <w:rPr>
                <w:rFonts w:hint="eastAsia" w:cs="Times New Roman"/>
                <w:sz w:val="20"/>
              </w:rPr>
              <w:t>若出现信息安全防护失效行为未导致严重后果的，扣除乙方金额人民币不低于1万元；</w:t>
            </w:r>
          </w:p>
          <w:p w14:paraId="1DE60D3F">
            <w:pPr>
              <w:ind w:firstLine="0" w:firstLineChars="0"/>
              <w:rPr>
                <w:rFonts w:cs="Times New Roman"/>
                <w:sz w:val="20"/>
              </w:rPr>
            </w:pPr>
            <w:r>
              <w:rPr>
                <w:rFonts w:hint="eastAsia" w:cs="Times New Roman"/>
                <w:sz w:val="20"/>
              </w:rPr>
              <w:t>若出现信息安全防护失效行为导致严重后果，或被上级或监管单位通报的，扣除乙方合同总金额不低于5%（不低于2万元），并要求乙方赔偿实际损失。</w:t>
            </w:r>
          </w:p>
        </w:tc>
        <w:tc>
          <w:tcPr>
            <w:tcW w:w="1134" w:type="dxa"/>
            <w:tcBorders>
              <w:left w:val="single" w:color="auto" w:sz="4" w:space="0"/>
            </w:tcBorders>
            <w:vAlign w:val="center"/>
          </w:tcPr>
          <w:p w14:paraId="437AE36D">
            <w:pPr>
              <w:ind w:firstLine="0" w:firstLineChars="0"/>
              <w:rPr>
                <w:rFonts w:cs="Times New Roman"/>
                <w:sz w:val="20"/>
              </w:rPr>
            </w:pPr>
          </w:p>
        </w:tc>
        <w:tc>
          <w:tcPr>
            <w:tcW w:w="1086" w:type="dxa"/>
            <w:tcBorders>
              <w:left w:val="single" w:color="auto" w:sz="4" w:space="0"/>
            </w:tcBorders>
            <w:vAlign w:val="center"/>
          </w:tcPr>
          <w:p w14:paraId="0B4E3C5D">
            <w:pPr>
              <w:ind w:firstLine="0" w:firstLineChars="0"/>
              <w:rPr>
                <w:rFonts w:cs="Times New Roman"/>
                <w:sz w:val="20"/>
              </w:rPr>
            </w:pPr>
          </w:p>
        </w:tc>
      </w:tr>
      <w:tr w14:paraId="37A1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A6E9C49">
            <w:pPr>
              <w:ind w:firstLine="0" w:firstLineChars="0"/>
              <w:jc w:val="center"/>
              <w:rPr>
                <w:rFonts w:cs="Times New Roman"/>
                <w:sz w:val="20"/>
              </w:rPr>
            </w:pPr>
            <w:r>
              <w:rPr>
                <w:rFonts w:hint="eastAsia" w:cs="Times New Roman"/>
                <w:sz w:val="20"/>
              </w:rPr>
              <w:t>9</w:t>
            </w:r>
          </w:p>
        </w:tc>
        <w:tc>
          <w:tcPr>
            <w:tcW w:w="1134" w:type="dxa"/>
            <w:vMerge w:val="continue"/>
            <w:tcBorders>
              <w:left w:val="single" w:color="auto" w:sz="4" w:space="0"/>
            </w:tcBorders>
          </w:tcPr>
          <w:p w14:paraId="15BBBCFB">
            <w:pPr>
              <w:ind w:firstLine="400"/>
              <w:rPr>
                <w:sz w:val="20"/>
                <w:szCs w:val="18"/>
              </w:rPr>
            </w:pPr>
          </w:p>
        </w:tc>
        <w:tc>
          <w:tcPr>
            <w:tcW w:w="1559" w:type="dxa"/>
            <w:tcBorders>
              <w:left w:val="single" w:color="auto" w:sz="4" w:space="0"/>
            </w:tcBorders>
            <w:vAlign w:val="center"/>
          </w:tcPr>
          <w:p w14:paraId="537A8B17">
            <w:pPr>
              <w:ind w:firstLine="0" w:firstLineChars="0"/>
              <w:rPr>
                <w:rFonts w:cs="Times New Roman"/>
                <w:sz w:val="20"/>
              </w:rPr>
            </w:pPr>
            <w:r>
              <w:rPr>
                <w:rFonts w:hint="eastAsia" w:cs="Times New Roman"/>
                <w:sz w:val="20"/>
              </w:rPr>
              <w:t>响应与解决及时性</w:t>
            </w:r>
          </w:p>
        </w:tc>
        <w:tc>
          <w:tcPr>
            <w:tcW w:w="2268" w:type="dxa"/>
            <w:tcBorders>
              <w:left w:val="single" w:color="auto" w:sz="4" w:space="0"/>
            </w:tcBorders>
            <w:vAlign w:val="center"/>
          </w:tcPr>
          <w:p w14:paraId="1E679AA1">
            <w:pPr>
              <w:ind w:firstLine="0" w:firstLineChars="0"/>
              <w:rPr>
                <w:rFonts w:cs="Times New Roman"/>
                <w:sz w:val="20"/>
              </w:rPr>
            </w:pPr>
            <w:r>
              <w:rPr>
                <w:rFonts w:cs="Times New Roman"/>
                <w:sz w:val="20"/>
              </w:rPr>
              <w:t>用于记录</w:t>
            </w:r>
            <w:r>
              <w:rPr>
                <w:rFonts w:hint="eastAsia" w:cs="Times New Roman"/>
                <w:sz w:val="20"/>
              </w:rPr>
              <w:t>乙方</w:t>
            </w:r>
            <w:r>
              <w:rPr>
                <w:rFonts w:cs="Times New Roman"/>
                <w:sz w:val="20"/>
              </w:rPr>
              <w:t>或服务项目对</w:t>
            </w:r>
            <w:r>
              <w:rPr>
                <w:rFonts w:hint="eastAsia" w:cs="Times New Roman"/>
                <w:sz w:val="20"/>
              </w:rPr>
              <w:t>甲方</w:t>
            </w:r>
            <w:r>
              <w:rPr>
                <w:rFonts w:cs="Times New Roman"/>
                <w:sz w:val="20"/>
              </w:rPr>
              <w:t>的响应与解决的及时性</w:t>
            </w:r>
          </w:p>
        </w:tc>
        <w:tc>
          <w:tcPr>
            <w:tcW w:w="3686" w:type="dxa"/>
            <w:tcBorders>
              <w:left w:val="single" w:color="auto" w:sz="4" w:space="0"/>
            </w:tcBorders>
            <w:vAlign w:val="center"/>
          </w:tcPr>
          <w:p w14:paraId="1A710C28">
            <w:pPr>
              <w:ind w:firstLine="0" w:firstLineChars="0"/>
              <w:rPr>
                <w:rFonts w:cs="Times New Roman"/>
                <w:sz w:val="20"/>
              </w:rPr>
            </w:pPr>
            <w:r>
              <w:rPr>
                <w:rFonts w:hint="eastAsia" w:cs="Times New Roman"/>
                <w:b/>
                <w:bCs/>
                <w:sz w:val="20"/>
              </w:rPr>
              <w:t>优秀：</w:t>
            </w:r>
            <w:r>
              <w:rPr>
                <w:rFonts w:hint="eastAsia" w:cs="Times New Roman"/>
                <w:sz w:val="20"/>
              </w:rPr>
              <w:t>5分，</w:t>
            </w:r>
            <w:r>
              <w:rPr>
                <w:rFonts w:cs="Times New Roman"/>
                <w:sz w:val="20"/>
              </w:rPr>
              <w:t>指</w:t>
            </w:r>
            <w:r>
              <w:rPr>
                <w:rFonts w:hint="eastAsia" w:cs="Times New Roman"/>
                <w:sz w:val="20"/>
              </w:rPr>
              <w:t>乙方</w:t>
            </w:r>
            <w:r>
              <w:rPr>
                <w:rFonts w:cs="Times New Roman"/>
                <w:sz w:val="20"/>
              </w:rPr>
              <w:t>或服务项目能够迅速响应需求，主动快速与</w:t>
            </w:r>
            <w:r>
              <w:rPr>
                <w:rFonts w:hint="eastAsia" w:cs="Times New Roman"/>
                <w:sz w:val="20"/>
              </w:rPr>
              <w:t>甲方</w:t>
            </w:r>
            <w:r>
              <w:rPr>
                <w:rFonts w:cs="Times New Roman"/>
                <w:sz w:val="20"/>
              </w:rPr>
              <w:t>进行有效的沟通，第一时间从专业角度给出解决方案并解决问题</w:t>
            </w:r>
            <w:r>
              <w:rPr>
                <w:rFonts w:hint="eastAsia" w:cs="Times New Roman"/>
                <w:sz w:val="20"/>
              </w:rPr>
              <w:t>；</w:t>
            </w:r>
          </w:p>
          <w:p w14:paraId="10DD13AA">
            <w:pPr>
              <w:ind w:firstLine="0" w:firstLineChars="0"/>
              <w:rPr>
                <w:rFonts w:cs="Times New Roman"/>
                <w:sz w:val="20"/>
              </w:rPr>
            </w:pPr>
            <w:r>
              <w:rPr>
                <w:rFonts w:hint="eastAsia" w:cs="Times New Roman"/>
                <w:b/>
                <w:bCs/>
                <w:sz w:val="20"/>
              </w:rPr>
              <w:t>良好：</w:t>
            </w:r>
            <w:r>
              <w:rPr>
                <w:rFonts w:hint="eastAsia" w:cs="Times New Roman"/>
                <w:sz w:val="20"/>
              </w:rPr>
              <w:t>4分，</w:t>
            </w:r>
            <w:r>
              <w:rPr>
                <w:rFonts w:cs="Times New Roman"/>
                <w:sz w:val="20"/>
              </w:rPr>
              <w:t>指</w:t>
            </w:r>
            <w:r>
              <w:rPr>
                <w:rFonts w:hint="eastAsia" w:cs="Times New Roman"/>
                <w:sz w:val="20"/>
              </w:rPr>
              <w:t>乙方</w:t>
            </w:r>
            <w:r>
              <w:rPr>
                <w:rFonts w:cs="Times New Roman"/>
                <w:sz w:val="20"/>
              </w:rPr>
              <w:t>或服务项目能够按要求响应需求，及时与</w:t>
            </w:r>
            <w:r>
              <w:rPr>
                <w:rFonts w:hint="eastAsia" w:cs="Times New Roman"/>
                <w:sz w:val="20"/>
              </w:rPr>
              <w:t>甲方</w:t>
            </w:r>
            <w:r>
              <w:rPr>
                <w:rFonts w:cs="Times New Roman"/>
                <w:sz w:val="20"/>
              </w:rPr>
              <w:t>进行有效的沟通，快速给出处理方案并解决问题</w:t>
            </w:r>
            <w:r>
              <w:rPr>
                <w:rFonts w:hint="eastAsia" w:cs="Times New Roman"/>
                <w:sz w:val="20"/>
              </w:rPr>
              <w:t>；</w:t>
            </w:r>
          </w:p>
          <w:p w14:paraId="6D0267E6">
            <w:pPr>
              <w:ind w:firstLine="0" w:firstLineChars="0"/>
              <w:rPr>
                <w:rFonts w:cs="Times New Roman"/>
                <w:sz w:val="20"/>
              </w:rPr>
            </w:pPr>
            <w:r>
              <w:rPr>
                <w:rFonts w:hint="eastAsia" w:cs="Times New Roman"/>
                <w:b/>
                <w:bCs/>
                <w:sz w:val="20"/>
              </w:rPr>
              <w:t>合格：</w:t>
            </w:r>
            <w:r>
              <w:rPr>
                <w:rFonts w:hint="eastAsia" w:cs="Times New Roman"/>
                <w:sz w:val="20"/>
              </w:rPr>
              <w:t>3分，</w:t>
            </w:r>
            <w:r>
              <w:rPr>
                <w:rFonts w:cs="Times New Roman"/>
                <w:sz w:val="20"/>
              </w:rPr>
              <w:t>指</w:t>
            </w:r>
            <w:r>
              <w:rPr>
                <w:rFonts w:hint="eastAsia" w:cs="Times New Roman"/>
                <w:sz w:val="20"/>
              </w:rPr>
              <w:t>乙方</w:t>
            </w:r>
            <w:r>
              <w:rPr>
                <w:rFonts w:cs="Times New Roman"/>
                <w:sz w:val="20"/>
              </w:rPr>
              <w:t>或服务项目能够基本按要求响应需求</w:t>
            </w:r>
            <w:r>
              <w:rPr>
                <w:rFonts w:hint="eastAsia" w:cs="Times New Roman"/>
                <w:sz w:val="20"/>
              </w:rPr>
              <w:t>，</w:t>
            </w:r>
            <w:r>
              <w:rPr>
                <w:rFonts w:cs="Times New Roman"/>
                <w:sz w:val="20"/>
              </w:rPr>
              <w:t>保持与</w:t>
            </w:r>
            <w:r>
              <w:rPr>
                <w:rFonts w:hint="eastAsia" w:cs="Times New Roman"/>
                <w:sz w:val="20"/>
              </w:rPr>
              <w:t>甲方</w:t>
            </w:r>
            <w:r>
              <w:rPr>
                <w:rFonts w:cs="Times New Roman"/>
                <w:sz w:val="20"/>
              </w:rPr>
              <w:t>的沟通，按时解决问题</w:t>
            </w:r>
            <w:r>
              <w:rPr>
                <w:rFonts w:hint="eastAsia" w:cs="Times New Roman"/>
                <w:sz w:val="20"/>
              </w:rPr>
              <w:t>；</w:t>
            </w:r>
          </w:p>
          <w:p w14:paraId="2AA030B8">
            <w:pPr>
              <w:ind w:firstLine="0" w:firstLineChars="0"/>
              <w:rPr>
                <w:rFonts w:cs="Times New Roman"/>
                <w:sz w:val="20"/>
              </w:rPr>
            </w:pPr>
            <w:r>
              <w:rPr>
                <w:rFonts w:hint="eastAsia" w:cs="Times New Roman"/>
                <w:b/>
                <w:bCs/>
                <w:sz w:val="20"/>
              </w:rPr>
              <w:t>较差/差：</w:t>
            </w:r>
            <w:r>
              <w:rPr>
                <w:rFonts w:hint="eastAsia" w:cs="Times New Roman"/>
                <w:sz w:val="20"/>
              </w:rPr>
              <w:t>0分，</w:t>
            </w:r>
            <w:r>
              <w:rPr>
                <w:rFonts w:cs="Times New Roman"/>
                <w:sz w:val="20"/>
              </w:rPr>
              <w:t>指</w:t>
            </w:r>
            <w:r>
              <w:rPr>
                <w:rFonts w:hint="eastAsia" w:cs="Times New Roman"/>
                <w:sz w:val="20"/>
              </w:rPr>
              <w:t>乙方</w:t>
            </w:r>
            <w:r>
              <w:rPr>
                <w:rFonts w:cs="Times New Roman"/>
                <w:sz w:val="20"/>
              </w:rPr>
              <w:t>或服务项目未及时响应需求，或响应需求后无法</w:t>
            </w:r>
            <w:r>
              <w:rPr>
                <w:rFonts w:hint="eastAsia" w:cs="Times New Roman"/>
                <w:sz w:val="20"/>
              </w:rPr>
              <w:t>及时</w:t>
            </w:r>
            <w:r>
              <w:rPr>
                <w:rFonts w:cs="Times New Roman"/>
                <w:sz w:val="20"/>
              </w:rPr>
              <w:t>解决问题</w:t>
            </w:r>
            <w:r>
              <w:rPr>
                <w:rFonts w:hint="eastAsia" w:cs="Times New Roman"/>
                <w:sz w:val="20"/>
              </w:rPr>
              <w:t>。</w:t>
            </w:r>
          </w:p>
        </w:tc>
        <w:tc>
          <w:tcPr>
            <w:tcW w:w="2410" w:type="dxa"/>
            <w:tcBorders>
              <w:left w:val="single" w:color="auto" w:sz="4" w:space="0"/>
            </w:tcBorders>
            <w:vAlign w:val="center"/>
          </w:tcPr>
          <w:p w14:paraId="71124A39">
            <w:pPr>
              <w:ind w:firstLine="0" w:firstLineChars="0"/>
              <w:rPr>
                <w:rFonts w:cs="Times New Roman"/>
                <w:sz w:val="20"/>
              </w:rPr>
            </w:pPr>
            <w:r>
              <w:rPr>
                <w:rFonts w:hint="eastAsia" w:cs="Times New Roman"/>
                <w:sz w:val="20"/>
              </w:rPr>
              <w:t>评价为较差/差，即乙方</w:t>
            </w:r>
            <w:r>
              <w:rPr>
                <w:rFonts w:cs="Times New Roman"/>
                <w:sz w:val="20"/>
              </w:rPr>
              <w:t>或服务项目未及时响应需求，或响应需求后无法</w:t>
            </w:r>
            <w:r>
              <w:rPr>
                <w:rFonts w:hint="eastAsia" w:cs="Times New Roman"/>
                <w:sz w:val="20"/>
              </w:rPr>
              <w:t>及时</w:t>
            </w:r>
            <w:r>
              <w:rPr>
                <w:rFonts w:cs="Times New Roman"/>
                <w:sz w:val="20"/>
              </w:rPr>
              <w:t>解决问题</w:t>
            </w:r>
            <w:r>
              <w:rPr>
                <w:rFonts w:hint="eastAsia" w:cs="Times New Roman"/>
                <w:sz w:val="20"/>
              </w:rPr>
              <w:t>，扣除乙方金额人民币不低于1000元。</w:t>
            </w:r>
          </w:p>
        </w:tc>
        <w:tc>
          <w:tcPr>
            <w:tcW w:w="1134" w:type="dxa"/>
            <w:tcBorders>
              <w:left w:val="single" w:color="auto" w:sz="4" w:space="0"/>
            </w:tcBorders>
            <w:vAlign w:val="center"/>
          </w:tcPr>
          <w:p w14:paraId="5235B6CA">
            <w:pPr>
              <w:ind w:firstLine="0" w:firstLineChars="0"/>
              <w:rPr>
                <w:rFonts w:cs="Times New Roman"/>
                <w:sz w:val="20"/>
              </w:rPr>
            </w:pPr>
          </w:p>
        </w:tc>
        <w:tc>
          <w:tcPr>
            <w:tcW w:w="1086" w:type="dxa"/>
            <w:tcBorders>
              <w:left w:val="single" w:color="auto" w:sz="4" w:space="0"/>
            </w:tcBorders>
            <w:vAlign w:val="center"/>
          </w:tcPr>
          <w:p w14:paraId="31D24570">
            <w:pPr>
              <w:ind w:firstLine="0" w:firstLineChars="0"/>
              <w:rPr>
                <w:rFonts w:cs="Times New Roman"/>
                <w:sz w:val="20"/>
              </w:rPr>
            </w:pPr>
          </w:p>
        </w:tc>
      </w:tr>
      <w:tr w14:paraId="74F9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6EBC830">
            <w:pPr>
              <w:ind w:firstLine="0" w:firstLineChars="0"/>
              <w:jc w:val="center"/>
              <w:rPr>
                <w:rFonts w:cs="Times New Roman"/>
                <w:sz w:val="20"/>
              </w:rPr>
            </w:pPr>
            <w:r>
              <w:rPr>
                <w:rFonts w:cs="Times New Roman"/>
                <w:sz w:val="20"/>
              </w:rPr>
              <w:t>1</w:t>
            </w:r>
            <w:r>
              <w:rPr>
                <w:rFonts w:hint="eastAsia" w:cs="Times New Roman"/>
                <w:sz w:val="20"/>
              </w:rPr>
              <w:t>0</w:t>
            </w:r>
          </w:p>
        </w:tc>
        <w:tc>
          <w:tcPr>
            <w:tcW w:w="1134" w:type="dxa"/>
            <w:vMerge w:val="continue"/>
            <w:tcBorders>
              <w:left w:val="single" w:color="auto" w:sz="4" w:space="0"/>
            </w:tcBorders>
          </w:tcPr>
          <w:p w14:paraId="60DA959D">
            <w:pPr>
              <w:ind w:firstLine="400"/>
              <w:rPr>
                <w:sz w:val="20"/>
                <w:szCs w:val="18"/>
              </w:rPr>
            </w:pPr>
          </w:p>
        </w:tc>
        <w:tc>
          <w:tcPr>
            <w:tcW w:w="1559" w:type="dxa"/>
            <w:tcBorders>
              <w:left w:val="single" w:color="auto" w:sz="4" w:space="0"/>
            </w:tcBorders>
            <w:vAlign w:val="center"/>
          </w:tcPr>
          <w:p w14:paraId="3798D38E">
            <w:pPr>
              <w:ind w:firstLine="0" w:firstLineChars="0"/>
              <w:rPr>
                <w:rFonts w:cs="Times New Roman"/>
                <w:sz w:val="20"/>
              </w:rPr>
            </w:pPr>
            <w:r>
              <w:rPr>
                <w:rFonts w:hint="eastAsia" w:cs="Times New Roman"/>
                <w:sz w:val="20"/>
              </w:rPr>
              <w:t>需求排期率</w:t>
            </w:r>
          </w:p>
        </w:tc>
        <w:tc>
          <w:tcPr>
            <w:tcW w:w="2268" w:type="dxa"/>
            <w:tcBorders>
              <w:left w:val="single" w:color="auto" w:sz="4" w:space="0"/>
            </w:tcBorders>
            <w:vAlign w:val="center"/>
          </w:tcPr>
          <w:p w14:paraId="07BC446A">
            <w:pPr>
              <w:ind w:firstLine="0" w:firstLineChars="0"/>
              <w:rPr>
                <w:rFonts w:cs="Times New Roman"/>
                <w:sz w:val="20"/>
              </w:rPr>
            </w:pPr>
            <w:r>
              <w:rPr>
                <w:rFonts w:cs="Times New Roman"/>
                <w:sz w:val="20"/>
              </w:rPr>
              <w:t>用于记录统计周期内对</w:t>
            </w:r>
            <w:r>
              <w:rPr>
                <w:rFonts w:hint="eastAsia" w:cs="Times New Roman"/>
                <w:sz w:val="20"/>
              </w:rPr>
              <w:t>甲方</w:t>
            </w:r>
            <w:r>
              <w:rPr>
                <w:rFonts w:cs="Times New Roman"/>
                <w:sz w:val="20"/>
              </w:rPr>
              <w:t>需求进行投产计划安排的比例</w:t>
            </w:r>
          </w:p>
        </w:tc>
        <w:tc>
          <w:tcPr>
            <w:tcW w:w="3686" w:type="dxa"/>
            <w:tcBorders>
              <w:left w:val="single" w:color="auto" w:sz="4" w:space="0"/>
            </w:tcBorders>
            <w:vAlign w:val="center"/>
          </w:tcPr>
          <w:p w14:paraId="0B2CCC9C">
            <w:pPr>
              <w:ind w:firstLine="0" w:firstLineChars="0"/>
              <w:rPr>
                <w:rFonts w:cs="Times New Roman"/>
                <w:sz w:val="20"/>
              </w:rPr>
            </w:pPr>
            <w:r>
              <w:rPr>
                <w:rFonts w:cs="Times New Roman"/>
                <w:sz w:val="20"/>
              </w:rPr>
              <w:t>需求排期率=已排期需求数/总需求数</w:t>
            </w:r>
          </w:p>
          <w:p w14:paraId="4349B91A">
            <w:pPr>
              <w:ind w:firstLine="0" w:firstLineChars="0"/>
              <w:rPr>
                <w:rFonts w:cs="Times New Roman"/>
                <w:sz w:val="20"/>
              </w:rPr>
            </w:pPr>
            <w:r>
              <w:rPr>
                <w:rFonts w:cs="Times New Roman"/>
                <w:sz w:val="20"/>
              </w:rPr>
              <w:t>注：已排期需求数指统计周期内已经纳入投产计划的需求个数。总需求数指统计周期内由</w:t>
            </w:r>
            <w:r>
              <w:rPr>
                <w:rFonts w:hint="eastAsia" w:cs="Times New Roman"/>
                <w:sz w:val="20"/>
              </w:rPr>
              <w:t>甲方</w:t>
            </w:r>
            <w:r>
              <w:rPr>
                <w:rFonts w:cs="Times New Roman"/>
                <w:sz w:val="20"/>
              </w:rPr>
              <w:t>提出到达服务商项目组的需求数。</w:t>
            </w:r>
          </w:p>
          <w:p w14:paraId="665B3277">
            <w:pPr>
              <w:ind w:firstLine="0" w:firstLineChars="0"/>
              <w:rPr>
                <w:rFonts w:cs="Times New Roman"/>
                <w:b/>
                <w:sz w:val="20"/>
              </w:rPr>
            </w:pPr>
            <w:r>
              <w:rPr>
                <w:rFonts w:hint="eastAsia" w:cs="Times New Roman"/>
                <w:b/>
                <w:sz w:val="20"/>
              </w:rPr>
              <w:t>5分【98%-100%】</w:t>
            </w:r>
          </w:p>
          <w:p w14:paraId="2DCB3731">
            <w:pPr>
              <w:ind w:firstLine="0" w:firstLineChars="0"/>
              <w:rPr>
                <w:rFonts w:cs="Times New Roman"/>
                <w:b/>
                <w:sz w:val="20"/>
              </w:rPr>
            </w:pPr>
            <w:r>
              <w:rPr>
                <w:rFonts w:hint="eastAsia" w:cs="Times New Roman"/>
                <w:b/>
                <w:sz w:val="20"/>
              </w:rPr>
              <w:t>3分【95%-97%】</w:t>
            </w:r>
          </w:p>
          <w:p w14:paraId="1EC53CB2">
            <w:pPr>
              <w:ind w:firstLine="0" w:firstLineChars="0"/>
              <w:rPr>
                <w:rFonts w:cs="Times New Roman"/>
                <w:b/>
                <w:bCs/>
                <w:sz w:val="20"/>
              </w:rPr>
            </w:pPr>
            <w:r>
              <w:rPr>
                <w:rFonts w:hint="eastAsia" w:cs="Times New Roman"/>
                <w:b/>
                <w:sz w:val="20"/>
              </w:rPr>
              <w:t>0分【低于95%】</w:t>
            </w:r>
          </w:p>
        </w:tc>
        <w:tc>
          <w:tcPr>
            <w:tcW w:w="2410" w:type="dxa"/>
            <w:tcBorders>
              <w:left w:val="single" w:color="auto" w:sz="4" w:space="0"/>
            </w:tcBorders>
            <w:vAlign w:val="center"/>
          </w:tcPr>
          <w:p w14:paraId="5F8FECCA">
            <w:pPr>
              <w:ind w:firstLine="0" w:firstLineChars="0"/>
              <w:rPr>
                <w:rFonts w:cs="Times New Roman"/>
                <w:sz w:val="20"/>
              </w:rPr>
            </w:pPr>
          </w:p>
        </w:tc>
        <w:tc>
          <w:tcPr>
            <w:tcW w:w="1134" w:type="dxa"/>
            <w:tcBorders>
              <w:left w:val="single" w:color="auto" w:sz="4" w:space="0"/>
            </w:tcBorders>
            <w:vAlign w:val="center"/>
          </w:tcPr>
          <w:p w14:paraId="253AA3A3">
            <w:pPr>
              <w:ind w:firstLine="0" w:firstLineChars="0"/>
              <w:rPr>
                <w:rFonts w:cs="Times New Roman"/>
                <w:sz w:val="20"/>
              </w:rPr>
            </w:pPr>
          </w:p>
        </w:tc>
        <w:tc>
          <w:tcPr>
            <w:tcW w:w="1086" w:type="dxa"/>
            <w:tcBorders>
              <w:left w:val="single" w:color="auto" w:sz="4" w:space="0"/>
            </w:tcBorders>
            <w:vAlign w:val="center"/>
          </w:tcPr>
          <w:p w14:paraId="69B186BF">
            <w:pPr>
              <w:ind w:firstLine="0" w:firstLineChars="0"/>
              <w:rPr>
                <w:rFonts w:cs="Times New Roman"/>
                <w:sz w:val="20"/>
              </w:rPr>
            </w:pPr>
          </w:p>
        </w:tc>
      </w:tr>
      <w:tr w14:paraId="6075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8AE7292">
            <w:pPr>
              <w:ind w:firstLine="0" w:firstLineChars="0"/>
              <w:jc w:val="center"/>
              <w:rPr>
                <w:rFonts w:cs="Times New Roman"/>
                <w:sz w:val="20"/>
              </w:rPr>
            </w:pPr>
            <w:r>
              <w:rPr>
                <w:rFonts w:hint="eastAsia" w:cs="Times New Roman"/>
                <w:sz w:val="20"/>
              </w:rPr>
              <w:t>11</w:t>
            </w:r>
          </w:p>
        </w:tc>
        <w:tc>
          <w:tcPr>
            <w:tcW w:w="1134" w:type="dxa"/>
            <w:vMerge w:val="continue"/>
            <w:tcBorders>
              <w:left w:val="single" w:color="auto" w:sz="4" w:space="0"/>
            </w:tcBorders>
          </w:tcPr>
          <w:p w14:paraId="153204C3">
            <w:pPr>
              <w:ind w:firstLine="400"/>
              <w:rPr>
                <w:sz w:val="20"/>
                <w:szCs w:val="18"/>
              </w:rPr>
            </w:pPr>
          </w:p>
        </w:tc>
        <w:tc>
          <w:tcPr>
            <w:tcW w:w="1559" w:type="dxa"/>
            <w:tcBorders>
              <w:left w:val="single" w:color="auto" w:sz="4" w:space="0"/>
            </w:tcBorders>
            <w:vAlign w:val="center"/>
          </w:tcPr>
          <w:p w14:paraId="61402B24">
            <w:pPr>
              <w:ind w:firstLine="0" w:firstLineChars="0"/>
              <w:rPr>
                <w:rFonts w:cs="Times New Roman"/>
                <w:sz w:val="20"/>
              </w:rPr>
            </w:pPr>
            <w:r>
              <w:rPr>
                <w:rFonts w:hint="eastAsia" w:cs="Times New Roman"/>
                <w:sz w:val="20"/>
              </w:rPr>
              <w:t>需求完成率</w:t>
            </w:r>
          </w:p>
        </w:tc>
        <w:tc>
          <w:tcPr>
            <w:tcW w:w="2268" w:type="dxa"/>
            <w:tcBorders>
              <w:left w:val="single" w:color="auto" w:sz="4" w:space="0"/>
            </w:tcBorders>
            <w:vAlign w:val="center"/>
          </w:tcPr>
          <w:p w14:paraId="14210036">
            <w:pPr>
              <w:ind w:firstLine="0" w:firstLineChars="0"/>
              <w:rPr>
                <w:rFonts w:cs="Times New Roman"/>
                <w:sz w:val="20"/>
              </w:rPr>
            </w:pPr>
            <w:r>
              <w:rPr>
                <w:rFonts w:cs="Times New Roman"/>
                <w:sz w:val="20"/>
              </w:rPr>
              <w:t>用于记录统计周期内</w:t>
            </w:r>
            <w:r>
              <w:rPr>
                <w:rFonts w:hint="eastAsia" w:cs="Times New Roman"/>
                <w:sz w:val="20"/>
              </w:rPr>
              <w:t>甲方</w:t>
            </w:r>
            <w:r>
              <w:rPr>
                <w:rFonts w:cs="Times New Roman"/>
                <w:sz w:val="20"/>
              </w:rPr>
              <w:t>需求完成投产的比例</w:t>
            </w:r>
          </w:p>
        </w:tc>
        <w:tc>
          <w:tcPr>
            <w:tcW w:w="3686" w:type="dxa"/>
            <w:tcBorders>
              <w:left w:val="single" w:color="auto" w:sz="4" w:space="0"/>
            </w:tcBorders>
            <w:vAlign w:val="center"/>
          </w:tcPr>
          <w:p w14:paraId="6200F9FF">
            <w:pPr>
              <w:ind w:firstLine="0" w:firstLineChars="0"/>
              <w:rPr>
                <w:rFonts w:cs="Times New Roman"/>
                <w:sz w:val="20"/>
              </w:rPr>
            </w:pPr>
            <w:r>
              <w:rPr>
                <w:rFonts w:hint="eastAsia" w:cs="Times New Roman"/>
                <w:sz w:val="20"/>
              </w:rPr>
              <w:t>需</w:t>
            </w:r>
            <w:r>
              <w:rPr>
                <w:rFonts w:cs="Times New Roman"/>
                <w:sz w:val="20"/>
              </w:rPr>
              <w:t>求完成率=流程完结需求数/总需求数</w:t>
            </w:r>
          </w:p>
          <w:p w14:paraId="09A07F9A">
            <w:pPr>
              <w:ind w:firstLine="0" w:firstLineChars="0"/>
              <w:rPr>
                <w:rFonts w:cs="Times New Roman"/>
                <w:sz w:val="20"/>
              </w:rPr>
            </w:pPr>
            <w:r>
              <w:rPr>
                <w:rFonts w:cs="Times New Roman"/>
                <w:sz w:val="20"/>
              </w:rPr>
              <w:t>注：流程完结需求数指统计周期内已完成投产的需求个数</w:t>
            </w:r>
            <w:r>
              <w:rPr>
                <w:rFonts w:hint="eastAsia" w:cs="Times New Roman"/>
                <w:sz w:val="20"/>
              </w:rPr>
              <w:t>；</w:t>
            </w:r>
            <w:r>
              <w:rPr>
                <w:rFonts w:cs="Times New Roman"/>
                <w:sz w:val="20"/>
              </w:rPr>
              <w:t>总需求数指统计周期内由</w:t>
            </w:r>
            <w:r>
              <w:rPr>
                <w:rFonts w:hint="eastAsia" w:cs="Times New Roman"/>
                <w:sz w:val="20"/>
              </w:rPr>
              <w:t>甲方</w:t>
            </w:r>
            <w:r>
              <w:rPr>
                <w:rFonts w:cs="Times New Roman"/>
                <w:sz w:val="20"/>
              </w:rPr>
              <w:t>提出到达服务商项目组的需求个数。</w:t>
            </w:r>
          </w:p>
          <w:p w14:paraId="1973169B">
            <w:pPr>
              <w:ind w:firstLine="0" w:firstLineChars="0"/>
              <w:rPr>
                <w:rFonts w:cs="Times New Roman"/>
                <w:b/>
                <w:sz w:val="20"/>
              </w:rPr>
            </w:pPr>
            <w:r>
              <w:rPr>
                <w:rFonts w:hint="eastAsia" w:cs="Times New Roman"/>
                <w:b/>
                <w:sz w:val="20"/>
              </w:rPr>
              <w:t>5分【98%-100%】</w:t>
            </w:r>
          </w:p>
          <w:p w14:paraId="234E4AD8">
            <w:pPr>
              <w:ind w:firstLine="0" w:firstLineChars="0"/>
              <w:rPr>
                <w:rFonts w:cs="Times New Roman"/>
                <w:b/>
                <w:sz w:val="20"/>
              </w:rPr>
            </w:pPr>
            <w:r>
              <w:rPr>
                <w:rFonts w:hint="eastAsia" w:cs="Times New Roman"/>
                <w:b/>
                <w:sz w:val="20"/>
              </w:rPr>
              <w:t>3分【95%-97%】</w:t>
            </w:r>
          </w:p>
          <w:p w14:paraId="2AF08F6A">
            <w:pPr>
              <w:ind w:firstLine="0" w:firstLineChars="0"/>
              <w:rPr>
                <w:rFonts w:cs="Times New Roman"/>
                <w:b/>
                <w:bCs/>
                <w:sz w:val="20"/>
              </w:rPr>
            </w:pPr>
            <w:r>
              <w:rPr>
                <w:rFonts w:hint="eastAsia" w:cs="Times New Roman"/>
                <w:b/>
                <w:sz w:val="20"/>
              </w:rPr>
              <w:t>0分【低于95%】</w:t>
            </w:r>
          </w:p>
        </w:tc>
        <w:tc>
          <w:tcPr>
            <w:tcW w:w="2410" w:type="dxa"/>
            <w:tcBorders>
              <w:left w:val="single" w:color="auto" w:sz="4" w:space="0"/>
            </w:tcBorders>
            <w:vAlign w:val="center"/>
          </w:tcPr>
          <w:p w14:paraId="740082B1">
            <w:pPr>
              <w:ind w:firstLine="0" w:firstLineChars="0"/>
              <w:rPr>
                <w:rFonts w:cs="Times New Roman"/>
                <w:sz w:val="20"/>
              </w:rPr>
            </w:pPr>
          </w:p>
        </w:tc>
        <w:tc>
          <w:tcPr>
            <w:tcW w:w="1134" w:type="dxa"/>
            <w:tcBorders>
              <w:left w:val="single" w:color="auto" w:sz="4" w:space="0"/>
            </w:tcBorders>
            <w:vAlign w:val="center"/>
          </w:tcPr>
          <w:p w14:paraId="4E9EFCFC">
            <w:pPr>
              <w:ind w:firstLine="0" w:firstLineChars="0"/>
              <w:rPr>
                <w:rFonts w:cs="Times New Roman"/>
                <w:sz w:val="20"/>
              </w:rPr>
            </w:pPr>
          </w:p>
        </w:tc>
        <w:tc>
          <w:tcPr>
            <w:tcW w:w="1086" w:type="dxa"/>
            <w:tcBorders>
              <w:left w:val="single" w:color="auto" w:sz="4" w:space="0"/>
            </w:tcBorders>
            <w:vAlign w:val="center"/>
          </w:tcPr>
          <w:p w14:paraId="6411F5D2">
            <w:pPr>
              <w:ind w:firstLine="0" w:firstLineChars="0"/>
              <w:rPr>
                <w:rFonts w:cs="Times New Roman"/>
                <w:sz w:val="20"/>
              </w:rPr>
            </w:pPr>
          </w:p>
        </w:tc>
      </w:tr>
      <w:tr w14:paraId="61CD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3762279">
            <w:pPr>
              <w:ind w:firstLine="0" w:firstLineChars="0"/>
              <w:jc w:val="center"/>
              <w:rPr>
                <w:rFonts w:cs="Times New Roman"/>
                <w:sz w:val="20"/>
              </w:rPr>
            </w:pPr>
            <w:r>
              <w:rPr>
                <w:rFonts w:hint="eastAsia" w:cs="Times New Roman"/>
                <w:sz w:val="20"/>
              </w:rPr>
              <w:t>12</w:t>
            </w:r>
          </w:p>
        </w:tc>
        <w:tc>
          <w:tcPr>
            <w:tcW w:w="1134" w:type="dxa"/>
            <w:vMerge w:val="continue"/>
            <w:tcBorders>
              <w:left w:val="single" w:color="auto" w:sz="4" w:space="0"/>
            </w:tcBorders>
          </w:tcPr>
          <w:p w14:paraId="0D24285D">
            <w:pPr>
              <w:ind w:firstLine="400"/>
              <w:rPr>
                <w:sz w:val="20"/>
                <w:szCs w:val="18"/>
              </w:rPr>
            </w:pPr>
          </w:p>
        </w:tc>
        <w:tc>
          <w:tcPr>
            <w:tcW w:w="1559" w:type="dxa"/>
            <w:tcBorders>
              <w:left w:val="single" w:color="auto" w:sz="4" w:space="0"/>
            </w:tcBorders>
            <w:vAlign w:val="center"/>
          </w:tcPr>
          <w:p w14:paraId="3BAA714C">
            <w:pPr>
              <w:ind w:firstLine="0" w:firstLineChars="0"/>
              <w:rPr>
                <w:rFonts w:cs="Times New Roman"/>
                <w:sz w:val="20"/>
              </w:rPr>
            </w:pPr>
            <w:r>
              <w:rPr>
                <w:rFonts w:hint="eastAsia" w:cs="Times New Roman"/>
                <w:sz w:val="20"/>
              </w:rPr>
              <w:t>人员行为规范性</w:t>
            </w:r>
          </w:p>
        </w:tc>
        <w:tc>
          <w:tcPr>
            <w:tcW w:w="2268" w:type="dxa"/>
            <w:tcBorders>
              <w:left w:val="single" w:color="auto" w:sz="4" w:space="0"/>
            </w:tcBorders>
            <w:vAlign w:val="center"/>
          </w:tcPr>
          <w:p w14:paraId="20C3FEA0">
            <w:pPr>
              <w:ind w:firstLine="0" w:firstLineChars="0"/>
              <w:rPr>
                <w:rFonts w:cs="Times New Roman"/>
                <w:sz w:val="20"/>
              </w:rPr>
            </w:pPr>
            <w:r>
              <w:rPr>
                <w:rFonts w:hint="eastAsia" w:cs="Times New Roman"/>
                <w:sz w:val="20"/>
              </w:rPr>
              <w:t>用</w:t>
            </w:r>
            <w:r>
              <w:rPr>
                <w:rFonts w:cs="Times New Roman"/>
                <w:sz w:val="20"/>
              </w:rPr>
              <w:t>于记录外包场地日常管理或</w:t>
            </w:r>
            <w:r>
              <w:rPr>
                <w:rFonts w:hint="eastAsia" w:cs="Times New Roman"/>
                <w:sz w:val="20"/>
              </w:rPr>
              <w:t>检查</w:t>
            </w:r>
            <w:r>
              <w:rPr>
                <w:rFonts w:cs="Times New Roman"/>
                <w:sz w:val="20"/>
              </w:rPr>
              <w:t>过程中发现外包人员</w:t>
            </w:r>
            <w:r>
              <w:rPr>
                <w:rFonts w:hint="eastAsia" w:cs="Times New Roman"/>
                <w:sz w:val="20"/>
              </w:rPr>
              <w:t>行为</w:t>
            </w:r>
            <w:r>
              <w:rPr>
                <w:rFonts w:cs="Times New Roman"/>
                <w:sz w:val="20"/>
              </w:rPr>
              <w:t>违</w:t>
            </w:r>
            <w:r>
              <w:rPr>
                <w:rFonts w:hint="eastAsia" w:cs="Times New Roman"/>
                <w:sz w:val="20"/>
              </w:rPr>
              <w:t>规（包括但不限于办公纪律、造成办公环境物理安全隐患等）</w:t>
            </w:r>
            <w:r>
              <w:rPr>
                <w:rFonts w:cs="Times New Roman"/>
                <w:sz w:val="20"/>
              </w:rPr>
              <w:t>的次数</w:t>
            </w:r>
          </w:p>
        </w:tc>
        <w:tc>
          <w:tcPr>
            <w:tcW w:w="3686" w:type="dxa"/>
            <w:tcBorders>
              <w:left w:val="single" w:color="auto" w:sz="4" w:space="0"/>
            </w:tcBorders>
            <w:vAlign w:val="center"/>
          </w:tcPr>
          <w:p w14:paraId="74236DEC">
            <w:pPr>
              <w:ind w:firstLine="0" w:firstLineChars="0"/>
              <w:rPr>
                <w:rFonts w:cs="Times New Roman"/>
                <w:b/>
                <w:bCs/>
                <w:sz w:val="20"/>
              </w:rPr>
            </w:pPr>
            <w:r>
              <w:rPr>
                <w:rFonts w:hint="eastAsia" w:cs="Times New Roman"/>
                <w:b/>
                <w:bCs/>
                <w:sz w:val="20"/>
              </w:rPr>
              <w:t>【得分上限1</w:t>
            </w:r>
            <w:r>
              <w:rPr>
                <w:rFonts w:cs="Times New Roman"/>
                <w:b/>
                <w:bCs/>
                <w:sz w:val="20"/>
              </w:rPr>
              <w:t>0</w:t>
            </w:r>
            <w:r>
              <w:rPr>
                <w:rFonts w:hint="eastAsia" w:cs="Times New Roman"/>
                <w:b/>
                <w:bCs/>
                <w:sz w:val="20"/>
              </w:rPr>
              <w:t>分】</w:t>
            </w:r>
          </w:p>
          <w:p w14:paraId="3DA4DA28">
            <w:pPr>
              <w:ind w:firstLine="0" w:firstLineChars="0"/>
              <w:rPr>
                <w:rFonts w:cs="Times New Roman"/>
                <w:sz w:val="20"/>
              </w:rPr>
            </w:pPr>
            <w:r>
              <w:rPr>
                <w:rFonts w:hint="eastAsia" w:cs="Times New Roman"/>
                <w:b/>
                <w:bCs/>
                <w:sz w:val="20"/>
              </w:rPr>
              <w:t>0次：</w:t>
            </w:r>
            <w:r>
              <w:rPr>
                <w:rFonts w:hint="eastAsia" w:cs="Times New Roman"/>
                <w:sz w:val="20"/>
              </w:rPr>
              <w:t>指未出现外包人员行为违规，该项指标满分；</w:t>
            </w:r>
          </w:p>
          <w:p w14:paraId="360E1E39">
            <w:pPr>
              <w:ind w:firstLine="0" w:firstLineChars="0"/>
              <w:rPr>
                <w:rFonts w:cs="Times New Roman"/>
                <w:sz w:val="20"/>
              </w:rPr>
            </w:pPr>
            <w:r>
              <w:rPr>
                <w:rFonts w:hint="eastAsia" w:cs="Times New Roman"/>
                <w:b/>
                <w:bCs/>
                <w:sz w:val="20"/>
              </w:rPr>
              <w:t>1次及以上：</w:t>
            </w:r>
            <w:r>
              <w:rPr>
                <w:rFonts w:hint="eastAsia" w:cs="Times New Roman"/>
                <w:sz w:val="20"/>
              </w:rPr>
              <w:t>指检查发现外包人员行为违规1次及以上（每人次扣5分，最高扣除1</w:t>
            </w:r>
            <w:r>
              <w:rPr>
                <w:rFonts w:cs="Times New Roman"/>
                <w:sz w:val="20"/>
              </w:rPr>
              <w:t>0</w:t>
            </w:r>
            <w:r>
              <w:rPr>
                <w:rFonts w:hint="eastAsia" w:cs="Times New Roman"/>
                <w:sz w:val="20"/>
              </w:rPr>
              <w:t>分）</w:t>
            </w:r>
          </w:p>
        </w:tc>
        <w:tc>
          <w:tcPr>
            <w:tcW w:w="2410" w:type="dxa"/>
            <w:tcBorders>
              <w:left w:val="single" w:color="auto" w:sz="4" w:space="0"/>
            </w:tcBorders>
            <w:vAlign w:val="center"/>
          </w:tcPr>
          <w:p w14:paraId="347F4CB7">
            <w:pPr>
              <w:ind w:firstLine="0" w:firstLineChars="0"/>
              <w:rPr>
                <w:rFonts w:cs="Times New Roman"/>
                <w:sz w:val="20"/>
              </w:rPr>
            </w:pPr>
            <w:r>
              <w:rPr>
                <w:rFonts w:hint="eastAsia" w:cs="Times New Roman"/>
                <w:sz w:val="20"/>
              </w:rPr>
              <w:t>每出现一次人员行为</w:t>
            </w:r>
            <w:r>
              <w:rPr>
                <w:rFonts w:cs="Times New Roman"/>
                <w:sz w:val="20"/>
              </w:rPr>
              <w:t>违规</w:t>
            </w:r>
            <w:r>
              <w:rPr>
                <w:rFonts w:hint="eastAsia" w:cs="Times New Roman"/>
                <w:sz w:val="20"/>
              </w:rPr>
              <w:t>，扣除乙方金额人民币不低于500元。</w:t>
            </w:r>
          </w:p>
        </w:tc>
        <w:tc>
          <w:tcPr>
            <w:tcW w:w="1134" w:type="dxa"/>
            <w:tcBorders>
              <w:left w:val="single" w:color="auto" w:sz="4" w:space="0"/>
            </w:tcBorders>
            <w:vAlign w:val="center"/>
          </w:tcPr>
          <w:p w14:paraId="7DF48DBB">
            <w:pPr>
              <w:ind w:firstLine="0" w:firstLineChars="0"/>
              <w:rPr>
                <w:rFonts w:cs="Times New Roman"/>
                <w:sz w:val="20"/>
              </w:rPr>
            </w:pPr>
          </w:p>
        </w:tc>
        <w:tc>
          <w:tcPr>
            <w:tcW w:w="1086" w:type="dxa"/>
            <w:tcBorders>
              <w:left w:val="single" w:color="auto" w:sz="4" w:space="0"/>
            </w:tcBorders>
            <w:vAlign w:val="center"/>
          </w:tcPr>
          <w:p w14:paraId="219F3024">
            <w:pPr>
              <w:ind w:firstLine="0" w:firstLineChars="0"/>
              <w:rPr>
                <w:rFonts w:cs="Times New Roman"/>
                <w:sz w:val="20"/>
              </w:rPr>
            </w:pPr>
          </w:p>
        </w:tc>
      </w:tr>
      <w:tr w14:paraId="28DC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C25552F">
            <w:pPr>
              <w:ind w:firstLine="0" w:firstLineChars="0"/>
              <w:jc w:val="center"/>
              <w:rPr>
                <w:rFonts w:cs="Times New Roman"/>
                <w:sz w:val="20"/>
              </w:rPr>
            </w:pPr>
            <w:r>
              <w:rPr>
                <w:rFonts w:hint="eastAsia" w:cs="Times New Roman"/>
                <w:sz w:val="20"/>
              </w:rPr>
              <w:t>13</w:t>
            </w:r>
          </w:p>
        </w:tc>
        <w:tc>
          <w:tcPr>
            <w:tcW w:w="1134" w:type="dxa"/>
            <w:vMerge w:val="continue"/>
            <w:tcBorders>
              <w:left w:val="single" w:color="auto" w:sz="4" w:space="0"/>
            </w:tcBorders>
          </w:tcPr>
          <w:p w14:paraId="7B26D211">
            <w:pPr>
              <w:ind w:firstLine="400"/>
              <w:rPr>
                <w:sz w:val="20"/>
                <w:szCs w:val="18"/>
              </w:rPr>
            </w:pPr>
          </w:p>
        </w:tc>
        <w:tc>
          <w:tcPr>
            <w:tcW w:w="1559" w:type="dxa"/>
            <w:tcBorders>
              <w:left w:val="single" w:color="auto" w:sz="4" w:space="0"/>
            </w:tcBorders>
            <w:vAlign w:val="center"/>
          </w:tcPr>
          <w:p w14:paraId="1882CE5C">
            <w:pPr>
              <w:ind w:firstLine="0" w:firstLineChars="0"/>
              <w:rPr>
                <w:rFonts w:cs="Times New Roman"/>
                <w:sz w:val="20"/>
              </w:rPr>
            </w:pPr>
            <w:r>
              <w:rPr>
                <w:rFonts w:hint="eastAsia" w:cs="Times New Roman"/>
                <w:sz w:val="20"/>
              </w:rPr>
              <w:t>人员变动率</w:t>
            </w:r>
          </w:p>
        </w:tc>
        <w:tc>
          <w:tcPr>
            <w:tcW w:w="2268" w:type="dxa"/>
            <w:tcBorders>
              <w:left w:val="single" w:color="auto" w:sz="4" w:space="0"/>
            </w:tcBorders>
            <w:vAlign w:val="center"/>
          </w:tcPr>
          <w:p w14:paraId="3203DD22">
            <w:pPr>
              <w:ind w:firstLine="0" w:firstLineChars="0"/>
              <w:rPr>
                <w:rFonts w:cs="Times New Roman"/>
                <w:sz w:val="20"/>
              </w:rPr>
            </w:pPr>
            <w:r>
              <w:rPr>
                <w:rFonts w:hint="eastAsia" w:cs="Times New Roman"/>
                <w:sz w:val="20"/>
              </w:rPr>
              <w:t>用</w:t>
            </w:r>
            <w:r>
              <w:rPr>
                <w:rFonts w:cs="Times New Roman"/>
                <w:sz w:val="20"/>
              </w:rPr>
              <w:t>于记录统计周期内</w:t>
            </w:r>
            <w:r>
              <w:rPr>
                <w:rFonts w:hint="eastAsia" w:cs="Times New Roman"/>
                <w:sz w:val="20"/>
              </w:rPr>
              <w:t>乙方未经甲方同意</w:t>
            </w:r>
            <w:r>
              <w:rPr>
                <w:rFonts w:cs="Times New Roman"/>
                <w:sz w:val="20"/>
              </w:rPr>
              <w:t>更换外包人员数量占</w:t>
            </w:r>
            <w:r>
              <w:rPr>
                <w:rFonts w:hint="eastAsia" w:cs="Times New Roman"/>
                <w:sz w:val="20"/>
              </w:rPr>
              <w:t>乙方</w:t>
            </w:r>
            <w:r>
              <w:rPr>
                <w:rFonts w:cs="Times New Roman"/>
                <w:sz w:val="20"/>
              </w:rPr>
              <w:t>驻场外包人员总数量的比率</w:t>
            </w:r>
          </w:p>
        </w:tc>
        <w:tc>
          <w:tcPr>
            <w:tcW w:w="3686" w:type="dxa"/>
            <w:tcBorders>
              <w:left w:val="single" w:color="auto" w:sz="4" w:space="0"/>
            </w:tcBorders>
            <w:vAlign w:val="center"/>
          </w:tcPr>
          <w:p w14:paraId="72941FC3">
            <w:pPr>
              <w:ind w:firstLine="0" w:firstLineChars="0"/>
              <w:rPr>
                <w:rFonts w:cs="Times New Roman"/>
                <w:sz w:val="20"/>
              </w:rPr>
            </w:pPr>
            <w:r>
              <w:rPr>
                <w:rFonts w:hint="eastAsia" w:cs="Times New Roman"/>
                <w:sz w:val="20"/>
              </w:rPr>
              <w:t>人</w:t>
            </w:r>
            <w:r>
              <w:rPr>
                <w:rFonts w:cs="Times New Roman"/>
                <w:sz w:val="20"/>
              </w:rPr>
              <w:t>员变动率=</w:t>
            </w:r>
            <w:r>
              <w:rPr>
                <w:rFonts w:hint="eastAsia" w:cs="Times New Roman"/>
                <w:sz w:val="20"/>
              </w:rPr>
              <w:t>乙方未经甲方同意</w:t>
            </w:r>
            <w:r>
              <w:rPr>
                <w:rFonts w:cs="Times New Roman"/>
                <w:sz w:val="20"/>
              </w:rPr>
              <w:t>更换外包人员数量/</w:t>
            </w:r>
            <w:r>
              <w:rPr>
                <w:rFonts w:hint="eastAsia" w:cs="Times New Roman"/>
                <w:sz w:val="20"/>
              </w:rPr>
              <w:t>乙方</w:t>
            </w:r>
            <w:r>
              <w:rPr>
                <w:rFonts w:cs="Times New Roman"/>
                <w:sz w:val="20"/>
              </w:rPr>
              <w:t>驻场外包人员总数量</w:t>
            </w:r>
          </w:p>
          <w:p w14:paraId="5E97B9F5">
            <w:pPr>
              <w:ind w:firstLine="0" w:firstLineChars="0"/>
              <w:rPr>
                <w:rFonts w:cs="Times New Roman"/>
                <w:b/>
                <w:sz w:val="20"/>
              </w:rPr>
            </w:pPr>
            <w:r>
              <w:rPr>
                <w:rFonts w:hint="eastAsia" w:cs="Times New Roman"/>
                <w:b/>
                <w:sz w:val="20"/>
              </w:rPr>
              <w:t>10分【0-20%】</w:t>
            </w:r>
          </w:p>
          <w:p w14:paraId="0001AFF8">
            <w:pPr>
              <w:ind w:firstLine="0" w:firstLineChars="0"/>
              <w:rPr>
                <w:rFonts w:cs="Times New Roman"/>
                <w:b/>
                <w:sz w:val="20"/>
              </w:rPr>
            </w:pPr>
            <w:r>
              <w:rPr>
                <w:rFonts w:hint="eastAsia" w:cs="Times New Roman"/>
                <w:b/>
                <w:sz w:val="20"/>
              </w:rPr>
              <w:t>5分【20%-40%】</w:t>
            </w:r>
          </w:p>
          <w:p w14:paraId="066193C0">
            <w:pPr>
              <w:ind w:firstLine="0" w:firstLineChars="0"/>
              <w:rPr>
                <w:rFonts w:cs="Times New Roman"/>
                <w:b/>
                <w:sz w:val="20"/>
              </w:rPr>
            </w:pPr>
            <w:r>
              <w:rPr>
                <w:rFonts w:hint="eastAsia" w:cs="Times New Roman"/>
                <w:b/>
                <w:sz w:val="20"/>
              </w:rPr>
              <w:t>0分【超过40%】</w:t>
            </w:r>
          </w:p>
        </w:tc>
        <w:tc>
          <w:tcPr>
            <w:tcW w:w="2410" w:type="dxa"/>
            <w:tcBorders>
              <w:left w:val="single" w:color="auto" w:sz="4" w:space="0"/>
            </w:tcBorders>
            <w:vAlign w:val="center"/>
          </w:tcPr>
          <w:p w14:paraId="27946200">
            <w:pPr>
              <w:ind w:firstLine="0" w:firstLineChars="0"/>
              <w:rPr>
                <w:rFonts w:cs="Times New Roman"/>
                <w:sz w:val="20"/>
              </w:rPr>
            </w:pPr>
            <w:r>
              <w:rPr>
                <w:rFonts w:hint="eastAsia" w:cs="Times New Roman"/>
                <w:sz w:val="20"/>
              </w:rPr>
              <w:t>技术骨干或项目经理未经甲方同意变动，扣除乙方金额人民币不低于3万元；其余人员变动率超过40</w:t>
            </w:r>
            <w:r>
              <w:rPr>
                <w:rFonts w:cs="Times New Roman"/>
                <w:sz w:val="20"/>
              </w:rPr>
              <w:t>%</w:t>
            </w:r>
            <w:r>
              <w:rPr>
                <w:rFonts w:hint="eastAsia" w:cs="Times New Roman"/>
                <w:sz w:val="20"/>
              </w:rPr>
              <w:t>，扣除不低于合同总金额的1%。</w:t>
            </w:r>
          </w:p>
        </w:tc>
        <w:tc>
          <w:tcPr>
            <w:tcW w:w="1134" w:type="dxa"/>
            <w:tcBorders>
              <w:left w:val="single" w:color="auto" w:sz="4" w:space="0"/>
            </w:tcBorders>
            <w:vAlign w:val="center"/>
          </w:tcPr>
          <w:p w14:paraId="53979AE9">
            <w:pPr>
              <w:ind w:firstLine="0" w:firstLineChars="0"/>
              <w:rPr>
                <w:rFonts w:cs="Times New Roman"/>
                <w:sz w:val="20"/>
              </w:rPr>
            </w:pPr>
          </w:p>
        </w:tc>
        <w:tc>
          <w:tcPr>
            <w:tcW w:w="1086" w:type="dxa"/>
            <w:tcBorders>
              <w:left w:val="single" w:color="auto" w:sz="4" w:space="0"/>
            </w:tcBorders>
            <w:vAlign w:val="center"/>
          </w:tcPr>
          <w:p w14:paraId="65963810">
            <w:pPr>
              <w:ind w:firstLine="0" w:firstLineChars="0"/>
              <w:rPr>
                <w:rFonts w:cs="Times New Roman"/>
                <w:sz w:val="20"/>
              </w:rPr>
            </w:pPr>
          </w:p>
        </w:tc>
      </w:tr>
      <w:tr w14:paraId="25A0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EC0A413">
            <w:pPr>
              <w:ind w:firstLine="0" w:firstLineChars="0"/>
              <w:jc w:val="center"/>
              <w:rPr>
                <w:rFonts w:cs="Times New Roman"/>
                <w:sz w:val="20"/>
              </w:rPr>
            </w:pPr>
            <w:r>
              <w:rPr>
                <w:rFonts w:hint="eastAsia" w:cs="Times New Roman"/>
                <w:sz w:val="20"/>
              </w:rPr>
              <w:t>14</w:t>
            </w:r>
          </w:p>
        </w:tc>
        <w:tc>
          <w:tcPr>
            <w:tcW w:w="1134" w:type="dxa"/>
            <w:vMerge w:val="continue"/>
            <w:tcBorders>
              <w:left w:val="single" w:color="auto" w:sz="4" w:space="0"/>
            </w:tcBorders>
          </w:tcPr>
          <w:p w14:paraId="19A524A7">
            <w:pPr>
              <w:ind w:firstLine="400"/>
              <w:rPr>
                <w:sz w:val="20"/>
                <w:szCs w:val="18"/>
              </w:rPr>
            </w:pPr>
          </w:p>
        </w:tc>
        <w:tc>
          <w:tcPr>
            <w:tcW w:w="1559" w:type="dxa"/>
            <w:tcBorders>
              <w:left w:val="single" w:color="auto" w:sz="4" w:space="0"/>
            </w:tcBorders>
            <w:vAlign w:val="center"/>
          </w:tcPr>
          <w:p w14:paraId="0EBCD2B0">
            <w:pPr>
              <w:ind w:firstLine="0" w:firstLineChars="0"/>
              <w:rPr>
                <w:rFonts w:cs="Times New Roman"/>
                <w:sz w:val="20"/>
              </w:rPr>
            </w:pPr>
            <w:r>
              <w:rPr>
                <w:rFonts w:hint="eastAsia" w:cs="Times New Roman"/>
                <w:sz w:val="20"/>
              </w:rPr>
              <w:t>人员满意度评价</w:t>
            </w:r>
          </w:p>
        </w:tc>
        <w:tc>
          <w:tcPr>
            <w:tcW w:w="2268" w:type="dxa"/>
            <w:tcBorders>
              <w:left w:val="single" w:color="auto" w:sz="4" w:space="0"/>
            </w:tcBorders>
            <w:vAlign w:val="center"/>
          </w:tcPr>
          <w:p w14:paraId="491CF94D">
            <w:pPr>
              <w:ind w:firstLine="0" w:firstLineChars="0"/>
              <w:rPr>
                <w:rFonts w:cs="Times New Roman"/>
                <w:sz w:val="20"/>
              </w:rPr>
            </w:pPr>
            <w:r>
              <w:rPr>
                <w:rFonts w:hint="eastAsia" w:cs="Times New Roman"/>
                <w:sz w:val="20"/>
              </w:rPr>
              <w:t>甲方</w:t>
            </w:r>
            <w:r>
              <w:rPr>
                <w:rFonts w:cs="Times New Roman"/>
                <w:sz w:val="20"/>
              </w:rPr>
              <w:t>对</w:t>
            </w:r>
            <w:r>
              <w:rPr>
                <w:rFonts w:hint="eastAsia" w:cs="Times New Roman"/>
                <w:sz w:val="20"/>
              </w:rPr>
              <w:t>乙方</w:t>
            </w:r>
            <w:r>
              <w:rPr>
                <w:rFonts w:cs="Times New Roman"/>
                <w:sz w:val="20"/>
              </w:rPr>
              <w:t>外包人员表现的满意度评价</w:t>
            </w:r>
          </w:p>
        </w:tc>
        <w:tc>
          <w:tcPr>
            <w:tcW w:w="3686" w:type="dxa"/>
            <w:tcBorders>
              <w:left w:val="single" w:color="auto" w:sz="4" w:space="0"/>
            </w:tcBorders>
            <w:vAlign w:val="center"/>
          </w:tcPr>
          <w:p w14:paraId="5F7585E0">
            <w:pPr>
              <w:ind w:firstLine="0" w:firstLineChars="0"/>
              <w:rPr>
                <w:rFonts w:cs="Times New Roman"/>
                <w:sz w:val="20"/>
              </w:rPr>
            </w:pPr>
            <w:r>
              <w:rPr>
                <w:rFonts w:hint="eastAsia" w:cs="Times New Roman"/>
                <w:b/>
                <w:bCs/>
                <w:sz w:val="20"/>
              </w:rPr>
              <w:t>优秀：</w:t>
            </w:r>
            <w:r>
              <w:rPr>
                <w:rFonts w:hint="eastAsia" w:cs="Times New Roman"/>
                <w:sz w:val="20"/>
              </w:rPr>
              <w:t>5分，</w:t>
            </w:r>
            <w:r>
              <w:rPr>
                <w:rFonts w:cs="Times New Roman"/>
                <w:sz w:val="20"/>
              </w:rPr>
              <w:t>指</w:t>
            </w:r>
            <w:r>
              <w:rPr>
                <w:rFonts w:hint="eastAsia" w:cs="Times New Roman"/>
                <w:sz w:val="20"/>
              </w:rPr>
              <w:t>工作效率高，态度积极主动，</w:t>
            </w:r>
            <w:r>
              <w:rPr>
                <w:rFonts w:cs="Times New Roman"/>
                <w:sz w:val="20"/>
              </w:rPr>
              <w:t>保质保量完成工作任务</w:t>
            </w:r>
            <w:r>
              <w:rPr>
                <w:rFonts w:hint="eastAsia" w:cs="Times New Roman"/>
                <w:sz w:val="20"/>
              </w:rPr>
              <w:t>，</w:t>
            </w:r>
            <w:r>
              <w:rPr>
                <w:rFonts w:cs="Times New Roman"/>
                <w:sz w:val="20"/>
              </w:rPr>
              <w:t>对团队有突出贡献，日常行为能起到模范带头作用</w:t>
            </w:r>
            <w:r>
              <w:rPr>
                <w:rFonts w:hint="eastAsia" w:cs="Times New Roman"/>
                <w:sz w:val="20"/>
              </w:rPr>
              <w:t>的；</w:t>
            </w:r>
          </w:p>
          <w:p w14:paraId="4E16D963">
            <w:pPr>
              <w:ind w:firstLine="0" w:firstLineChars="0"/>
              <w:rPr>
                <w:rFonts w:cs="Times New Roman"/>
                <w:sz w:val="20"/>
              </w:rPr>
            </w:pPr>
            <w:r>
              <w:rPr>
                <w:rFonts w:hint="eastAsia" w:cs="Times New Roman"/>
                <w:b/>
                <w:bCs/>
                <w:sz w:val="20"/>
              </w:rPr>
              <w:t>良好：</w:t>
            </w:r>
            <w:r>
              <w:rPr>
                <w:rFonts w:hint="eastAsia" w:cs="Times New Roman"/>
                <w:sz w:val="20"/>
              </w:rPr>
              <w:t>4分，</w:t>
            </w:r>
            <w:r>
              <w:rPr>
                <w:rFonts w:cs="Times New Roman"/>
                <w:sz w:val="20"/>
              </w:rPr>
              <w:t>指</w:t>
            </w:r>
            <w:r>
              <w:rPr>
                <w:rFonts w:hint="eastAsia" w:cs="Times New Roman"/>
                <w:sz w:val="20"/>
              </w:rPr>
              <w:t>工作效率较高，态度比较主动，较好</w:t>
            </w:r>
            <w:r>
              <w:rPr>
                <w:rFonts w:cs="Times New Roman"/>
                <w:sz w:val="20"/>
              </w:rPr>
              <w:t>完成工作任务</w:t>
            </w:r>
            <w:r>
              <w:rPr>
                <w:rFonts w:hint="eastAsia" w:cs="Times New Roman"/>
                <w:sz w:val="20"/>
              </w:rPr>
              <w:t>，</w:t>
            </w:r>
            <w:r>
              <w:rPr>
                <w:rFonts w:cs="Times New Roman"/>
                <w:sz w:val="20"/>
              </w:rPr>
              <w:t>对团队有</w:t>
            </w:r>
            <w:r>
              <w:rPr>
                <w:rFonts w:hint="eastAsia" w:cs="Times New Roman"/>
                <w:sz w:val="20"/>
              </w:rPr>
              <w:t>一定</w:t>
            </w:r>
            <w:r>
              <w:rPr>
                <w:rFonts w:cs="Times New Roman"/>
                <w:sz w:val="20"/>
              </w:rPr>
              <w:t>贡献，日常行为</w:t>
            </w:r>
            <w:r>
              <w:rPr>
                <w:rFonts w:hint="eastAsia" w:cs="Times New Roman"/>
                <w:sz w:val="20"/>
              </w:rPr>
              <w:t>表现较好的；</w:t>
            </w:r>
          </w:p>
          <w:p w14:paraId="2C016CAE">
            <w:pPr>
              <w:ind w:firstLine="0" w:firstLineChars="0"/>
              <w:rPr>
                <w:rFonts w:cs="Times New Roman"/>
                <w:sz w:val="20"/>
              </w:rPr>
            </w:pPr>
            <w:r>
              <w:rPr>
                <w:rFonts w:hint="eastAsia" w:cs="Times New Roman"/>
                <w:b/>
                <w:bCs/>
                <w:sz w:val="20"/>
              </w:rPr>
              <w:t>合格：</w:t>
            </w:r>
            <w:r>
              <w:rPr>
                <w:rFonts w:hint="eastAsia" w:cs="Times New Roman"/>
                <w:sz w:val="20"/>
              </w:rPr>
              <w:t>3分，</w:t>
            </w:r>
            <w:r>
              <w:rPr>
                <w:rFonts w:cs="Times New Roman"/>
                <w:sz w:val="20"/>
              </w:rPr>
              <w:t>指</w:t>
            </w:r>
            <w:r>
              <w:rPr>
                <w:rFonts w:hint="eastAsia" w:cs="Times New Roman"/>
                <w:sz w:val="20"/>
              </w:rPr>
              <w:t>工作效率一般，态度合格，能够按时</w:t>
            </w:r>
            <w:r>
              <w:rPr>
                <w:rFonts w:cs="Times New Roman"/>
                <w:sz w:val="20"/>
              </w:rPr>
              <w:t>完成工作任务</w:t>
            </w:r>
            <w:r>
              <w:rPr>
                <w:rFonts w:hint="eastAsia" w:cs="Times New Roman"/>
                <w:sz w:val="20"/>
              </w:rPr>
              <w:t>的；</w:t>
            </w:r>
          </w:p>
          <w:p w14:paraId="60524FAA">
            <w:pPr>
              <w:ind w:firstLine="0" w:firstLineChars="0"/>
              <w:rPr>
                <w:rFonts w:cs="Times New Roman"/>
                <w:sz w:val="20"/>
              </w:rPr>
            </w:pPr>
            <w:r>
              <w:rPr>
                <w:rFonts w:hint="eastAsia" w:cs="Times New Roman"/>
                <w:b/>
                <w:bCs/>
                <w:sz w:val="20"/>
              </w:rPr>
              <w:t>较差/差：</w:t>
            </w:r>
            <w:r>
              <w:rPr>
                <w:rFonts w:hint="eastAsia" w:cs="Times New Roman"/>
                <w:sz w:val="20"/>
              </w:rPr>
              <w:t>0分，</w:t>
            </w:r>
            <w:r>
              <w:rPr>
                <w:rFonts w:cs="Times New Roman"/>
                <w:sz w:val="20"/>
              </w:rPr>
              <w:t>指</w:t>
            </w:r>
            <w:r>
              <w:rPr>
                <w:rFonts w:hint="eastAsia" w:cs="Times New Roman"/>
                <w:sz w:val="20"/>
              </w:rPr>
              <w:t>工作效率低下，态度懈怠散漫，不能按时</w:t>
            </w:r>
            <w:r>
              <w:rPr>
                <w:rFonts w:cs="Times New Roman"/>
                <w:sz w:val="20"/>
              </w:rPr>
              <w:t>完成工作任务</w:t>
            </w:r>
            <w:r>
              <w:rPr>
                <w:rFonts w:hint="eastAsia" w:cs="Times New Roman"/>
                <w:sz w:val="20"/>
              </w:rPr>
              <w:t>的。</w:t>
            </w:r>
          </w:p>
        </w:tc>
        <w:tc>
          <w:tcPr>
            <w:tcW w:w="2410" w:type="dxa"/>
            <w:tcBorders>
              <w:left w:val="single" w:color="auto" w:sz="4" w:space="0"/>
            </w:tcBorders>
            <w:vAlign w:val="center"/>
          </w:tcPr>
          <w:p w14:paraId="47979B9B">
            <w:pPr>
              <w:ind w:firstLine="0" w:firstLineChars="0"/>
              <w:rPr>
                <w:rFonts w:cs="Times New Roman"/>
                <w:sz w:val="20"/>
              </w:rPr>
            </w:pPr>
            <w:r>
              <w:rPr>
                <w:rFonts w:hint="eastAsia" w:cs="Times New Roman"/>
                <w:sz w:val="20"/>
              </w:rPr>
              <w:t>评价为较差/差时，甲方有权要求乙方更换人员并赔偿实际损失。</w:t>
            </w:r>
          </w:p>
        </w:tc>
        <w:tc>
          <w:tcPr>
            <w:tcW w:w="1134" w:type="dxa"/>
            <w:tcBorders>
              <w:left w:val="single" w:color="auto" w:sz="4" w:space="0"/>
            </w:tcBorders>
            <w:vAlign w:val="center"/>
          </w:tcPr>
          <w:p w14:paraId="3677F872">
            <w:pPr>
              <w:ind w:firstLine="0" w:firstLineChars="0"/>
              <w:rPr>
                <w:rFonts w:cs="Times New Roman"/>
                <w:sz w:val="20"/>
              </w:rPr>
            </w:pPr>
          </w:p>
        </w:tc>
        <w:tc>
          <w:tcPr>
            <w:tcW w:w="1086" w:type="dxa"/>
            <w:tcBorders>
              <w:left w:val="single" w:color="auto" w:sz="4" w:space="0"/>
            </w:tcBorders>
            <w:vAlign w:val="center"/>
          </w:tcPr>
          <w:p w14:paraId="5100FB9C">
            <w:pPr>
              <w:ind w:firstLine="0" w:firstLineChars="0"/>
              <w:rPr>
                <w:rFonts w:cs="Times New Roman"/>
                <w:sz w:val="20"/>
              </w:rPr>
            </w:pPr>
          </w:p>
        </w:tc>
      </w:tr>
      <w:tr w14:paraId="351D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5" w:type="dxa"/>
            <w:gridSpan w:val="7"/>
            <w:vAlign w:val="center"/>
          </w:tcPr>
          <w:p w14:paraId="2A77F03C">
            <w:pPr>
              <w:ind w:firstLine="0" w:firstLineChars="0"/>
              <w:jc w:val="right"/>
              <w:rPr>
                <w:rFonts w:cs="Times New Roman"/>
                <w:sz w:val="20"/>
              </w:rPr>
            </w:pPr>
            <w:r>
              <w:rPr>
                <w:rFonts w:hint="eastAsia" w:cs="Times New Roman"/>
                <w:sz w:val="20"/>
              </w:rPr>
              <w:t>综合得分：</w:t>
            </w:r>
          </w:p>
        </w:tc>
        <w:tc>
          <w:tcPr>
            <w:tcW w:w="1086" w:type="dxa"/>
            <w:tcBorders>
              <w:left w:val="single" w:color="auto" w:sz="4" w:space="0"/>
            </w:tcBorders>
          </w:tcPr>
          <w:p w14:paraId="0E6AD683">
            <w:pPr>
              <w:ind w:firstLine="0" w:firstLineChars="0"/>
              <w:rPr>
                <w:rFonts w:cs="Times New Roman"/>
                <w:sz w:val="20"/>
              </w:rPr>
            </w:pPr>
          </w:p>
        </w:tc>
      </w:tr>
      <w:tr w14:paraId="5FE5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81" w:type="dxa"/>
            <w:gridSpan w:val="8"/>
          </w:tcPr>
          <w:p w14:paraId="1256EF63">
            <w:pPr>
              <w:ind w:firstLine="0" w:firstLineChars="0"/>
              <w:rPr>
                <w:rFonts w:cs="Times New Roman"/>
                <w:sz w:val="20"/>
              </w:rPr>
            </w:pPr>
            <w:r>
              <w:rPr>
                <w:rFonts w:hint="eastAsia" w:cs="Times New Roman"/>
                <w:sz w:val="20"/>
              </w:rPr>
              <w:t>综合评价结果：</w:t>
            </w:r>
          </w:p>
          <w:p w14:paraId="5A25A90D">
            <w:pPr>
              <w:ind w:firstLine="0" w:firstLineChars="0"/>
              <w:rPr>
                <w:rFonts w:cs="Times New Roman"/>
                <w:sz w:val="20"/>
              </w:rPr>
            </w:pPr>
            <w:r>
              <w:rPr>
                <w:rFonts w:hint="eastAsia" w:cs="Times New Roman"/>
                <w:sz w:val="20"/>
              </w:rPr>
              <w:t>（注：根据评价得分填写评价等级，填写完成后删除此内容）</w:t>
            </w:r>
          </w:p>
          <w:p w14:paraId="7C8A721D">
            <w:pPr>
              <w:ind w:firstLine="0" w:firstLineChars="0"/>
              <w:rPr>
                <w:rFonts w:cs="Times New Roman"/>
                <w:sz w:val="20"/>
              </w:rPr>
            </w:pPr>
            <w:r>
              <w:rPr>
                <w:rFonts w:hint="eastAsia" w:cs="Times New Roman"/>
                <w:sz w:val="20"/>
              </w:rPr>
              <w:t>综合评价描述：</w:t>
            </w:r>
          </w:p>
          <w:p w14:paraId="1F6FE078">
            <w:pPr>
              <w:ind w:firstLine="0" w:firstLineChars="0"/>
              <w:rPr>
                <w:rFonts w:cs="Times New Roman"/>
                <w:sz w:val="20"/>
              </w:rPr>
            </w:pPr>
            <w:r>
              <w:rPr>
                <w:rFonts w:hint="eastAsia" w:cs="Times New Roman"/>
                <w:sz w:val="20"/>
              </w:rPr>
              <w:t>（注：不满足服务要求的情况，需详细阐述不满足的内容及扣除合同违约金，填写完成后删除此内容）</w:t>
            </w:r>
          </w:p>
          <w:p w14:paraId="137D00D9">
            <w:pPr>
              <w:ind w:firstLine="0" w:firstLineChars="0"/>
              <w:rPr>
                <w:rFonts w:cs="Times New Roman"/>
                <w:sz w:val="20"/>
              </w:rPr>
            </w:pPr>
          </w:p>
          <w:p w14:paraId="2BD1F110">
            <w:pPr>
              <w:ind w:firstLine="0" w:firstLineChars="0"/>
              <w:jc w:val="right"/>
              <w:rPr>
                <w:rFonts w:cs="Times New Roman"/>
                <w:sz w:val="20"/>
              </w:rPr>
            </w:pPr>
            <w:r>
              <w:rPr>
                <w:rFonts w:hint="eastAsia" w:cs="Times New Roman"/>
                <w:sz w:val="20"/>
              </w:rPr>
              <w:t xml:space="preserve">评价人：                                       </w:t>
            </w:r>
          </w:p>
        </w:tc>
      </w:tr>
    </w:tbl>
    <w:p w14:paraId="793BE4D6">
      <w:pPr>
        <w:ind w:firstLine="440"/>
        <w:rPr>
          <w:rFonts w:cs="宋体"/>
          <w:sz w:val="22"/>
          <w:szCs w:val="22"/>
        </w:rPr>
      </w:pPr>
      <w:r>
        <w:rPr>
          <w:rFonts w:hint="eastAsia" w:cs="宋体"/>
          <w:sz w:val="22"/>
          <w:szCs w:val="22"/>
        </w:rPr>
        <w:t>注：综合评价等级划分优秀、良好、合格、差</w:t>
      </w:r>
    </w:p>
    <w:p w14:paraId="3F4C42B9">
      <w:pPr>
        <w:ind w:firstLine="440"/>
        <w:rPr>
          <w:rFonts w:cs="宋体"/>
          <w:sz w:val="22"/>
          <w:szCs w:val="22"/>
        </w:rPr>
      </w:pPr>
      <w:r>
        <w:rPr>
          <w:rFonts w:hint="eastAsia" w:cs="宋体"/>
          <w:sz w:val="22"/>
          <w:szCs w:val="22"/>
        </w:rPr>
        <w:t>优秀：评价得分达90分以上；</w:t>
      </w:r>
    </w:p>
    <w:p w14:paraId="2A772AF1">
      <w:pPr>
        <w:ind w:firstLine="440"/>
        <w:rPr>
          <w:rFonts w:cs="宋体"/>
          <w:sz w:val="22"/>
          <w:szCs w:val="22"/>
        </w:rPr>
      </w:pPr>
      <w:r>
        <w:rPr>
          <w:rFonts w:hint="eastAsia" w:cs="宋体"/>
          <w:sz w:val="22"/>
          <w:szCs w:val="22"/>
        </w:rPr>
        <w:t>良好：评价得分达75-90分；</w:t>
      </w:r>
    </w:p>
    <w:p w14:paraId="4B77AEAB">
      <w:pPr>
        <w:ind w:firstLine="440"/>
        <w:rPr>
          <w:rFonts w:cs="宋体"/>
          <w:sz w:val="22"/>
          <w:szCs w:val="22"/>
        </w:rPr>
      </w:pPr>
      <w:r>
        <w:rPr>
          <w:rFonts w:hint="eastAsia" w:cs="宋体"/>
          <w:sz w:val="22"/>
          <w:szCs w:val="22"/>
        </w:rPr>
        <w:t>合格：评价得分达60-75分；</w:t>
      </w:r>
    </w:p>
    <w:p w14:paraId="49E7768D">
      <w:pPr>
        <w:ind w:firstLine="440"/>
        <w:rPr>
          <w:rFonts w:cs="宋体"/>
          <w:sz w:val="22"/>
          <w:szCs w:val="22"/>
        </w:rPr>
        <w:sectPr>
          <w:pgSz w:w="15840" w:h="12240" w:orient="landscape"/>
          <w:pgMar w:top="1440" w:right="1440" w:bottom="1440" w:left="1440" w:header="720" w:footer="720" w:gutter="0"/>
          <w:cols w:space="720" w:num="1"/>
          <w:docGrid w:linePitch="312" w:charSpace="0"/>
        </w:sectPr>
      </w:pPr>
      <w:r>
        <w:rPr>
          <w:rFonts w:hint="eastAsia" w:cs="宋体"/>
          <w:sz w:val="22"/>
          <w:szCs w:val="22"/>
        </w:rPr>
        <w:t>差：评价得分在60分以下</w:t>
      </w:r>
    </w:p>
    <w:p w14:paraId="594A89BA">
      <w:pPr>
        <w:ind w:firstLine="440"/>
        <w:rPr>
          <w:sz w:val="22"/>
          <w:szCs w:val="22"/>
        </w:rPr>
      </w:pPr>
      <w:r>
        <w:rPr>
          <w:rFonts w:hint="eastAsia" w:cs="宋体"/>
          <w:sz w:val="22"/>
          <w:szCs w:val="22"/>
        </w:rPr>
        <w:t>附件二：外包服务人员档级定义</w:t>
      </w:r>
    </w:p>
    <w:tbl>
      <w:tblPr>
        <w:tblStyle w:val="19"/>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9"/>
        <w:gridCol w:w="829"/>
        <w:gridCol w:w="1433"/>
        <w:gridCol w:w="1554"/>
        <w:gridCol w:w="8210"/>
      </w:tblGrid>
      <w:tr w14:paraId="5308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3" w:hRule="atLeast"/>
        </w:trPr>
        <w:tc>
          <w:tcPr>
            <w:tcW w:w="326" w:type="pct"/>
            <w:shd w:val="clear" w:color="auto" w:fill="FFFFFF"/>
            <w:vAlign w:val="center"/>
          </w:tcPr>
          <w:p w14:paraId="6E74E8FE">
            <w:pPr>
              <w:pStyle w:val="41"/>
              <w:rPr>
                <w:sz w:val="20"/>
                <w:szCs w:val="16"/>
              </w:rPr>
            </w:pPr>
            <w:r>
              <w:rPr>
                <w:sz w:val="20"/>
                <w:szCs w:val="16"/>
              </w:rPr>
              <w:t>岗位</w:t>
            </w:r>
          </w:p>
        </w:tc>
        <w:tc>
          <w:tcPr>
            <w:tcW w:w="322" w:type="pct"/>
            <w:shd w:val="clear" w:color="auto" w:fill="FFFFFF"/>
            <w:vAlign w:val="center"/>
          </w:tcPr>
          <w:p w14:paraId="13BCAA53">
            <w:pPr>
              <w:pStyle w:val="41"/>
              <w:rPr>
                <w:sz w:val="20"/>
                <w:szCs w:val="16"/>
              </w:rPr>
            </w:pPr>
            <w:r>
              <w:rPr>
                <w:sz w:val="20"/>
                <w:szCs w:val="16"/>
              </w:rPr>
              <w:t>档级</w:t>
            </w:r>
          </w:p>
        </w:tc>
        <w:tc>
          <w:tcPr>
            <w:tcW w:w="557" w:type="pct"/>
            <w:shd w:val="clear" w:color="auto" w:fill="FFFFFF"/>
            <w:vAlign w:val="center"/>
          </w:tcPr>
          <w:p w14:paraId="6E1088C8">
            <w:pPr>
              <w:pStyle w:val="41"/>
              <w:rPr>
                <w:sz w:val="20"/>
                <w:szCs w:val="16"/>
              </w:rPr>
            </w:pPr>
            <w:r>
              <w:rPr>
                <w:sz w:val="20"/>
                <w:szCs w:val="16"/>
              </w:rPr>
              <w:t>细分档级</w:t>
            </w:r>
          </w:p>
        </w:tc>
        <w:tc>
          <w:tcPr>
            <w:tcW w:w="604" w:type="pct"/>
            <w:shd w:val="clear" w:color="auto" w:fill="auto"/>
            <w:vAlign w:val="center"/>
          </w:tcPr>
          <w:p w14:paraId="5859C4D2">
            <w:pPr>
              <w:pStyle w:val="41"/>
              <w:ind w:firstLine="420"/>
              <w:rPr>
                <w:sz w:val="20"/>
                <w:szCs w:val="16"/>
              </w:rPr>
            </w:pPr>
            <w:r>
              <w:rPr>
                <w:sz w:val="20"/>
                <w:szCs w:val="16"/>
              </w:rPr>
              <w:t>工作年限</w:t>
            </w:r>
          </w:p>
        </w:tc>
        <w:tc>
          <w:tcPr>
            <w:tcW w:w="3191" w:type="pct"/>
            <w:shd w:val="clear" w:color="auto" w:fill="auto"/>
            <w:vAlign w:val="center"/>
          </w:tcPr>
          <w:p w14:paraId="343CF503">
            <w:pPr>
              <w:pStyle w:val="41"/>
              <w:rPr>
                <w:sz w:val="20"/>
                <w:szCs w:val="16"/>
              </w:rPr>
            </w:pPr>
            <w:r>
              <w:rPr>
                <w:sz w:val="20"/>
                <w:szCs w:val="16"/>
              </w:rPr>
              <w:t>技术能力评估参考标准</w:t>
            </w:r>
          </w:p>
        </w:tc>
      </w:tr>
      <w:tr w14:paraId="7C2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438" w:hRule="atLeast"/>
        </w:trPr>
        <w:tc>
          <w:tcPr>
            <w:tcW w:w="648" w:type="pct"/>
            <w:gridSpan w:val="2"/>
            <w:vMerge w:val="restart"/>
            <w:tcBorders>
              <w:right w:val="single" w:color="auto" w:sz="4" w:space="0"/>
            </w:tcBorders>
            <w:shd w:val="clear" w:color="auto" w:fill="auto"/>
            <w:vAlign w:val="center"/>
          </w:tcPr>
          <w:p w14:paraId="5A2D5F32">
            <w:pPr>
              <w:pStyle w:val="40"/>
              <w:rPr>
                <w:sz w:val="20"/>
                <w:szCs w:val="16"/>
              </w:rPr>
            </w:pPr>
            <w:r>
              <w:rPr>
                <w:sz w:val="20"/>
                <w:szCs w:val="16"/>
              </w:rPr>
              <w:t>软件开发工程师-高级</w:t>
            </w:r>
          </w:p>
          <w:p w14:paraId="4F822C26">
            <w:pPr>
              <w:pStyle w:val="40"/>
              <w:rPr>
                <w:sz w:val="20"/>
                <w:szCs w:val="16"/>
              </w:rPr>
            </w:pPr>
          </w:p>
        </w:tc>
        <w:tc>
          <w:tcPr>
            <w:tcW w:w="557" w:type="pct"/>
            <w:tcBorders>
              <w:top w:val="single" w:color="auto" w:sz="4" w:space="0"/>
              <w:left w:val="single" w:color="auto" w:sz="4" w:space="0"/>
              <w:right w:val="single" w:color="auto" w:sz="4" w:space="0"/>
            </w:tcBorders>
            <w:shd w:val="clear" w:color="auto" w:fill="auto"/>
            <w:vAlign w:val="center"/>
          </w:tcPr>
          <w:p w14:paraId="27C58240">
            <w:pPr>
              <w:pStyle w:val="40"/>
              <w:jc w:val="center"/>
              <w:rPr>
                <w:sz w:val="20"/>
                <w:szCs w:val="16"/>
              </w:rPr>
            </w:pPr>
            <w:r>
              <w:rPr>
                <w:sz w:val="20"/>
                <w:szCs w:val="16"/>
              </w:rPr>
              <w:t>D-A2</w:t>
            </w:r>
          </w:p>
        </w:tc>
        <w:tc>
          <w:tcPr>
            <w:tcW w:w="604" w:type="pct"/>
            <w:tcBorders>
              <w:top w:val="single" w:color="auto" w:sz="4" w:space="0"/>
              <w:left w:val="single" w:color="auto" w:sz="4" w:space="0"/>
              <w:right w:val="single" w:color="auto" w:sz="4" w:space="0"/>
            </w:tcBorders>
            <w:shd w:val="clear" w:color="auto" w:fill="auto"/>
            <w:vAlign w:val="center"/>
          </w:tcPr>
          <w:p w14:paraId="6BDA9BAE">
            <w:pPr>
              <w:pStyle w:val="40"/>
              <w:jc w:val="center"/>
              <w:rPr>
                <w:sz w:val="20"/>
                <w:szCs w:val="16"/>
              </w:rPr>
            </w:pPr>
            <w:r>
              <w:rPr>
                <w:sz w:val="20"/>
                <w:szCs w:val="16"/>
              </w:rPr>
              <w:t>9年以上</w:t>
            </w:r>
          </w:p>
        </w:tc>
        <w:tc>
          <w:tcPr>
            <w:tcW w:w="3191" w:type="pct"/>
            <w:vMerge w:val="restart"/>
            <w:tcBorders>
              <w:left w:val="single" w:color="auto" w:sz="4" w:space="0"/>
            </w:tcBorders>
            <w:shd w:val="clear" w:color="auto" w:fill="auto"/>
            <w:vAlign w:val="center"/>
          </w:tcPr>
          <w:p w14:paraId="16B5FACD">
            <w:pPr>
              <w:pStyle w:val="40"/>
              <w:rPr>
                <w:sz w:val="20"/>
                <w:szCs w:val="16"/>
              </w:rPr>
            </w:pPr>
            <w:r>
              <w:rPr>
                <w:sz w:val="20"/>
                <w:szCs w:val="16"/>
              </w:rPr>
              <w:t>通用参考标准：</w:t>
            </w:r>
          </w:p>
          <w:p w14:paraId="376146E5">
            <w:pPr>
              <w:pStyle w:val="40"/>
              <w:rPr>
                <w:sz w:val="20"/>
                <w:szCs w:val="16"/>
              </w:rPr>
            </w:pPr>
            <w:r>
              <w:rPr>
                <w:sz w:val="20"/>
                <w:szCs w:val="16"/>
              </w:rPr>
              <w:t>1、符合相关学历及工作年限要求</w:t>
            </w:r>
          </w:p>
          <w:p w14:paraId="5783967A">
            <w:pPr>
              <w:pStyle w:val="40"/>
              <w:rPr>
                <w:sz w:val="20"/>
                <w:szCs w:val="16"/>
              </w:rPr>
            </w:pPr>
            <w:r>
              <w:rPr>
                <w:sz w:val="20"/>
                <w:szCs w:val="16"/>
              </w:rPr>
              <w:t>2、具备必须的软件开发理论和开发技能，具有金融领域业务背景者优先考虑</w:t>
            </w:r>
          </w:p>
          <w:p w14:paraId="1D9731CD">
            <w:pPr>
              <w:pStyle w:val="40"/>
              <w:rPr>
                <w:sz w:val="20"/>
                <w:szCs w:val="16"/>
              </w:rPr>
            </w:pPr>
            <w:r>
              <w:rPr>
                <w:sz w:val="20"/>
                <w:szCs w:val="16"/>
              </w:rPr>
              <w:t xml:space="preserve">3、精通常用数据库如 Oracle </w:t>
            </w:r>
            <w:r>
              <w:rPr>
                <w:rFonts w:hint="eastAsia"/>
                <w:sz w:val="20"/>
                <w:szCs w:val="16"/>
              </w:rPr>
              <w:t>、OceanBase等</w:t>
            </w:r>
            <w:r>
              <w:rPr>
                <w:sz w:val="20"/>
                <w:szCs w:val="16"/>
              </w:rPr>
              <w:t>常用操作</w:t>
            </w:r>
          </w:p>
          <w:p w14:paraId="1BE42CB8">
            <w:pPr>
              <w:pStyle w:val="40"/>
              <w:rPr>
                <w:sz w:val="20"/>
                <w:szCs w:val="16"/>
              </w:rPr>
            </w:pPr>
            <w:r>
              <w:rPr>
                <w:sz w:val="20"/>
                <w:szCs w:val="16"/>
              </w:rPr>
              <w:t>4、精通常用操作系统如 UNIX、LINUX 等的日常操作</w:t>
            </w:r>
          </w:p>
          <w:p w14:paraId="305B2E55">
            <w:pPr>
              <w:pStyle w:val="40"/>
              <w:rPr>
                <w:sz w:val="20"/>
                <w:szCs w:val="16"/>
              </w:rPr>
            </w:pPr>
            <w:r>
              <w:rPr>
                <w:sz w:val="20"/>
                <w:szCs w:val="16"/>
              </w:rPr>
              <w:t>5、精通常用中间件如Weblogic、Apache、Tomcat</w:t>
            </w:r>
            <w:r>
              <w:rPr>
                <w:rFonts w:hint="eastAsia"/>
                <w:sz w:val="20"/>
                <w:szCs w:val="16"/>
              </w:rPr>
              <w:t>、东方通</w:t>
            </w:r>
            <w:r>
              <w:rPr>
                <w:sz w:val="20"/>
                <w:szCs w:val="16"/>
              </w:rPr>
              <w:t>等日常操作</w:t>
            </w:r>
          </w:p>
          <w:p w14:paraId="483178F6">
            <w:pPr>
              <w:pStyle w:val="40"/>
              <w:rPr>
                <w:sz w:val="20"/>
                <w:szCs w:val="16"/>
              </w:rPr>
            </w:pPr>
            <w:r>
              <w:rPr>
                <w:sz w:val="20"/>
                <w:szCs w:val="16"/>
              </w:rPr>
              <w:t>6、具有扎实的网络基础知识</w:t>
            </w:r>
          </w:p>
          <w:p w14:paraId="39867042">
            <w:pPr>
              <w:pStyle w:val="40"/>
              <w:rPr>
                <w:sz w:val="20"/>
                <w:szCs w:val="16"/>
              </w:rPr>
            </w:pPr>
            <w:r>
              <w:rPr>
                <w:sz w:val="20"/>
                <w:szCs w:val="16"/>
              </w:rPr>
              <w:t>7、具备系统设计能力和开发团队管理能力，有丰富的团队建设的能力</w:t>
            </w:r>
          </w:p>
          <w:p w14:paraId="153A8F72">
            <w:pPr>
              <w:pStyle w:val="40"/>
              <w:rPr>
                <w:sz w:val="20"/>
                <w:szCs w:val="16"/>
              </w:rPr>
            </w:pPr>
            <w:r>
              <w:rPr>
                <w:sz w:val="20"/>
                <w:szCs w:val="16"/>
              </w:rPr>
              <w:t>8、具备项目管理知识与技能，具备项目风险管理能力</w:t>
            </w:r>
          </w:p>
          <w:p w14:paraId="1CF8278D">
            <w:pPr>
              <w:pStyle w:val="40"/>
              <w:rPr>
                <w:sz w:val="20"/>
                <w:szCs w:val="16"/>
              </w:rPr>
            </w:pPr>
            <w:r>
              <w:rPr>
                <w:sz w:val="20"/>
                <w:szCs w:val="16"/>
              </w:rPr>
              <w:t>9、熟悉CMMI过程管理理论和实践</w:t>
            </w:r>
          </w:p>
          <w:p w14:paraId="1132C321">
            <w:pPr>
              <w:pStyle w:val="40"/>
              <w:rPr>
                <w:sz w:val="20"/>
                <w:szCs w:val="16"/>
              </w:rPr>
            </w:pPr>
            <w:r>
              <w:rPr>
                <w:sz w:val="20"/>
                <w:szCs w:val="16"/>
              </w:rPr>
              <w:t>业务能力参考标准：</w:t>
            </w:r>
          </w:p>
          <w:p w14:paraId="10D23E5C">
            <w:pPr>
              <w:pStyle w:val="40"/>
              <w:rPr>
                <w:sz w:val="20"/>
                <w:szCs w:val="16"/>
              </w:rPr>
            </w:pPr>
            <w:r>
              <w:rPr>
                <w:sz w:val="20"/>
                <w:szCs w:val="16"/>
              </w:rPr>
              <w:t>在符合学历基本要求基础上，满足以下任何一条业务能力，根据综合考评定档：</w:t>
            </w:r>
          </w:p>
          <w:p w14:paraId="76AB754B">
            <w:pPr>
              <w:pStyle w:val="40"/>
              <w:rPr>
                <w:sz w:val="20"/>
                <w:szCs w:val="16"/>
              </w:rPr>
            </w:pPr>
            <w:r>
              <w:rPr>
                <w:sz w:val="20"/>
                <w:szCs w:val="16"/>
              </w:rPr>
              <w:t>1、熟悉银行关键业务全流程业务办理模式，熟悉业务系统的主要功能模块</w:t>
            </w:r>
          </w:p>
          <w:p w14:paraId="3B0C0F64">
            <w:pPr>
              <w:pStyle w:val="40"/>
              <w:rPr>
                <w:sz w:val="20"/>
                <w:szCs w:val="16"/>
              </w:rPr>
            </w:pPr>
            <w:r>
              <w:rPr>
                <w:sz w:val="20"/>
                <w:szCs w:val="16"/>
              </w:rPr>
              <w:t>2、负责过2个（含）完整的新建或重建银行关键系统的项目管理或需求分析工作</w:t>
            </w:r>
          </w:p>
          <w:p w14:paraId="5CA8CAB2">
            <w:pPr>
              <w:pStyle w:val="40"/>
              <w:rPr>
                <w:sz w:val="20"/>
                <w:szCs w:val="16"/>
              </w:rPr>
            </w:pPr>
            <w:r>
              <w:rPr>
                <w:sz w:val="20"/>
                <w:szCs w:val="16"/>
              </w:rPr>
              <w:t>3、5～8年银行关键业务系统研发或需求分析工作经验</w:t>
            </w:r>
          </w:p>
        </w:tc>
      </w:tr>
      <w:tr w14:paraId="48A5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502" w:hRule="atLeast"/>
        </w:trPr>
        <w:tc>
          <w:tcPr>
            <w:tcW w:w="648" w:type="pct"/>
            <w:gridSpan w:val="2"/>
            <w:vMerge w:val="continue"/>
            <w:tcBorders>
              <w:right w:val="single" w:color="auto" w:sz="4" w:space="0"/>
            </w:tcBorders>
            <w:shd w:val="clear" w:color="auto" w:fill="auto"/>
            <w:vAlign w:val="center"/>
          </w:tcPr>
          <w:p w14:paraId="52AD08C4">
            <w:pPr>
              <w:ind w:firstLine="400"/>
              <w:rPr>
                <w:sz w:val="20"/>
                <w:szCs w:val="18"/>
              </w:rPr>
            </w:pPr>
          </w:p>
        </w:tc>
        <w:tc>
          <w:tcPr>
            <w:tcW w:w="557" w:type="pct"/>
            <w:tcBorders>
              <w:top w:val="single" w:color="auto" w:sz="4" w:space="0"/>
              <w:left w:val="single" w:color="auto" w:sz="4" w:space="0"/>
              <w:right w:val="single" w:color="auto" w:sz="4" w:space="0"/>
            </w:tcBorders>
            <w:shd w:val="clear" w:color="auto" w:fill="auto"/>
            <w:vAlign w:val="center"/>
          </w:tcPr>
          <w:p w14:paraId="3AE31F76">
            <w:pPr>
              <w:pStyle w:val="40"/>
              <w:jc w:val="center"/>
              <w:rPr>
                <w:sz w:val="20"/>
                <w:szCs w:val="16"/>
              </w:rPr>
            </w:pPr>
            <w:r>
              <w:rPr>
                <w:sz w:val="20"/>
                <w:szCs w:val="16"/>
              </w:rPr>
              <w:t>D-A1</w:t>
            </w:r>
          </w:p>
        </w:tc>
        <w:tc>
          <w:tcPr>
            <w:tcW w:w="604" w:type="pct"/>
            <w:tcBorders>
              <w:top w:val="single" w:color="auto" w:sz="4" w:space="0"/>
              <w:left w:val="single" w:color="auto" w:sz="4" w:space="0"/>
              <w:right w:val="single" w:color="auto" w:sz="4" w:space="0"/>
            </w:tcBorders>
            <w:shd w:val="clear" w:color="auto" w:fill="auto"/>
            <w:vAlign w:val="center"/>
          </w:tcPr>
          <w:p w14:paraId="1CAADBDF">
            <w:pPr>
              <w:pStyle w:val="40"/>
              <w:jc w:val="center"/>
              <w:rPr>
                <w:sz w:val="20"/>
                <w:szCs w:val="16"/>
              </w:rPr>
            </w:pPr>
            <w:r>
              <w:rPr>
                <w:sz w:val="20"/>
                <w:szCs w:val="16"/>
              </w:rPr>
              <w:t>8年以上</w:t>
            </w:r>
          </w:p>
        </w:tc>
        <w:tc>
          <w:tcPr>
            <w:tcW w:w="3191" w:type="pct"/>
            <w:vMerge w:val="continue"/>
            <w:tcBorders>
              <w:left w:val="single" w:color="auto" w:sz="4" w:space="0"/>
            </w:tcBorders>
            <w:shd w:val="clear" w:color="auto" w:fill="auto"/>
            <w:vAlign w:val="center"/>
          </w:tcPr>
          <w:p w14:paraId="1B7E32FA">
            <w:pPr>
              <w:ind w:firstLine="400"/>
              <w:rPr>
                <w:sz w:val="20"/>
                <w:szCs w:val="18"/>
              </w:rPr>
            </w:pPr>
          </w:p>
        </w:tc>
      </w:tr>
      <w:tr w14:paraId="595B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restart"/>
            <w:tcBorders>
              <w:right w:val="single" w:color="auto" w:sz="4" w:space="0"/>
            </w:tcBorders>
            <w:shd w:val="clear" w:color="auto" w:fill="auto"/>
            <w:vAlign w:val="center"/>
          </w:tcPr>
          <w:p w14:paraId="0457506A">
            <w:pPr>
              <w:pStyle w:val="40"/>
              <w:rPr>
                <w:sz w:val="20"/>
                <w:szCs w:val="16"/>
              </w:rPr>
            </w:pPr>
            <w:r>
              <w:rPr>
                <w:sz w:val="20"/>
                <w:szCs w:val="16"/>
              </w:rPr>
              <w:t>软件开发工程师-中级</w:t>
            </w:r>
          </w:p>
        </w:tc>
        <w:tc>
          <w:tcPr>
            <w:tcW w:w="557" w:type="pct"/>
            <w:tcBorders>
              <w:top w:val="single" w:color="auto" w:sz="4" w:space="0"/>
              <w:left w:val="single" w:color="auto" w:sz="4" w:space="0"/>
              <w:right w:val="single" w:color="auto" w:sz="4" w:space="0"/>
            </w:tcBorders>
            <w:shd w:val="clear" w:color="auto" w:fill="auto"/>
            <w:vAlign w:val="center"/>
          </w:tcPr>
          <w:p w14:paraId="5212587A">
            <w:pPr>
              <w:pStyle w:val="40"/>
              <w:jc w:val="center"/>
              <w:rPr>
                <w:sz w:val="20"/>
                <w:szCs w:val="16"/>
              </w:rPr>
            </w:pPr>
            <w:r>
              <w:rPr>
                <w:sz w:val="20"/>
                <w:szCs w:val="16"/>
              </w:rPr>
              <w:t>D-B4</w:t>
            </w:r>
          </w:p>
        </w:tc>
        <w:tc>
          <w:tcPr>
            <w:tcW w:w="604" w:type="pct"/>
            <w:tcBorders>
              <w:top w:val="single" w:color="auto" w:sz="4" w:space="0"/>
              <w:left w:val="single" w:color="auto" w:sz="4" w:space="0"/>
              <w:right w:val="single" w:color="auto" w:sz="4" w:space="0"/>
            </w:tcBorders>
            <w:shd w:val="clear" w:color="auto" w:fill="auto"/>
            <w:vAlign w:val="center"/>
          </w:tcPr>
          <w:p w14:paraId="5D9B93D7">
            <w:pPr>
              <w:pStyle w:val="40"/>
              <w:jc w:val="center"/>
              <w:rPr>
                <w:sz w:val="20"/>
                <w:szCs w:val="16"/>
              </w:rPr>
            </w:pPr>
            <w:r>
              <w:rPr>
                <w:sz w:val="20"/>
                <w:szCs w:val="16"/>
              </w:rPr>
              <w:t>7年以上</w:t>
            </w:r>
          </w:p>
        </w:tc>
        <w:tc>
          <w:tcPr>
            <w:tcW w:w="3191" w:type="pct"/>
            <w:vMerge w:val="restart"/>
            <w:tcBorders>
              <w:left w:val="single" w:color="auto" w:sz="4" w:space="0"/>
            </w:tcBorders>
            <w:shd w:val="clear" w:color="auto" w:fill="auto"/>
            <w:vAlign w:val="center"/>
          </w:tcPr>
          <w:p w14:paraId="04F91217">
            <w:pPr>
              <w:pStyle w:val="40"/>
              <w:rPr>
                <w:sz w:val="20"/>
                <w:szCs w:val="16"/>
              </w:rPr>
            </w:pPr>
            <w:r>
              <w:rPr>
                <w:sz w:val="20"/>
                <w:szCs w:val="16"/>
              </w:rPr>
              <w:t>通用参考标准：</w:t>
            </w:r>
          </w:p>
          <w:p w14:paraId="09BB8C0F">
            <w:pPr>
              <w:pStyle w:val="40"/>
              <w:rPr>
                <w:sz w:val="20"/>
                <w:szCs w:val="16"/>
              </w:rPr>
            </w:pPr>
            <w:r>
              <w:rPr>
                <w:sz w:val="20"/>
                <w:szCs w:val="16"/>
              </w:rPr>
              <w:t>1、符合相关学历及工作年限要求</w:t>
            </w:r>
          </w:p>
          <w:p w14:paraId="71D34CE5">
            <w:pPr>
              <w:pStyle w:val="40"/>
              <w:rPr>
                <w:sz w:val="20"/>
                <w:szCs w:val="16"/>
              </w:rPr>
            </w:pPr>
            <w:r>
              <w:rPr>
                <w:sz w:val="20"/>
                <w:szCs w:val="16"/>
              </w:rPr>
              <w:t>2、具备必须的软件开发理论和开发技能 ，具有金融领域业务背景者优先考虑</w:t>
            </w:r>
          </w:p>
          <w:p w14:paraId="5A7CCC68">
            <w:pPr>
              <w:pStyle w:val="40"/>
              <w:rPr>
                <w:sz w:val="20"/>
                <w:szCs w:val="16"/>
              </w:rPr>
            </w:pPr>
            <w:r>
              <w:rPr>
                <w:sz w:val="20"/>
                <w:szCs w:val="16"/>
              </w:rPr>
              <w:t xml:space="preserve">3、熟悉常用数据库如 Oracle </w:t>
            </w:r>
            <w:r>
              <w:rPr>
                <w:rFonts w:hint="eastAsia"/>
                <w:sz w:val="20"/>
                <w:szCs w:val="16"/>
              </w:rPr>
              <w:t>、OceanBase等</w:t>
            </w:r>
            <w:r>
              <w:rPr>
                <w:sz w:val="20"/>
                <w:szCs w:val="16"/>
              </w:rPr>
              <w:t xml:space="preserve">常用操作 </w:t>
            </w:r>
          </w:p>
          <w:p w14:paraId="356C84EB">
            <w:pPr>
              <w:pStyle w:val="40"/>
              <w:rPr>
                <w:sz w:val="20"/>
                <w:szCs w:val="16"/>
              </w:rPr>
            </w:pPr>
            <w:r>
              <w:rPr>
                <w:sz w:val="20"/>
                <w:szCs w:val="16"/>
              </w:rPr>
              <w:t xml:space="preserve">4、熟悉常用操作系统如 UNIX、LINUX、AIX 等的日常操作 </w:t>
            </w:r>
          </w:p>
          <w:p w14:paraId="38E2F3E9">
            <w:pPr>
              <w:pStyle w:val="40"/>
              <w:rPr>
                <w:sz w:val="20"/>
                <w:szCs w:val="16"/>
              </w:rPr>
            </w:pPr>
            <w:r>
              <w:rPr>
                <w:sz w:val="20"/>
                <w:szCs w:val="16"/>
              </w:rPr>
              <w:t>5、熟悉常用中间件如Weblogic、Apache、Tomcat等日常操作</w:t>
            </w:r>
          </w:p>
          <w:p w14:paraId="57C7F31A">
            <w:pPr>
              <w:pStyle w:val="40"/>
              <w:rPr>
                <w:sz w:val="20"/>
                <w:szCs w:val="16"/>
              </w:rPr>
            </w:pPr>
            <w:r>
              <w:rPr>
                <w:sz w:val="20"/>
                <w:szCs w:val="16"/>
              </w:rPr>
              <w:t xml:space="preserve">6、具有简单的网络基础知识 </w:t>
            </w:r>
          </w:p>
          <w:p w14:paraId="261DF01D">
            <w:pPr>
              <w:pStyle w:val="40"/>
              <w:rPr>
                <w:sz w:val="20"/>
                <w:szCs w:val="16"/>
              </w:rPr>
            </w:pPr>
            <w:r>
              <w:rPr>
                <w:sz w:val="20"/>
                <w:szCs w:val="16"/>
              </w:rPr>
              <w:t>7、具备一定设计能力和开发团队管理能力</w:t>
            </w:r>
          </w:p>
          <w:p w14:paraId="2350DBDF">
            <w:pPr>
              <w:pStyle w:val="40"/>
              <w:rPr>
                <w:sz w:val="20"/>
                <w:szCs w:val="16"/>
              </w:rPr>
            </w:pPr>
            <w:r>
              <w:rPr>
                <w:sz w:val="20"/>
                <w:szCs w:val="16"/>
              </w:rPr>
              <w:t>业务能力参考标准：</w:t>
            </w:r>
          </w:p>
          <w:p w14:paraId="0BAD6C13">
            <w:pPr>
              <w:pStyle w:val="40"/>
              <w:rPr>
                <w:sz w:val="20"/>
                <w:szCs w:val="16"/>
              </w:rPr>
            </w:pPr>
            <w:r>
              <w:rPr>
                <w:sz w:val="20"/>
                <w:szCs w:val="16"/>
              </w:rPr>
              <w:t>在符合学历基本要求基础上，满足以下任何一条业务能力，根据综合考评定档：</w:t>
            </w:r>
          </w:p>
          <w:p w14:paraId="52DBC09C">
            <w:pPr>
              <w:pStyle w:val="40"/>
              <w:rPr>
                <w:sz w:val="20"/>
                <w:szCs w:val="16"/>
              </w:rPr>
            </w:pPr>
            <w:r>
              <w:rPr>
                <w:sz w:val="20"/>
                <w:szCs w:val="16"/>
              </w:rPr>
              <w:t>1、熟悉银行关键业务全流程业务办理模式，熟悉关键业务系统的主要功能模块</w:t>
            </w:r>
          </w:p>
          <w:p w14:paraId="4919FDBC">
            <w:pPr>
              <w:pStyle w:val="40"/>
              <w:rPr>
                <w:sz w:val="20"/>
                <w:szCs w:val="16"/>
              </w:rPr>
            </w:pPr>
            <w:r>
              <w:rPr>
                <w:sz w:val="20"/>
                <w:szCs w:val="16"/>
              </w:rPr>
              <w:t>2、2～5年银行关键业务系统研发或需求分析工作经验</w:t>
            </w:r>
          </w:p>
        </w:tc>
      </w:tr>
      <w:tr w14:paraId="10DA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0DE194D1">
            <w:pPr>
              <w:ind w:firstLine="400"/>
              <w:rPr>
                <w:sz w:val="20"/>
                <w:szCs w:val="18"/>
              </w:rPr>
            </w:pPr>
          </w:p>
        </w:tc>
        <w:tc>
          <w:tcPr>
            <w:tcW w:w="557" w:type="pct"/>
            <w:tcBorders>
              <w:top w:val="single" w:color="auto" w:sz="4" w:space="0"/>
              <w:left w:val="single" w:color="auto" w:sz="4" w:space="0"/>
              <w:right w:val="single" w:color="auto" w:sz="4" w:space="0"/>
            </w:tcBorders>
            <w:shd w:val="clear" w:color="auto" w:fill="auto"/>
            <w:vAlign w:val="center"/>
          </w:tcPr>
          <w:p w14:paraId="00B15044">
            <w:pPr>
              <w:pStyle w:val="40"/>
              <w:jc w:val="center"/>
              <w:rPr>
                <w:sz w:val="20"/>
                <w:szCs w:val="16"/>
              </w:rPr>
            </w:pPr>
            <w:r>
              <w:rPr>
                <w:sz w:val="20"/>
                <w:szCs w:val="16"/>
              </w:rPr>
              <w:t>D-B3</w:t>
            </w:r>
          </w:p>
        </w:tc>
        <w:tc>
          <w:tcPr>
            <w:tcW w:w="604" w:type="pct"/>
            <w:tcBorders>
              <w:top w:val="single" w:color="auto" w:sz="4" w:space="0"/>
              <w:left w:val="single" w:color="auto" w:sz="4" w:space="0"/>
              <w:right w:val="single" w:color="auto" w:sz="4" w:space="0"/>
            </w:tcBorders>
            <w:shd w:val="clear" w:color="auto" w:fill="auto"/>
            <w:vAlign w:val="center"/>
          </w:tcPr>
          <w:p w14:paraId="1BF764F4">
            <w:pPr>
              <w:pStyle w:val="40"/>
              <w:jc w:val="center"/>
              <w:rPr>
                <w:sz w:val="20"/>
                <w:szCs w:val="16"/>
              </w:rPr>
            </w:pPr>
            <w:r>
              <w:rPr>
                <w:sz w:val="20"/>
                <w:szCs w:val="16"/>
              </w:rPr>
              <w:t>7年以上</w:t>
            </w:r>
          </w:p>
        </w:tc>
        <w:tc>
          <w:tcPr>
            <w:tcW w:w="3191" w:type="pct"/>
            <w:vMerge w:val="continue"/>
            <w:tcBorders>
              <w:left w:val="single" w:color="auto" w:sz="4" w:space="0"/>
            </w:tcBorders>
            <w:shd w:val="clear" w:color="auto" w:fill="auto"/>
            <w:vAlign w:val="center"/>
          </w:tcPr>
          <w:p w14:paraId="20246921">
            <w:pPr>
              <w:ind w:firstLine="400"/>
              <w:rPr>
                <w:sz w:val="20"/>
                <w:szCs w:val="18"/>
              </w:rPr>
            </w:pPr>
          </w:p>
        </w:tc>
      </w:tr>
      <w:tr w14:paraId="226B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3039D559">
            <w:pPr>
              <w:ind w:firstLine="400"/>
              <w:rPr>
                <w:sz w:val="20"/>
                <w:szCs w:val="18"/>
              </w:rPr>
            </w:pPr>
          </w:p>
        </w:tc>
        <w:tc>
          <w:tcPr>
            <w:tcW w:w="557" w:type="pct"/>
            <w:tcBorders>
              <w:top w:val="single" w:color="auto" w:sz="4" w:space="0"/>
              <w:left w:val="single" w:color="auto" w:sz="4" w:space="0"/>
              <w:right w:val="single" w:color="auto" w:sz="4" w:space="0"/>
            </w:tcBorders>
            <w:shd w:val="clear" w:color="auto" w:fill="auto"/>
            <w:vAlign w:val="center"/>
          </w:tcPr>
          <w:p w14:paraId="3A943F1B">
            <w:pPr>
              <w:pStyle w:val="40"/>
              <w:jc w:val="center"/>
              <w:rPr>
                <w:sz w:val="20"/>
                <w:szCs w:val="16"/>
              </w:rPr>
            </w:pPr>
            <w:r>
              <w:rPr>
                <w:sz w:val="20"/>
                <w:szCs w:val="16"/>
              </w:rPr>
              <w:t>D-B2</w:t>
            </w:r>
          </w:p>
        </w:tc>
        <w:tc>
          <w:tcPr>
            <w:tcW w:w="604" w:type="pct"/>
            <w:tcBorders>
              <w:top w:val="single" w:color="auto" w:sz="4" w:space="0"/>
              <w:left w:val="single" w:color="auto" w:sz="4" w:space="0"/>
              <w:right w:val="single" w:color="auto" w:sz="4" w:space="0"/>
            </w:tcBorders>
            <w:shd w:val="clear" w:color="auto" w:fill="auto"/>
            <w:vAlign w:val="center"/>
          </w:tcPr>
          <w:p w14:paraId="5E6EE227">
            <w:pPr>
              <w:pStyle w:val="40"/>
              <w:jc w:val="center"/>
              <w:rPr>
                <w:sz w:val="20"/>
                <w:szCs w:val="16"/>
              </w:rPr>
            </w:pPr>
            <w:r>
              <w:rPr>
                <w:sz w:val="20"/>
                <w:szCs w:val="16"/>
              </w:rPr>
              <w:t>6年以上</w:t>
            </w:r>
          </w:p>
        </w:tc>
        <w:tc>
          <w:tcPr>
            <w:tcW w:w="3191" w:type="pct"/>
            <w:vMerge w:val="continue"/>
            <w:tcBorders>
              <w:left w:val="single" w:color="auto" w:sz="4" w:space="0"/>
            </w:tcBorders>
            <w:shd w:val="clear" w:color="auto" w:fill="auto"/>
            <w:vAlign w:val="center"/>
          </w:tcPr>
          <w:p w14:paraId="283F2C29">
            <w:pPr>
              <w:ind w:firstLine="400"/>
              <w:rPr>
                <w:sz w:val="20"/>
                <w:szCs w:val="18"/>
              </w:rPr>
            </w:pPr>
          </w:p>
        </w:tc>
      </w:tr>
      <w:tr w14:paraId="59F6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75DD73BB">
            <w:pPr>
              <w:ind w:firstLine="400"/>
              <w:rPr>
                <w:sz w:val="20"/>
                <w:szCs w:val="18"/>
              </w:rPr>
            </w:pPr>
          </w:p>
        </w:tc>
        <w:tc>
          <w:tcPr>
            <w:tcW w:w="557" w:type="pct"/>
            <w:tcBorders>
              <w:top w:val="single" w:color="auto" w:sz="4" w:space="0"/>
              <w:left w:val="single" w:color="auto" w:sz="4" w:space="0"/>
              <w:right w:val="single" w:color="auto" w:sz="4" w:space="0"/>
            </w:tcBorders>
            <w:shd w:val="clear" w:color="auto" w:fill="auto"/>
            <w:vAlign w:val="center"/>
          </w:tcPr>
          <w:p w14:paraId="068147B8">
            <w:pPr>
              <w:pStyle w:val="40"/>
              <w:jc w:val="center"/>
              <w:rPr>
                <w:sz w:val="20"/>
                <w:szCs w:val="16"/>
              </w:rPr>
            </w:pPr>
            <w:r>
              <w:rPr>
                <w:sz w:val="20"/>
                <w:szCs w:val="16"/>
              </w:rPr>
              <w:t>D-B1</w:t>
            </w:r>
          </w:p>
        </w:tc>
        <w:tc>
          <w:tcPr>
            <w:tcW w:w="604" w:type="pct"/>
            <w:tcBorders>
              <w:top w:val="single" w:color="auto" w:sz="4" w:space="0"/>
              <w:left w:val="single" w:color="auto" w:sz="4" w:space="0"/>
              <w:right w:val="single" w:color="auto" w:sz="4" w:space="0"/>
            </w:tcBorders>
            <w:shd w:val="clear" w:color="auto" w:fill="auto"/>
            <w:vAlign w:val="center"/>
          </w:tcPr>
          <w:p w14:paraId="40026921">
            <w:pPr>
              <w:pStyle w:val="40"/>
              <w:jc w:val="center"/>
              <w:rPr>
                <w:sz w:val="20"/>
                <w:szCs w:val="16"/>
              </w:rPr>
            </w:pPr>
            <w:r>
              <w:rPr>
                <w:sz w:val="20"/>
                <w:szCs w:val="16"/>
              </w:rPr>
              <w:t>5年以上</w:t>
            </w:r>
          </w:p>
        </w:tc>
        <w:tc>
          <w:tcPr>
            <w:tcW w:w="3191" w:type="pct"/>
            <w:vMerge w:val="continue"/>
            <w:tcBorders>
              <w:left w:val="single" w:color="auto" w:sz="4" w:space="0"/>
            </w:tcBorders>
            <w:shd w:val="clear" w:color="auto" w:fill="auto"/>
            <w:vAlign w:val="center"/>
          </w:tcPr>
          <w:p w14:paraId="3A507B40">
            <w:pPr>
              <w:ind w:firstLine="400"/>
              <w:rPr>
                <w:sz w:val="20"/>
                <w:szCs w:val="18"/>
              </w:rPr>
            </w:pPr>
          </w:p>
        </w:tc>
      </w:tr>
      <w:tr w14:paraId="5D75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435" w:hRule="atLeast"/>
        </w:trPr>
        <w:tc>
          <w:tcPr>
            <w:tcW w:w="648" w:type="pct"/>
            <w:gridSpan w:val="2"/>
            <w:vMerge w:val="restart"/>
            <w:tcBorders>
              <w:right w:val="single" w:color="auto" w:sz="4" w:space="0"/>
            </w:tcBorders>
            <w:shd w:val="clear" w:color="auto" w:fill="auto"/>
            <w:vAlign w:val="center"/>
          </w:tcPr>
          <w:p w14:paraId="77559C8B">
            <w:pPr>
              <w:pStyle w:val="40"/>
              <w:rPr>
                <w:sz w:val="20"/>
                <w:szCs w:val="16"/>
              </w:rPr>
            </w:pPr>
            <w:r>
              <w:rPr>
                <w:sz w:val="20"/>
                <w:szCs w:val="16"/>
              </w:rPr>
              <w:t>数据开发工程师-高级</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161B8721">
            <w:pPr>
              <w:pStyle w:val="40"/>
              <w:jc w:val="center"/>
              <w:rPr>
                <w:sz w:val="20"/>
                <w:szCs w:val="16"/>
              </w:rPr>
            </w:pPr>
            <w:r>
              <w:rPr>
                <w:sz w:val="20"/>
                <w:szCs w:val="16"/>
              </w:rPr>
              <w:t>D-A2</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0DFCDA1E">
            <w:pPr>
              <w:pStyle w:val="40"/>
              <w:jc w:val="center"/>
              <w:rPr>
                <w:sz w:val="20"/>
                <w:szCs w:val="16"/>
              </w:rPr>
            </w:pPr>
            <w:r>
              <w:rPr>
                <w:sz w:val="20"/>
                <w:szCs w:val="16"/>
              </w:rPr>
              <w:t>9年以上</w:t>
            </w:r>
          </w:p>
        </w:tc>
        <w:tc>
          <w:tcPr>
            <w:tcW w:w="3191" w:type="pct"/>
            <w:vMerge w:val="restart"/>
            <w:tcBorders>
              <w:left w:val="single" w:color="auto" w:sz="4" w:space="0"/>
              <w:bottom w:val="single" w:color="auto" w:sz="4" w:space="0"/>
            </w:tcBorders>
            <w:shd w:val="clear" w:color="auto" w:fill="auto"/>
            <w:vAlign w:val="center"/>
          </w:tcPr>
          <w:p w14:paraId="36D08877">
            <w:pPr>
              <w:pStyle w:val="40"/>
              <w:rPr>
                <w:sz w:val="20"/>
                <w:szCs w:val="16"/>
              </w:rPr>
            </w:pPr>
            <w:r>
              <w:rPr>
                <w:sz w:val="20"/>
                <w:szCs w:val="16"/>
              </w:rPr>
              <w:t>通用参考标准：</w:t>
            </w:r>
          </w:p>
          <w:p w14:paraId="47274744">
            <w:pPr>
              <w:pStyle w:val="40"/>
              <w:rPr>
                <w:sz w:val="20"/>
                <w:szCs w:val="16"/>
              </w:rPr>
            </w:pPr>
            <w:r>
              <w:rPr>
                <w:sz w:val="20"/>
                <w:szCs w:val="16"/>
              </w:rPr>
              <w:t>1、符合相关学历及工作年限要求</w:t>
            </w:r>
          </w:p>
          <w:p w14:paraId="6408A11B">
            <w:pPr>
              <w:pStyle w:val="40"/>
              <w:rPr>
                <w:sz w:val="20"/>
                <w:szCs w:val="16"/>
              </w:rPr>
            </w:pPr>
            <w:r>
              <w:rPr>
                <w:sz w:val="20"/>
                <w:szCs w:val="16"/>
              </w:rPr>
              <w:t>2、具备必须的软件开发、数据开发理论和开发技能，具有金融领域业务背景者优先考虑</w:t>
            </w:r>
          </w:p>
          <w:p w14:paraId="1A1A5344">
            <w:pPr>
              <w:pStyle w:val="40"/>
              <w:rPr>
                <w:sz w:val="20"/>
                <w:szCs w:val="16"/>
              </w:rPr>
            </w:pPr>
            <w:r>
              <w:rPr>
                <w:sz w:val="20"/>
                <w:szCs w:val="16"/>
              </w:rPr>
              <w:t xml:space="preserve">3、精通常用数据库及大数据技术如 Oracle </w:t>
            </w:r>
            <w:r>
              <w:rPr>
                <w:rFonts w:hint="eastAsia"/>
                <w:sz w:val="20"/>
                <w:szCs w:val="16"/>
              </w:rPr>
              <w:t>、OceanBase等</w:t>
            </w:r>
            <w:r>
              <w:rPr>
                <w:sz w:val="20"/>
                <w:szCs w:val="16"/>
              </w:rPr>
              <w:t>常用操作</w:t>
            </w:r>
          </w:p>
          <w:p w14:paraId="7DD7B7CD">
            <w:pPr>
              <w:pStyle w:val="40"/>
              <w:rPr>
                <w:sz w:val="20"/>
                <w:szCs w:val="16"/>
              </w:rPr>
            </w:pPr>
            <w:r>
              <w:rPr>
                <w:sz w:val="20"/>
                <w:szCs w:val="16"/>
              </w:rPr>
              <w:t>4、精通数据处理和分析技能：包括数据清洗、数据转换、数据挖掘分析、数据建模等方面的技能</w:t>
            </w:r>
          </w:p>
          <w:p w14:paraId="791C5342">
            <w:pPr>
              <w:pStyle w:val="40"/>
              <w:rPr>
                <w:sz w:val="20"/>
                <w:szCs w:val="16"/>
              </w:rPr>
            </w:pPr>
            <w:r>
              <w:rPr>
                <w:sz w:val="20"/>
                <w:szCs w:val="16"/>
              </w:rPr>
              <w:t>5、熟练掌握至少一门编程语言或脚本语言，如Java、Python、Shell等</w:t>
            </w:r>
          </w:p>
          <w:p w14:paraId="20316914">
            <w:pPr>
              <w:pStyle w:val="40"/>
              <w:rPr>
                <w:sz w:val="20"/>
                <w:szCs w:val="16"/>
              </w:rPr>
            </w:pPr>
            <w:r>
              <w:rPr>
                <w:sz w:val="20"/>
                <w:szCs w:val="16"/>
              </w:rPr>
              <w:t>6、具备系统设计能力和开发团队管理能力，有丰富的团队建设的能力</w:t>
            </w:r>
          </w:p>
          <w:p w14:paraId="19590048">
            <w:pPr>
              <w:pStyle w:val="40"/>
              <w:rPr>
                <w:sz w:val="20"/>
                <w:szCs w:val="16"/>
              </w:rPr>
            </w:pPr>
            <w:r>
              <w:rPr>
                <w:sz w:val="20"/>
                <w:szCs w:val="16"/>
              </w:rPr>
              <w:t>7、具备项目管理知识与技能，具备项目风险管理能力</w:t>
            </w:r>
          </w:p>
          <w:p w14:paraId="06001495">
            <w:pPr>
              <w:pStyle w:val="40"/>
              <w:rPr>
                <w:sz w:val="20"/>
                <w:szCs w:val="16"/>
              </w:rPr>
            </w:pPr>
            <w:r>
              <w:rPr>
                <w:sz w:val="20"/>
                <w:szCs w:val="16"/>
              </w:rPr>
              <w:t>业务能力参考标准：</w:t>
            </w:r>
          </w:p>
          <w:p w14:paraId="2E8855FD">
            <w:pPr>
              <w:pStyle w:val="40"/>
              <w:rPr>
                <w:sz w:val="20"/>
                <w:szCs w:val="16"/>
              </w:rPr>
            </w:pPr>
            <w:r>
              <w:rPr>
                <w:sz w:val="20"/>
                <w:szCs w:val="16"/>
              </w:rPr>
              <w:t>在符合学历基本要求基础上，满足以下任何一条业务能力，根据综合考评定档：</w:t>
            </w:r>
          </w:p>
          <w:p w14:paraId="4901A838">
            <w:pPr>
              <w:pStyle w:val="40"/>
              <w:rPr>
                <w:sz w:val="20"/>
                <w:szCs w:val="16"/>
              </w:rPr>
            </w:pPr>
            <w:r>
              <w:rPr>
                <w:sz w:val="20"/>
                <w:szCs w:val="16"/>
              </w:rPr>
              <w:t>1、熟悉银行关键业务全流程业务办理模式，熟悉业务系统的主要功能模块</w:t>
            </w:r>
          </w:p>
          <w:p w14:paraId="0D924548">
            <w:pPr>
              <w:pStyle w:val="40"/>
              <w:rPr>
                <w:sz w:val="20"/>
                <w:szCs w:val="16"/>
              </w:rPr>
            </w:pPr>
            <w:r>
              <w:rPr>
                <w:sz w:val="20"/>
                <w:szCs w:val="16"/>
              </w:rPr>
              <w:t>2、负责过2个（含）完整的新建或重建银行数据平台的项目管理工作</w:t>
            </w:r>
          </w:p>
          <w:p w14:paraId="185BE970">
            <w:pPr>
              <w:pStyle w:val="40"/>
              <w:rPr>
                <w:sz w:val="20"/>
                <w:szCs w:val="16"/>
              </w:rPr>
            </w:pPr>
            <w:r>
              <w:rPr>
                <w:sz w:val="20"/>
                <w:szCs w:val="16"/>
              </w:rPr>
              <w:t>3、5～8年银行关键业务系统研发或数据平台建设工作经验</w:t>
            </w:r>
          </w:p>
        </w:tc>
      </w:tr>
      <w:tr w14:paraId="0676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417" w:hRule="atLeast"/>
        </w:trPr>
        <w:tc>
          <w:tcPr>
            <w:tcW w:w="648" w:type="pct"/>
            <w:gridSpan w:val="2"/>
            <w:vMerge w:val="continue"/>
            <w:tcBorders>
              <w:right w:val="single" w:color="auto" w:sz="4" w:space="0"/>
            </w:tcBorders>
            <w:shd w:val="clear" w:color="auto" w:fill="auto"/>
            <w:vAlign w:val="center"/>
          </w:tcPr>
          <w:p w14:paraId="5456FA52">
            <w:pPr>
              <w:ind w:firstLine="400"/>
              <w:rPr>
                <w:sz w:val="20"/>
                <w:szCs w:val="18"/>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0AE7855B">
            <w:pPr>
              <w:pStyle w:val="40"/>
              <w:jc w:val="center"/>
              <w:rPr>
                <w:sz w:val="20"/>
                <w:szCs w:val="16"/>
              </w:rPr>
            </w:pPr>
            <w:r>
              <w:rPr>
                <w:sz w:val="20"/>
                <w:szCs w:val="16"/>
              </w:rPr>
              <w:t>D-A1</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4F7F5C52">
            <w:pPr>
              <w:pStyle w:val="40"/>
              <w:jc w:val="center"/>
              <w:rPr>
                <w:sz w:val="20"/>
                <w:szCs w:val="16"/>
              </w:rPr>
            </w:pPr>
            <w:r>
              <w:rPr>
                <w:sz w:val="20"/>
                <w:szCs w:val="16"/>
              </w:rPr>
              <w:t>8年以上</w:t>
            </w:r>
          </w:p>
        </w:tc>
        <w:tc>
          <w:tcPr>
            <w:tcW w:w="3191" w:type="pct"/>
            <w:vMerge w:val="continue"/>
            <w:tcBorders>
              <w:left w:val="single" w:color="auto" w:sz="4" w:space="0"/>
              <w:bottom w:val="single" w:color="auto" w:sz="4" w:space="0"/>
            </w:tcBorders>
            <w:shd w:val="clear" w:color="auto" w:fill="auto"/>
            <w:vAlign w:val="center"/>
          </w:tcPr>
          <w:p w14:paraId="6D4EE238">
            <w:pPr>
              <w:ind w:firstLine="400"/>
              <w:rPr>
                <w:sz w:val="20"/>
                <w:szCs w:val="18"/>
              </w:rPr>
            </w:pPr>
          </w:p>
        </w:tc>
      </w:tr>
      <w:tr w14:paraId="40E7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restart"/>
            <w:tcBorders>
              <w:right w:val="single" w:color="auto" w:sz="4" w:space="0"/>
            </w:tcBorders>
            <w:shd w:val="clear" w:color="auto" w:fill="auto"/>
            <w:vAlign w:val="center"/>
          </w:tcPr>
          <w:p w14:paraId="5DF7D1A6">
            <w:pPr>
              <w:pStyle w:val="40"/>
              <w:rPr>
                <w:sz w:val="20"/>
                <w:szCs w:val="16"/>
              </w:rPr>
            </w:pPr>
            <w:r>
              <w:rPr>
                <w:sz w:val="20"/>
                <w:szCs w:val="16"/>
              </w:rPr>
              <w:t>数据开发工程师-中级</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75FF2F70">
            <w:pPr>
              <w:pStyle w:val="40"/>
              <w:jc w:val="center"/>
              <w:rPr>
                <w:sz w:val="20"/>
                <w:szCs w:val="16"/>
              </w:rPr>
            </w:pPr>
            <w:r>
              <w:rPr>
                <w:sz w:val="20"/>
                <w:szCs w:val="16"/>
              </w:rPr>
              <w:t>D-B4</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42BE6AA3">
            <w:pPr>
              <w:pStyle w:val="40"/>
              <w:jc w:val="center"/>
              <w:rPr>
                <w:sz w:val="20"/>
                <w:szCs w:val="16"/>
              </w:rPr>
            </w:pPr>
            <w:r>
              <w:rPr>
                <w:sz w:val="20"/>
                <w:szCs w:val="16"/>
              </w:rPr>
              <w:t>7年以上</w:t>
            </w:r>
          </w:p>
        </w:tc>
        <w:tc>
          <w:tcPr>
            <w:tcW w:w="3191" w:type="pct"/>
            <w:vMerge w:val="restart"/>
            <w:tcBorders>
              <w:top w:val="single" w:color="auto" w:sz="4" w:space="0"/>
              <w:left w:val="single" w:color="auto" w:sz="4" w:space="0"/>
              <w:bottom w:val="single" w:color="auto" w:sz="4" w:space="0"/>
            </w:tcBorders>
            <w:shd w:val="clear" w:color="auto" w:fill="auto"/>
            <w:vAlign w:val="center"/>
          </w:tcPr>
          <w:p w14:paraId="32B673FF">
            <w:pPr>
              <w:pStyle w:val="40"/>
              <w:rPr>
                <w:sz w:val="20"/>
                <w:szCs w:val="16"/>
              </w:rPr>
            </w:pPr>
            <w:r>
              <w:rPr>
                <w:sz w:val="20"/>
                <w:szCs w:val="16"/>
              </w:rPr>
              <w:t>通用参考标准：</w:t>
            </w:r>
          </w:p>
          <w:p w14:paraId="5079935D">
            <w:pPr>
              <w:pStyle w:val="40"/>
              <w:rPr>
                <w:sz w:val="20"/>
                <w:szCs w:val="16"/>
              </w:rPr>
            </w:pPr>
            <w:r>
              <w:rPr>
                <w:sz w:val="20"/>
                <w:szCs w:val="16"/>
              </w:rPr>
              <w:t>1、符合相关学历及工作年限要求</w:t>
            </w:r>
          </w:p>
          <w:p w14:paraId="5F870CBD">
            <w:pPr>
              <w:pStyle w:val="40"/>
              <w:rPr>
                <w:sz w:val="20"/>
                <w:szCs w:val="16"/>
              </w:rPr>
            </w:pPr>
            <w:r>
              <w:rPr>
                <w:sz w:val="20"/>
                <w:szCs w:val="16"/>
              </w:rPr>
              <w:t>2、具备必须的软件开发理论和开发技能 ，具有金融领域业务背景者优先考虑</w:t>
            </w:r>
          </w:p>
          <w:p w14:paraId="0E4A1652">
            <w:pPr>
              <w:pStyle w:val="40"/>
              <w:rPr>
                <w:sz w:val="20"/>
                <w:szCs w:val="16"/>
              </w:rPr>
            </w:pPr>
            <w:r>
              <w:rPr>
                <w:sz w:val="20"/>
                <w:szCs w:val="16"/>
              </w:rPr>
              <w:t xml:space="preserve">3、熟悉常用数据库及大数据技术如 Oracle </w:t>
            </w:r>
            <w:r>
              <w:rPr>
                <w:rFonts w:hint="eastAsia"/>
                <w:sz w:val="20"/>
                <w:szCs w:val="16"/>
              </w:rPr>
              <w:t>、OceanBase等</w:t>
            </w:r>
            <w:r>
              <w:rPr>
                <w:sz w:val="20"/>
                <w:szCs w:val="16"/>
              </w:rPr>
              <w:t>常用操作</w:t>
            </w:r>
          </w:p>
          <w:p w14:paraId="1A2104EA">
            <w:pPr>
              <w:pStyle w:val="40"/>
              <w:rPr>
                <w:sz w:val="20"/>
                <w:szCs w:val="16"/>
              </w:rPr>
            </w:pPr>
            <w:r>
              <w:rPr>
                <w:sz w:val="20"/>
                <w:szCs w:val="16"/>
              </w:rPr>
              <w:t>4、熟悉数据处理和分析技能：包括数据清洗、数据转换、数据挖掘分析、数据建模等方面的技能</w:t>
            </w:r>
          </w:p>
          <w:p w14:paraId="743563D8">
            <w:pPr>
              <w:pStyle w:val="40"/>
              <w:rPr>
                <w:sz w:val="20"/>
                <w:szCs w:val="16"/>
              </w:rPr>
            </w:pPr>
            <w:r>
              <w:rPr>
                <w:sz w:val="20"/>
                <w:szCs w:val="16"/>
              </w:rPr>
              <w:t>5、熟悉至少一门编程语言或脚本语言，如Java、Python、Shell等</w:t>
            </w:r>
          </w:p>
          <w:p w14:paraId="45C261A6">
            <w:pPr>
              <w:pStyle w:val="40"/>
              <w:rPr>
                <w:sz w:val="20"/>
                <w:szCs w:val="16"/>
              </w:rPr>
            </w:pPr>
            <w:r>
              <w:rPr>
                <w:sz w:val="20"/>
                <w:szCs w:val="16"/>
              </w:rPr>
              <w:t>6、具备一定设计能力和开发团队管理能力</w:t>
            </w:r>
          </w:p>
          <w:p w14:paraId="230F886C">
            <w:pPr>
              <w:pStyle w:val="40"/>
              <w:rPr>
                <w:sz w:val="20"/>
                <w:szCs w:val="16"/>
              </w:rPr>
            </w:pPr>
            <w:r>
              <w:rPr>
                <w:sz w:val="20"/>
                <w:szCs w:val="16"/>
              </w:rPr>
              <w:t>业务能力参考标准：</w:t>
            </w:r>
          </w:p>
          <w:p w14:paraId="120F9A93">
            <w:pPr>
              <w:pStyle w:val="40"/>
              <w:rPr>
                <w:sz w:val="20"/>
                <w:szCs w:val="16"/>
              </w:rPr>
            </w:pPr>
            <w:r>
              <w:rPr>
                <w:sz w:val="20"/>
                <w:szCs w:val="16"/>
              </w:rPr>
              <w:t>在符合学历基本要求基础上，满足以下任何一条业务能力，根据综合考评定档：</w:t>
            </w:r>
          </w:p>
          <w:p w14:paraId="33E9C1D3">
            <w:pPr>
              <w:pStyle w:val="40"/>
              <w:rPr>
                <w:sz w:val="20"/>
                <w:szCs w:val="16"/>
              </w:rPr>
            </w:pPr>
            <w:r>
              <w:rPr>
                <w:sz w:val="20"/>
                <w:szCs w:val="16"/>
              </w:rPr>
              <w:t>1、熟悉银行关键业务全流程业务办理模式</w:t>
            </w:r>
          </w:p>
          <w:p w14:paraId="7086E87C">
            <w:pPr>
              <w:pStyle w:val="40"/>
              <w:rPr>
                <w:sz w:val="20"/>
                <w:szCs w:val="16"/>
              </w:rPr>
            </w:pPr>
            <w:r>
              <w:rPr>
                <w:sz w:val="20"/>
                <w:szCs w:val="16"/>
              </w:rPr>
              <w:t>2、2～5年银行关键业务系统研发或数据开发工作经验</w:t>
            </w:r>
          </w:p>
        </w:tc>
      </w:tr>
      <w:tr w14:paraId="229F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03844740">
            <w:pPr>
              <w:ind w:firstLine="400"/>
              <w:rPr>
                <w:sz w:val="20"/>
                <w:szCs w:val="18"/>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4001424A">
            <w:pPr>
              <w:pStyle w:val="40"/>
              <w:jc w:val="center"/>
              <w:rPr>
                <w:sz w:val="20"/>
                <w:szCs w:val="16"/>
              </w:rPr>
            </w:pPr>
            <w:r>
              <w:rPr>
                <w:sz w:val="20"/>
                <w:szCs w:val="16"/>
              </w:rPr>
              <w:t>D-B3</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0A49A911">
            <w:pPr>
              <w:pStyle w:val="40"/>
              <w:jc w:val="center"/>
              <w:rPr>
                <w:sz w:val="20"/>
                <w:szCs w:val="16"/>
              </w:rPr>
            </w:pPr>
            <w:r>
              <w:rPr>
                <w:sz w:val="20"/>
                <w:szCs w:val="16"/>
              </w:rPr>
              <w:t>7年以上</w:t>
            </w:r>
          </w:p>
        </w:tc>
        <w:tc>
          <w:tcPr>
            <w:tcW w:w="3191" w:type="pct"/>
            <w:vMerge w:val="continue"/>
            <w:tcBorders>
              <w:top w:val="single" w:color="auto" w:sz="4" w:space="0"/>
              <w:left w:val="single" w:color="auto" w:sz="4" w:space="0"/>
              <w:bottom w:val="single" w:color="auto" w:sz="4" w:space="0"/>
            </w:tcBorders>
            <w:shd w:val="clear" w:color="auto" w:fill="auto"/>
            <w:vAlign w:val="center"/>
          </w:tcPr>
          <w:p w14:paraId="25FB1DDF">
            <w:pPr>
              <w:ind w:firstLine="400"/>
              <w:rPr>
                <w:sz w:val="20"/>
                <w:szCs w:val="18"/>
              </w:rPr>
            </w:pPr>
          </w:p>
        </w:tc>
      </w:tr>
      <w:tr w14:paraId="758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0B0B8A4E">
            <w:pPr>
              <w:ind w:firstLine="400"/>
              <w:rPr>
                <w:sz w:val="20"/>
                <w:szCs w:val="18"/>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601F8C16">
            <w:pPr>
              <w:pStyle w:val="40"/>
              <w:jc w:val="center"/>
              <w:rPr>
                <w:sz w:val="20"/>
                <w:szCs w:val="16"/>
              </w:rPr>
            </w:pPr>
            <w:r>
              <w:rPr>
                <w:sz w:val="20"/>
                <w:szCs w:val="16"/>
              </w:rPr>
              <w:t>D-B2</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5D1EA93F">
            <w:pPr>
              <w:pStyle w:val="40"/>
              <w:jc w:val="center"/>
              <w:rPr>
                <w:sz w:val="20"/>
                <w:szCs w:val="16"/>
              </w:rPr>
            </w:pPr>
            <w:r>
              <w:rPr>
                <w:sz w:val="20"/>
                <w:szCs w:val="16"/>
              </w:rPr>
              <w:t>6年以上</w:t>
            </w:r>
          </w:p>
        </w:tc>
        <w:tc>
          <w:tcPr>
            <w:tcW w:w="3191" w:type="pct"/>
            <w:vMerge w:val="continue"/>
            <w:tcBorders>
              <w:top w:val="single" w:color="auto" w:sz="4" w:space="0"/>
              <w:left w:val="single" w:color="auto" w:sz="4" w:space="0"/>
              <w:bottom w:val="single" w:color="auto" w:sz="4" w:space="0"/>
            </w:tcBorders>
            <w:shd w:val="clear" w:color="auto" w:fill="auto"/>
            <w:vAlign w:val="center"/>
          </w:tcPr>
          <w:p w14:paraId="48E20882">
            <w:pPr>
              <w:ind w:firstLine="400"/>
              <w:rPr>
                <w:sz w:val="20"/>
                <w:szCs w:val="18"/>
              </w:rPr>
            </w:pPr>
          </w:p>
        </w:tc>
      </w:tr>
      <w:tr w14:paraId="4638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4BC5EB0F">
            <w:pPr>
              <w:ind w:firstLine="400"/>
              <w:rPr>
                <w:sz w:val="20"/>
                <w:szCs w:val="18"/>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10F31C5A">
            <w:pPr>
              <w:pStyle w:val="40"/>
              <w:jc w:val="center"/>
              <w:rPr>
                <w:sz w:val="20"/>
                <w:szCs w:val="16"/>
              </w:rPr>
            </w:pPr>
            <w:r>
              <w:rPr>
                <w:sz w:val="20"/>
                <w:szCs w:val="16"/>
              </w:rPr>
              <w:t>D-B1</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6758F8EF">
            <w:pPr>
              <w:pStyle w:val="40"/>
              <w:jc w:val="center"/>
              <w:rPr>
                <w:sz w:val="20"/>
                <w:szCs w:val="16"/>
              </w:rPr>
            </w:pPr>
            <w:r>
              <w:rPr>
                <w:sz w:val="20"/>
                <w:szCs w:val="16"/>
              </w:rPr>
              <w:t>5年以上</w:t>
            </w:r>
          </w:p>
        </w:tc>
        <w:tc>
          <w:tcPr>
            <w:tcW w:w="3191" w:type="pct"/>
            <w:vMerge w:val="continue"/>
            <w:tcBorders>
              <w:top w:val="single" w:color="auto" w:sz="4" w:space="0"/>
              <w:left w:val="single" w:color="auto" w:sz="4" w:space="0"/>
              <w:bottom w:val="single" w:color="auto" w:sz="4" w:space="0"/>
            </w:tcBorders>
            <w:shd w:val="clear" w:color="auto" w:fill="auto"/>
            <w:vAlign w:val="center"/>
          </w:tcPr>
          <w:p w14:paraId="7D098C68">
            <w:pPr>
              <w:ind w:firstLine="400"/>
              <w:rPr>
                <w:sz w:val="20"/>
                <w:szCs w:val="18"/>
              </w:rPr>
            </w:pPr>
          </w:p>
        </w:tc>
      </w:tr>
    </w:tbl>
    <w:p w14:paraId="778E174C">
      <w:pPr>
        <w:ind w:firstLine="320"/>
        <w:rPr>
          <w:sz w:val="16"/>
          <w:szCs w:val="16"/>
        </w:rPr>
      </w:pPr>
    </w:p>
    <w:p w14:paraId="27299529">
      <w:pPr>
        <w:ind w:firstLine="320"/>
        <w:rPr>
          <w:sz w:val="16"/>
          <w:szCs w:val="16"/>
        </w:rPr>
        <w:sectPr>
          <w:pgSz w:w="15840" w:h="12240" w:orient="landscape"/>
          <w:pgMar w:top="1440" w:right="1440" w:bottom="1440" w:left="1440" w:header="720" w:footer="720" w:gutter="0"/>
          <w:cols w:space="720" w:num="1"/>
          <w:docGrid w:linePitch="312" w:charSpace="0"/>
        </w:sectPr>
      </w:pPr>
    </w:p>
    <w:p w14:paraId="47651E9A">
      <w:pPr>
        <w:ind w:firstLine="440"/>
        <w:rPr>
          <w:rFonts w:cs="宋体"/>
          <w:sz w:val="22"/>
          <w:szCs w:val="22"/>
        </w:rPr>
      </w:pPr>
      <w:r>
        <w:rPr>
          <w:rFonts w:hint="eastAsia" w:cs="宋体"/>
          <w:sz w:val="22"/>
          <w:szCs w:val="22"/>
        </w:rPr>
        <w:t>附件三：外包服务人员简历表</w:t>
      </w:r>
    </w:p>
    <w:p w14:paraId="51D18D6B">
      <w:pPr>
        <w:spacing w:line="520" w:lineRule="exact"/>
        <w:ind w:firstLine="803"/>
        <w:jc w:val="center"/>
        <w:rPr>
          <w:b/>
          <w:sz w:val="40"/>
          <w:szCs w:val="40"/>
        </w:rPr>
      </w:pPr>
      <w:r>
        <w:rPr>
          <w:rFonts w:hint="eastAsia"/>
          <w:b/>
          <w:sz w:val="40"/>
          <w:szCs w:val="40"/>
        </w:rPr>
        <w:t>重庆三峡银行信息科技外包服务人员信息表</w:t>
      </w:r>
    </w:p>
    <w:tbl>
      <w:tblPr>
        <w:tblStyle w:val="19"/>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84"/>
        <w:gridCol w:w="1701"/>
        <w:gridCol w:w="425"/>
        <w:gridCol w:w="564"/>
        <w:gridCol w:w="256"/>
        <w:gridCol w:w="881"/>
        <w:gridCol w:w="349"/>
        <w:gridCol w:w="1095"/>
        <w:gridCol w:w="102"/>
        <w:gridCol w:w="438"/>
        <w:gridCol w:w="993"/>
        <w:gridCol w:w="141"/>
        <w:gridCol w:w="666"/>
        <w:gridCol w:w="1208"/>
      </w:tblGrid>
      <w:tr w14:paraId="7497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844" w:type="dxa"/>
            <w:gridSpan w:val="15"/>
            <w:tcBorders>
              <w:top w:val="single" w:color="auto" w:sz="4" w:space="0"/>
              <w:left w:val="single" w:color="auto" w:sz="4" w:space="0"/>
              <w:bottom w:val="single" w:color="auto" w:sz="4" w:space="0"/>
              <w:right w:val="single" w:color="auto" w:sz="4" w:space="0"/>
            </w:tcBorders>
            <w:shd w:val="clear" w:color="auto" w:fill="A6A6A6"/>
          </w:tcPr>
          <w:p w14:paraId="5EBC0843">
            <w:pPr>
              <w:spacing w:line="300" w:lineRule="auto"/>
              <w:ind w:firstLine="442"/>
              <w:jc w:val="center"/>
              <w:rPr>
                <w:b/>
                <w:sz w:val="22"/>
                <w:szCs w:val="18"/>
              </w:rPr>
            </w:pPr>
            <w:r>
              <w:rPr>
                <w:rFonts w:hint="eastAsia"/>
                <w:b/>
                <w:sz w:val="22"/>
                <w:szCs w:val="18"/>
              </w:rPr>
              <w:t>基本信息</w:t>
            </w:r>
          </w:p>
        </w:tc>
      </w:tr>
      <w:tr w14:paraId="519A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25" w:type="dxa"/>
            <w:gridSpan w:val="2"/>
          </w:tcPr>
          <w:p w14:paraId="4CEDF071">
            <w:pPr>
              <w:snapToGrid w:val="0"/>
              <w:spacing w:line="400" w:lineRule="exact"/>
              <w:ind w:left="-107" w:leftChars="-51" w:right="-107" w:rightChars="-51" w:firstLine="0" w:firstLineChars="0"/>
              <w:jc w:val="center"/>
              <w:rPr>
                <w:b/>
                <w:sz w:val="22"/>
                <w:szCs w:val="18"/>
              </w:rPr>
            </w:pPr>
            <w:r>
              <w:rPr>
                <w:rFonts w:hint="eastAsia"/>
                <w:b/>
                <w:sz w:val="22"/>
                <w:szCs w:val="18"/>
              </w:rPr>
              <w:t>姓  名</w:t>
            </w:r>
          </w:p>
        </w:tc>
        <w:tc>
          <w:tcPr>
            <w:tcW w:w="1701" w:type="dxa"/>
            <w:tcBorders>
              <w:left w:val="single" w:color="auto" w:sz="4" w:space="0"/>
            </w:tcBorders>
          </w:tcPr>
          <w:p w14:paraId="5A9A1107">
            <w:pPr>
              <w:snapToGrid w:val="0"/>
              <w:spacing w:line="400" w:lineRule="exact"/>
              <w:ind w:firstLine="0" w:firstLineChars="0"/>
              <w:jc w:val="center"/>
              <w:rPr>
                <w:sz w:val="22"/>
                <w:szCs w:val="18"/>
              </w:rPr>
            </w:pPr>
          </w:p>
        </w:tc>
        <w:tc>
          <w:tcPr>
            <w:tcW w:w="989" w:type="dxa"/>
            <w:gridSpan w:val="2"/>
            <w:tcBorders>
              <w:left w:val="single" w:color="auto" w:sz="4" w:space="0"/>
            </w:tcBorders>
          </w:tcPr>
          <w:p w14:paraId="1335760A">
            <w:pPr>
              <w:snapToGrid w:val="0"/>
              <w:spacing w:line="400" w:lineRule="exact"/>
              <w:ind w:left="-107" w:leftChars="-51" w:right="-107" w:rightChars="-51" w:firstLine="0" w:firstLineChars="0"/>
              <w:jc w:val="center"/>
              <w:rPr>
                <w:b/>
                <w:sz w:val="22"/>
                <w:szCs w:val="18"/>
              </w:rPr>
            </w:pPr>
            <w:r>
              <w:rPr>
                <w:rFonts w:hint="eastAsia"/>
                <w:b/>
                <w:sz w:val="22"/>
                <w:szCs w:val="18"/>
              </w:rPr>
              <w:t>性 别</w:t>
            </w:r>
          </w:p>
        </w:tc>
        <w:tc>
          <w:tcPr>
            <w:tcW w:w="1137" w:type="dxa"/>
            <w:gridSpan w:val="2"/>
            <w:tcBorders>
              <w:left w:val="single" w:color="auto" w:sz="4" w:space="0"/>
            </w:tcBorders>
          </w:tcPr>
          <w:p w14:paraId="62CB427C">
            <w:pPr>
              <w:snapToGrid w:val="0"/>
              <w:spacing w:line="400" w:lineRule="exact"/>
              <w:ind w:firstLine="0" w:firstLineChars="0"/>
              <w:jc w:val="center"/>
              <w:rPr>
                <w:sz w:val="22"/>
                <w:szCs w:val="18"/>
              </w:rPr>
            </w:pPr>
          </w:p>
        </w:tc>
        <w:tc>
          <w:tcPr>
            <w:tcW w:w="1546" w:type="dxa"/>
            <w:gridSpan w:val="3"/>
            <w:tcBorders>
              <w:left w:val="single" w:color="auto" w:sz="4" w:space="0"/>
            </w:tcBorders>
          </w:tcPr>
          <w:p w14:paraId="40211F3A">
            <w:pPr>
              <w:snapToGrid w:val="0"/>
              <w:spacing w:line="400" w:lineRule="exact"/>
              <w:ind w:left="-107" w:leftChars="-51" w:right="-107" w:rightChars="-51" w:firstLine="0" w:firstLineChars="0"/>
              <w:jc w:val="center"/>
              <w:rPr>
                <w:b/>
                <w:sz w:val="22"/>
                <w:szCs w:val="18"/>
              </w:rPr>
            </w:pPr>
            <w:r>
              <w:rPr>
                <w:rFonts w:hint="eastAsia"/>
                <w:b/>
                <w:sz w:val="22"/>
                <w:szCs w:val="18"/>
              </w:rPr>
              <w:t>出生年月</w:t>
            </w:r>
          </w:p>
        </w:tc>
        <w:tc>
          <w:tcPr>
            <w:tcW w:w="1572" w:type="dxa"/>
            <w:gridSpan w:val="3"/>
            <w:tcBorders>
              <w:left w:val="single" w:color="auto" w:sz="4" w:space="0"/>
            </w:tcBorders>
          </w:tcPr>
          <w:p w14:paraId="1F7F799E">
            <w:pPr>
              <w:snapToGrid w:val="0"/>
              <w:spacing w:line="400" w:lineRule="exact"/>
              <w:ind w:firstLine="0" w:firstLineChars="0"/>
              <w:jc w:val="center"/>
              <w:rPr>
                <w:sz w:val="22"/>
                <w:szCs w:val="18"/>
              </w:rPr>
            </w:pPr>
          </w:p>
        </w:tc>
        <w:tc>
          <w:tcPr>
            <w:tcW w:w="1874" w:type="dxa"/>
            <w:gridSpan w:val="2"/>
            <w:vMerge w:val="restart"/>
            <w:tcBorders>
              <w:left w:val="single" w:color="auto" w:sz="4" w:space="0"/>
            </w:tcBorders>
          </w:tcPr>
          <w:p w14:paraId="01A8378D">
            <w:pPr>
              <w:snapToGrid w:val="0"/>
              <w:spacing w:line="400" w:lineRule="exact"/>
              <w:ind w:firstLine="0" w:firstLineChars="0"/>
              <w:jc w:val="center"/>
              <w:rPr>
                <w:sz w:val="22"/>
                <w:szCs w:val="18"/>
              </w:rPr>
            </w:pPr>
            <w:r>
              <w:rPr>
                <w:rFonts w:hint="eastAsia"/>
                <w:sz w:val="22"/>
                <w:szCs w:val="18"/>
              </w:rPr>
              <w:t>贴</w:t>
            </w:r>
          </w:p>
          <w:p w14:paraId="5DF5578E">
            <w:pPr>
              <w:snapToGrid w:val="0"/>
              <w:spacing w:line="400" w:lineRule="exact"/>
              <w:ind w:firstLine="0" w:firstLineChars="0"/>
              <w:jc w:val="center"/>
              <w:rPr>
                <w:sz w:val="22"/>
                <w:szCs w:val="18"/>
              </w:rPr>
            </w:pPr>
            <w:r>
              <w:rPr>
                <w:rFonts w:hint="eastAsia"/>
                <w:sz w:val="22"/>
                <w:szCs w:val="18"/>
              </w:rPr>
              <w:t>照</w:t>
            </w:r>
          </w:p>
          <w:p w14:paraId="155610FC">
            <w:pPr>
              <w:snapToGrid w:val="0"/>
              <w:spacing w:line="400" w:lineRule="exact"/>
              <w:ind w:firstLine="0" w:firstLineChars="0"/>
              <w:jc w:val="center"/>
              <w:rPr>
                <w:sz w:val="22"/>
                <w:szCs w:val="18"/>
              </w:rPr>
            </w:pPr>
            <w:r>
              <w:rPr>
                <w:rFonts w:hint="eastAsia"/>
                <w:sz w:val="22"/>
                <w:szCs w:val="18"/>
              </w:rPr>
              <w:t>片</w:t>
            </w:r>
          </w:p>
          <w:p w14:paraId="67826792">
            <w:pPr>
              <w:snapToGrid w:val="0"/>
              <w:spacing w:line="400" w:lineRule="exact"/>
              <w:ind w:firstLine="0" w:firstLineChars="0"/>
              <w:jc w:val="center"/>
              <w:rPr>
                <w:sz w:val="22"/>
                <w:szCs w:val="18"/>
              </w:rPr>
            </w:pPr>
            <w:r>
              <w:rPr>
                <w:rFonts w:hint="eastAsia"/>
                <w:sz w:val="22"/>
                <w:szCs w:val="18"/>
              </w:rPr>
              <w:t>处</w:t>
            </w:r>
          </w:p>
        </w:tc>
      </w:tr>
      <w:tr w14:paraId="3275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25" w:type="dxa"/>
            <w:gridSpan w:val="2"/>
          </w:tcPr>
          <w:p w14:paraId="70EAC1C9">
            <w:pPr>
              <w:snapToGrid w:val="0"/>
              <w:spacing w:line="400" w:lineRule="exact"/>
              <w:ind w:left="-107" w:leftChars="-51" w:right="-107" w:rightChars="-51" w:firstLine="0" w:firstLineChars="0"/>
              <w:jc w:val="center"/>
              <w:rPr>
                <w:b/>
                <w:sz w:val="22"/>
                <w:szCs w:val="18"/>
              </w:rPr>
            </w:pPr>
            <w:r>
              <w:rPr>
                <w:rFonts w:hint="eastAsia"/>
                <w:b/>
                <w:sz w:val="22"/>
                <w:szCs w:val="18"/>
              </w:rPr>
              <w:t>民  族</w:t>
            </w:r>
          </w:p>
        </w:tc>
        <w:tc>
          <w:tcPr>
            <w:tcW w:w="1701" w:type="dxa"/>
            <w:tcBorders>
              <w:left w:val="single" w:color="auto" w:sz="4" w:space="0"/>
            </w:tcBorders>
          </w:tcPr>
          <w:p w14:paraId="13E19F92">
            <w:pPr>
              <w:snapToGrid w:val="0"/>
              <w:spacing w:line="400" w:lineRule="exact"/>
              <w:ind w:firstLine="0" w:firstLineChars="0"/>
              <w:jc w:val="center"/>
              <w:rPr>
                <w:sz w:val="22"/>
                <w:szCs w:val="18"/>
              </w:rPr>
            </w:pPr>
          </w:p>
        </w:tc>
        <w:tc>
          <w:tcPr>
            <w:tcW w:w="989" w:type="dxa"/>
            <w:gridSpan w:val="2"/>
            <w:tcBorders>
              <w:left w:val="single" w:color="auto" w:sz="4" w:space="0"/>
            </w:tcBorders>
          </w:tcPr>
          <w:p w14:paraId="5B8E42C2">
            <w:pPr>
              <w:snapToGrid w:val="0"/>
              <w:spacing w:line="400" w:lineRule="exact"/>
              <w:ind w:left="-107" w:leftChars="-51" w:right="-107" w:rightChars="-51" w:firstLine="0" w:firstLineChars="0"/>
              <w:jc w:val="center"/>
              <w:rPr>
                <w:b/>
                <w:sz w:val="22"/>
                <w:szCs w:val="18"/>
              </w:rPr>
            </w:pPr>
            <w:r>
              <w:rPr>
                <w:rFonts w:hint="eastAsia"/>
                <w:b/>
                <w:sz w:val="22"/>
                <w:szCs w:val="18"/>
              </w:rPr>
              <w:t>籍 贯</w:t>
            </w:r>
          </w:p>
        </w:tc>
        <w:tc>
          <w:tcPr>
            <w:tcW w:w="1137" w:type="dxa"/>
            <w:gridSpan w:val="2"/>
            <w:tcBorders>
              <w:left w:val="single" w:color="auto" w:sz="4" w:space="0"/>
            </w:tcBorders>
          </w:tcPr>
          <w:p w14:paraId="3CE74596">
            <w:pPr>
              <w:snapToGrid w:val="0"/>
              <w:spacing w:line="400" w:lineRule="exact"/>
              <w:ind w:firstLine="0" w:firstLineChars="0"/>
              <w:jc w:val="center"/>
              <w:rPr>
                <w:sz w:val="22"/>
                <w:szCs w:val="18"/>
              </w:rPr>
            </w:pPr>
          </w:p>
        </w:tc>
        <w:tc>
          <w:tcPr>
            <w:tcW w:w="1546" w:type="dxa"/>
            <w:gridSpan w:val="3"/>
            <w:tcBorders>
              <w:left w:val="single" w:color="auto" w:sz="4" w:space="0"/>
            </w:tcBorders>
          </w:tcPr>
          <w:p w14:paraId="173C1ABD">
            <w:pPr>
              <w:snapToGrid w:val="0"/>
              <w:spacing w:line="400" w:lineRule="exact"/>
              <w:ind w:left="-107" w:leftChars="-51" w:right="-107" w:rightChars="-51" w:firstLine="0" w:firstLineChars="0"/>
              <w:jc w:val="center"/>
              <w:rPr>
                <w:b/>
                <w:sz w:val="22"/>
                <w:szCs w:val="18"/>
              </w:rPr>
            </w:pPr>
            <w:r>
              <w:rPr>
                <w:rFonts w:hint="eastAsia"/>
                <w:b/>
                <w:sz w:val="22"/>
                <w:szCs w:val="18"/>
              </w:rPr>
              <w:t>出 生 地</w:t>
            </w:r>
          </w:p>
        </w:tc>
        <w:tc>
          <w:tcPr>
            <w:tcW w:w="1572" w:type="dxa"/>
            <w:gridSpan w:val="3"/>
            <w:tcBorders>
              <w:left w:val="single" w:color="auto" w:sz="4" w:space="0"/>
            </w:tcBorders>
          </w:tcPr>
          <w:p w14:paraId="0BEBAF1D">
            <w:pPr>
              <w:snapToGrid w:val="0"/>
              <w:spacing w:line="400" w:lineRule="exact"/>
              <w:ind w:firstLine="0" w:firstLineChars="0"/>
              <w:jc w:val="center"/>
              <w:rPr>
                <w:sz w:val="22"/>
                <w:szCs w:val="18"/>
              </w:rPr>
            </w:pPr>
          </w:p>
        </w:tc>
        <w:tc>
          <w:tcPr>
            <w:tcW w:w="1874" w:type="dxa"/>
            <w:gridSpan w:val="2"/>
            <w:vMerge w:val="continue"/>
            <w:tcBorders>
              <w:left w:val="single" w:color="auto" w:sz="4" w:space="0"/>
            </w:tcBorders>
          </w:tcPr>
          <w:p w14:paraId="1B8BAD84">
            <w:pPr>
              <w:ind w:firstLine="400"/>
              <w:rPr>
                <w:sz w:val="20"/>
                <w:szCs w:val="18"/>
              </w:rPr>
            </w:pPr>
          </w:p>
        </w:tc>
      </w:tr>
      <w:tr w14:paraId="6E60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5" w:type="dxa"/>
            <w:gridSpan w:val="2"/>
            <w:vAlign w:val="center"/>
          </w:tcPr>
          <w:p w14:paraId="43CD0253">
            <w:pPr>
              <w:snapToGrid w:val="0"/>
              <w:spacing w:line="280" w:lineRule="exact"/>
              <w:ind w:right="-107" w:rightChars="-51" w:firstLine="0" w:firstLineChars="0"/>
              <w:jc w:val="center"/>
              <w:rPr>
                <w:b/>
                <w:sz w:val="22"/>
                <w:szCs w:val="18"/>
              </w:rPr>
            </w:pPr>
            <w:r>
              <w:rPr>
                <w:rFonts w:hint="eastAsia"/>
                <w:b/>
                <w:sz w:val="22"/>
                <w:szCs w:val="18"/>
              </w:rPr>
              <w:t>政  治面  貌</w:t>
            </w:r>
          </w:p>
        </w:tc>
        <w:tc>
          <w:tcPr>
            <w:tcW w:w="1701" w:type="dxa"/>
            <w:tcBorders>
              <w:left w:val="single" w:color="auto" w:sz="4" w:space="0"/>
            </w:tcBorders>
            <w:vAlign w:val="center"/>
          </w:tcPr>
          <w:p w14:paraId="1A766371">
            <w:pPr>
              <w:snapToGrid w:val="0"/>
              <w:spacing w:line="280" w:lineRule="exact"/>
              <w:ind w:firstLine="0" w:firstLineChars="0"/>
              <w:jc w:val="center"/>
              <w:rPr>
                <w:sz w:val="22"/>
                <w:szCs w:val="18"/>
              </w:rPr>
            </w:pPr>
          </w:p>
        </w:tc>
        <w:tc>
          <w:tcPr>
            <w:tcW w:w="989" w:type="dxa"/>
            <w:gridSpan w:val="2"/>
            <w:tcBorders>
              <w:left w:val="single" w:color="auto" w:sz="4" w:space="0"/>
            </w:tcBorders>
            <w:vAlign w:val="center"/>
          </w:tcPr>
          <w:p w14:paraId="1E9A3A1F">
            <w:pPr>
              <w:snapToGrid w:val="0"/>
              <w:spacing w:line="280" w:lineRule="exact"/>
              <w:ind w:left="-107" w:leftChars="-51" w:right="-107" w:rightChars="-51" w:firstLine="0" w:firstLineChars="0"/>
              <w:jc w:val="center"/>
              <w:rPr>
                <w:b/>
                <w:sz w:val="22"/>
                <w:szCs w:val="18"/>
              </w:rPr>
            </w:pPr>
            <w:r>
              <w:rPr>
                <w:rFonts w:hint="eastAsia"/>
                <w:b/>
                <w:sz w:val="22"/>
                <w:szCs w:val="18"/>
              </w:rPr>
              <w:t>入党时间</w:t>
            </w:r>
          </w:p>
        </w:tc>
        <w:tc>
          <w:tcPr>
            <w:tcW w:w="1137" w:type="dxa"/>
            <w:gridSpan w:val="2"/>
            <w:tcBorders>
              <w:left w:val="single" w:color="auto" w:sz="4" w:space="0"/>
            </w:tcBorders>
            <w:vAlign w:val="center"/>
          </w:tcPr>
          <w:p w14:paraId="29A51F80">
            <w:pPr>
              <w:snapToGrid w:val="0"/>
              <w:spacing w:line="280" w:lineRule="exact"/>
              <w:ind w:firstLine="0" w:firstLineChars="0"/>
              <w:jc w:val="center"/>
              <w:rPr>
                <w:sz w:val="22"/>
                <w:szCs w:val="18"/>
              </w:rPr>
            </w:pPr>
          </w:p>
        </w:tc>
        <w:tc>
          <w:tcPr>
            <w:tcW w:w="1546" w:type="dxa"/>
            <w:gridSpan w:val="3"/>
            <w:tcBorders>
              <w:left w:val="single" w:color="auto" w:sz="4" w:space="0"/>
            </w:tcBorders>
            <w:vAlign w:val="center"/>
          </w:tcPr>
          <w:p w14:paraId="04E02D3D">
            <w:pPr>
              <w:snapToGrid w:val="0"/>
              <w:spacing w:line="280" w:lineRule="exact"/>
              <w:ind w:left="-107" w:leftChars="-51" w:right="-107" w:rightChars="-51" w:firstLine="0" w:firstLineChars="0"/>
              <w:jc w:val="center"/>
              <w:rPr>
                <w:b/>
                <w:sz w:val="22"/>
                <w:szCs w:val="18"/>
              </w:rPr>
            </w:pPr>
            <w:r>
              <w:rPr>
                <w:rFonts w:hint="eastAsia"/>
                <w:b/>
                <w:sz w:val="22"/>
                <w:szCs w:val="18"/>
              </w:rPr>
              <w:t>健康状况</w:t>
            </w:r>
          </w:p>
        </w:tc>
        <w:tc>
          <w:tcPr>
            <w:tcW w:w="1572" w:type="dxa"/>
            <w:gridSpan w:val="3"/>
            <w:tcBorders>
              <w:left w:val="single" w:color="auto" w:sz="4" w:space="0"/>
            </w:tcBorders>
            <w:vAlign w:val="center"/>
          </w:tcPr>
          <w:p w14:paraId="6BC4C2C5">
            <w:pPr>
              <w:snapToGrid w:val="0"/>
              <w:spacing w:line="280" w:lineRule="exact"/>
              <w:ind w:firstLine="0" w:firstLineChars="0"/>
              <w:jc w:val="center"/>
              <w:rPr>
                <w:sz w:val="22"/>
                <w:szCs w:val="18"/>
              </w:rPr>
            </w:pPr>
          </w:p>
        </w:tc>
        <w:tc>
          <w:tcPr>
            <w:tcW w:w="1874" w:type="dxa"/>
            <w:gridSpan w:val="2"/>
            <w:vMerge w:val="continue"/>
            <w:tcBorders>
              <w:left w:val="single" w:color="auto" w:sz="4" w:space="0"/>
            </w:tcBorders>
          </w:tcPr>
          <w:p w14:paraId="30763656">
            <w:pPr>
              <w:ind w:firstLine="400"/>
              <w:rPr>
                <w:sz w:val="20"/>
                <w:szCs w:val="18"/>
              </w:rPr>
            </w:pPr>
          </w:p>
        </w:tc>
      </w:tr>
      <w:tr w14:paraId="3722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25" w:type="dxa"/>
            <w:gridSpan w:val="2"/>
            <w:vAlign w:val="center"/>
          </w:tcPr>
          <w:p w14:paraId="17CCFC84">
            <w:pPr>
              <w:snapToGrid w:val="0"/>
              <w:spacing w:line="280" w:lineRule="exact"/>
              <w:ind w:left="-107" w:leftChars="-51" w:right="-151" w:rightChars="-72" w:firstLine="0" w:firstLineChars="0"/>
              <w:jc w:val="center"/>
              <w:rPr>
                <w:b/>
                <w:sz w:val="22"/>
                <w:szCs w:val="18"/>
              </w:rPr>
            </w:pPr>
            <w:r>
              <w:rPr>
                <w:rFonts w:hint="eastAsia"/>
                <w:b/>
                <w:sz w:val="22"/>
                <w:szCs w:val="18"/>
              </w:rPr>
              <w:t>岗位</w:t>
            </w:r>
          </w:p>
        </w:tc>
        <w:tc>
          <w:tcPr>
            <w:tcW w:w="1701" w:type="dxa"/>
            <w:tcBorders>
              <w:left w:val="single" w:color="auto" w:sz="4" w:space="0"/>
            </w:tcBorders>
            <w:vAlign w:val="center"/>
          </w:tcPr>
          <w:p w14:paraId="271E2390">
            <w:pPr>
              <w:snapToGrid w:val="0"/>
              <w:spacing w:line="280" w:lineRule="exact"/>
              <w:ind w:firstLine="0" w:firstLineChars="0"/>
              <w:jc w:val="center"/>
              <w:rPr>
                <w:sz w:val="22"/>
                <w:szCs w:val="18"/>
              </w:rPr>
            </w:pPr>
          </w:p>
        </w:tc>
        <w:tc>
          <w:tcPr>
            <w:tcW w:w="989" w:type="dxa"/>
            <w:gridSpan w:val="2"/>
            <w:tcBorders>
              <w:left w:val="single" w:color="auto" w:sz="4" w:space="0"/>
            </w:tcBorders>
            <w:vAlign w:val="center"/>
          </w:tcPr>
          <w:p w14:paraId="5B096E05">
            <w:pPr>
              <w:snapToGrid w:val="0"/>
              <w:spacing w:line="280" w:lineRule="exact"/>
              <w:ind w:left="-107" w:leftChars="-51" w:right="-107" w:rightChars="-51" w:firstLine="0" w:firstLineChars="0"/>
              <w:jc w:val="center"/>
              <w:rPr>
                <w:b/>
                <w:sz w:val="22"/>
                <w:szCs w:val="18"/>
              </w:rPr>
            </w:pPr>
            <w:r>
              <w:rPr>
                <w:rFonts w:hint="eastAsia"/>
                <w:b/>
                <w:sz w:val="22"/>
                <w:szCs w:val="18"/>
              </w:rPr>
              <w:t>参加工</w:t>
            </w:r>
          </w:p>
          <w:p w14:paraId="673D0591">
            <w:pPr>
              <w:snapToGrid w:val="0"/>
              <w:spacing w:line="280" w:lineRule="exact"/>
              <w:ind w:firstLine="0" w:firstLineChars="0"/>
              <w:jc w:val="center"/>
              <w:rPr>
                <w:sz w:val="22"/>
                <w:szCs w:val="18"/>
              </w:rPr>
            </w:pPr>
            <w:r>
              <w:rPr>
                <w:rFonts w:hint="eastAsia"/>
                <w:b/>
                <w:sz w:val="22"/>
                <w:szCs w:val="18"/>
              </w:rPr>
              <w:t>作时间</w:t>
            </w:r>
          </w:p>
        </w:tc>
        <w:tc>
          <w:tcPr>
            <w:tcW w:w="1137" w:type="dxa"/>
            <w:gridSpan w:val="2"/>
            <w:tcBorders>
              <w:left w:val="single" w:color="auto" w:sz="4" w:space="0"/>
            </w:tcBorders>
            <w:vAlign w:val="center"/>
          </w:tcPr>
          <w:p w14:paraId="7C190E61">
            <w:pPr>
              <w:snapToGrid w:val="0"/>
              <w:spacing w:line="280" w:lineRule="exact"/>
              <w:ind w:left="-107" w:leftChars="-51" w:right="-107" w:rightChars="-51" w:firstLine="0" w:firstLineChars="0"/>
              <w:jc w:val="center"/>
              <w:rPr>
                <w:sz w:val="22"/>
                <w:szCs w:val="18"/>
              </w:rPr>
            </w:pPr>
          </w:p>
        </w:tc>
        <w:tc>
          <w:tcPr>
            <w:tcW w:w="1546" w:type="dxa"/>
            <w:gridSpan w:val="3"/>
            <w:tcBorders>
              <w:left w:val="single" w:color="auto" w:sz="4" w:space="0"/>
            </w:tcBorders>
            <w:vAlign w:val="center"/>
          </w:tcPr>
          <w:p w14:paraId="4F8F95E7">
            <w:pPr>
              <w:snapToGrid w:val="0"/>
              <w:spacing w:line="280" w:lineRule="exact"/>
              <w:ind w:firstLine="0" w:firstLineChars="0"/>
              <w:jc w:val="center"/>
              <w:rPr>
                <w:b/>
                <w:sz w:val="22"/>
                <w:szCs w:val="18"/>
              </w:rPr>
            </w:pPr>
            <w:r>
              <w:rPr>
                <w:rFonts w:hint="eastAsia"/>
                <w:b/>
                <w:sz w:val="22"/>
                <w:szCs w:val="18"/>
              </w:rPr>
              <w:t>婚 姻</w:t>
            </w:r>
          </w:p>
          <w:p w14:paraId="3196FD09">
            <w:pPr>
              <w:snapToGrid w:val="0"/>
              <w:spacing w:line="280" w:lineRule="exact"/>
              <w:ind w:firstLine="0" w:firstLineChars="0"/>
              <w:jc w:val="center"/>
              <w:rPr>
                <w:b/>
                <w:sz w:val="22"/>
                <w:szCs w:val="18"/>
              </w:rPr>
            </w:pPr>
            <w:r>
              <w:rPr>
                <w:rFonts w:hint="eastAsia"/>
                <w:b/>
                <w:sz w:val="22"/>
                <w:szCs w:val="18"/>
              </w:rPr>
              <w:t>状 况</w:t>
            </w:r>
          </w:p>
        </w:tc>
        <w:tc>
          <w:tcPr>
            <w:tcW w:w="1572" w:type="dxa"/>
            <w:gridSpan w:val="3"/>
            <w:tcBorders>
              <w:left w:val="single" w:color="auto" w:sz="4" w:space="0"/>
            </w:tcBorders>
            <w:vAlign w:val="center"/>
          </w:tcPr>
          <w:p w14:paraId="5162368E">
            <w:pPr>
              <w:snapToGrid w:val="0"/>
              <w:spacing w:line="280" w:lineRule="exact"/>
              <w:ind w:firstLine="0" w:firstLineChars="0"/>
              <w:jc w:val="center"/>
              <w:rPr>
                <w:sz w:val="22"/>
                <w:szCs w:val="18"/>
              </w:rPr>
            </w:pPr>
          </w:p>
        </w:tc>
        <w:tc>
          <w:tcPr>
            <w:tcW w:w="1874" w:type="dxa"/>
            <w:gridSpan w:val="2"/>
            <w:vMerge w:val="continue"/>
            <w:tcBorders>
              <w:left w:val="single" w:color="auto" w:sz="4" w:space="0"/>
            </w:tcBorders>
          </w:tcPr>
          <w:p w14:paraId="0E8B752A">
            <w:pPr>
              <w:ind w:firstLine="400"/>
              <w:rPr>
                <w:sz w:val="20"/>
                <w:szCs w:val="18"/>
              </w:rPr>
            </w:pPr>
          </w:p>
        </w:tc>
      </w:tr>
      <w:tr w14:paraId="203F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25" w:type="dxa"/>
            <w:gridSpan w:val="2"/>
            <w:vMerge w:val="restart"/>
            <w:vAlign w:val="center"/>
          </w:tcPr>
          <w:p w14:paraId="1E472E8A">
            <w:pPr>
              <w:snapToGrid w:val="0"/>
              <w:spacing w:line="280" w:lineRule="exact"/>
              <w:ind w:left="-107" w:leftChars="-51" w:right="-107" w:rightChars="-51" w:firstLine="0" w:firstLineChars="0"/>
              <w:jc w:val="center"/>
              <w:rPr>
                <w:b/>
                <w:sz w:val="22"/>
                <w:szCs w:val="18"/>
              </w:rPr>
            </w:pPr>
            <w:r>
              <w:rPr>
                <w:rFonts w:hint="eastAsia"/>
                <w:b/>
                <w:sz w:val="22"/>
                <w:szCs w:val="18"/>
              </w:rPr>
              <w:t>文化</w:t>
            </w:r>
          </w:p>
          <w:p w14:paraId="02D94CE0">
            <w:pPr>
              <w:snapToGrid w:val="0"/>
              <w:spacing w:line="280" w:lineRule="exact"/>
              <w:ind w:left="-107" w:leftChars="-51" w:right="-107" w:rightChars="-51" w:firstLine="0" w:firstLineChars="0"/>
              <w:jc w:val="center"/>
              <w:rPr>
                <w:b/>
                <w:sz w:val="22"/>
                <w:szCs w:val="18"/>
              </w:rPr>
            </w:pPr>
            <w:r>
              <w:rPr>
                <w:rFonts w:hint="eastAsia"/>
                <w:b/>
                <w:sz w:val="22"/>
                <w:szCs w:val="18"/>
              </w:rPr>
              <w:t>程度</w:t>
            </w:r>
          </w:p>
        </w:tc>
        <w:tc>
          <w:tcPr>
            <w:tcW w:w="1701" w:type="dxa"/>
            <w:tcBorders>
              <w:left w:val="single" w:color="auto" w:sz="4" w:space="0"/>
            </w:tcBorders>
            <w:vAlign w:val="center"/>
          </w:tcPr>
          <w:p w14:paraId="1C46541B">
            <w:pPr>
              <w:snapToGrid w:val="0"/>
              <w:spacing w:line="280" w:lineRule="exact"/>
              <w:ind w:left="-107" w:leftChars="-51" w:right="-107" w:rightChars="-51" w:firstLine="0" w:firstLineChars="0"/>
              <w:jc w:val="center"/>
              <w:rPr>
                <w:b/>
                <w:sz w:val="22"/>
                <w:szCs w:val="18"/>
              </w:rPr>
            </w:pPr>
            <w:r>
              <w:rPr>
                <w:rFonts w:hint="eastAsia"/>
                <w:b/>
                <w:sz w:val="22"/>
                <w:szCs w:val="18"/>
              </w:rPr>
              <w:t>全日制教育学历、学位</w:t>
            </w:r>
          </w:p>
        </w:tc>
        <w:tc>
          <w:tcPr>
            <w:tcW w:w="2126" w:type="dxa"/>
            <w:gridSpan w:val="4"/>
            <w:tcBorders>
              <w:left w:val="single" w:color="auto" w:sz="4" w:space="0"/>
            </w:tcBorders>
            <w:vAlign w:val="center"/>
          </w:tcPr>
          <w:p w14:paraId="5034B70E">
            <w:pPr>
              <w:snapToGrid w:val="0"/>
              <w:spacing w:line="280" w:lineRule="exact"/>
              <w:ind w:firstLine="0" w:firstLineChars="0"/>
              <w:jc w:val="center"/>
              <w:rPr>
                <w:sz w:val="22"/>
                <w:szCs w:val="18"/>
              </w:rPr>
            </w:pPr>
          </w:p>
        </w:tc>
        <w:tc>
          <w:tcPr>
            <w:tcW w:w="1546" w:type="dxa"/>
            <w:gridSpan w:val="3"/>
            <w:tcBorders>
              <w:left w:val="single" w:color="auto" w:sz="4" w:space="0"/>
            </w:tcBorders>
            <w:vAlign w:val="center"/>
          </w:tcPr>
          <w:p w14:paraId="2DEF2538">
            <w:pPr>
              <w:snapToGrid w:val="0"/>
              <w:spacing w:line="280" w:lineRule="exact"/>
              <w:ind w:left="-107" w:leftChars="-51" w:right="-107" w:rightChars="-51" w:firstLine="0" w:firstLineChars="0"/>
              <w:jc w:val="center"/>
              <w:rPr>
                <w:b/>
                <w:sz w:val="22"/>
                <w:szCs w:val="18"/>
              </w:rPr>
            </w:pPr>
            <w:r>
              <w:rPr>
                <w:rFonts w:hint="eastAsia"/>
                <w:b/>
                <w:sz w:val="22"/>
                <w:szCs w:val="18"/>
              </w:rPr>
              <w:t>毕业院校及专业</w:t>
            </w:r>
          </w:p>
        </w:tc>
        <w:tc>
          <w:tcPr>
            <w:tcW w:w="3446" w:type="dxa"/>
            <w:gridSpan w:val="5"/>
            <w:tcBorders>
              <w:left w:val="single" w:color="auto" w:sz="4" w:space="0"/>
            </w:tcBorders>
            <w:vAlign w:val="center"/>
          </w:tcPr>
          <w:p w14:paraId="1A704E76">
            <w:pPr>
              <w:snapToGrid w:val="0"/>
              <w:spacing w:line="280" w:lineRule="exact"/>
              <w:ind w:firstLine="0" w:firstLineChars="0"/>
              <w:jc w:val="center"/>
              <w:rPr>
                <w:sz w:val="22"/>
                <w:szCs w:val="18"/>
              </w:rPr>
            </w:pPr>
          </w:p>
        </w:tc>
      </w:tr>
      <w:tr w14:paraId="2B94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25" w:type="dxa"/>
            <w:gridSpan w:val="2"/>
            <w:vMerge w:val="continue"/>
            <w:vAlign w:val="center"/>
          </w:tcPr>
          <w:p w14:paraId="23B64E58">
            <w:pPr>
              <w:ind w:firstLine="400"/>
              <w:rPr>
                <w:sz w:val="20"/>
                <w:szCs w:val="18"/>
              </w:rPr>
            </w:pPr>
          </w:p>
        </w:tc>
        <w:tc>
          <w:tcPr>
            <w:tcW w:w="1701" w:type="dxa"/>
            <w:tcBorders>
              <w:left w:val="single" w:color="auto" w:sz="4" w:space="0"/>
            </w:tcBorders>
            <w:vAlign w:val="center"/>
          </w:tcPr>
          <w:p w14:paraId="06841093">
            <w:pPr>
              <w:snapToGrid w:val="0"/>
              <w:spacing w:line="280" w:lineRule="exact"/>
              <w:ind w:left="-107" w:leftChars="-51" w:right="-107" w:rightChars="-51" w:firstLine="0" w:firstLineChars="0"/>
              <w:jc w:val="center"/>
              <w:rPr>
                <w:b/>
                <w:sz w:val="22"/>
                <w:szCs w:val="18"/>
              </w:rPr>
            </w:pPr>
            <w:r>
              <w:rPr>
                <w:rFonts w:hint="eastAsia"/>
                <w:b/>
                <w:sz w:val="22"/>
                <w:szCs w:val="18"/>
              </w:rPr>
              <w:t>在职教育学历、学位</w:t>
            </w:r>
          </w:p>
        </w:tc>
        <w:tc>
          <w:tcPr>
            <w:tcW w:w="2126" w:type="dxa"/>
            <w:gridSpan w:val="4"/>
            <w:tcBorders>
              <w:left w:val="single" w:color="auto" w:sz="4" w:space="0"/>
            </w:tcBorders>
            <w:vAlign w:val="center"/>
          </w:tcPr>
          <w:p w14:paraId="7E46C028">
            <w:pPr>
              <w:snapToGrid w:val="0"/>
              <w:spacing w:line="280" w:lineRule="exact"/>
              <w:ind w:firstLine="0" w:firstLineChars="0"/>
              <w:jc w:val="center"/>
              <w:rPr>
                <w:sz w:val="22"/>
                <w:szCs w:val="18"/>
              </w:rPr>
            </w:pPr>
          </w:p>
        </w:tc>
        <w:tc>
          <w:tcPr>
            <w:tcW w:w="1546" w:type="dxa"/>
            <w:gridSpan w:val="3"/>
            <w:tcBorders>
              <w:left w:val="single" w:color="auto" w:sz="4" w:space="0"/>
            </w:tcBorders>
            <w:vAlign w:val="center"/>
          </w:tcPr>
          <w:p w14:paraId="46EB8D0F">
            <w:pPr>
              <w:snapToGrid w:val="0"/>
              <w:spacing w:line="280" w:lineRule="exact"/>
              <w:ind w:left="-107" w:leftChars="-51" w:right="-107" w:rightChars="-51" w:firstLine="0" w:firstLineChars="0"/>
              <w:jc w:val="center"/>
              <w:rPr>
                <w:b/>
                <w:sz w:val="22"/>
                <w:szCs w:val="18"/>
              </w:rPr>
            </w:pPr>
            <w:r>
              <w:rPr>
                <w:rFonts w:hint="eastAsia"/>
                <w:b/>
                <w:sz w:val="22"/>
                <w:szCs w:val="18"/>
              </w:rPr>
              <w:t>毕业院校及专业</w:t>
            </w:r>
          </w:p>
        </w:tc>
        <w:tc>
          <w:tcPr>
            <w:tcW w:w="3446" w:type="dxa"/>
            <w:gridSpan w:val="5"/>
            <w:tcBorders>
              <w:left w:val="single" w:color="auto" w:sz="4" w:space="0"/>
            </w:tcBorders>
            <w:vAlign w:val="center"/>
          </w:tcPr>
          <w:p w14:paraId="1005A39A">
            <w:pPr>
              <w:snapToGrid w:val="0"/>
              <w:spacing w:line="280" w:lineRule="exact"/>
              <w:ind w:firstLine="0" w:firstLineChars="0"/>
              <w:jc w:val="center"/>
              <w:rPr>
                <w:sz w:val="22"/>
                <w:szCs w:val="18"/>
              </w:rPr>
            </w:pPr>
          </w:p>
        </w:tc>
      </w:tr>
      <w:tr w14:paraId="7B9D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2726" w:type="dxa"/>
            <w:gridSpan w:val="3"/>
            <w:vAlign w:val="center"/>
          </w:tcPr>
          <w:p w14:paraId="5A8A56C0">
            <w:pPr>
              <w:snapToGrid w:val="0"/>
              <w:spacing w:line="280" w:lineRule="exact"/>
              <w:ind w:firstLine="0" w:firstLineChars="0"/>
              <w:rPr>
                <w:b/>
                <w:sz w:val="22"/>
                <w:szCs w:val="18"/>
              </w:rPr>
            </w:pPr>
            <w:r>
              <w:rPr>
                <w:rFonts w:hint="eastAsia"/>
                <w:b/>
                <w:sz w:val="22"/>
                <w:szCs w:val="18"/>
              </w:rPr>
              <w:t>工作单位</w:t>
            </w:r>
          </w:p>
        </w:tc>
        <w:tc>
          <w:tcPr>
            <w:tcW w:w="7118" w:type="dxa"/>
            <w:gridSpan w:val="12"/>
            <w:tcBorders>
              <w:left w:val="single" w:color="auto" w:sz="4" w:space="0"/>
            </w:tcBorders>
            <w:vAlign w:val="center"/>
          </w:tcPr>
          <w:p w14:paraId="6214F7DA">
            <w:pPr>
              <w:snapToGrid w:val="0"/>
              <w:spacing w:line="280" w:lineRule="exact"/>
              <w:ind w:firstLine="0" w:firstLineChars="0"/>
              <w:jc w:val="center"/>
              <w:rPr>
                <w:b/>
                <w:sz w:val="22"/>
                <w:szCs w:val="18"/>
              </w:rPr>
            </w:pPr>
          </w:p>
        </w:tc>
      </w:tr>
      <w:tr w14:paraId="60ED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726" w:type="dxa"/>
            <w:gridSpan w:val="3"/>
            <w:vAlign w:val="center"/>
          </w:tcPr>
          <w:p w14:paraId="0882B6C0">
            <w:pPr>
              <w:snapToGrid w:val="0"/>
              <w:spacing w:line="280" w:lineRule="exact"/>
              <w:ind w:firstLine="0" w:firstLineChars="0"/>
              <w:rPr>
                <w:b/>
                <w:sz w:val="22"/>
                <w:szCs w:val="18"/>
              </w:rPr>
            </w:pPr>
            <w:r>
              <w:rPr>
                <w:rFonts w:hint="eastAsia"/>
                <w:b/>
                <w:sz w:val="22"/>
                <w:szCs w:val="18"/>
              </w:rPr>
              <w:t>任现职时间</w:t>
            </w:r>
          </w:p>
        </w:tc>
        <w:tc>
          <w:tcPr>
            <w:tcW w:w="2126" w:type="dxa"/>
            <w:gridSpan w:val="4"/>
            <w:tcBorders>
              <w:left w:val="single" w:color="auto" w:sz="4" w:space="0"/>
            </w:tcBorders>
            <w:vAlign w:val="center"/>
          </w:tcPr>
          <w:p w14:paraId="381A9496">
            <w:pPr>
              <w:snapToGrid w:val="0"/>
              <w:spacing w:line="280" w:lineRule="exact"/>
              <w:ind w:firstLine="0" w:firstLineChars="0"/>
              <w:jc w:val="center"/>
              <w:rPr>
                <w:b/>
                <w:sz w:val="22"/>
                <w:szCs w:val="18"/>
              </w:rPr>
            </w:pPr>
          </w:p>
        </w:tc>
        <w:tc>
          <w:tcPr>
            <w:tcW w:w="1546" w:type="dxa"/>
            <w:gridSpan w:val="3"/>
            <w:tcBorders>
              <w:left w:val="single" w:color="auto" w:sz="4" w:space="0"/>
            </w:tcBorders>
            <w:vAlign w:val="center"/>
          </w:tcPr>
          <w:p w14:paraId="658C1D26">
            <w:pPr>
              <w:snapToGrid w:val="0"/>
              <w:spacing w:line="280" w:lineRule="exact"/>
              <w:ind w:firstLine="0" w:firstLineChars="0"/>
              <w:jc w:val="center"/>
              <w:rPr>
                <w:b/>
                <w:sz w:val="22"/>
                <w:szCs w:val="18"/>
              </w:rPr>
            </w:pPr>
            <w:r>
              <w:rPr>
                <w:rFonts w:hint="eastAsia"/>
                <w:b/>
                <w:sz w:val="22"/>
                <w:szCs w:val="18"/>
              </w:rPr>
              <w:t>联系方式</w:t>
            </w:r>
          </w:p>
        </w:tc>
        <w:tc>
          <w:tcPr>
            <w:tcW w:w="3446" w:type="dxa"/>
            <w:gridSpan w:val="5"/>
            <w:tcBorders>
              <w:left w:val="single" w:color="auto" w:sz="4" w:space="0"/>
            </w:tcBorders>
            <w:vAlign w:val="center"/>
          </w:tcPr>
          <w:p w14:paraId="3A968953">
            <w:pPr>
              <w:snapToGrid w:val="0"/>
              <w:spacing w:line="280" w:lineRule="exact"/>
              <w:ind w:firstLine="0" w:firstLineChars="0"/>
              <w:jc w:val="center"/>
              <w:rPr>
                <w:b/>
                <w:sz w:val="22"/>
                <w:szCs w:val="18"/>
              </w:rPr>
            </w:pPr>
          </w:p>
        </w:tc>
      </w:tr>
      <w:tr w14:paraId="35DC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844" w:type="dxa"/>
            <w:gridSpan w:val="15"/>
            <w:tcBorders>
              <w:top w:val="single" w:color="auto" w:sz="4" w:space="0"/>
              <w:left w:val="single" w:color="auto" w:sz="4" w:space="0"/>
              <w:bottom w:val="single" w:color="auto" w:sz="4" w:space="0"/>
              <w:right w:val="single" w:color="auto" w:sz="4" w:space="0"/>
            </w:tcBorders>
            <w:shd w:val="clear" w:color="auto" w:fill="A6A6A6"/>
          </w:tcPr>
          <w:p w14:paraId="7979DDD8">
            <w:pPr>
              <w:spacing w:line="300" w:lineRule="auto"/>
              <w:ind w:firstLine="0" w:firstLineChars="0"/>
              <w:jc w:val="center"/>
              <w:rPr>
                <w:b/>
                <w:sz w:val="22"/>
                <w:szCs w:val="18"/>
              </w:rPr>
            </w:pPr>
            <w:r>
              <w:rPr>
                <w:rFonts w:hint="eastAsia"/>
                <w:b/>
                <w:sz w:val="22"/>
                <w:szCs w:val="18"/>
              </w:rPr>
              <w:t>工作经验及专业技能信息</w:t>
            </w:r>
          </w:p>
        </w:tc>
      </w:tr>
      <w:tr w14:paraId="67E3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41" w:type="dxa"/>
            <w:vMerge w:val="restart"/>
            <w:tcBorders>
              <w:top w:val="single" w:color="auto" w:sz="4" w:space="0"/>
              <w:left w:val="single" w:color="auto" w:sz="4" w:space="0"/>
              <w:bottom w:val="single" w:color="auto" w:sz="4" w:space="0"/>
              <w:right w:val="single" w:color="auto" w:sz="4" w:space="0"/>
            </w:tcBorders>
            <w:vAlign w:val="center"/>
          </w:tcPr>
          <w:p w14:paraId="1C099DE5">
            <w:pPr>
              <w:spacing w:line="300" w:lineRule="auto"/>
              <w:ind w:firstLine="0" w:firstLineChars="0"/>
              <w:jc w:val="center"/>
              <w:rPr>
                <w:b/>
                <w:sz w:val="20"/>
                <w:szCs w:val="18"/>
              </w:rPr>
            </w:pPr>
            <w:r>
              <w:rPr>
                <w:rFonts w:hint="eastAsia"/>
                <w:b/>
                <w:sz w:val="20"/>
                <w:szCs w:val="18"/>
              </w:rPr>
              <w:t>工作经历</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2D1C550C">
            <w:pPr>
              <w:spacing w:line="300" w:lineRule="auto"/>
              <w:ind w:firstLine="0" w:firstLineChars="0"/>
              <w:jc w:val="center"/>
              <w:rPr>
                <w:sz w:val="22"/>
                <w:szCs w:val="18"/>
              </w:rPr>
            </w:pPr>
            <w:r>
              <w:rPr>
                <w:rFonts w:hint="eastAsia"/>
                <w:sz w:val="22"/>
                <w:szCs w:val="18"/>
              </w:rPr>
              <w:t>工作单位</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05E33619">
            <w:pPr>
              <w:spacing w:line="300" w:lineRule="auto"/>
              <w:ind w:firstLine="0" w:firstLineChars="0"/>
              <w:jc w:val="center"/>
              <w:rPr>
                <w:sz w:val="22"/>
                <w:szCs w:val="18"/>
              </w:rPr>
            </w:pPr>
            <w:r>
              <w:rPr>
                <w:rFonts w:hint="eastAsia"/>
                <w:sz w:val="22"/>
                <w:szCs w:val="18"/>
              </w:rPr>
              <w:t>工作起止时间</w:t>
            </w: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58781685">
            <w:pPr>
              <w:spacing w:line="300" w:lineRule="auto"/>
              <w:ind w:firstLine="0" w:firstLineChars="0"/>
              <w:jc w:val="center"/>
              <w:rPr>
                <w:sz w:val="22"/>
                <w:szCs w:val="18"/>
              </w:rPr>
            </w:pPr>
            <w:r>
              <w:rPr>
                <w:rFonts w:hint="eastAsia"/>
                <w:sz w:val="22"/>
                <w:szCs w:val="18"/>
              </w:rPr>
              <w:t>工作岗位/职务</w:t>
            </w:r>
          </w:p>
        </w:tc>
        <w:tc>
          <w:tcPr>
            <w:tcW w:w="993" w:type="dxa"/>
            <w:tcBorders>
              <w:top w:val="single" w:color="auto" w:sz="4" w:space="0"/>
              <w:left w:val="single" w:color="auto" w:sz="4" w:space="0"/>
              <w:bottom w:val="single" w:color="auto" w:sz="4" w:space="0"/>
              <w:right w:val="single" w:color="auto" w:sz="4" w:space="0"/>
            </w:tcBorders>
            <w:vAlign w:val="center"/>
          </w:tcPr>
          <w:p w14:paraId="5CEC94F1">
            <w:pPr>
              <w:spacing w:line="300" w:lineRule="auto"/>
              <w:ind w:firstLine="0" w:firstLineChars="0"/>
              <w:jc w:val="center"/>
              <w:rPr>
                <w:sz w:val="22"/>
                <w:szCs w:val="18"/>
              </w:rPr>
            </w:pPr>
            <w:r>
              <w:rPr>
                <w:rFonts w:hint="eastAsia"/>
                <w:sz w:val="22"/>
                <w:szCs w:val="18"/>
              </w:rPr>
              <w:t>证明人</w:t>
            </w:r>
          </w:p>
        </w:tc>
        <w:tc>
          <w:tcPr>
            <w:tcW w:w="2015" w:type="dxa"/>
            <w:gridSpan w:val="3"/>
            <w:tcBorders>
              <w:top w:val="single" w:color="auto" w:sz="4" w:space="0"/>
              <w:left w:val="single" w:color="auto" w:sz="4" w:space="0"/>
              <w:bottom w:val="single" w:color="auto" w:sz="4" w:space="0"/>
              <w:right w:val="single" w:color="auto" w:sz="4" w:space="0"/>
            </w:tcBorders>
            <w:vAlign w:val="center"/>
          </w:tcPr>
          <w:p w14:paraId="64ADDF9C">
            <w:pPr>
              <w:spacing w:line="300" w:lineRule="auto"/>
              <w:ind w:firstLine="0" w:firstLineChars="0"/>
              <w:jc w:val="center"/>
              <w:rPr>
                <w:sz w:val="22"/>
                <w:szCs w:val="18"/>
              </w:rPr>
            </w:pPr>
            <w:r>
              <w:rPr>
                <w:rFonts w:hint="eastAsia"/>
                <w:sz w:val="22"/>
                <w:szCs w:val="18"/>
              </w:rPr>
              <w:t>联系方式</w:t>
            </w:r>
          </w:p>
        </w:tc>
      </w:tr>
      <w:tr w14:paraId="30B9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1D6A1868">
            <w:pPr>
              <w:ind w:firstLine="400"/>
              <w:rPr>
                <w:sz w:val="20"/>
                <w:szCs w:val="18"/>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441E8272">
            <w:pPr>
              <w:spacing w:line="300" w:lineRule="auto"/>
              <w:ind w:firstLine="0" w:firstLineChars="0"/>
              <w:jc w:val="center"/>
              <w:rPr>
                <w:sz w:val="20"/>
                <w:szCs w:val="18"/>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28C12616">
            <w:pPr>
              <w:spacing w:line="300" w:lineRule="auto"/>
              <w:ind w:firstLine="0" w:firstLineChars="0"/>
              <w:jc w:val="center"/>
              <w:rPr>
                <w:sz w:val="20"/>
                <w:szCs w:val="18"/>
              </w:rPr>
            </w:pP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46F7FA6B">
            <w:pPr>
              <w:spacing w:line="300" w:lineRule="auto"/>
              <w:ind w:firstLine="0" w:firstLineChars="0"/>
              <w:jc w:val="center"/>
              <w:rPr>
                <w:sz w:val="20"/>
                <w:szCs w:val="18"/>
              </w:rPr>
            </w:pPr>
          </w:p>
        </w:tc>
        <w:tc>
          <w:tcPr>
            <w:tcW w:w="993" w:type="dxa"/>
            <w:tcBorders>
              <w:top w:val="single" w:color="auto" w:sz="4" w:space="0"/>
              <w:left w:val="single" w:color="auto" w:sz="4" w:space="0"/>
              <w:bottom w:val="single" w:color="auto" w:sz="4" w:space="0"/>
              <w:right w:val="single" w:color="auto" w:sz="4" w:space="0"/>
            </w:tcBorders>
            <w:vAlign w:val="center"/>
          </w:tcPr>
          <w:p w14:paraId="32E1F42F">
            <w:pPr>
              <w:spacing w:line="300" w:lineRule="auto"/>
              <w:ind w:firstLine="0" w:firstLineChars="0"/>
              <w:rPr>
                <w:sz w:val="20"/>
                <w:szCs w:val="18"/>
              </w:rPr>
            </w:pPr>
          </w:p>
        </w:tc>
        <w:tc>
          <w:tcPr>
            <w:tcW w:w="2015" w:type="dxa"/>
            <w:gridSpan w:val="3"/>
            <w:tcBorders>
              <w:top w:val="single" w:color="auto" w:sz="4" w:space="0"/>
              <w:left w:val="single" w:color="auto" w:sz="4" w:space="0"/>
              <w:bottom w:val="single" w:color="auto" w:sz="4" w:space="0"/>
              <w:right w:val="single" w:color="auto" w:sz="4" w:space="0"/>
            </w:tcBorders>
            <w:vAlign w:val="center"/>
          </w:tcPr>
          <w:p w14:paraId="03A9FB27">
            <w:pPr>
              <w:spacing w:line="300" w:lineRule="auto"/>
              <w:ind w:firstLine="0" w:firstLineChars="0"/>
              <w:jc w:val="center"/>
              <w:rPr>
                <w:sz w:val="20"/>
                <w:szCs w:val="18"/>
              </w:rPr>
            </w:pPr>
          </w:p>
        </w:tc>
      </w:tr>
      <w:tr w14:paraId="36A5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310E2D6D">
            <w:pPr>
              <w:ind w:firstLine="400"/>
              <w:rPr>
                <w:sz w:val="20"/>
                <w:szCs w:val="18"/>
              </w:rPr>
            </w:pPr>
          </w:p>
        </w:tc>
        <w:tc>
          <w:tcPr>
            <w:tcW w:w="2410" w:type="dxa"/>
            <w:gridSpan w:val="3"/>
            <w:tcBorders>
              <w:top w:val="single" w:color="auto" w:sz="4" w:space="0"/>
              <w:left w:val="single" w:color="auto" w:sz="4" w:space="0"/>
              <w:bottom w:val="single" w:color="auto" w:sz="4" w:space="0"/>
              <w:right w:val="single" w:color="auto" w:sz="4" w:space="0"/>
            </w:tcBorders>
          </w:tcPr>
          <w:p w14:paraId="1E62B9E1">
            <w:pPr>
              <w:spacing w:line="300" w:lineRule="auto"/>
              <w:ind w:firstLine="0" w:firstLineChars="0"/>
              <w:jc w:val="center"/>
              <w:rPr>
                <w:sz w:val="20"/>
                <w:szCs w:val="18"/>
              </w:rPr>
            </w:pPr>
          </w:p>
        </w:tc>
        <w:tc>
          <w:tcPr>
            <w:tcW w:w="1701" w:type="dxa"/>
            <w:gridSpan w:val="3"/>
            <w:tcBorders>
              <w:top w:val="single" w:color="auto" w:sz="4" w:space="0"/>
              <w:left w:val="single" w:color="auto" w:sz="4" w:space="0"/>
              <w:bottom w:val="single" w:color="auto" w:sz="4" w:space="0"/>
              <w:right w:val="single" w:color="auto" w:sz="4" w:space="0"/>
            </w:tcBorders>
          </w:tcPr>
          <w:p w14:paraId="2E8A9199">
            <w:pPr>
              <w:spacing w:line="300" w:lineRule="auto"/>
              <w:ind w:firstLine="0" w:firstLineChars="0"/>
              <w:jc w:val="center"/>
              <w:rPr>
                <w:sz w:val="20"/>
                <w:szCs w:val="18"/>
              </w:rPr>
            </w:pPr>
          </w:p>
        </w:tc>
        <w:tc>
          <w:tcPr>
            <w:tcW w:w="1984" w:type="dxa"/>
            <w:gridSpan w:val="4"/>
            <w:tcBorders>
              <w:top w:val="single" w:color="auto" w:sz="4" w:space="0"/>
              <w:left w:val="single" w:color="auto" w:sz="4" w:space="0"/>
              <w:bottom w:val="single" w:color="auto" w:sz="4" w:space="0"/>
              <w:right w:val="single" w:color="auto" w:sz="4" w:space="0"/>
            </w:tcBorders>
          </w:tcPr>
          <w:p w14:paraId="16F9534F">
            <w:pPr>
              <w:spacing w:line="300" w:lineRule="auto"/>
              <w:ind w:firstLine="0" w:firstLineChars="0"/>
              <w:jc w:val="center"/>
              <w:rPr>
                <w:sz w:val="20"/>
                <w:szCs w:val="18"/>
              </w:rPr>
            </w:pPr>
          </w:p>
        </w:tc>
        <w:tc>
          <w:tcPr>
            <w:tcW w:w="993" w:type="dxa"/>
            <w:tcBorders>
              <w:top w:val="single" w:color="auto" w:sz="4" w:space="0"/>
              <w:left w:val="single" w:color="auto" w:sz="4" w:space="0"/>
              <w:bottom w:val="single" w:color="auto" w:sz="4" w:space="0"/>
              <w:right w:val="single" w:color="auto" w:sz="4" w:space="0"/>
            </w:tcBorders>
          </w:tcPr>
          <w:p w14:paraId="4AE1D240">
            <w:pPr>
              <w:spacing w:line="300" w:lineRule="auto"/>
              <w:ind w:firstLine="0" w:firstLineChars="0"/>
              <w:jc w:val="center"/>
              <w:rPr>
                <w:sz w:val="20"/>
                <w:szCs w:val="18"/>
              </w:rPr>
            </w:pPr>
          </w:p>
        </w:tc>
        <w:tc>
          <w:tcPr>
            <w:tcW w:w="2015" w:type="dxa"/>
            <w:gridSpan w:val="3"/>
            <w:tcBorders>
              <w:top w:val="single" w:color="auto" w:sz="4" w:space="0"/>
              <w:left w:val="single" w:color="auto" w:sz="4" w:space="0"/>
              <w:bottom w:val="single" w:color="auto" w:sz="4" w:space="0"/>
              <w:right w:val="single" w:color="auto" w:sz="4" w:space="0"/>
            </w:tcBorders>
          </w:tcPr>
          <w:p w14:paraId="7D40EFA4">
            <w:pPr>
              <w:spacing w:line="300" w:lineRule="auto"/>
              <w:ind w:firstLine="0" w:firstLineChars="0"/>
              <w:jc w:val="center"/>
              <w:rPr>
                <w:sz w:val="20"/>
                <w:szCs w:val="18"/>
              </w:rPr>
            </w:pPr>
          </w:p>
        </w:tc>
      </w:tr>
      <w:tr w14:paraId="1DA7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41" w:type="dxa"/>
            <w:vAlign w:val="center"/>
          </w:tcPr>
          <w:p w14:paraId="17D0C279">
            <w:pPr>
              <w:snapToGrid w:val="0"/>
              <w:spacing w:line="400" w:lineRule="exact"/>
              <w:ind w:firstLine="0" w:firstLineChars="0"/>
              <w:jc w:val="center"/>
              <w:rPr>
                <w:b/>
                <w:sz w:val="22"/>
                <w:szCs w:val="18"/>
              </w:rPr>
            </w:pPr>
            <w:r>
              <w:rPr>
                <w:rFonts w:hint="eastAsia"/>
                <w:b/>
                <w:sz w:val="22"/>
                <w:szCs w:val="18"/>
              </w:rPr>
              <w:t>专业技能</w:t>
            </w:r>
          </w:p>
        </w:tc>
        <w:tc>
          <w:tcPr>
            <w:tcW w:w="9103" w:type="dxa"/>
            <w:gridSpan w:val="14"/>
            <w:tcBorders>
              <w:left w:val="single" w:color="auto" w:sz="4" w:space="0"/>
            </w:tcBorders>
            <w:vAlign w:val="center"/>
          </w:tcPr>
          <w:p w14:paraId="4DFAAA59">
            <w:pPr>
              <w:ind w:firstLine="0" w:firstLineChars="0"/>
              <w:rPr>
                <w:sz w:val="22"/>
                <w:szCs w:val="18"/>
              </w:rPr>
            </w:pPr>
          </w:p>
          <w:p w14:paraId="67C88551">
            <w:pPr>
              <w:ind w:firstLine="0" w:firstLineChars="0"/>
              <w:rPr>
                <w:sz w:val="22"/>
                <w:szCs w:val="18"/>
              </w:rPr>
            </w:pPr>
          </w:p>
        </w:tc>
      </w:tr>
      <w:tr w14:paraId="69B0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41" w:type="dxa"/>
            <w:vMerge w:val="restart"/>
            <w:vAlign w:val="center"/>
          </w:tcPr>
          <w:p w14:paraId="336A926E">
            <w:pPr>
              <w:snapToGrid w:val="0"/>
              <w:spacing w:line="400" w:lineRule="exact"/>
              <w:ind w:firstLine="0" w:firstLineChars="0"/>
              <w:jc w:val="center"/>
              <w:rPr>
                <w:b/>
                <w:sz w:val="22"/>
                <w:szCs w:val="18"/>
              </w:rPr>
            </w:pPr>
            <w:r>
              <w:rPr>
                <w:rFonts w:hint="eastAsia"/>
                <w:b/>
                <w:sz w:val="22"/>
                <w:szCs w:val="18"/>
              </w:rPr>
              <w:t>项目经历</w:t>
            </w:r>
          </w:p>
          <w:p w14:paraId="1422A8D5">
            <w:pPr>
              <w:snapToGrid w:val="0"/>
              <w:spacing w:line="400" w:lineRule="exact"/>
              <w:ind w:firstLine="0" w:firstLineChars="0"/>
              <w:jc w:val="center"/>
              <w:rPr>
                <w:sz w:val="20"/>
              </w:rPr>
            </w:pPr>
            <w:r>
              <w:rPr>
                <w:rFonts w:hint="eastAsia"/>
                <w:i/>
                <w:sz w:val="20"/>
              </w:rPr>
              <w:t>(详细填写)</w:t>
            </w:r>
          </w:p>
        </w:tc>
        <w:tc>
          <w:tcPr>
            <w:tcW w:w="1985" w:type="dxa"/>
            <w:gridSpan w:val="2"/>
            <w:tcBorders>
              <w:left w:val="single" w:color="auto" w:sz="4" w:space="0"/>
            </w:tcBorders>
            <w:vAlign w:val="center"/>
          </w:tcPr>
          <w:p w14:paraId="50DCFB11">
            <w:pPr>
              <w:ind w:firstLine="0" w:firstLineChars="0"/>
              <w:rPr>
                <w:sz w:val="22"/>
                <w:szCs w:val="18"/>
              </w:rPr>
            </w:pPr>
            <w:r>
              <w:rPr>
                <w:rFonts w:hint="eastAsia"/>
                <w:sz w:val="22"/>
                <w:szCs w:val="18"/>
              </w:rPr>
              <w:t>金融领域开发/测试经验</w:t>
            </w:r>
          </w:p>
        </w:tc>
        <w:tc>
          <w:tcPr>
            <w:tcW w:w="1245" w:type="dxa"/>
            <w:gridSpan w:val="3"/>
            <w:tcBorders>
              <w:left w:val="single" w:color="auto" w:sz="4" w:space="0"/>
            </w:tcBorders>
            <w:vAlign w:val="center"/>
          </w:tcPr>
          <w:p w14:paraId="2468076C">
            <w:pPr>
              <w:ind w:firstLine="0" w:firstLineChars="0"/>
              <w:jc w:val="right"/>
              <w:rPr>
                <w:sz w:val="22"/>
                <w:szCs w:val="18"/>
              </w:rPr>
            </w:pPr>
            <w:r>
              <w:rPr>
                <w:rFonts w:hint="eastAsia"/>
                <w:sz w:val="20"/>
                <w:szCs w:val="18"/>
              </w:rPr>
              <w:t>(年)</w:t>
            </w:r>
          </w:p>
        </w:tc>
        <w:tc>
          <w:tcPr>
            <w:tcW w:w="1230" w:type="dxa"/>
            <w:gridSpan w:val="2"/>
            <w:tcBorders>
              <w:left w:val="single" w:color="auto" w:sz="4" w:space="0"/>
            </w:tcBorders>
            <w:vAlign w:val="center"/>
          </w:tcPr>
          <w:p w14:paraId="3C1303C7">
            <w:pPr>
              <w:ind w:firstLine="0" w:firstLineChars="0"/>
              <w:rPr>
                <w:sz w:val="22"/>
                <w:szCs w:val="18"/>
              </w:rPr>
            </w:pPr>
            <w:r>
              <w:rPr>
                <w:rFonts w:hint="eastAsia"/>
                <w:sz w:val="22"/>
                <w:szCs w:val="18"/>
              </w:rPr>
              <w:t>参与项目</w:t>
            </w:r>
          </w:p>
        </w:tc>
        <w:tc>
          <w:tcPr>
            <w:tcW w:w="1095" w:type="dxa"/>
            <w:tcBorders>
              <w:left w:val="single" w:color="auto" w:sz="4" w:space="0"/>
            </w:tcBorders>
            <w:vAlign w:val="center"/>
          </w:tcPr>
          <w:p w14:paraId="25EAE989">
            <w:pPr>
              <w:ind w:firstLine="0" w:firstLineChars="0"/>
              <w:jc w:val="right"/>
              <w:rPr>
                <w:sz w:val="22"/>
                <w:szCs w:val="18"/>
              </w:rPr>
            </w:pPr>
            <w:r>
              <w:rPr>
                <w:rFonts w:hint="eastAsia"/>
                <w:sz w:val="20"/>
                <w:szCs w:val="18"/>
              </w:rPr>
              <w:t>(个)</w:t>
            </w:r>
          </w:p>
        </w:tc>
        <w:tc>
          <w:tcPr>
            <w:tcW w:w="2340" w:type="dxa"/>
            <w:gridSpan w:val="5"/>
            <w:tcBorders>
              <w:left w:val="single" w:color="auto" w:sz="4" w:space="0"/>
            </w:tcBorders>
            <w:vAlign w:val="center"/>
          </w:tcPr>
          <w:p w14:paraId="3ED78743">
            <w:pPr>
              <w:ind w:firstLine="0" w:firstLineChars="0"/>
              <w:rPr>
                <w:sz w:val="22"/>
                <w:szCs w:val="18"/>
              </w:rPr>
            </w:pPr>
            <w:r>
              <w:rPr>
                <w:rFonts w:hint="eastAsia"/>
                <w:sz w:val="22"/>
                <w:szCs w:val="18"/>
              </w:rPr>
              <w:t>担任核心技术人员项目</w:t>
            </w:r>
          </w:p>
        </w:tc>
        <w:tc>
          <w:tcPr>
            <w:tcW w:w="1208" w:type="dxa"/>
            <w:tcBorders>
              <w:left w:val="single" w:color="auto" w:sz="4" w:space="0"/>
            </w:tcBorders>
            <w:vAlign w:val="center"/>
          </w:tcPr>
          <w:p w14:paraId="5F0F4101">
            <w:pPr>
              <w:ind w:firstLine="0" w:firstLineChars="0"/>
              <w:jc w:val="right"/>
              <w:rPr>
                <w:sz w:val="22"/>
                <w:szCs w:val="18"/>
              </w:rPr>
            </w:pPr>
            <w:r>
              <w:rPr>
                <w:rFonts w:hint="eastAsia"/>
                <w:sz w:val="20"/>
                <w:szCs w:val="18"/>
              </w:rPr>
              <w:t>(个)</w:t>
            </w:r>
          </w:p>
        </w:tc>
      </w:tr>
      <w:tr w14:paraId="7D9F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1" w:type="dxa"/>
            <w:vMerge w:val="continue"/>
            <w:vAlign w:val="center"/>
          </w:tcPr>
          <w:p w14:paraId="7C50DD7E">
            <w:pPr>
              <w:ind w:firstLine="400"/>
              <w:rPr>
                <w:sz w:val="20"/>
                <w:szCs w:val="18"/>
              </w:rPr>
            </w:pPr>
          </w:p>
        </w:tc>
        <w:tc>
          <w:tcPr>
            <w:tcW w:w="1985" w:type="dxa"/>
            <w:gridSpan w:val="2"/>
            <w:tcBorders>
              <w:left w:val="single" w:color="auto" w:sz="4" w:space="0"/>
            </w:tcBorders>
            <w:vAlign w:val="center"/>
          </w:tcPr>
          <w:p w14:paraId="44CAA671">
            <w:pPr>
              <w:ind w:firstLine="0" w:firstLineChars="0"/>
              <w:jc w:val="center"/>
              <w:rPr>
                <w:sz w:val="22"/>
                <w:szCs w:val="18"/>
              </w:rPr>
            </w:pPr>
            <w:r>
              <w:rPr>
                <w:rFonts w:hint="eastAsia"/>
                <w:sz w:val="22"/>
                <w:szCs w:val="18"/>
              </w:rPr>
              <w:t>项目名称</w:t>
            </w:r>
          </w:p>
        </w:tc>
        <w:tc>
          <w:tcPr>
            <w:tcW w:w="1245" w:type="dxa"/>
            <w:gridSpan w:val="3"/>
            <w:tcBorders>
              <w:left w:val="single" w:color="auto" w:sz="4" w:space="0"/>
            </w:tcBorders>
            <w:vAlign w:val="center"/>
          </w:tcPr>
          <w:p w14:paraId="77D51481">
            <w:pPr>
              <w:ind w:firstLine="0" w:firstLineChars="0"/>
              <w:jc w:val="center"/>
              <w:rPr>
                <w:sz w:val="22"/>
                <w:szCs w:val="18"/>
              </w:rPr>
            </w:pPr>
            <w:r>
              <w:rPr>
                <w:rFonts w:hint="eastAsia"/>
                <w:sz w:val="22"/>
                <w:szCs w:val="18"/>
              </w:rPr>
              <w:t>项目时间</w:t>
            </w:r>
          </w:p>
        </w:tc>
        <w:tc>
          <w:tcPr>
            <w:tcW w:w="1230" w:type="dxa"/>
            <w:gridSpan w:val="2"/>
            <w:tcBorders>
              <w:left w:val="single" w:color="auto" w:sz="4" w:space="0"/>
            </w:tcBorders>
            <w:vAlign w:val="center"/>
          </w:tcPr>
          <w:p w14:paraId="40AD8DC9">
            <w:pPr>
              <w:ind w:firstLine="0" w:firstLineChars="0"/>
              <w:jc w:val="center"/>
              <w:rPr>
                <w:sz w:val="22"/>
                <w:szCs w:val="18"/>
              </w:rPr>
            </w:pPr>
            <w:r>
              <w:rPr>
                <w:rFonts w:hint="eastAsia"/>
                <w:sz w:val="22"/>
                <w:szCs w:val="18"/>
              </w:rPr>
              <w:t>承担角色</w:t>
            </w:r>
          </w:p>
        </w:tc>
        <w:tc>
          <w:tcPr>
            <w:tcW w:w="4643" w:type="dxa"/>
            <w:gridSpan w:val="7"/>
            <w:tcBorders>
              <w:left w:val="single" w:color="auto" w:sz="4" w:space="0"/>
            </w:tcBorders>
            <w:vAlign w:val="center"/>
          </w:tcPr>
          <w:p w14:paraId="02371639">
            <w:pPr>
              <w:ind w:firstLine="0" w:firstLineChars="0"/>
              <w:jc w:val="center"/>
              <w:rPr>
                <w:sz w:val="22"/>
                <w:szCs w:val="18"/>
              </w:rPr>
            </w:pPr>
            <w:r>
              <w:rPr>
                <w:rFonts w:hint="eastAsia"/>
                <w:sz w:val="22"/>
                <w:szCs w:val="18"/>
              </w:rPr>
              <w:t>主要负责工作</w:t>
            </w:r>
          </w:p>
        </w:tc>
      </w:tr>
      <w:tr w14:paraId="1500F712">
        <w:tblPrEx>
          <w:tblCellMar>
            <w:top w:w="0" w:type="dxa"/>
            <w:left w:w="108" w:type="dxa"/>
            <w:bottom w:w="0" w:type="dxa"/>
            <w:right w:w="108" w:type="dxa"/>
          </w:tblCellMar>
        </w:tblPrEx>
        <w:trPr>
          <w:trHeight w:val="695" w:hRule="atLeast"/>
          <w:jc w:val="center"/>
        </w:trPr>
        <w:tc>
          <w:tcPr>
            <w:tcW w:w="741" w:type="dxa"/>
            <w:vMerge w:val="continue"/>
            <w:vAlign w:val="center"/>
          </w:tcPr>
          <w:p w14:paraId="2B441221">
            <w:pPr>
              <w:ind w:firstLine="400"/>
              <w:rPr>
                <w:sz w:val="20"/>
                <w:szCs w:val="18"/>
              </w:rPr>
            </w:pPr>
          </w:p>
        </w:tc>
        <w:tc>
          <w:tcPr>
            <w:tcW w:w="1985" w:type="dxa"/>
            <w:gridSpan w:val="2"/>
            <w:tcBorders>
              <w:left w:val="single" w:color="auto" w:sz="4" w:space="0"/>
            </w:tcBorders>
            <w:vAlign w:val="center"/>
          </w:tcPr>
          <w:p w14:paraId="5166C602">
            <w:pPr>
              <w:ind w:firstLine="0" w:firstLineChars="0"/>
              <w:rPr>
                <w:sz w:val="22"/>
                <w:szCs w:val="18"/>
              </w:rPr>
            </w:pPr>
          </w:p>
        </w:tc>
        <w:tc>
          <w:tcPr>
            <w:tcW w:w="1245" w:type="dxa"/>
            <w:gridSpan w:val="3"/>
            <w:tcBorders>
              <w:left w:val="single" w:color="auto" w:sz="4" w:space="0"/>
            </w:tcBorders>
            <w:vAlign w:val="center"/>
          </w:tcPr>
          <w:p w14:paraId="5C4E64ED">
            <w:pPr>
              <w:ind w:firstLine="0" w:firstLineChars="0"/>
              <w:rPr>
                <w:sz w:val="22"/>
                <w:szCs w:val="18"/>
              </w:rPr>
            </w:pPr>
          </w:p>
        </w:tc>
        <w:tc>
          <w:tcPr>
            <w:tcW w:w="1230" w:type="dxa"/>
            <w:gridSpan w:val="2"/>
            <w:tcBorders>
              <w:left w:val="single" w:color="auto" w:sz="4" w:space="0"/>
            </w:tcBorders>
            <w:vAlign w:val="center"/>
          </w:tcPr>
          <w:p w14:paraId="5D5D91DF">
            <w:pPr>
              <w:ind w:firstLine="0" w:firstLineChars="0"/>
              <w:rPr>
                <w:sz w:val="22"/>
                <w:szCs w:val="18"/>
              </w:rPr>
            </w:pPr>
          </w:p>
        </w:tc>
        <w:tc>
          <w:tcPr>
            <w:tcW w:w="4643" w:type="dxa"/>
            <w:gridSpan w:val="7"/>
            <w:tcBorders>
              <w:left w:val="single" w:color="auto" w:sz="4" w:space="0"/>
            </w:tcBorders>
            <w:vAlign w:val="center"/>
          </w:tcPr>
          <w:p w14:paraId="63C63766">
            <w:pPr>
              <w:ind w:firstLine="0" w:firstLineChars="0"/>
              <w:rPr>
                <w:sz w:val="22"/>
                <w:szCs w:val="18"/>
              </w:rPr>
            </w:pPr>
          </w:p>
        </w:tc>
      </w:tr>
      <w:tr w14:paraId="4A33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41" w:type="dxa"/>
            <w:vMerge w:val="continue"/>
            <w:vAlign w:val="center"/>
          </w:tcPr>
          <w:p w14:paraId="0F6BDD1B">
            <w:pPr>
              <w:ind w:firstLine="400"/>
              <w:rPr>
                <w:sz w:val="20"/>
                <w:szCs w:val="18"/>
              </w:rPr>
            </w:pPr>
          </w:p>
        </w:tc>
        <w:tc>
          <w:tcPr>
            <w:tcW w:w="1985" w:type="dxa"/>
            <w:gridSpan w:val="2"/>
            <w:tcBorders>
              <w:left w:val="single" w:color="auto" w:sz="4" w:space="0"/>
            </w:tcBorders>
            <w:vAlign w:val="center"/>
          </w:tcPr>
          <w:p w14:paraId="3C72E5BD">
            <w:pPr>
              <w:ind w:firstLine="0" w:firstLineChars="0"/>
              <w:rPr>
                <w:sz w:val="22"/>
                <w:szCs w:val="18"/>
              </w:rPr>
            </w:pPr>
          </w:p>
        </w:tc>
        <w:tc>
          <w:tcPr>
            <w:tcW w:w="1245" w:type="dxa"/>
            <w:gridSpan w:val="3"/>
            <w:tcBorders>
              <w:left w:val="single" w:color="auto" w:sz="4" w:space="0"/>
            </w:tcBorders>
            <w:vAlign w:val="center"/>
          </w:tcPr>
          <w:p w14:paraId="17A597AA">
            <w:pPr>
              <w:ind w:firstLine="0" w:firstLineChars="0"/>
              <w:rPr>
                <w:sz w:val="22"/>
                <w:szCs w:val="18"/>
              </w:rPr>
            </w:pPr>
          </w:p>
        </w:tc>
        <w:tc>
          <w:tcPr>
            <w:tcW w:w="1230" w:type="dxa"/>
            <w:gridSpan w:val="2"/>
            <w:tcBorders>
              <w:left w:val="single" w:color="auto" w:sz="4" w:space="0"/>
            </w:tcBorders>
            <w:vAlign w:val="center"/>
          </w:tcPr>
          <w:p w14:paraId="1DC61306">
            <w:pPr>
              <w:ind w:firstLine="0" w:firstLineChars="0"/>
              <w:rPr>
                <w:sz w:val="22"/>
                <w:szCs w:val="18"/>
              </w:rPr>
            </w:pPr>
          </w:p>
        </w:tc>
        <w:tc>
          <w:tcPr>
            <w:tcW w:w="4643" w:type="dxa"/>
            <w:gridSpan w:val="7"/>
            <w:tcBorders>
              <w:left w:val="single" w:color="auto" w:sz="4" w:space="0"/>
            </w:tcBorders>
            <w:vAlign w:val="center"/>
          </w:tcPr>
          <w:p w14:paraId="6F3BF200">
            <w:pPr>
              <w:ind w:firstLine="0" w:firstLineChars="0"/>
              <w:rPr>
                <w:sz w:val="22"/>
                <w:szCs w:val="18"/>
              </w:rPr>
            </w:pPr>
          </w:p>
        </w:tc>
      </w:tr>
    </w:tbl>
    <w:p w14:paraId="03046F7A">
      <w:pPr>
        <w:ind w:firstLine="400"/>
        <w:rPr>
          <w:sz w:val="20"/>
          <w:szCs w:val="18"/>
        </w:rPr>
      </w:pPr>
    </w:p>
    <w:p w14:paraId="04C6FC75">
      <w:pPr>
        <w:ind w:firstLine="400"/>
        <w:rPr>
          <w:rFonts w:cs="宋体"/>
          <w:sz w:val="22"/>
          <w:szCs w:val="22"/>
        </w:rPr>
      </w:pPr>
      <w:r>
        <w:rPr>
          <w:sz w:val="20"/>
          <w:szCs w:val="18"/>
        </w:rPr>
        <w:br w:type="page"/>
      </w:r>
      <w:r>
        <w:rPr>
          <w:rFonts w:hint="eastAsia" w:cs="宋体"/>
          <w:sz w:val="22"/>
          <w:szCs w:val="22"/>
        </w:rPr>
        <w:t>附件四：服务连续性预案</w:t>
      </w:r>
    </w:p>
    <w:p w14:paraId="7BE736EA">
      <w:pPr>
        <w:spacing w:line="520" w:lineRule="exact"/>
        <w:ind w:firstLine="803"/>
        <w:jc w:val="center"/>
        <w:rPr>
          <w:b/>
          <w:sz w:val="40"/>
          <w:szCs w:val="40"/>
        </w:rPr>
      </w:pPr>
      <w:r>
        <w:rPr>
          <w:rFonts w:hint="eastAsia"/>
          <w:b/>
          <w:sz w:val="40"/>
          <w:szCs w:val="40"/>
        </w:rPr>
        <w:t>服务连续性预案</w:t>
      </w:r>
    </w:p>
    <w:p w14:paraId="7745DAEE">
      <w:pPr>
        <w:ind w:firstLine="440"/>
        <w:jc w:val="center"/>
        <w:rPr>
          <w:rFonts w:ascii="方正小标宋_GBK" w:eastAsia="方正小标宋_GBK"/>
          <w:sz w:val="22"/>
          <w:szCs w:val="18"/>
        </w:rPr>
      </w:pPr>
      <w:r>
        <w:rPr>
          <w:rFonts w:hint="eastAsia" w:ascii="方正小标宋_GBK" w:eastAsia="方正小标宋_GBK"/>
          <w:sz w:val="22"/>
          <w:szCs w:val="18"/>
        </w:rPr>
        <w:t>（应考虑供应链风险产生的影响）</w:t>
      </w:r>
    </w:p>
    <w:p w14:paraId="70490E5C">
      <w:pPr>
        <w:ind w:firstLine="400"/>
        <w:rPr>
          <w:sz w:val="20"/>
          <w:szCs w:val="18"/>
        </w:rPr>
      </w:pPr>
    </w:p>
    <w:p w14:paraId="6DA40F39">
      <w:pPr>
        <w:ind w:firstLine="400"/>
        <w:rPr>
          <w:rFonts w:cs="Times New Roman"/>
          <w:sz w:val="20"/>
          <w:szCs w:val="18"/>
        </w:rPr>
      </w:pPr>
    </w:p>
    <w:p w14:paraId="535C3391">
      <w:pPr>
        <w:ind w:firstLine="400"/>
        <w:rPr>
          <w:rFonts w:cs="Times New Roman"/>
          <w:sz w:val="20"/>
          <w:szCs w:val="18"/>
        </w:rPr>
      </w:pPr>
      <w:r>
        <w:rPr>
          <w:rFonts w:cs="Times New Roman"/>
          <w:sz w:val="20"/>
          <w:szCs w:val="18"/>
        </w:rPr>
        <w:br w:type="page"/>
      </w:r>
    </w:p>
    <w:p w14:paraId="35B9101B">
      <w:pPr>
        <w:ind w:firstLine="420"/>
      </w:pPr>
    </w:p>
    <w:p w14:paraId="10F093EB">
      <w:pPr>
        <w:pStyle w:val="2"/>
      </w:pPr>
      <w:bookmarkStart w:id="253" w:name="_Toc19504"/>
      <w:bookmarkStart w:id="254" w:name="_Toc4797"/>
      <w:r>
        <w:rPr>
          <w:rFonts w:hint="eastAsia"/>
        </w:rPr>
        <w:t xml:space="preserve">第六章 </w:t>
      </w:r>
      <w:bookmarkEnd w:id="251"/>
      <w:bookmarkEnd w:id="252"/>
      <w:bookmarkStart w:id="255" w:name="_Toc303066035"/>
      <w:r>
        <w:rPr>
          <w:rFonts w:hint="eastAsia"/>
        </w:rPr>
        <w:t>响应文件格式</w:t>
      </w:r>
      <w:bookmarkEnd w:id="253"/>
      <w:bookmarkEnd w:id="254"/>
    </w:p>
    <w:bookmarkEnd w:id="255"/>
    <w:p w14:paraId="1B48BB41">
      <w:pPr>
        <w:tabs>
          <w:tab w:val="left" w:pos="6516"/>
        </w:tabs>
        <w:adjustRightInd w:val="0"/>
        <w:snapToGrid w:val="0"/>
        <w:ind w:firstLine="0" w:firstLineChars="0"/>
        <w:jc w:val="center"/>
        <w:rPr>
          <w:rFonts w:ascii="宋体" w:hAnsi="宋体"/>
          <w:b/>
          <w:kern w:val="0"/>
          <w:u w:val="single"/>
        </w:rPr>
      </w:pPr>
    </w:p>
    <w:p w14:paraId="2D355156">
      <w:pPr>
        <w:tabs>
          <w:tab w:val="left" w:pos="6516"/>
        </w:tabs>
        <w:adjustRightInd w:val="0"/>
        <w:snapToGrid w:val="0"/>
        <w:ind w:firstLine="0" w:firstLineChars="0"/>
        <w:jc w:val="center"/>
        <w:rPr>
          <w:rFonts w:ascii="宋体" w:hAnsi="宋体"/>
          <w:b/>
          <w:kern w:val="0"/>
          <w:u w:val="single"/>
        </w:rPr>
      </w:pPr>
    </w:p>
    <w:p w14:paraId="1A18280F">
      <w:pPr>
        <w:tabs>
          <w:tab w:val="left" w:pos="6516"/>
        </w:tabs>
        <w:adjustRightInd w:val="0"/>
        <w:snapToGrid w:val="0"/>
        <w:ind w:firstLine="0" w:firstLineChars="0"/>
        <w:jc w:val="center"/>
        <w:rPr>
          <w:rFonts w:ascii="宋体" w:hAnsi="宋体"/>
          <w:b/>
          <w:kern w:val="0"/>
          <w:u w:val="single"/>
        </w:rPr>
      </w:pPr>
    </w:p>
    <w:p w14:paraId="1B395696">
      <w:pPr>
        <w:pStyle w:val="45"/>
      </w:pPr>
      <w:r>
        <w:t>重庆三峡银行</w:t>
      </w:r>
    </w:p>
    <w:p w14:paraId="25718DA0">
      <w:pPr>
        <w:pStyle w:val="45"/>
        <w:rPr>
          <w:highlight w:val="cyan"/>
        </w:rPr>
      </w:pPr>
      <w:r>
        <w:rPr>
          <w:rFonts w:hint="eastAsia"/>
        </w:rPr>
        <w:t>综合报送平台技术服务</w:t>
      </w:r>
      <w:r>
        <w:t>项目</w:t>
      </w:r>
      <w:r>
        <w:rPr>
          <w:rFonts w:hint="eastAsia"/>
        </w:rPr>
        <w:t>（第二次）</w:t>
      </w:r>
    </w:p>
    <w:p w14:paraId="21396921">
      <w:pPr>
        <w:ind w:firstLine="420"/>
      </w:pPr>
    </w:p>
    <w:p w14:paraId="23DCC5AC">
      <w:pPr>
        <w:ind w:firstLine="420"/>
      </w:pPr>
    </w:p>
    <w:p w14:paraId="259D37BF">
      <w:pPr>
        <w:ind w:firstLine="420"/>
      </w:pPr>
    </w:p>
    <w:p w14:paraId="7CF4C4BE">
      <w:pPr>
        <w:ind w:firstLine="420"/>
      </w:pPr>
    </w:p>
    <w:p w14:paraId="71C4737A">
      <w:pPr>
        <w:ind w:firstLine="420"/>
      </w:pPr>
    </w:p>
    <w:p w14:paraId="310552F1">
      <w:pPr>
        <w:ind w:firstLine="420"/>
      </w:pPr>
    </w:p>
    <w:p w14:paraId="04D5A547">
      <w:pPr>
        <w:pStyle w:val="46"/>
      </w:pPr>
      <w:r>
        <w:t>响  应  文  件</w:t>
      </w:r>
    </w:p>
    <w:p w14:paraId="7A6BE47F">
      <w:pPr>
        <w:ind w:firstLine="420"/>
      </w:pPr>
    </w:p>
    <w:p w14:paraId="59537E80">
      <w:pPr>
        <w:ind w:firstLine="420"/>
      </w:pPr>
    </w:p>
    <w:p w14:paraId="15F5E603">
      <w:pPr>
        <w:ind w:firstLine="420"/>
      </w:pPr>
    </w:p>
    <w:p w14:paraId="6E5B378C">
      <w:pPr>
        <w:ind w:firstLine="420"/>
      </w:pPr>
    </w:p>
    <w:p w14:paraId="5924E56B">
      <w:pPr>
        <w:ind w:firstLine="420"/>
      </w:pPr>
    </w:p>
    <w:p w14:paraId="7EA50280">
      <w:pPr>
        <w:ind w:firstLine="420"/>
      </w:pPr>
    </w:p>
    <w:p w14:paraId="7A32CB70">
      <w:pPr>
        <w:ind w:firstLine="0" w:firstLineChars="0"/>
        <w:jc w:val="center"/>
      </w:pPr>
      <w:r>
        <w:rPr>
          <w:rFonts w:hint="eastAsia"/>
        </w:rPr>
        <w:t>响应人：</w:t>
      </w:r>
      <w:r>
        <w:rPr>
          <w:rFonts w:hint="eastAsia"/>
          <w:u w:val="single"/>
        </w:rPr>
        <w:t xml:space="preserve">                （盖单位公章）</w:t>
      </w:r>
    </w:p>
    <w:p w14:paraId="700C27FD">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501BECD">
      <w:pPr>
        <w:ind w:firstLine="420"/>
      </w:pPr>
    </w:p>
    <w:p w14:paraId="1CCEEA40">
      <w:pPr>
        <w:ind w:firstLine="420"/>
      </w:pPr>
    </w:p>
    <w:p w14:paraId="62F957DF">
      <w:pPr>
        <w:ind w:firstLine="420"/>
      </w:pPr>
    </w:p>
    <w:p w14:paraId="3D9594EC">
      <w:pPr>
        <w:ind w:firstLine="420"/>
        <w:sectPr>
          <w:pgSz w:w="11906" w:h="16838"/>
          <w:pgMar w:top="1440" w:right="1800" w:bottom="1440" w:left="1800" w:header="851" w:footer="992" w:gutter="0"/>
          <w:cols w:space="720" w:num="1"/>
          <w:docGrid w:type="lines" w:linePitch="312" w:charSpace="0"/>
        </w:sectPr>
      </w:pPr>
    </w:p>
    <w:p w14:paraId="119418F3">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3AB09FBA">
      <w:pPr>
        <w:widowControl/>
        <w:autoSpaceDE/>
        <w:autoSpaceDN/>
        <w:spacing w:line="240" w:lineRule="auto"/>
        <w:ind w:firstLine="0" w:firstLineChars="0"/>
        <w:jc w:val="left"/>
      </w:pPr>
      <w:r>
        <w:rPr>
          <w:rFonts w:hint="eastAsia"/>
        </w:rPr>
        <w:t>一、响应函</w:t>
      </w:r>
    </w:p>
    <w:p w14:paraId="7FAD62E1">
      <w:pPr>
        <w:widowControl/>
        <w:autoSpaceDE/>
        <w:autoSpaceDN/>
        <w:spacing w:line="240" w:lineRule="auto"/>
        <w:ind w:firstLine="0" w:firstLineChars="0"/>
        <w:jc w:val="left"/>
      </w:pPr>
      <w:r>
        <w:rPr>
          <w:rFonts w:hint="eastAsia"/>
        </w:rPr>
        <w:t>二、分项报价明细表</w:t>
      </w:r>
    </w:p>
    <w:p w14:paraId="75EC12E1">
      <w:pPr>
        <w:widowControl/>
        <w:autoSpaceDE/>
        <w:autoSpaceDN/>
        <w:spacing w:line="240" w:lineRule="auto"/>
        <w:ind w:firstLine="0" w:firstLineChars="0"/>
        <w:jc w:val="left"/>
      </w:pPr>
      <w:r>
        <w:rPr>
          <w:rFonts w:hint="eastAsia"/>
        </w:rPr>
        <w:t>三、资格性文件</w:t>
      </w:r>
    </w:p>
    <w:p w14:paraId="2F5A8DB5">
      <w:pPr>
        <w:widowControl/>
        <w:autoSpaceDE/>
        <w:autoSpaceDN/>
        <w:spacing w:line="240" w:lineRule="auto"/>
        <w:ind w:firstLine="420" w:firstLineChars="0"/>
        <w:jc w:val="left"/>
      </w:pPr>
      <w:r>
        <w:rPr>
          <w:rFonts w:hint="eastAsia"/>
        </w:rPr>
        <w:t>（一）响应人基本情况介绍，资质证明等</w:t>
      </w:r>
    </w:p>
    <w:p w14:paraId="790A1949">
      <w:pPr>
        <w:widowControl/>
        <w:autoSpaceDE/>
        <w:autoSpaceDN/>
        <w:spacing w:line="240" w:lineRule="auto"/>
        <w:ind w:firstLine="420" w:firstLineChars="0"/>
        <w:jc w:val="left"/>
      </w:pPr>
      <w:r>
        <w:rPr>
          <w:rFonts w:hint="eastAsia"/>
        </w:rPr>
        <w:t>（二）法定代表人身份证明及授权委托书</w:t>
      </w:r>
    </w:p>
    <w:p w14:paraId="5D034823">
      <w:pPr>
        <w:widowControl/>
        <w:autoSpaceDE/>
        <w:autoSpaceDN/>
        <w:spacing w:line="240" w:lineRule="auto"/>
        <w:ind w:firstLine="420" w:firstLineChars="0"/>
        <w:jc w:val="left"/>
      </w:pPr>
      <w:r>
        <w:rPr>
          <w:rFonts w:hint="eastAsia"/>
        </w:rPr>
        <w:t>（三）书面声明</w:t>
      </w:r>
    </w:p>
    <w:p w14:paraId="569D56B8">
      <w:pPr>
        <w:widowControl/>
        <w:autoSpaceDE/>
        <w:autoSpaceDN/>
        <w:spacing w:line="240" w:lineRule="auto"/>
        <w:ind w:firstLine="420" w:firstLineChars="0"/>
        <w:jc w:val="left"/>
      </w:pPr>
      <w:r>
        <w:rPr>
          <w:rFonts w:hint="eastAsia"/>
        </w:rPr>
        <w:t>（四）中国执行信息公开网截图</w:t>
      </w:r>
    </w:p>
    <w:p w14:paraId="0735C0D1">
      <w:pPr>
        <w:widowControl/>
        <w:autoSpaceDE/>
        <w:autoSpaceDN/>
        <w:spacing w:line="240" w:lineRule="auto"/>
        <w:ind w:firstLine="420" w:firstLineChars="0"/>
        <w:jc w:val="left"/>
      </w:pPr>
      <w:r>
        <w:rPr>
          <w:rFonts w:hint="eastAsia"/>
        </w:rPr>
        <w:t>（五）社保及拟供人员相关证明材料</w:t>
      </w:r>
    </w:p>
    <w:p w14:paraId="52EE0E11">
      <w:pPr>
        <w:widowControl/>
        <w:autoSpaceDE/>
        <w:autoSpaceDN/>
        <w:spacing w:line="240" w:lineRule="auto"/>
        <w:ind w:firstLine="420" w:firstLineChars="0"/>
        <w:jc w:val="left"/>
      </w:pPr>
      <w:r>
        <w:rPr>
          <w:rFonts w:hint="eastAsia"/>
        </w:rPr>
        <w:t>（六）项目案例和业绩证明文件复印件</w:t>
      </w:r>
    </w:p>
    <w:p w14:paraId="4D7B771E">
      <w:pPr>
        <w:widowControl/>
        <w:autoSpaceDE/>
        <w:autoSpaceDN/>
        <w:spacing w:line="240" w:lineRule="auto"/>
        <w:ind w:firstLine="420" w:firstLineChars="0"/>
        <w:jc w:val="left"/>
      </w:pPr>
      <w:r>
        <w:rPr>
          <w:rFonts w:hint="eastAsia"/>
        </w:rPr>
        <w:t>（七）其他（如有）</w:t>
      </w:r>
    </w:p>
    <w:p w14:paraId="7047DB21">
      <w:pPr>
        <w:widowControl/>
        <w:autoSpaceDE/>
        <w:autoSpaceDN/>
        <w:spacing w:line="240" w:lineRule="auto"/>
        <w:ind w:firstLine="0" w:firstLineChars="0"/>
        <w:jc w:val="left"/>
      </w:pPr>
      <w:r>
        <w:rPr>
          <w:rFonts w:hint="eastAsia"/>
        </w:rPr>
        <w:t>四、响应性文件</w:t>
      </w:r>
    </w:p>
    <w:p w14:paraId="62481426">
      <w:pPr>
        <w:widowControl/>
        <w:autoSpaceDE/>
        <w:autoSpaceDN/>
        <w:spacing w:line="240" w:lineRule="auto"/>
        <w:ind w:firstLine="420" w:firstLineChars="0"/>
        <w:jc w:val="left"/>
      </w:pPr>
      <w:r>
        <w:rPr>
          <w:rFonts w:hint="eastAsia"/>
        </w:rPr>
        <w:t>（一）响应承诺函</w:t>
      </w:r>
    </w:p>
    <w:p w14:paraId="46A6A9D1">
      <w:pPr>
        <w:widowControl/>
        <w:autoSpaceDE/>
        <w:autoSpaceDN/>
        <w:spacing w:line="240" w:lineRule="auto"/>
        <w:ind w:firstLine="420" w:firstLineChars="0"/>
        <w:jc w:val="left"/>
      </w:pPr>
      <w:r>
        <w:rPr>
          <w:rFonts w:hint="eastAsia"/>
        </w:rPr>
        <w:t>（二）服务水平协议（SLA）</w:t>
      </w:r>
    </w:p>
    <w:p w14:paraId="50CD700C">
      <w:pPr>
        <w:widowControl/>
        <w:autoSpaceDE/>
        <w:autoSpaceDN/>
        <w:spacing w:line="240" w:lineRule="auto"/>
        <w:ind w:firstLine="420" w:firstLineChars="0"/>
        <w:jc w:val="left"/>
      </w:pPr>
      <w:r>
        <w:rPr>
          <w:rFonts w:hint="eastAsia"/>
        </w:rPr>
        <w:t>（三）服务连续性预案</w:t>
      </w:r>
    </w:p>
    <w:p w14:paraId="365CCFA6">
      <w:pPr>
        <w:widowControl/>
        <w:autoSpaceDE/>
        <w:autoSpaceDN/>
        <w:spacing w:line="240" w:lineRule="auto"/>
        <w:ind w:firstLine="420" w:firstLineChars="0"/>
        <w:jc w:val="left"/>
      </w:pPr>
      <w:r>
        <w:rPr>
          <w:rFonts w:hint="eastAsia"/>
        </w:rPr>
        <w:t>（四）人力外包管理方案</w:t>
      </w:r>
    </w:p>
    <w:p w14:paraId="404EA901">
      <w:pPr>
        <w:widowControl/>
        <w:autoSpaceDE/>
        <w:autoSpaceDN/>
        <w:spacing w:line="240" w:lineRule="auto"/>
        <w:ind w:firstLine="420" w:firstLineChars="0"/>
        <w:jc w:val="left"/>
      </w:pPr>
      <w:r>
        <w:rPr>
          <w:rFonts w:hint="eastAsia"/>
        </w:rPr>
        <w:t>（五）其他（如有）</w:t>
      </w:r>
    </w:p>
    <w:p w14:paraId="373906C8">
      <w:pPr>
        <w:widowControl/>
        <w:autoSpaceDE/>
        <w:autoSpaceDN/>
        <w:spacing w:line="240" w:lineRule="auto"/>
        <w:ind w:firstLine="0" w:firstLineChars="0"/>
        <w:jc w:val="left"/>
      </w:pPr>
      <w:r>
        <w:rPr>
          <w:rFonts w:hint="eastAsia"/>
        </w:rPr>
        <w:t>五、商务技术文件（如有）</w:t>
      </w:r>
    </w:p>
    <w:p w14:paraId="599D263A">
      <w:pPr>
        <w:widowControl/>
        <w:autoSpaceDE/>
        <w:autoSpaceDN/>
        <w:spacing w:line="240" w:lineRule="auto"/>
        <w:ind w:firstLine="0" w:firstLineChars="0"/>
        <w:jc w:val="left"/>
      </w:pPr>
      <w:r>
        <w:rPr>
          <w:rFonts w:hint="eastAsia"/>
        </w:rPr>
        <w:t>六、其他（如有）</w:t>
      </w:r>
      <w:r>
        <w:rPr>
          <w:rFonts w:hint="eastAsia"/>
        </w:rPr>
        <w:br w:type="page"/>
      </w:r>
    </w:p>
    <w:p w14:paraId="3EC94805">
      <w:pPr>
        <w:widowControl/>
        <w:autoSpaceDE/>
        <w:autoSpaceDN/>
        <w:spacing w:line="240" w:lineRule="auto"/>
        <w:ind w:firstLine="0" w:firstLineChars="0"/>
        <w:jc w:val="left"/>
      </w:pPr>
    </w:p>
    <w:p w14:paraId="14000B33">
      <w:pPr>
        <w:pStyle w:val="35"/>
      </w:pPr>
      <w:r>
        <w:t>一、响应函</w:t>
      </w:r>
    </w:p>
    <w:p w14:paraId="131B7223">
      <w:pPr>
        <w:ind w:firstLine="420"/>
      </w:pPr>
    </w:p>
    <w:p w14:paraId="4EF5F731">
      <w:pPr>
        <w:ind w:firstLine="0" w:firstLineChars="0"/>
      </w:pPr>
      <w:r>
        <w:rPr>
          <w:rFonts w:hint="eastAsia"/>
        </w:rPr>
        <w:t>重庆三峡银行股份有限公司：</w:t>
      </w:r>
    </w:p>
    <w:p w14:paraId="03BA8BDA">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59D0D4AB">
      <w:pPr>
        <w:ind w:firstLine="420"/>
      </w:pPr>
      <w:r>
        <w:rPr>
          <w:rFonts w:hint="eastAsia"/>
        </w:rPr>
        <w:t>1、愿意按照询比文件中的一切要求，以响应文件中的内容和报价承担和完成本项目。</w:t>
      </w:r>
    </w:p>
    <w:p w14:paraId="5EABF237">
      <w:pPr>
        <w:ind w:firstLine="420"/>
      </w:pPr>
      <w:r>
        <w:rPr>
          <w:rFonts w:hint="eastAsia"/>
        </w:rPr>
        <w:t>2、我方现提交的响应文件为：响应文件正本一份，副本一份，电子文件一份。</w:t>
      </w:r>
    </w:p>
    <w:p w14:paraId="6E300397">
      <w:pPr>
        <w:ind w:firstLine="420"/>
      </w:pPr>
      <w:r>
        <w:rPr>
          <w:rFonts w:hint="eastAsia"/>
        </w:rPr>
        <w:t>3、如果我方响应文件被接受，我方将履行询比文件中规定的各项要求，按相关法律法规和合同约定条款承担我方的责任。</w:t>
      </w:r>
    </w:p>
    <w:p w14:paraId="72E939A4">
      <w:pPr>
        <w:ind w:firstLine="420"/>
      </w:pPr>
      <w:r>
        <w:rPr>
          <w:rFonts w:hint="eastAsia"/>
        </w:rPr>
        <w:t>4、我方愿意提供询比文件中要求的所有资料，并对其真实性负责。</w:t>
      </w:r>
    </w:p>
    <w:p w14:paraId="51029B23">
      <w:pPr>
        <w:ind w:firstLine="420"/>
      </w:pPr>
      <w:r>
        <w:rPr>
          <w:rFonts w:hint="eastAsia"/>
        </w:rPr>
        <w:t>5、我方理解最低价格不是成交的唯一条件。</w:t>
      </w:r>
    </w:p>
    <w:p w14:paraId="03F7DDDA">
      <w:pPr>
        <w:ind w:firstLine="420"/>
      </w:pPr>
      <w:r>
        <w:rPr>
          <w:rFonts w:hint="eastAsia"/>
        </w:rPr>
        <w:t>6、响应有效期为响应截止日期后90天内。</w:t>
      </w:r>
    </w:p>
    <w:p w14:paraId="553661A3">
      <w:pPr>
        <w:ind w:firstLine="420"/>
      </w:pPr>
      <w:r>
        <w:rPr>
          <w:rFonts w:hint="eastAsia"/>
        </w:rPr>
        <w:t>7、若我方成交，我方开具税率为           %的增值税专用发票；</w:t>
      </w:r>
    </w:p>
    <w:p w14:paraId="2786DCAB">
      <w:pPr>
        <w:ind w:firstLine="420"/>
      </w:pPr>
    </w:p>
    <w:p w14:paraId="0FF5012E">
      <w:pPr>
        <w:ind w:firstLine="420"/>
      </w:pPr>
      <w:r>
        <w:rPr>
          <w:rFonts w:hint="eastAsia"/>
        </w:rPr>
        <w:t>响应人（公章）：</w:t>
      </w:r>
    </w:p>
    <w:p w14:paraId="2D9FE247">
      <w:pPr>
        <w:ind w:firstLine="420"/>
      </w:pPr>
      <w:r>
        <w:rPr>
          <w:rFonts w:hint="eastAsia"/>
        </w:rPr>
        <w:t xml:space="preserve">响应人联系人：  </w:t>
      </w:r>
    </w:p>
    <w:p w14:paraId="78CC04A9">
      <w:pPr>
        <w:ind w:firstLine="420"/>
      </w:pPr>
      <w:r>
        <w:rPr>
          <w:rFonts w:hint="eastAsia"/>
        </w:rPr>
        <w:t xml:space="preserve">响应人联系人联系电话：     </w:t>
      </w:r>
    </w:p>
    <w:p w14:paraId="71BB330B">
      <w:pPr>
        <w:ind w:firstLine="420"/>
        <w:jc w:val="right"/>
      </w:pPr>
      <w:r>
        <w:rPr>
          <w:rFonts w:hint="eastAsia"/>
        </w:rPr>
        <w:t>年     月     日</w:t>
      </w:r>
    </w:p>
    <w:p w14:paraId="5CA8441B">
      <w:pPr>
        <w:ind w:firstLine="420"/>
      </w:pPr>
    </w:p>
    <w:p w14:paraId="3746480A">
      <w:pPr>
        <w:widowControl/>
        <w:ind w:firstLine="480"/>
        <w:jc w:val="left"/>
        <w:rPr>
          <w:rFonts w:ascii="宋体"/>
          <w:snapToGrid w:val="0"/>
          <w:kern w:val="0"/>
          <w:sz w:val="24"/>
          <w:szCs w:val="24"/>
        </w:rPr>
      </w:pPr>
    </w:p>
    <w:p w14:paraId="5F4D5F87">
      <w:pPr>
        <w:widowControl/>
        <w:ind w:firstLine="0" w:firstLineChars="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6A6BBEAF">
      <w:pPr>
        <w:pStyle w:val="35"/>
      </w:pPr>
      <w:r>
        <w:t>二、分项报价明细表</w:t>
      </w:r>
    </w:p>
    <w:tbl>
      <w:tblPr>
        <w:tblStyle w:val="19"/>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4"/>
        <w:gridCol w:w="871"/>
        <w:gridCol w:w="921"/>
        <w:gridCol w:w="1801"/>
        <w:gridCol w:w="1525"/>
        <w:gridCol w:w="994"/>
        <w:gridCol w:w="1385"/>
      </w:tblGrid>
      <w:tr w14:paraId="3C4D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Header/>
        </w:trPr>
        <w:tc>
          <w:tcPr>
            <w:tcW w:w="517" w:type="pct"/>
            <w:shd w:val="clear" w:color="auto" w:fill="CFCECE"/>
            <w:vAlign w:val="center"/>
          </w:tcPr>
          <w:p w14:paraId="0570FCED">
            <w:pPr>
              <w:pStyle w:val="41"/>
            </w:pPr>
            <w:r>
              <w:t>类别</w:t>
            </w:r>
          </w:p>
        </w:tc>
        <w:tc>
          <w:tcPr>
            <w:tcW w:w="521" w:type="pct"/>
            <w:shd w:val="clear" w:color="auto" w:fill="CFCECE"/>
            <w:vAlign w:val="center"/>
          </w:tcPr>
          <w:p w14:paraId="7CC313F1">
            <w:pPr>
              <w:pStyle w:val="41"/>
            </w:pPr>
            <w:r>
              <w:t>档级</w:t>
            </w:r>
          </w:p>
        </w:tc>
        <w:tc>
          <w:tcPr>
            <w:tcW w:w="551" w:type="pct"/>
            <w:shd w:val="clear" w:color="auto" w:fill="CFCECE"/>
            <w:vAlign w:val="center"/>
          </w:tcPr>
          <w:p w14:paraId="3EE02C23">
            <w:pPr>
              <w:pStyle w:val="41"/>
            </w:pPr>
            <w:r>
              <w:t>细分档级</w:t>
            </w:r>
          </w:p>
        </w:tc>
        <w:tc>
          <w:tcPr>
            <w:tcW w:w="1077" w:type="pct"/>
            <w:shd w:val="clear" w:color="auto" w:fill="CFCECE"/>
            <w:vAlign w:val="center"/>
          </w:tcPr>
          <w:p w14:paraId="01BBD5FC">
            <w:pPr>
              <w:pStyle w:val="41"/>
            </w:pPr>
            <w:r>
              <w:t>含税单价限价（元/人/月）</w:t>
            </w:r>
          </w:p>
        </w:tc>
        <w:tc>
          <w:tcPr>
            <w:tcW w:w="912" w:type="pct"/>
            <w:shd w:val="clear" w:color="auto" w:fill="CFCECE"/>
            <w:vAlign w:val="center"/>
          </w:tcPr>
          <w:p w14:paraId="6AE45AC3">
            <w:pPr>
              <w:pStyle w:val="41"/>
            </w:pPr>
            <w:r>
              <w:t>含税单价报价（元/人/月）</w:t>
            </w:r>
          </w:p>
        </w:tc>
        <w:tc>
          <w:tcPr>
            <w:tcW w:w="594" w:type="pct"/>
            <w:shd w:val="clear" w:color="auto" w:fill="CFCECE"/>
            <w:vAlign w:val="center"/>
          </w:tcPr>
          <w:p w14:paraId="06D63972">
            <w:pPr>
              <w:pStyle w:val="41"/>
            </w:pPr>
            <w:r>
              <w:t>增值税率（%）</w:t>
            </w:r>
          </w:p>
        </w:tc>
        <w:tc>
          <w:tcPr>
            <w:tcW w:w="828" w:type="pct"/>
            <w:shd w:val="clear" w:color="auto" w:fill="CFCECE"/>
            <w:vAlign w:val="center"/>
          </w:tcPr>
          <w:p w14:paraId="171FA3BD">
            <w:pPr>
              <w:pStyle w:val="41"/>
            </w:pPr>
            <w:r>
              <w:t>优惠金额</w:t>
            </w:r>
          </w:p>
          <w:p w14:paraId="114B03D8">
            <w:pPr>
              <w:pStyle w:val="41"/>
            </w:pPr>
            <w:r>
              <w:t>（元/人/月）</w:t>
            </w:r>
          </w:p>
        </w:tc>
      </w:tr>
      <w:tr w14:paraId="7634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517" w:type="pct"/>
            <w:vMerge w:val="restart"/>
            <w:shd w:val="clear" w:color="auto" w:fill="auto"/>
            <w:vAlign w:val="center"/>
          </w:tcPr>
          <w:p w14:paraId="0C291B6B">
            <w:pPr>
              <w:pStyle w:val="40"/>
              <w:jc w:val="center"/>
            </w:pPr>
            <w:r>
              <w:t>软件开发工程师/数据开发工程师</w:t>
            </w:r>
          </w:p>
        </w:tc>
        <w:tc>
          <w:tcPr>
            <w:tcW w:w="521" w:type="pct"/>
            <w:vMerge w:val="restart"/>
            <w:tcBorders>
              <w:left w:val="single" w:color="auto" w:sz="4" w:space="0"/>
            </w:tcBorders>
            <w:shd w:val="clear" w:color="auto" w:fill="auto"/>
            <w:vAlign w:val="center"/>
          </w:tcPr>
          <w:p w14:paraId="0FD5FA30">
            <w:pPr>
              <w:pStyle w:val="40"/>
              <w:jc w:val="center"/>
            </w:pPr>
            <w:r>
              <w:t>高级</w:t>
            </w:r>
          </w:p>
        </w:tc>
        <w:tc>
          <w:tcPr>
            <w:tcW w:w="551" w:type="pct"/>
            <w:tcBorders>
              <w:left w:val="single" w:color="auto" w:sz="4" w:space="0"/>
            </w:tcBorders>
            <w:shd w:val="clear" w:color="auto" w:fill="auto"/>
            <w:vAlign w:val="center"/>
          </w:tcPr>
          <w:p w14:paraId="60980225">
            <w:pPr>
              <w:pStyle w:val="40"/>
              <w:jc w:val="center"/>
            </w:pPr>
            <w:r>
              <w:t>D-A2</w:t>
            </w:r>
          </w:p>
        </w:tc>
        <w:tc>
          <w:tcPr>
            <w:tcW w:w="1077" w:type="pct"/>
            <w:tcBorders>
              <w:left w:val="single" w:color="auto" w:sz="4" w:space="0"/>
            </w:tcBorders>
            <w:shd w:val="clear" w:color="auto" w:fill="auto"/>
            <w:vAlign w:val="center"/>
          </w:tcPr>
          <w:p w14:paraId="0FE47B00">
            <w:pPr>
              <w:pStyle w:val="40"/>
              <w:jc w:val="center"/>
            </w:pPr>
            <w:r>
              <w:t>29000</w:t>
            </w:r>
          </w:p>
        </w:tc>
        <w:tc>
          <w:tcPr>
            <w:tcW w:w="912" w:type="pct"/>
            <w:tcBorders>
              <w:left w:val="single" w:color="auto" w:sz="4" w:space="0"/>
            </w:tcBorders>
            <w:shd w:val="clear" w:color="auto" w:fill="auto"/>
            <w:vAlign w:val="center"/>
          </w:tcPr>
          <w:p w14:paraId="3CED5BF8">
            <w:pPr>
              <w:pStyle w:val="40"/>
              <w:jc w:val="center"/>
            </w:pPr>
          </w:p>
        </w:tc>
        <w:tc>
          <w:tcPr>
            <w:tcW w:w="594" w:type="pct"/>
            <w:vMerge w:val="restart"/>
            <w:tcBorders>
              <w:left w:val="single" w:color="auto" w:sz="4" w:space="0"/>
            </w:tcBorders>
            <w:shd w:val="clear" w:color="auto" w:fill="auto"/>
            <w:vAlign w:val="center"/>
          </w:tcPr>
          <w:p w14:paraId="4D538979">
            <w:pPr>
              <w:pStyle w:val="40"/>
              <w:spacing w:line="360" w:lineRule="auto"/>
              <w:jc w:val="center"/>
            </w:pPr>
            <w:r>
              <w:rPr>
                <w:rFonts w:hint="eastAsia"/>
              </w:rPr>
              <w:t>6</w:t>
            </w:r>
          </w:p>
        </w:tc>
        <w:tc>
          <w:tcPr>
            <w:tcW w:w="828" w:type="pct"/>
            <w:vMerge w:val="restart"/>
            <w:tcBorders>
              <w:left w:val="single" w:color="auto" w:sz="4" w:space="0"/>
            </w:tcBorders>
            <w:shd w:val="clear" w:color="auto" w:fill="auto"/>
            <w:vAlign w:val="center"/>
          </w:tcPr>
          <w:p w14:paraId="45230D13">
            <w:pPr>
              <w:pStyle w:val="40"/>
              <w:spacing w:line="360" w:lineRule="auto"/>
              <w:jc w:val="center"/>
            </w:pPr>
          </w:p>
        </w:tc>
      </w:tr>
      <w:tr w14:paraId="7EA6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517" w:type="pct"/>
            <w:vMerge w:val="continue"/>
            <w:shd w:val="clear" w:color="auto" w:fill="auto"/>
            <w:vAlign w:val="center"/>
          </w:tcPr>
          <w:p w14:paraId="5C37E9A4">
            <w:pPr>
              <w:ind w:firstLine="420"/>
            </w:pPr>
          </w:p>
        </w:tc>
        <w:tc>
          <w:tcPr>
            <w:tcW w:w="521" w:type="pct"/>
            <w:vMerge w:val="continue"/>
            <w:tcBorders>
              <w:left w:val="single" w:color="auto" w:sz="4" w:space="0"/>
            </w:tcBorders>
            <w:shd w:val="clear" w:color="auto" w:fill="auto"/>
            <w:vAlign w:val="center"/>
          </w:tcPr>
          <w:p w14:paraId="52710A85">
            <w:pPr>
              <w:ind w:firstLine="420"/>
            </w:pPr>
          </w:p>
        </w:tc>
        <w:tc>
          <w:tcPr>
            <w:tcW w:w="551" w:type="pct"/>
            <w:tcBorders>
              <w:left w:val="single" w:color="auto" w:sz="4" w:space="0"/>
            </w:tcBorders>
            <w:shd w:val="clear" w:color="auto" w:fill="auto"/>
            <w:vAlign w:val="center"/>
          </w:tcPr>
          <w:p w14:paraId="1793336A">
            <w:pPr>
              <w:pStyle w:val="40"/>
              <w:jc w:val="center"/>
            </w:pPr>
            <w:r>
              <w:t>D-A1</w:t>
            </w:r>
          </w:p>
        </w:tc>
        <w:tc>
          <w:tcPr>
            <w:tcW w:w="1077" w:type="pct"/>
            <w:tcBorders>
              <w:left w:val="single" w:color="auto" w:sz="4" w:space="0"/>
            </w:tcBorders>
            <w:shd w:val="clear" w:color="auto" w:fill="auto"/>
            <w:vAlign w:val="center"/>
          </w:tcPr>
          <w:p w14:paraId="37190CAE">
            <w:pPr>
              <w:pStyle w:val="40"/>
              <w:jc w:val="center"/>
            </w:pPr>
            <w:r>
              <w:t>28200</w:t>
            </w:r>
          </w:p>
        </w:tc>
        <w:tc>
          <w:tcPr>
            <w:tcW w:w="912" w:type="pct"/>
            <w:tcBorders>
              <w:left w:val="single" w:color="auto" w:sz="4" w:space="0"/>
            </w:tcBorders>
            <w:shd w:val="clear" w:color="auto" w:fill="auto"/>
            <w:vAlign w:val="center"/>
          </w:tcPr>
          <w:p w14:paraId="571E7799">
            <w:pPr>
              <w:pStyle w:val="40"/>
              <w:jc w:val="center"/>
            </w:pPr>
          </w:p>
        </w:tc>
        <w:tc>
          <w:tcPr>
            <w:tcW w:w="594" w:type="pct"/>
            <w:vMerge w:val="continue"/>
            <w:tcBorders>
              <w:left w:val="single" w:color="auto" w:sz="4" w:space="0"/>
            </w:tcBorders>
            <w:shd w:val="clear" w:color="auto" w:fill="auto"/>
            <w:vAlign w:val="center"/>
          </w:tcPr>
          <w:p w14:paraId="255AB8A3">
            <w:pPr>
              <w:ind w:firstLine="420"/>
            </w:pPr>
          </w:p>
        </w:tc>
        <w:tc>
          <w:tcPr>
            <w:tcW w:w="828" w:type="pct"/>
            <w:vMerge w:val="continue"/>
            <w:tcBorders>
              <w:left w:val="single" w:color="auto" w:sz="4" w:space="0"/>
            </w:tcBorders>
            <w:shd w:val="clear" w:color="auto" w:fill="auto"/>
            <w:vAlign w:val="center"/>
          </w:tcPr>
          <w:p w14:paraId="44E51498">
            <w:pPr>
              <w:ind w:firstLine="420"/>
            </w:pPr>
          </w:p>
        </w:tc>
      </w:tr>
      <w:tr w14:paraId="30B9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517" w:type="pct"/>
            <w:vMerge w:val="continue"/>
            <w:shd w:val="clear" w:color="auto" w:fill="auto"/>
            <w:vAlign w:val="center"/>
          </w:tcPr>
          <w:p w14:paraId="7F33D582">
            <w:pPr>
              <w:ind w:firstLine="420"/>
            </w:pPr>
          </w:p>
        </w:tc>
        <w:tc>
          <w:tcPr>
            <w:tcW w:w="521" w:type="pct"/>
            <w:vMerge w:val="restart"/>
            <w:tcBorders>
              <w:left w:val="single" w:color="auto" w:sz="4" w:space="0"/>
            </w:tcBorders>
            <w:shd w:val="clear" w:color="auto" w:fill="auto"/>
            <w:vAlign w:val="center"/>
          </w:tcPr>
          <w:p w14:paraId="31FC80FE">
            <w:pPr>
              <w:pStyle w:val="40"/>
              <w:jc w:val="center"/>
            </w:pPr>
            <w:r>
              <w:t>中级</w:t>
            </w:r>
          </w:p>
        </w:tc>
        <w:tc>
          <w:tcPr>
            <w:tcW w:w="551" w:type="pct"/>
            <w:tcBorders>
              <w:left w:val="single" w:color="auto" w:sz="4" w:space="0"/>
            </w:tcBorders>
            <w:shd w:val="clear" w:color="auto" w:fill="auto"/>
            <w:vAlign w:val="center"/>
          </w:tcPr>
          <w:p w14:paraId="6BDFEEB7">
            <w:pPr>
              <w:pStyle w:val="40"/>
              <w:jc w:val="center"/>
            </w:pPr>
            <w:r>
              <w:t>D-B4</w:t>
            </w:r>
          </w:p>
        </w:tc>
        <w:tc>
          <w:tcPr>
            <w:tcW w:w="1077" w:type="pct"/>
            <w:tcBorders>
              <w:left w:val="single" w:color="auto" w:sz="4" w:space="0"/>
            </w:tcBorders>
            <w:shd w:val="clear" w:color="auto" w:fill="auto"/>
            <w:vAlign w:val="center"/>
          </w:tcPr>
          <w:p w14:paraId="47710488">
            <w:pPr>
              <w:pStyle w:val="40"/>
              <w:jc w:val="center"/>
            </w:pPr>
            <w:r>
              <w:t>26200</w:t>
            </w:r>
          </w:p>
        </w:tc>
        <w:tc>
          <w:tcPr>
            <w:tcW w:w="912" w:type="pct"/>
            <w:tcBorders>
              <w:left w:val="single" w:color="auto" w:sz="4" w:space="0"/>
            </w:tcBorders>
            <w:shd w:val="clear" w:color="auto" w:fill="auto"/>
            <w:vAlign w:val="center"/>
          </w:tcPr>
          <w:p w14:paraId="23B7C239">
            <w:pPr>
              <w:pStyle w:val="40"/>
              <w:jc w:val="center"/>
            </w:pPr>
          </w:p>
        </w:tc>
        <w:tc>
          <w:tcPr>
            <w:tcW w:w="594" w:type="pct"/>
            <w:vMerge w:val="continue"/>
            <w:tcBorders>
              <w:left w:val="single" w:color="auto" w:sz="4" w:space="0"/>
            </w:tcBorders>
            <w:shd w:val="clear" w:color="auto" w:fill="auto"/>
            <w:vAlign w:val="center"/>
          </w:tcPr>
          <w:p w14:paraId="50568CC2">
            <w:pPr>
              <w:ind w:firstLine="420"/>
            </w:pPr>
          </w:p>
        </w:tc>
        <w:tc>
          <w:tcPr>
            <w:tcW w:w="828" w:type="pct"/>
            <w:vMerge w:val="continue"/>
            <w:tcBorders>
              <w:left w:val="single" w:color="auto" w:sz="4" w:space="0"/>
            </w:tcBorders>
            <w:shd w:val="clear" w:color="auto" w:fill="auto"/>
            <w:vAlign w:val="center"/>
          </w:tcPr>
          <w:p w14:paraId="60932271">
            <w:pPr>
              <w:ind w:firstLine="420"/>
            </w:pPr>
          </w:p>
        </w:tc>
      </w:tr>
      <w:tr w14:paraId="3596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517" w:type="pct"/>
            <w:vMerge w:val="continue"/>
            <w:shd w:val="clear" w:color="auto" w:fill="auto"/>
            <w:vAlign w:val="center"/>
          </w:tcPr>
          <w:p w14:paraId="6B74E182">
            <w:pPr>
              <w:ind w:firstLine="420"/>
            </w:pPr>
          </w:p>
        </w:tc>
        <w:tc>
          <w:tcPr>
            <w:tcW w:w="521" w:type="pct"/>
            <w:vMerge w:val="continue"/>
            <w:tcBorders>
              <w:left w:val="single" w:color="auto" w:sz="4" w:space="0"/>
            </w:tcBorders>
            <w:shd w:val="clear" w:color="auto" w:fill="auto"/>
            <w:vAlign w:val="center"/>
          </w:tcPr>
          <w:p w14:paraId="3A025C53">
            <w:pPr>
              <w:ind w:firstLine="420"/>
            </w:pPr>
          </w:p>
        </w:tc>
        <w:tc>
          <w:tcPr>
            <w:tcW w:w="551" w:type="pct"/>
            <w:tcBorders>
              <w:left w:val="single" w:color="auto" w:sz="4" w:space="0"/>
            </w:tcBorders>
            <w:shd w:val="clear" w:color="auto" w:fill="auto"/>
            <w:vAlign w:val="center"/>
          </w:tcPr>
          <w:p w14:paraId="4BAB675D">
            <w:pPr>
              <w:pStyle w:val="40"/>
              <w:jc w:val="center"/>
            </w:pPr>
            <w:r>
              <w:t>D-B3</w:t>
            </w:r>
          </w:p>
        </w:tc>
        <w:tc>
          <w:tcPr>
            <w:tcW w:w="1077" w:type="pct"/>
            <w:tcBorders>
              <w:left w:val="single" w:color="auto" w:sz="4" w:space="0"/>
            </w:tcBorders>
            <w:shd w:val="clear" w:color="auto" w:fill="auto"/>
            <w:vAlign w:val="center"/>
          </w:tcPr>
          <w:p w14:paraId="49BE31FE">
            <w:pPr>
              <w:pStyle w:val="40"/>
              <w:jc w:val="center"/>
            </w:pPr>
            <w:r>
              <w:t>25200</w:t>
            </w:r>
          </w:p>
        </w:tc>
        <w:tc>
          <w:tcPr>
            <w:tcW w:w="912" w:type="pct"/>
            <w:tcBorders>
              <w:left w:val="single" w:color="auto" w:sz="4" w:space="0"/>
            </w:tcBorders>
            <w:shd w:val="clear" w:color="auto" w:fill="auto"/>
            <w:vAlign w:val="center"/>
          </w:tcPr>
          <w:p w14:paraId="783DAFF2">
            <w:pPr>
              <w:pStyle w:val="40"/>
              <w:jc w:val="center"/>
            </w:pPr>
          </w:p>
        </w:tc>
        <w:tc>
          <w:tcPr>
            <w:tcW w:w="594" w:type="pct"/>
            <w:vMerge w:val="continue"/>
            <w:tcBorders>
              <w:left w:val="single" w:color="auto" w:sz="4" w:space="0"/>
            </w:tcBorders>
            <w:shd w:val="clear" w:color="auto" w:fill="auto"/>
            <w:vAlign w:val="center"/>
          </w:tcPr>
          <w:p w14:paraId="2095D704">
            <w:pPr>
              <w:ind w:firstLine="420"/>
            </w:pPr>
          </w:p>
        </w:tc>
        <w:tc>
          <w:tcPr>
            <w:tcW w:w="828" w:type="pct"/>
            <w:vMerge w:val="continue"/>
            <w:tcBorders>
              <w:left w:val="single" w:color="auto" w:sz="4" w:space="0"/>
            </w:tcBorders>
            <w:shd w:val="clear" w:color="auto" w:fill="auto"/>
            <w:vAlign w:val="center"/>
          </w:tcPr>
          <w:p w14:paraId="7779D2D5">
            <w:pPr>
              <w:ind w:firstLine="420"/>
            </w:pPr>
          </w:p>
        </w:tc>
      </w:tr>
      <w:tr w14:paraId="64FD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517" w:type="pct"/>
            <w:vMerge w:val="continue"/>
            <w:shd w:val="clear" w:color="auto" w:fill="auto"/>
            <w:vAlign w:val="center"/>
          </w:tcPr>
          <w:p w14:paraId="64AED8C1">
            <w:pPr>
              <w:ind w:firstLine="420"/>
            </w:pPr>
          </w:p>
        </w:tc>
        <w:tc>
          <w:tcPr>
            <w:tcW w:w="521" w:type="pct"/>
            <w:vMerge w:val="continue"/>
            <w:tcBorders>
              <w:left w:val="single" w:color="auto" w:sz="4" w:space="0"/>
            </w:tcBorders>
            <w:shd w:val="clear" w:color="auto" w:fill="auto"/>
            <w:vAlign w:val="center"/>
          </w:tcPr>
          <w:p w14:paraId="573223DC">
            <w:pPr>
              <w:ind w:firstLine="420"/>
            </w:pPr>
          </w:p>
        </w:tc>
        <w:tc>
          <w:tcPr>
            <w:tcW w:w="551" w:type="pct"/>
            <w:tcBorders>
              <w:left w:val="single" w:color="auto" w:sz="4" w:space="0"/>
            </w:tcBorders>
            <w:shd w:val="clear" w:color="auto" w:fill="auto"/>
            <w:vAlign w:val="center"/>
          </w:tcPr>
          <w:p w14:paraId="5CCAF444">
            <w:pPr>
              <w:pStyle w:val="40"/>
              <w:jc w:val="center"/>
            </w:pPr>
            <w:r>
              <w:t>D-B2</w:t>
            </w:r>
          </w:p>
        </w:tc>
        <w:tc>
          <w:tcPr>
            <w:tcW w:w="1077" w:type="pct"/>
            <w:tcBorders>
              <w:left w:val="single" w:color="auto" w:sz="4" w:space="0"/>
            </w:tcBorders>
            <w:shd w:val="clear" w:color="auto" w:fill="auto"/>
            <w:vAlign w:val="center"/>
          </w:tcPr>
          <w:p w14:paraId="406495D6">
            <w:pPr>
              <w:pStyle w:val="40"/>
              <w:jc w:val="center"/>
            </w:pPr>
            <w:r>
              <w:t>24000</w:t>
            </w:r>
          </w:p>
        </w:tc>
        <w:tc>
          <w:tcPr>
            <w:tcW w:w="912" w:type="pct"/>
            <w:tcBorders>
              <w:left w:val="single" w:color="auto" w:sz="4" w:space="0"/>
            </w:tcBorders>
            <w:shd w:val="clear" w:color="auto" w:fill="auto"/>
            <w:vAlign w:val="center"/>
          </w:tcPr>
          <w:p w14:paraId="0B9F8E57">
            <w:pPr>
              <w:pStyle w:val="40"/>
              <w:jc w:val="center"/>
            </w:pPr>
          </w:p>
        </w:tc>
        <w:tc>
          <w:tcPr>
            <w:tcW w:w="594" w:type="pct"/>
            <w:vMerge w:val="continue"/>
            <w:tcBorders>
              <w:left w:val="single" w:color="auto" w:sz="4" w:space="0"/>
            </w:tcBorders>
            <w:shd w:val="clear" w:color="auto" w:fill="auto"/>
            <w:vAlign w:val="center"/>
          </w:tcPr>
          <w:p w14:paraId="334683CC">
            <w:pPr>
              <w:ind w:firstLine="420"/>
            </w:pPr>
          </w:p>
        </w:tc>
        <w:tc>
          <w:tcPr>
            <w:tcW w:w="828" w:type="pct"/>
            <w:vMerge w:val="continue"/>
            <w:tcBorders>
              <w:left w:val="single" w:color="auto" w:sz="4" w:space="0"/>
            </w:tcBorders>
            <w:shd w:val="clear" w:color="auto" w:fill="auto"/>
            <w:vAlign w:val="center"/>
          </w:tcPr>
          <w:p w14:paraId="0146A0EF">
            <w:pPr>
              <w:ind w:firstLine="420"/>
            </w:pPr>
          </w:p>
        </w:tc>
      </w:tr>
      <w:tr w14:paraId="1C79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517" w:type="pct"/>
            <w:vMerge w:val="continue"/>
            <w:shd w:val="clear" w:color="auto" w:fill="auto"/>
            <w:vAlign w:val="center"/>
          </w:tcPr>
          <w:p w14:paraId="6C8A0311">
            <w:pPr>
              <w:ind w:firstLine="420"/>
            </w:pPr>
          </w:p>
        </w:tc>
        <w:tc>
          <w:tcPr>
            <w:tcW w:w="521" w:type="pct"/>
            <w:vMerge w:val="continue"/>
            <w:tcBorders>
              <w:left w:val="single" w:color="auto" w:sz="4" w:space="0"/>
            </w:tcBorders>
            <w:shd w:val="clear" w:color="auto" w:fill="auto"/>
            <w:vAlign w:val="center"/>
          </w:tcPr>
          <w:p w14:paraId="1411B866">
            <w:pPr>
              <w:ind w:firstLine="420"/>
            </w:pPr>
          </w:p>
        </w:tc>
        <w:tc>
          <w:tcPr>
            <w:tcW w:w="551" w:type="pct"/>
            <w:tcBorders>
              <w:left w:val="single" w:color="auto" w:sz="4" w:space="0"/>
            </w:tcBorders>
            <w:shd w:val="clear" w:color="auto" w:fill="auto"/>
            <w:vAlign w:val="center"/>
          </w:tcPr>
          <w:p w14:paraId="77274186">
            <w:pPr>
              <w:pStyle w:val="40"/>
              <w:jc w:val="center"/>
            </w:pPr>
            <w:r>
              <w:t>D-B1</w:t>
            </w:r>
          </w:p>
        </w:tc>
        <w:tc>
          <w:tcPr>
            <w:tcW w:w="1077" w:type="pct"/>
            <w:tcBorders>
              <w:left w:val="single" w:color="auto" w:sz="4" w:space="0"/>
            </w:tcBorders>
            <w:shd w:val="clear" w:color="auto" w:fill="auto"/>
            <w:vAlign w:val="center"/>
          </w:tcPr>
          <w:p w14:paraId="6BC956AB">
            <w:pPr>
              <w:pStyle w:val="40"/>
              <w:jc w:val="center"/>
            </w:pPr>
            <w:r>
              <w:t>22600</w:t>
            </w:r>
          </w:p>
        </w:tc>
        <w:tc>
          <w:tcPr>
            <w:tcW w:w="912" w:type="pct"/>
            <w:tcBorders>
              <w:left w:val="single" w:color="auto" w:sz="4" w:space="0"/>
            </w:tcBorders>
            <w:shd w:val="clear" w:color="auto" w:fill="auto"/>
            <w:vAlign w:val="center"/>
          </w:tcPr>
          <w:p w14:paraId="1B9C799C">
            <w:pPr>
              <w:pStyle w:val="40"/>
              <w:jc w:val="center"/>
            </w:pPr>
          </w:p>
        </w:tc>
        <w:tc>
          <w:tcPr>
            <w:tcW w:w="594" w:type="pct"/>
            <w:vMerge w:val="continue"/>
            <w:tcBorders>
              <w:left w:val="single" w:color="auto" w:sz="4" w:space="0"/>
            </w:tcBorders>
            <w:shd w:val="clear" w:color="auto" w:fill="auto"/>
            <w:vAlign w:val="center"/>
          </w:tcPr>
          <w:p w14:paraId="438B01B0">
            <w:pPr>
              <w:ind w:firstLine="420"/>
            </w:pPr>
          </w:p>
        </w:tc>
        <w:tc>
          <w:tcPr>
            <w:tcW w:w="828" w:type="pct"/>
            <w:vMerge w:val="continue"/>
            <w:tcBorders>
              <w:left w:val="single" w:color="auto" w:sz="4" w:space="0"/>
            </w:tcBorders>
            <w:shd w:val="clear" w:color="auto" w:fill="auto"/>
            <w:vAlign w:val="center"/>
          </w:tcPr>
          <w:p w14:paraId="155D07E5">
            <w:pPr>
              <w:ind w:firstLine="420"/>
            </w:pPr>
          </w:p>
        </w:tc>
      </w:tr>
    </w:tbl>
    <w:p w14:paraId="40E21AC3">
      <w:pPr>
        <w:ind w:firstLine="420"/>
      </w:pPr>
    </w:p>
    <w:p w14:paraId="052BFC94">
      <w:pPr>
        <w:ind w:firstLine="420"/>
      </w:pPr>
      <w:r>
        <w:t>注：优惠金额应符合第三章第6条规定，</w:t>
      </w:r>
      <w:r>
        <w:rPr>
          <w:rFonts w:hint="eastAsia"/>
        </w:rPr>
        <w:t>满足各细分档级间报价优惠金额一致，优惠金额的增加幅度以100元为单位（优惠金额应为100的倍数）</w:t>
      </w:r>
      <w:r>
        <w:t>。</w:t>
      </w:r>
    </w:p>
    <w:p w14:paraId="7A7884A6">
      <w:pPr>
        <w:ind w:firstLine="420"/>
      </w:pPr>
      <w:r>
        <w:rPr>
          <w:rFonts w:hint="eastAsia"/>
        </w:rPr>
        <w:t>上述税率为推荐税率，因国家政策产生的特殊情况除外，若有税收优惠请附相关凭证。若遇国家税率调整，则保持不含税价不变，重新计算含税价格。</w:t>
      </w:r>
    </w:p>
    <w:p w14:paraId="2754E782">
      <w:pPr>
        <w:ind w:firstLine="420"/>
      </w:pPr>
    </w:p>
    <w:p w14:paraId="7760DF7D">
      <w:pPr>
        <w:ind w:firstLine="420"/>
      </w:pPr>
      <w:r>
        <w:rPr>
          <w:rFonts w:hint="eastAsia"/>
        </w:rPr>
        <w:t>响应人：                            法人授权代表：</w:t>
      </w:r>
    </w:p>
    <w:p w14:paraId="6E391982">
      <w:pPr>
        <w:ind w:firstLine="420"/>
      </w:pPr>
      <w:r>
        <w:rPr>
          <w:rFonts w:hint="eastAsia"/>
        </w:rPr>
        <w:t xml:space="preserve">  （公章）                               （签字或盖章）</w:t>
      </w:r>
    </w:p>
    <w:p w14:paraId="0AA43DCB">
      <w:pPr>
        <w:ind w:firstLine="420"/>
        <w:jc w:val="right"/>
      </w:pPr>
      <w:r>
        <w:rPr>
          <w:rFonts w:hint="eastAsia"/>
        </w:rPr>
        <w:t xml:space="preserve">      年     月     日</w:t>
      </w:r>
    </w:p>
    <w:p w14:paraId="67E7CD19">
      <w:pPr>
        <w:ind w:firstLine="420"/>
      </w:pPr>
    </w:p>
    <w:p w14:paraId="7648B72D">
      <w:pPr>
        <w:ind w:firstLine="420"/>
      </w:pPr>
      <w:r>
        <w:rPr>
          <w:rFonts w:hint="eastAsia"/>
        </w:rPr>
        <w:t>有关说明：</w:t>
      </w:r>
    </w:p>
    <w:p w14:paraId="7AB4710D">
      <w:pPr>
        <w:ind w:firstLine="420"/>
      </w:pPr>
      <w:r>
        <w:t>分项报价明细</w:t>
      </w:r>
      <w:r>
        <w:rPr>
          <w:rFonts w:hint="eastAsia"/>
        </w:rPr>
        <w:t>表在开标大会上当众宣读，务必填写清楚，准确无误。表格可扩展。</w:t>
      </w:r>
    </w:p>
    <w:p w14:paraId="704AED30">
      <w:pPr>
        <w:pStyle w:val="47"/>
      </w:pPr>
    </w:p>
    <w:p w14:paraId="28E92461">
      <w:pPr>
        <w:ind w:firstLine="422"/>
        <w:rPr>
          <w:rStyle w:val="30"/>
          <w:b/>
        </w:rPr>
      </w:pPr>
      <w:r>
        <w:rPr>
          <w:rStyle w:val="30"/>
          <w:rFonts w:hint="eastAsia"/>
          <w:b/>
        </w:rPr>
        <w:br w:type="page"/>
      </w:r>
    </w:p>
    <w:p w14:paraId="7031C800">
      <w:pPr>
        <w:pStyle w:val="35"/>
      </w:pPr>
      <w:r>
        <w:t>三、资格性文件</w:t>
      </w:r>
    </w:p>
    <w:p w14:paraId="0FD705C3">
      <w:pPr>
        <w:pStyle w:val="36"/>
      </w:pPr>
      <w:r>
        <w:t>（一）</w:t>
      </w:r>
      <w:r>
        <w:rPr>
          <w:rFonts w:hint="eastAsia"/>
        </w:rPr>
        <w:t>响应人</w:t>
      </w:r>
      <w:r>
        <w:t>基本情况介绍，资质证明等</w:t>
      </w:r>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F3A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2008BFA2">
            <w:pPr>
              <w:pStyle w:val="40"/>
              <w:jc w:val="center"/>
            </w:pPr>
            <w:r>
              <w:rPr>
                <w:rFonts w:hint="eastAsia"/>
              </w:rPr>
              <w:t>响应人名称</w:t>
            </w:r>
          </w:p>
        </w:tc>
        <w:tc>
          <w:tcPr>
            <w:tcW w:w="7114" w:type="dxa"/>
            <w:gridSpan w:val="8"/>
          </w:tcPr>
          <w:p w14:paraId="1B624B2C">
            <w:pPr>
              <w:pStyle w:val="40"/>
              <w:jc w:val="center"/>
            </w:pPr>
          </w:p>
        </w:tc>
      </w:tr>
      <w:tr w14:paraId="1F3F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40A79D24">
            <w:pPr>
              <w:pStyle w:val="40"/>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4288773F">
            <w:pPr>
              <w:pStyle w:val="40"/>
              <w:jc w:val="center"/>
            </w:pPr>
          </w:p>
        </w:tc>
        <w:tc>
          <w:tcPr>
            <w:tcW w:w="1325" w:type="dxa"/>
            <w:tcBorders>
              <w:top w:val="single" w:color="auto" w:sz="4" w:space="0"/>
              <w:left w:val="single" w:color="auto" w:sz="4" w:space="0"/>
              <w:right w:val="single" w:color="auto" w:sz="4" w:space="0"/>
            </w:tcBorders>
            <w:vAlign w:val="center"/>
          </w:tcPr>
          <w:p w14:paraId="5D3B0D5A">
            <w:pPr>
              <w:pStyle w:val="40"/>
              <w:jc w:val="center"/>
            </w:pPr>
            <w:r>
              <w:rPr>
                <w:rFonts w:hint="eastAsia"/>
              </w:rPr>
              <w:t>邮政编码</w:t>
            </w:r>
          </w:p>
        </w:tc>
        <w:tc>
          <w:tcPr>
            <w:tcW w:w="1657" w:type="dxa"/>
            <w:gridSpan w:val="3"/>
            <w:tcBorders>
              <w:left w:val="single" w:color="auto" w:sz="4" w:space="0"/>
            </w:tcBorders>
          </w:tcPr>
          <w:p w14:paraId="6DA522AB">
            <w:pPr>
              <w:pStyle w:val="40"/>
              <w:jc w:val="center"/>
            </w:pPr>
          </w:p>
        </w:tc>
      </w:tr>
      <w:tr w14:paraId="7A06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2BFB497">
            <w:pPr>
              <w:pStyle w:val="40"/>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6A8B953D">
            <w:pPr>
              <w:pStyle w:val="40"/>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5B58B6DF">
            <w:pPr>
              <w:pStyle w:val="40"/>
              <w:jc w:val="center"/>
            </w:pPr>
          </w:p>
        </w:tc>
        <w:tc>
          <w:tcPr>
            <w:tcW w:w="1325" w:type="dxa"/>
            <w:tcBorders>
              <w:top w:val="single" w:color="auto" w:sz="4" w:space="0"/>
              <w:left w:val="single" w:color="auto" w:sz="4" w:space="0"/>
              <w:right w:val="single" w:color="auto" w:sz="4" w:space="0"/>
            </w:tcBorders>
            <w:vAlign w:val="center"/>
          </w:tcPr>
          <w:p w14:paraId="464130EC">
            <w:pPr>
              <w:pStyle w:val="40"/>
              <w:jc w:val="center"/>
            </w:pPr>
            <w:r>
              <w:rPr>
                <w:rFonts w:hint="eastAsia"/>
              </w:rPr>
              <w:t>电话</w:t>
            </w:r>
          </w:p>
        </w:tc>
        <w:tc>
          <w:tcPr>
            <w:tcW w:w="1657" w:type="dxa"/>
            <w:gridSpan w:val="3"/>
            <w:tcBorders>
              <w:left w:val="single" w:color="auto" w:sz="4" w:space="0"/>
            </w:tcBorders>
          </w:tcPr>
          <w:p w14:paraId="27F80E56">
            <w:pPr>
              <w:pStyle w:val="40"/>
              <w:jc w:val="center"/>
            </w:pPr>
          </w:p>
        </w:tc>
      </w:tr>
      <w:tr w14:paraId="6425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BFB6DE4">
            <w:pPr>
              <w:ind w:firstLine="420"/>
            </w:pPr>
          </w:p>
        </w:tc>
        <w:tc>
          <w:tcPr>
            <w:tcW w:w="1077" w:type="dxa"/>
            <w:tcBorders>
              <w:top w:val="single" w:color="auto" w:sz="4" w:space="0"/>
              <w:left w:val="single" w:color="auto" w:sz="4" w:space="0"/>
              <w:right w:val="single" w:color="auto" w:sz="4" w:space="0"/>
            </w:tcBorders>
            <w:vAlign w:val="center"/>
          </w:tcPr>
          <w:p w14:paraId="01C7FBA8">
            <w:pPr>
              <w:pStyle w:val="40"/>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341E7F97">
            <w:pPr>
              <w:pStyle w:val="40"/>
              <w:jc w:val="center"/>
            </w:pPr>
          </w:p>
        </w:tc>
        <w:tc>
          <w:tcPr>
            <w:tcW w:w="1325" w:type="dxa"/>
            <w:tcBorders>
              <w:top w:val="single" w:color="auto" w:sz="4" w:space="0"/>
              <w:left w:val="single" w:color="auto" w:sz="4" w:space="0"/>
              <w:right w:val="single" w:color="auto" w:sz="4" w:space="0"/>
            </w:tcBorders>
            <w:vAlign w:val="center"/>
          </w:tcPr>
          <w:p w14:paraId="41F05EBE">
            <w:pPr>
              <w:pStyle w:val="40"/>
              <w:jc w:val="center"/>
            </w:pPr>
            <w:r>
              <w:rPr>
                <w:rFonts w:hint="eastAsia"/>
              </w:rPr>
              <w:t>网址</w:t>
            </w:r>
          </w:p>
        </w:tc>
        <w:tc>
          <w:tcPr>
            <w:tcW w:w="1657" w:type="dxa"/>
            <w:gridSpan w:val="3"/>
            <w:tcBorders>
              <w:left w:val="single" w:color="auto" w:sz="4" w:space="0"/>
            </w:tcBorders>
          </w:tcPr>
          <w:p w14:paraId="125A5A00">
            <w:pPr>
              <w:pStyle w:val="40"/>
              <w:jc w:val="center"/>
            </w:pPr>
          </w:p>
        </w:tc>
      </w:tr>
      <w:tr w14:paraId="5A96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4AB7697">
            <w:pPr>
              <w:pStyle w:val="40"/>
              <w:jc w:val="center"/>
            </w:pPr>
            <w:r>
              <w:rPr>
                <w:rFonts w:hint="eastAsia"/>
              </w:rPr>
              <w:t>组织结构</w:t>
            </w:r>
          </w:p>
        </w:tc>
        <w:tc>
          <w:tcPr>
            <w:tcW w:w="7114" w:type="dxa"/>
            <w:gridSpan w:val="8"/>
            <w:tcBorders>
              <w:left w:val="single" w:color="auto" w:sz="4" w:space="0"/>
            </w:tcBorders>
            <w:vAlign w:val="center"/>
          </w:tcPr>
          <w:p w14:paraId="3488F4DD">
            <w:pPr>
              <w:pStyle w:val="40"/>
              <w:jc w:val="center"/>
            </w:pPr>
          </w:p>
        </w:tc>
      </w:tr>
      <w:tr w14:paraId="6B54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4901C7BA">
            <w:pPr>
              <w:pStyle w:val="40"/>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65D1DA76">
            <w:pPr>
              <w:pStyle w:val="40"/>
              <w:jc w:val="center"/>
            </w:pPr>
            <w:r>
              <w:rPr>
                <w:rFonts w:hint="eastAsia"/>
              </w:rPr>
              <w:t>姓名</w:t>
            </w:r>
          </w:p>
        </w:tc>
        <w:tc>
          <w:tcPr>
            <w:tcW w:w="1803" w:type="dxa"/>
            <w:tcBorders>
              <w:top w:val="single" w:color="auto" w:sz="4" w:space="0"/>
              <w:left w:val="single" w:color="auto" w:sz="4" w:space="0"/>
              <w:right w:val="single" w:color="auto" w:sz="4" w:space="0"/>
            </w:tcBorders>
          </w:tcPr>
          <w:p w14:paraId="4F4A6090">
            <w:pPr>
              <w:pStyle w:val="40"/>
              <w:jc w:val="center"/>
            </w:pPr>
          </w:p>
        </w:tc>
        <w:tc>
          <w:tcPr>
            <w:tcW w:w="1252" w:type="dxa"/>
            <w:gridSpan w:val="2"/>
            <w:tcBorders>
              <w:top w:val="single" w:color="auto" w:sz="4" w:space="0"/>
              <w:left w:val="single" w:color="auto" w:sz="4" w:space="0"/>
              <w:right w:val="single" w:color="auto" w:sz="4" w:space="0"/>
            </w:tcBorders>
            <w:vAlign w:val="center"/>
          </w:tcPr>
          <w:p w14:paraId="522D5929">
            <w:pPr>
              <w:pStyle w:val="4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556FEAD1">
            <w:pPr>
              <w:pStyle w:val="40"/>
              <w:jc w:val="center"/>
            </w:pPr>
          </w:p>
        </w:tc>
        <w:tc>
          <w:tcPr>
            <w:tcW w:w="723" w:type="dxa"/>
            <w:tcBorders>
              <w:top w:val="single" w:color="auto" w:sz="4" w:space="0"/>
              <w:left w:val="single" w:color="auto" w:sz="4" w:space="0"/>
              <w:right w:val="single" w:color="auto" w:sz="4" w:space="0"/>
            </w:tcBorders>
            <w:vAlign w:val="center"/>
          </w:tcPr>
          <w:p w14:paraId="162E90DC">
            <w:pPr>
              <w:pStyle w:val="40"/>
              <w:jc w:val="center"/>
            </w:pPr>
            <w:r>
              <w:rPr>
                <w:rFonts w:hint="eastAsia"/>
              </w:rPr>
              <w:t>电话</w:t>
            </w:r>
          </w:p>
        </w:tc>
        <w:tc>
          <w:tcPr>
            <w:tcW w:w="758" w:type="dxa"/>
            <w:tcBorders>
              <w:left w:val="single" w:color="auto" w:sz="4" w:space="0"/>
            </w:tcBorders>
          </w:tcPr>
          <w:p w14:paraId="79DE2DB0">
            <w:pPr>
              <w:pStyle w:val="40"/>
              <w:jc w:val="center"/>
            </w:pPr>
          </w:p>
        </w:tc>
      </w:tr>
      <w:tr w14:paraId="6928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EFD2322">
            <w:pPr>
              <w:pStyle w:val="40"/>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7D168C20">
            <w:pPr>
              <w:pStyle w:val="40"/>
              <w:jc w:val="center"/>
            </w:pPr>
            <w:r>
              <w:rPr>
                <w:rFonts w:hint="eastAsia"/>
              </w:rPr>
              <w:t>姓名</w:t>
            </w:r>
          </w:p>
        </w:tc>
        <w:tc>
          <w:tcPr>
            <w:tcW w:w="1803" w:type="dxa"/>
            <w:tcBorders>
              <w:top w:val="single" w:color="auto" w:sz="4" w:space="0"/>
              <w:left w:val="single" w:color="auto" w:sz="4" w:space="0"/>
              <w:right w:val="single" w:color="auto" w:sz="4" w:space="0"/>
            </w:tcBorders>
          </w:tcPr>
          <w:p w14:paraId="62A4FD06">
            <w:pPr>
              <w:pStyle w:val="40"/>
              <w:jc w:val="center"/>
            </w:pPr>
          </w:p>
        </w:tc>
        <w:tc>
          <w:tcPr>
            <w:tcW w:w="1252" w:type="dxa"/>
            <w:gridSpan w:val="2"/>
            <w:tcBorders>
              <w:top w:val="single" w:color="auto" w:sz="4" w:space="0"/>
              <w:left w:val="single" w:color="auto" w:sz="4" w:space="0"/>
              <w:right w:val="single" w:color="auto" w:sz="4" w:space="0"/>
            </w:tcBorders>
            <w:vAlign w:val="center"/>
          </w:tcPr>
          <w:p w14:paraId="5821D118">
            <w:pPr>
              <w:pStyle w:val="4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73288908">
            <w:pPr>
              <w:pStyle w:val="40"/>
              <w:jc w:val="center"/>
            </w:pPr>
          </w:p>
        </w:tc>
        <w:tc>
          <w:tcPr>
            <w:tcW w:w="723" w:type="dxa"/>
            <w:tcBorders>
              <w:top w:val="single" w:color="auto" w:sz="4" w:space="0"/>
              <w:left w:val="single" w:color="auto" w:sz="4" w:space="0"/>
              <w:right w:val="single" w:color="auto" w:sz="4" w:space="0"/>
            </w:tcBorders>
            <w:vAlign w:val="center"/>
          </w:tcPr>
          <w:p w14:paraId="0B959E3B">
            <w:pPr>
              <w:pStyle w:val="40"/>
              <w:jc w:val="center"/>
            </w:pPr>
            <w:r>
              <w:rPr>
                <w:rFonts w:hint="eastAsia"/>
              </w:rPr>
              <w:t>电话</w:t>
            </w:r>
          </w:p>
        </w:tc>
        <w:tc>
          <w:tcPr>
            <w:tcW w:w="758" w:type="dxa"/>
            <w:tcBorders>
              <w:left w:val="single" w:color="auto" w:sz="4" w:space="0"/>
            </w:tcBorders>
          </w:tcPr>
          <w:p w14:paraId="1890B96D">
            <w:pPr>
              <w:pStyle w:val="40"/>
              <w:jc w:val="center"/>
            </w:pPr>
          </w:p>
        </w:tc>
      </w:tr>
      <w:tr w14:paraId="57BC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E6B5E31">
            <w:pPr>
              <w:pStyle w:val="40"/>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1C3C5D25">
            <w:pPr>
              <w:pStyle w:val="40"/>
              <w:jc w:val="center"/>
            </w:pPr>
          </w:p>
        </w:tc>
        <w:tc>
          <w:tcPr>
            <w:tcW w:w="4234" w:type="dxa"/>
            <w:gridSpan w:val="6"/>
            <w:tcBorders>
              <w:left w:val="single" w:color="auto" w:sz="4" w:space="0"/>
            </w:tcBorders>
          </w:tcPr>
          <w:p w14:paraId="1ABF1418">
            <w:pPr>
              <w:pStyle w:val="40"/>
              <w:jc w:val="center"/>
            </w:pPr>
            <w:r>
              <w:rPr>
                <w:rFonts w:hint="eastAsia"/>
              </w:rPr>
              <w:t>员工总人数：</w:t>
            </w:r>
          </w:p>
        </w:tc>
      </w:tr>
      <w:tr w14:paraId="5957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36BD258">
            <w:pPr>
              <w:pStyle w:val="40"/>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372D047E">
            <w:pPr>
              <w:pStyle w:val="40"/>
              <w:jc w:val="center"/>
            </w:pPr>
          </w:p>
        </w:tc>
        <w:tc>
          <w:tcPr>
            <w:tcW w:w="714" w:type="dxa"/>
            <w:vMerge w:val="restart"/>
            <w:tcBorders>
              <w:top w:val="single" w:color="auto" w:sz="4" w:space="0"/>
              <w:left w:val="single" w:color="auto" w:sz="4" w:space="0"/>
              <w:right w:val="single" w:color="auto" w:sz="4" w:space="0"/>
            </w:tcBorders>
            <w:vAlign w:val="center"/>
          </w:tcPr>
          <w:p w14:paraId="6F6186DF">
            <w:pPr>
              <w:pStyle w:val="40"/>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7992C146">
            <w:pPr>
              <w:pStyle w:val="40"/>
              <w:jc w:val="center"/>
            </w:pPr>
            <w:r>
              <w:rPr>
                <w:rFonts w:hint="eastAsia"/>
              </w:rPr>
              <w:t>项目经理</w:t>
            </w:r>
          </w:p>
        </w:tc>
        <w:tc>
          <w:tcPr>
            <w:tcW w:w="1481" w:type="dxa"/>
            <w:gridSpan w:val="2"/>
            <w:tcBorders>
              <w:left w:val="single" w:color="auto" w:sz="4" w:space="0"/>
            </w:tcBorders>
          </w:tcPr>
          <w:p w14:paraId="781BFD15">
            <w:pPr>
              <w:pStyle w:val="40"/>
              <w:jc w:val="center"/>
            </w:pPr>
          </w:p>
        </w:tc>
      </w:tr>
      <w:tr w14:paraId="24BF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53D2801">
            <w:pPr>
              <w:pStyle w:val="40"/>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0CDC90FA">
            <w:pPr>
              <w:pStyle w:val="40"/>
              <w:jc w:val="center"/>
            </w:pPr>
          </w:p>
        </w:tc>
        <w:tc>
          <w:tcPr>
            <w:tcW w:w="714" w:type="dxa"/>
            <w:vMerge w:val="continue"/>
            <w:tcBorders>
              <w:top w:val="single" w:color="auto" w:sz="4" w:space="0"/>
              <w:left w:val="single" w:color="auto" w:sz="4" w:space="0"/>
              <w:right w:val="single" w:color="auto" w:sz="4" w:space="0"/>
            </w:tcBorders>
          </w:tcPr>
          <w:p w14:paraId="5E294308">
            <w:pPr>
              <w:ind w:firstLine="420"/>
            </w:pPr>
          </w:p>
        </w:tc>
        <w:tc>
          <w:tcPr>
            <w:tcW w:w="2039" w:type="dxa"/>
            <w:gridSpan w:val="3"/>
            <w:tcBorders>
              <w:top w:val="single" w:color="auto" w:sz="4" w:space="0"/>
              <w:left w:val="single" w:color="auto" w:sz="4" w:space="0"/>
              <w:right w:val="single" w:color="auto" w:sz="4" w:space="0"/>
            </w:tcBorders>
            <w:vAlign w:val="center"/>
          </w:tcPr>
          <w:p w14:paraId="20AF8E96">
            <w:pPr>
              <w:pStyle w:val="40"/>
              <w:jc w:val="center"/>
            </w:pPr>
            <w:r>
              <w:rPr>
                <w:rFonts w:hint="eastAsia"/>
              </w:rPr>
              <w:t>高级职称人员</w:t>
            </w:r>
          </w:p>
        </w:tc>
        <w:tc>
          <w:tcPr>
            <w:tcW w:w="1481" w:type="dxa"/>
            <w:gridSpan w:val="2"/>
            <w:tcBorders>
              <w:left w:val="single" w:color="auto" w:sz="4" w:space="0"/>
            </w:tcBorders>
          </w:tcPr>
          <w:p w14:paraId="06ED8DC3">
            <w:pPr>
              <w:pStyle w:val="40"/>
              <w:jc w:val="center"/>
            </w:pPr>
          </w:p>
        </w:tc>
      </w:tr>
      <w:tr w14:paraId="1C81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C089A04">
            <w:pPr>
              <w:pStyle w:val="40"/>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402D64A3">
            <w:pPr>
              <w:pStyle w:val="40"/>
              <w:jc w:val="center"/>
            </w:pPr>
          </w:p>
        </w:tc>
        <w:tc>
          <w:tcPr>
            <w:tcW w:w="714" w:type="dxa"/>
            <w:vMerge w:val="continue"/>
            <w:tcBorders>
              <w:top w:val="single" w:color="auto" w:sz="4" w:space="0"/>
              <w:left w:val="single" w:color="auto" w:sz="4" w:space="0"/>
              <w:right w:val="single" w:color="auto" w:sz="4" w:space="0"/>
            </w:tcBorders>
          </w:tcPr>
          <w:p w14:paraId="46298CC0">
            <w:pPr>
              <w:ind w:firstLine="420"/>
            </w:pPr>
          </w:p>
        </w:tc>
        <w:tc>
          <w:tcPr>
            <w:tcW w:w="2039" w:type="dxa"/>
            <w:gridSpan w:val="3"/>
            <w:tcBorders>
              <w:top w:val="single" w:color="auto" w:sz="4" w:space="0"/>
              <w:left w:val="single" w:color="auto" w:sz="4" w:space="0"/>
              <w:right w:val="single" w:color="auto" w:sz="4" w:space="0"/>
            </w:tcBorders>
            <w:vAlign w:val="center"/>
          </w:tcPr>
          <w:p w14:paraId="4E156F28">
            <w:pPr>
              <w:pStyle w:val="40"/>
              <w:jc w:val="center"/>
            </w:pPr>
            <w:r>
              <w:rPr>
                <w:rFonts w:hint="eastAsia"/>
              </w:rPr>
              <w:t>中级职称人员</w:t>
            </w:r>
          </w:p>
        </w:tc>
        <w:tc>
          <w:tcPr>
            <w:tcW w:w="1481" w:type="dxa"/>
            <w:gridSpan w:val="2"/>
            <w:tcBorders>
              <w:left w:val="single" w:color="auto" w:sz="4" w:space="0"/>
            </w:tcBorders>
          </w:tcPr>
          <w:p w14:paraId="14378351">
            <w:pPr>
              <w:pStyle w:val="40"/>
              <w:jc w:val="center"/>
            </w:pPr>
          </w:p>
        </w:tc>
      </w:tr>
      <w:tr w14:paraId="516B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A6A184D">
            <w:pPr>
              <w:pStyle w:val="40"/>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44675965">
            <w:pPr>
              <w:pStyle w:val="40"/>
              <w:jc w:val="center"/>
            </w:pPr>
          </w:p>
        </w:tc>
        <w:tc>
          <w:tcPr>
            <w:tcW w:w="714" w:type="dxa"/>
            <w:vMerge w:val="continue"/>
            <w:tcBorders>
              <w:top w:val="single" w:color="auto" w:sz="4" w:space="0"/>
              <w:left w:val="single" w:color="auto" w:sz="4" w:space="0"/>
              <w:right w:val="single" w:color="auto" w:sz="4" w:space="0"/>
            </w:tcBorders>
          </w:tcPr>
          <w:p w14:paraId="3BF78D6B">
            <w:pPr>
              <w:ind w:firstLine="420"/>
            </w:pPr>
          </w:p>
        </w:tc>
        <w:tc>
          <w:tcPr>
            <w:tcW w:w="2039" w:type="dxa"/>
            <w:gridSpan w:val="3"/>
            <w:tcBorders>
              <w:top w:val="single" w:color="auto" w:sz="4" w:space="0"/>
              <w:left w:val="single" w:color="auto" w:sz="4" w:space="0"/>
              <w:right w:val="single" w:color="auto" w:sz="4" w:space="0"/>
            </w:tcBorders>
            <w:vAlign w:val="center"/>
          </w:tcPr>
          <w:p w14:paraId="0D3D8623">
            <w:pPr>
              <w:pStyle w:val="40"/>
              <w:jc w:val="center"/>
            </w:pPr>
            <w:r>
              <w:rPr>
                <w:rFonts w:hint="eastAsia"/>
              </w:rPr>
              <w:t>初级职称人员</w:t>
            </w:r>
          </w:p>
        </w:tc>
        <w:tc>
          <w:tcPr>
            <w:tcW w:w="1481" w:type="dxa"/>
            <w:gridSpan w:val="2"/>
            <w:tcBorders>
              <w:left w:val="single" w:color="auto" w:sz="4" w:space="0"/>
            </w:tcBorders>
          </w:tcPr>
          <w:p w14:paraId="67136402">
            <w:pPr>
              <w:pStyle w:val="40"/>
              <w:jc w:val="center"/>
            </w:pPr>
          </w:p>
        </w:tc>
      </w:tr>
      <w:tr w14:paraId="5432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0377FD9C">
            <w:pPr>
              <w:pStyle w:val="40"/>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48263950">
            <w:pPr>
              <w:pStyle w:val="40"/>
              <w:jc w:val="center"/>
            </w:pPr>
          </w:p>
        </w:tc>
        <w:tc>
          <w:tcPr>
            <w:tcW w:w="714" w:type="dxa"/>
            <w:vMerge w:val="continue"/>
            <w:tcBorders>
              <w:top w:val="single" w:color="auto" w:sz="4" w:space="0"/>
              <w:left w:val="single" w:color="auto" w:sz="4" w:space="0"/>
              <w:right w:val="single" w:color="auto" w:sz="4" w:space="0"/>
            </w:tcBorders>
          </w:tcPr>
          <w:p w14:paraId="544B62FF">
            <w:pPr>
              <w:ind w:firstLine="420"/>
            </w:pPr>
          </w:p>
        </w:tc>
        <w:tc>
          <w:tcPr>
            <w:tcW w:w="2039" w:type="dxa"/>
            <w:gridSpan w:val="3"/>
            <w:tcBorders>
              <w:top w:val="single" w:color="auto" w:sz="4" w:space="0"/>
              <w:left w:val="single" w:color="auto" w:sz="4" w:space="0"/>
              <w:right w:val="single" w:color="auto" w:sz="4" w:space="0"/>
            </w:tcBorders>
            <w:vAlign w:val="center"/>
          </w:tcPr>
          <w:p w14:paraId="3B2C7DAB">
            <w:pPr>
              <w:pStyle w:val="40"/>
              <w:jc w:val="center"/>
            </w:pPr>
            <w:r>
              <w:rPr>
                <w:rFonts w:hint="eastAsia"/>
              </w:rPr>
              <w:t>技工</w:t>
            </w:r>
          </w:p>
        </w:tc>
        <w:tc>
          <w:tcPr>
            <w:tcW w:w="1481" w:type="dxa"/>
            <w:gridSpan w:val="2"/>
            <w:tcBorders>
              <w:left w:val="single" w:color="auto" w:sz="4" w:space="0"/>
            </w:tcBorders>
          </w:tcPr>
          <w:p w14:paraId="1ADE076D">
            <w:pPr>
              <w:pStyle w:val="40"/>
              <w:jc w:val="center"/>
            </w:pPr>
          </w:p>
        </w:tc>
      </w:tr>
      <w:tr w14:paraId="2143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0318CE1">
            <w:pPr>
              <w:pStyle w:val="40"/>
              <w:jc w:val="center"/>
            </w:pPr>
            <w:r>
              <w:rPr>
                <w:rFonts w:hint="eastAsia"/>
              </w:rPr>
              <w:t>经营范围</w:t>
            </w:r>
          </w:p>
        </w:tc>
        <w:tc>
          <w:tcPr>
            <w:tcW w:w="7114" w:type="dxa"/>
            <w:gridSpan w:val="8"/>
            <w:tcBorders>
              <w:left w:val="single" w:color="auto" w:sz="4" w:space="0"/>
            </w:tcBorders>
          </w:tcPr>
          <w:p w14:paraId="307074A4">
            <w:pPr>
              <w:pStyle w:val="40"/>
              <w:jc w:val="center"/>
            </w:pPr>
          </w:p>
        </w:tc>
      </w:tr>
      <w:tr w14:paraId="5646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46E9B9EC">
            <w:pPr>
              <w:pStyle w:val="40"/>
              <w:jc w:val="center"/>
            </w:pPr>
            <w:r>
              <w:rPr>
                <w:rFonts w:hint="eastAsia"/>
              </w:rPr>
              <w:t>备注</w:t>
            </w:r>
          </w:p>
        </w:tc>
        <w:tc>
          <w:tcPr>
            <w:tcW w:w="7114" w:type="dxa"/>
            <w:gridSpan w:val="8"/>
            <w:tcBorders>
              <w:left w:val="single" w:color="auto" w:sz="4" w:space="0"/>
            </w:tcBorders>
          </w:tcPr>
          <w:p w14:paraId="28F1AB6E">
            <w:pPr>
              <w:pStyle w:val="40"/>
              <w:jc w:val="center"/>
            </w:pPr>
          </w:p>
        </w:tc>
      </w:tr>
    </w:tbl>
    <w:p w14:paraId="0408BF12">
      <w:pPr>
        <w:ind w:firstLine="420"/>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47530460">
      <w:pPr>
        <w:pStyle w:val="36"/>
      </w:pPr>
      <w:bookmarkStart w:id="256" w:name="_Toc14270"/>
      <w:bookmarkStart w:id="257" w:name="_Toc8213"/>
      <w:bookmarkStart w:id="258" w:name="_Toc378234584"/>
      <w:bookmarkStart w:id="259" w:name="_Toc472780356"/>
      <w:bookmarkStart w:id="260" w:name="_Toc378234770"/>
      <w:bookmarkStart w:id="261" w:name="_Toc478054435"/>
      <w:bookmarkStart w:id="262" w:name="_Toc478053903"/>
      <w:r>
        <w:t>（二）法定代表人身份证明及授权委托书</w:t>
      </w:r>
      <w:bookmarkEnd w:id="256"/>
      <w:bookmarkEnd w:id="257"/>
    </w:p>
    <w:p w14:paraId="4860493C">
      <w:pPr>
        <w:pStyle w:val="37"/>
        <w:rPr>
          <w:rFonts w:ascii="Times New Roman" w:hAnsi="Times New Roman"/>
        </w:rPr>
      </w:pPr>
      <w:r>
        <w:rPr>
          <w:rFonts w:ascii="Times New Roman" w:hAnsi="Times New Roman"/>
        </w:rPr>
        <w:t>法定代表人身份证明书</w:t>
      </w:r>
    </w:p>
    <w:p w14:paraId="2D9AFEFB">
      <w:pPr>
        <w:tabs>
          <w:tab w:val="left" w:pos="6300"/>
        </w:tabs>
        <w:snapToGrid w:val="0"/>
        <w:ind w:firstLine="420"/>
        <w:rPr>
          <w:snapToGrid w:val="0"/>
          <w:kern w:val="0"/>
        </w:rPr>
      </w:pPr>
    </w:p>
    <w:p w14:paraId="1D37D6B6">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3AAB4F25">
      <w:pPr>
        <w:tabs>
          <w:tab w:val="left" w:pos="6300"/>
        </w:tabs>
        <w:snapToGrid w:val="0"/>
        <w:ind w:firstLine="420"/>
        <w:rPr>
          <w:snapToGrid w:val="0"/>
          <w:kern w:val="0"/>
        </w:rPr>
      </w:pPr>
    </w:p>
    <w:p w14:paraId="20D2C728">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08F09394">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617D8BEF">
      <w:pPr>
        <w:tabs>
          <w:tab w:val="left" w:pos="6300"/>
        </w:tabs>
        <w:snapToGrid w:val="0"/>
        <w:ind w:firstLine="420"/>
        <w:rPr>
          <w:snapToGrid w:val="0"/>
          <w:kern w:val="0"/>
        </w:rPr>
      </w:pPr>
    </w:p>
    <w:p w14:paraId="0D6DBEA5">
      <w:pPr>
        <w:tabs>
          <w:tab w:val="left" w:pos="6300"/>
        </w:tabs>
        <w:snapToGrid w:val="0"/>
        <w:ind w:firstLine="420"/>
        <w:rPr>
          <w:snapToGrid w:val="0"/>
          <w:kern w:val="0"/>
        </w:rPr>
      </w:pPr>
      <w:r>
        <w:rPr>
          <w:rFonts w:hint="eastAsia"/>
          <w:snapToGrid w:val="0"/>
          <w:kern w:val="0"/>
        </w:rPr>
        <w:t>特此证明。</w:t>
      </w:r>
    </w:p>
    <w:p w14:paraId="539D4754">
      <w:pPr>
        <w:tabs>
          <w:tab w:val="left" w:pos="6300"/>
        </w:tabs>
        <w:snapToGrid w:val="0"/>
        <w:ind w:firstLine="420"/>
        <w:rPr>
          <w:snapToGrid w:val="0"/>
          <w:kern w:val="0"/>
        </w:rPr>
      </w:pPr>
    </w:p>
    <w:p w14:paraId="4B786FE0">
      <w:pPr>
        <w:tabs>
          <w:tab w:val="left" w:pos="6300"/>
        </w:tabs>
        <w:snapToGrid w:val="0"/>
        <w:ind w:firstLine="420"/>
        <w:rPr>
          <w:snapToGrid w:val="0"/>
          <w:kern w:val="0"/>
        </w:rPr>
      </w:pPr>
    </w:p>
    <w:p w14:paraId="4239872A">
      <w:pPr>
        <w:tabs>
          <w:tab w:val="left" w:pos="6300"/>
        </w:tabs>
        <w:snapToGrid w:val="0"/>
        <w:ind w:firstLine="5250" w:firstLineChars="2500"/>
        <w:rPr>
          <w:snapToGrid w:val="0"/>
          <w:kern w:val="0"/>
        </w:rPr>
      </w:pPr>
      <w:r>
        <w:rPr>
          <w:rFonts w:hint="eastAsia"/>
          <w:snapToGrid w:val="0"/>
          <w:kern w:val="0"/>
        </w:rPr>
        <w:t>响应人：</w:t>
      </w:r>
    </w:p>
    <w:p w14:paraId="6E5CC279">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0CA38092">
      <w:pPr>
        <w:tabs>
          <w:tab w:val="left" w:pos="6300"/>
        </w:tabs>
        <w:snapToGrid w:val="0"/>
        <w:ind w:firstLine="420"/>
        <w:rPr>
          <w:snapToGrid w:val="0"/>
          <w:kern w:val="0"/>
        </w:rPr>
      </w:pPr>
    </w:p>
    <w:p w14:paraId="7FDA548F">
      <w:pPr>
        <w:tabs>
          <w:tab w:val="left" w:pos="6300"/>
        </w:tabs>
        <w:snapToGrid w:val="0"/>
        <w:ind w:firstLine="420"/>
        <w:rPr>
          <w:snapToGrid w:val="0"/>
          <w:kern w:val="0"/>
        </w:rPr>
      </w:pPr>
      <w:r>
        <w:rPr>
          <w:rFonts w:hint="eastAsia"/>
          <w:snapToGrid w:val="0"/>
          <w:kern w:val="0"/>
        </w:rPr>
        <w:t xml:space="preserve">                                             年   月   日</w:t>
      </w:r>
    </w:p>
    <w:p w14:paraId="72CCA53A">
      <w:pPr>
        <w:tabs>
          <w:tab w:val="left" w:pos="6300"/>
        </w:tabs>
        <w:snapToGrid w:val="0"/>
        <w:ind w:firstLine="420"/>
        <w:rPr>
          <w:snapToGrid w:val="0"/>
          <w:kern w:val="0"/>
        </w:rPr>
      </w:pPr>
    </w:p>
    <w:p w14:paraId="0EF512D4">
      <w:pPr>
        <w:tabs>
          <w:tab w:val="left" w:pos="6300"/>
        </w:tabs>
        <w:snapToGrid w:val="0"/>
        <w:ind w:firstLine="420"/>
        <w:rPr>
          <w:snapToGrid w:val="0"/>
          <w:kern w:val="0"/>
        </w:rPr>
      </w:pPr>
      <w:r>
        <w:rPr>
          <w:rFonts w:hint="eastAsia"/>
          <w:snapToGrid w:val="0"/>
          <w:kern w:val="0"/>
        </w:rPr>
        <w:t>（附：法定代表人身份证正反面复印件）</w:t>
      </w:r>
    </w:p>
    <w:p w14:paraId="476B005F">
      <w:pPr>
        <w:tabs>
          <w:tab w:val="left" w:pos="6300"/>
        </w:tabs>
        <w:snapToGrid w:val="0"/>
        <w:ind w:firstLine="420"/>
        <w:rPr>
          <w:snapToGrid w:val="0"/>
          <w:kern w:val="0"/>
        </w:rPr>
      </w:pPr>
    </w:p>
    <w:p w14:paraId="1BFD1238">
      <w:pPr>
        <w:tabs>
          <w:tab w:val="left" w:pos="6300"/>
        </w:tabs>
        <w:snapToGrid w:val="0"/>
        <w:ind w:firstLine="420"/>
        <w:rPr>
          <w:snapToGrid w:val="0"/>
          <w:kern w:val="0"/>
        </w:rPr>
      </w:pPr>
    </w:p>
    <w:p w14:paraId="36EFA641">
      <w:pPr>
        <w:tabs>
          <w:tab w:val="left" w:pos="6300"/>
        </w:tabs>
        <w:snapToGrid w:val="0"/>
        <w:ind w:firstLine="420"/>
        <w:rPr>
          <w:snapToGrid w:val="0"/>
          <w:kern w:val="0"/>
        </w:rPr>
      </w:pPr>
    </w:p>
    <w:p w14:paraId="4D167F9A">
      <w:pPr>
        <w:ind w:firstLine="420"/>
        <w:jc w:val="center"/>
        <w:rPr>
          <w:rStyle w:val="38"/>
          <w:rFonts w:ascii="Times New Roman" w:hAnsi="Times New Roman"/>
        </w:rPr>
      </w:pPr>
      <w:r>
        <w:rPr>
          <w:rFonts w:hint="eastAsia"/>
          <w:snapToGrid w:val="0"/>
          <w:kern w:val="0"/>
        </w:rPr>
        <w:br w:type="column"/>
      </w:r>
      <w:r>
        <w:rPr>
          <w:rStyle w:val="38"/>
          <w:rFonts w:ascii="Times New Roman" w:hAnsi="Times New Roman"/>
        </w:rPr>
        <w:t>授权委托书</w:t>
      </w:r>
      <w:r>
        <w:rPr>
          <w:rStyle w:val="38"/>
        </w:rPr>
        <w:t>（如有）</w:t>
      </w:r>
    </w:p>
    <w:p w14:paraId="1768CC3F">
      <w:pPr>
        <w:pStyle w:val="47"/>
      </w:pPr>
      <w:r>
        <w:t>（适用于有委托代理人的情况时采用）</w:t>
      </w:r>
    </w:p>
    <w:p w14:paraId="1F891298">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75BB1D67">
      <w:pPr>
        <w:tabs>
          <w:tab w:val="left" w:pos="6300"/>
        </w:tabs>
        <w:snapToGrid w:val="0"/>
        <w:ind w:firstLine="420"/>
        <w:rPr>
          <w:snapToGrid w:val="0"/>
          <w:kern w:val="0"/>
        </w:rPr>
      </w:pPr>
    </w:p>
    <w:p w14:paraId="1662B0CE">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4E2B00B1">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0AE17E8A">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7EF21327">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53A806EA">
      <w:pPr>
        <w:tabs>
          <w:tab w:val="left" w:pos="6300"/>
        </w:tabs>
        <w:snapToGrid w:val="0"/>
        <w:ind w:firstLine="420"/>
        <w:rPr>
          <w:snapToGrid w:val="0"/>
          <w:kern w:val="0"/>
        </w:rPr>
      </w:pP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7"/>
        <w:gridCol w:w="4207"/>
      </w:tblGrid>
      <w:tr w14:paraId="49BC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A029153">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029F804C">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72E5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F1002D8">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280B9CDB">
            <w:pPr>
              <w:tabs>
                <w:tab w:val="left" w:pos="6300"/>
              </w:tabs>
              <w:snapToGrid w:val="0"/>
              <w:ind w:firstLine="0" w:firstLineChars="0"/>
              <w:rPr>
                <w:snapToGrid w:val="0"/>
                <w:kern w:val="0"/>
              </w:rPr>
            </w:pPr>
            <w:r>
              <w:rPr>
                <w:rFonts w:hint="eastAsia"/>
                <w:snapToGrid w:val="0"/>
                <w:kern w:val="0"/>
                <w:szCs w:val="28"/>
              </w:rPr>
              <w:t>（签字或盖章）</w:t>
            </w:r>
          </w:p>
        </w:tc>
      </w:tr>
    </w:tbl>
    <w:p w14:paraId="022B24B4">
      <w:pPr>
        <w:tabs>
          <w:tab w:val="left" w:pos="6300"/>
        </w:tabs>
        <w:snapToGrid w:val="0"/>
        <w:ind w:firstLine="420"/>
        <w:rPr>
          <w:snapToGrid w:val="0"/>
          <w:kern w:val="0"/>
        </w:rPr>
      </w:pPr>
    </w:p>
    <w:p w14:paraId="480C8D4D">
      <w:pPr>
        <w:tabs>
          <w:tab w:val="left" w:pos="6300"/>
        </w:tabs>
        <w:snapToGrid w:val="0"/>
        <w:ind w:firstLine="420"/>
        <w:rPr>
          <w:snapToGrid w:val="0"/>
          <w:kern w:val="0"/>
          <w:szCs w:val="28"/>
        </w:rPr>
      </w:pPr>
    </w:p>
    <w:p w14:paraId="695F2361">
      <w:pPr>
        <w:tabs>
          <w:tab w:val="left" w:pos="6300"/>
        </w:tabs>
        <w:snapToGrid w:val="0"/>
        <w:ind w:firstLine="420"/>
        <w:rPr>
          <w:snapToGrid w:val="0"/>
          <w:kern w:val="0"/>
        </w:rPr>
      </w:pPr>
    </w:p>
    <w:p w14:paraId="784E54A0">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0F995471">
      <w:pPr>
        <w:tabs>
          <w:tab w:val="left" w:pos="6300"/>
        </w:tabs>
        <w:snapToGrid w:val="0"/>
        <w:ind w:firstLine="420"/>
        <w:rPr>
          <w:snapToGrid w:val="0"/>
          <w:kern w:val="0"/>
        </w:rPr>
      </w:pPr>
    </w:p>
    <w:p w14:paraId="28A479BC">
      <w:pPr>
        <w:tabs>
          <w:tab w:val="left" w:pos="6300"/>
        </w:tabs>
        <w:snapToGrid w:val="0"/>
        <w:ind w:firstLine="420"/>
        <w:rPr>
          <w:snapToGrid w:val="0"/>
          <w:kern w:val="0"/>
        </w:rPr>
      </w:pPr>
    </w:p>
    <w:p w14:paraId="71586FD4">
      <w:pPr>
        <w:tabs>
          <w:tab w:val="left" w:pos="6300"/>
        </w:tabs>
        <w:snapToGrid w:val="0"/>
        <w:ind w:firstLine="5250" w:firstLineChars="2500"/>
        <w:rPr>
          <w:snapToGrid w:val="0"/>
          <w:kern w:val="0"/>
        </w:rPr>
      </w:pPr>
      <w:r>
        <w:rPr>
          <w:rFonts w:hint="eastAsia"/>
          <w:snapToGrid w:val="0"/>
          <w:kern w:val="0"/>
        </w:rPr>
        <w:t>响应人：</w:t>
      </w:r>
    </w:p>
    <w:p w14:paraId="2FEF9626">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3312A0A7">
      <w:pPr>
        <w:tabs>
          <w:tab w:val="left" w:pos="6300"/>
        </w:tabs>
        <w:snapToGrid w:val="0"/>
        <w:ind w:right="480" w:firstLine="420"/>
        <w:jc w:val="right"/>
        <w:rPr>
          <w:snapToGrid w:val="0"/>
          <w:kern w:val="0"/>
        </w:rPr>
      </w:pPr>
      <w:r>
        <w:rPr>
          <w:rFonts w:hint="eastAsia"/>
          <w:snapToGrid w:val="0"/>
          <w:kern w:val="0"/>
        </w:rPr>
        <w:t>年   月   日</w:t>
      </w:r>
    </w:p>
    <w:p w14:paraId="27A139C9">
      <w:pPr>
        <w:tabs>
          <w:tab w:val="left" w:pos="6300"/>
        </w:tabs>
        <w:snapToGrid w:val="0"/>
        <w:ind w:firstLine="420"/>
        <w:rPr>
          <w:snapToGrid w:val="0"/>
          <w:kern w:val="0"/>
        </w:rPr>
      </w:pPr>
    </w:p>
    <w:p w14:paraId="1D21DE5E">
      <w:pPr>
        <w:tabs>
          <w:tab w:val="left" w:pos="6300"/>
        </w:tabs>
        <w:snapToGrid w:val="0"/>
        <w:ind w:firstLine="420"/>
        <w:rPr>
          <w:snapToGrid w:val="0"/>
          <w:kern w:val="0"/>
        </w:rPr>
      </w:pPr>
      <w:r>
        <w:rPr>
          <w:rFonts w:hint="eastAsia"/>
          <w:snapToGrid w:val="0"/>
          <w:kern w:val="0"/>
        </w:rPr>
        <w:t>注：若为法定代表人办理并签署响应文件的，不提供此文件。</w:t>
      </w:r>
    </w:p>
    <w:bookmarkEnd w:id="258"/>
    <w:bookmarkEnd w:id="259"/>
    <w:bookmarkEnd w:id="260"/>
    <w:bookmarkEnd w:id="261"/>
    <w:bookmarkEnd w:id="262"/>
    <w:p w14:paraId="05DEF34A">
      <w:pPr>
        <w:pStyle w:val="36"/>
      </w:pPr>
      <w:r>
        <w:rPr>
          <w:rFonts w:hint="eastAsia"/>
          <w:snapToGrid w:val="0"/>
          <w:kern w:val="0"/>
        </w:rPr>
        <w:br w:type="column"/>
      </w:r>
      <w:r>
        <w:rPr>
          <w:rFonts w:hint="eastAsia"/>
        </w:rPr>
        <w:t>（三）书面声明</w:t>
      </w:r>
    </w:p>
    <w:p w14:paraId="777382BE">
      <w:pPr>
        <w:tabs>
          <w:tab w:val="left" w:pos="6300"/>
        </w:tabs>
        <w:snapToGrid w:val="0"/>
        <w:ind w:firstLine="480"/>
        <w:rPr>
          <w:rFonts w:ascii="宋体"/>
          <w:sz w:val="24"/>
        </w:rPr>
      </w:pPr>
    </w:p>
    <w:p w14:paraId="2F4B1B19">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1869A7BD">
      <w:pPr>
        <w:tabs>
          <w:tab w:val="left" w:pos="6300"/>
        </w:tabs>
        <w:snapToGrid w:val="0"/>
        <w:ind w:firstLine="480"/>
        <w:rPr>
          <w:rFonts w:ascii="宋体"/>
          <w:sz w:val="24"/>
        </w:rPr>
      </w:pPr>
    </w:p>
    <w:p w14:paraId="57B7165A">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59BB32BD">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015A1C38">
      <w:pPr>
        <w:tabs>
          <w:tab w:val="left" w:pos="6300"/>
        </w:tabs>
        <w:snapToGrid w:val="0"/>
        <w:ind w:firstLine="480"/>
        <w:rPr>
          <w:rFonts w:ascii="宋体"/>
          <w:sz w:val="24"/>
        </w:rPr>
      </w:pPr>
      <w:r>
        <w:rPr>
          <w:rFonts w:hint="eastAsia" w:ascii="宋体"/>
          <w:sz w:val="24"/>
        </w:rPr>
        <w:t>特此声明。</w:t>
      </w:r>
    </w:p>
    <w:p w14:paraId="1A19F9D6">
      <w:pPr>
        <w:tabs>
          <w:tab w:val="left" w:pos="6300"/>
        </w:tabs>
        <w:snapToGrid w:val="0"/>
        <w:ind w:firstLine="480"/>
        <w:rPr>
          <w:rFonts w:ascii="宋体"/>
          <w:sz w:val="24"/>
        </w:rPr>
      </w:pPr>
    </w:p>
    <w:p w14:paraId="284764D5">
      <w:pPr>
        <w:tabs>
          <w:tab w:val="left" w:pos="6300"/>
        </w:tabs>
        <w:snapToGrid w:val="0"/>
        <w:ind w:firstLine="480"/>
        <w:rPr>
          <w:rFonts w:ascii="宋体"/>
          <w:sz w:val="24"/>
        </w:rPr>
      </w:pPr>
    </w:p>
    <w:p w14:paraId="21D0DB50">
      <w:pPr>
        <w:tabs>
          <w:tab w:val="left" w:pos="6300"/>
        </w:tabs>
        <w:snapToGrid w:val="0"/>
        <w:ind w:firstLine="480"/>
        <w:rPr>
          <w:rFonts w:ascii="宋体"/>
          <w:sz w:val="24"/>
        </w:rPr>
      </w:pPr>
    </w:p>
    <w:p w14:paraId="179B7ED6">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4234246E">
      <w:pPr>
        <w:tabs>
          <w:tab w:val="left" w:pos="6300"/>
        </w:tabs>
        <w:snapToGrid w:val="0"/>
        <w:ind w:right="480" w:firstLine="480"/>
        <w:jc w:val="right"/>
        <w:rPr>
          <w:rFonts w:ascii="宋体"/>
          <w:sz w:val="24"/>
        </w:rPr>
      </w:pPr>
      <w:r>
        <w:rPr>
          <w:rFonts w:hint="eastAsia" w:ascii="宋体"/>
          <w:sz w:val="24"/>
        </w:rPr>
        <w:t>年   月   日</w:t>
      </w:r>
    </w:p>
    <w:p w14:paraId="5EB39698">
      <w:pPr>
        <w:ind w:firstLine="480"/>
        <w:jc w:val="left"/>
        <w:rPr>
          <w:rFonts w:ascii="宋体" w:cs="等线 Light"/>
          <w:snapToGrid w:val="0"/>
          <w:kern w:val="0"/>
          <w:sz w:val="24"/>
          <w:szCs w:val="24"/>
        </w:rPr>
      </w:pPr>
    </w:p>
    <w:p w14:paraId="211110F6">
      <w:pPr>
        <w:ind w:firstLine="480"/>
        <w:jc w:val="left"/>
        <w:rPr>
          <w:rFonts w:ascii="宋体" w:cs="等线 Light"/>
          <w:snapToGrid w:val="0"/>
          <w:kern w:val="0"/>
          <w:sz w:val="24"/>
          <w:szCs w:val="24"/>
        </w:rPr>
      </w:pPr>
    </w:p>
    <w:p w14:paraId="5556C30A">
      <w:pPr>
        <w:ind w:firstLine="480"/>
        <w:jc w:val="left"/>
        <w:rPr>
          <w:rFonts w:ascii="宋体" w:cs="等线 Light"/>
          <w:snapToGrid w:val="0"/>
          <w:kern w:val="0"/>
          <w:sz w:val="24"/>
          <w:szCs w:val="24"/>
        </w:rPr>
      </w:pPr>
    </w:p>
    <w:p w14:paraId="0848E976">
      <w:pPr>
        <w:ind w:firstLine="420"/>
        <w:rPr>
          <w:b/>
          <w:bCs/>
        </w:rPr>
      </w:pPr>
      <w:r>
        <w:rPr>
          <w:rFonts w:hint="eastAsia"/>
          <w:kern w:val="0"/>
        </w:rPr>
        <w:br w:type="page"/>
      </w:r>
    </w:p>
    <w:p w14:paraId="7F525567">
      <w:pPr>
        <w:pStyle w:val="36"/>
      </w:pPr>
      <w:r>
        <w:t>（</w:t>
      </w:r>
      <w:r>
        <w:rPr>
          <w:rFonts w:hint="eastAsia"/>
        </w:rPr>
        <w:t>四</w:t>
      </w:r>
      <w:r>
        <w:t>）中国执行信息公开网截图</w:t>
      </w:r>
    </w:p>
    <w:p w14:paraId="32DBC9A6">
      <w:pPr>
        <w:ind w:firstLine="420"/>
      </w:pPr>
      <w:r>
        <w:rPr>
          <w:rFonts w:hint="eastAsia"/>
        </w:rPr>
        <w:t>1.法人在</w:t>
      </w:r>
      <w:r>
        <w:t>中国执行信息公开网</w:t>
      </w:r>
      <w:r>
        <w:rPr>
          <w:rFonts w:hint="eastAsia"/>
        </w:rPr>
        <w:t>的查询</w:t>
      </w:r>
      <w:r>
        <w:t>截图</w:t>
      </w:r>
      <w:r>
        <w:rPr>
          <w:rFonts w:hint="eastAsia"/>
        </w:rPr>
        <w:t>并加盖单位鲜章</w:t>
      </w:r>
    </w:p>
    <w:p w14:paraId="557AAF05">
      <w:pPr>
        <w:ind w:firstLine="420"/>
      </w:pPr>
      <w:r>
        <w:rPr>
          <w:rFonts w:hint="eastAsia"/>
        </w:rPr>
        <w:t>2.法定代表人在</w:t>
      </w:r>
      <w:r>
        <w:t>中国执行信息公开网</w:t>
      </w:r>
      <w:r>
        <w:rPr>
          <w:rFonts w:hint="eastAsia"/>
        </w:rPr>
        <w:t>的查询</w:t>
      </w:r>
      <w:r>
        <w:t>截图</w:t>
      </w:r>
      <w:r>
        <w:rPr>
          <w:rFonts w:hint="eastAsia"/>
        </w:rPr>
        <w:t>并加盖单位鲜章</w:t>
      </w:r>
    </w:p>
    <w:p w14:paraId="32F37C18">
      <w:pPr>
        <w:ind w:firstLine="420"/>
      </w:pPr>
    </w:p>
    <w:p w14:paraId="6760C7E6">
      <w:pPr>
        <w:ind w:firstLine="420"/>
      </w:pPr>
    </w:p>
    <w:p w14:paraId="736ABE50">
      <w:pPr>
        <w:ind w:firstLine="420"/>
      </w:pPr>
    </w:p>
    <w:p w14:paraId="6C2C07F0">
      <w:pPr>
        <w:ind w:firstLine="420"/>
      </w:pPr>
      <w:r>
        <w:rPr>
          <w:rFonts w:hint="eastAsia"/>
        </w:rPr>
        <w:br w:type="page"/>
      </w:r>
    </w:p>
    <w:p w14:paraId="0C519686">
      <w:pPr>
        <w:pStyle w:val="36"/>
      </w:pPr>
      <w:r>
        <w:rPr>
          <w:rFonts w:hint="eastAsia"/>
          <w:lang w:val="zh-CN"/>
        </w:rPr>
        <w:t>（</w:t>
      </w:r>
      <w:r>
        <w:rPr>
          <w:rFonts w:hint="eastAsia"/>
        </w:rPr>
        <w:t>五</w:t>
      </w:r>
      <w:r>
        <w:rPr>
          <w:rFonts w:hint="eastAsia"/>
          <w:lang w:val="zh-CN"/>
        </w:rPr>
        <w:t>）</w:t>
      </w:r>
      <w:r>
        <w:rPr>
          <w:rFonts w:hint="eastAsia"/>
        </w:rPr>
        <w:t>社保及拟供人员相关证明材料</w:t>
      </w:r>
    </w:p>
    <w:p w14:paraId="2A881C22">
      <w:pPr>
        <w:ind w:firstLine="420"/>
      </w:pPr>
      <w:r>
        <w:t>1</w:t>
      </w:r>
      <w:r>
        <w:rPr>
          <w:rFonts w:hint="eastAsia"/>
        </w:rPr>
        <w:t>、</w:t>
      </w:r>
      <w:r>
        <w:t>2024年7月1日至今任意月份的员工社保缴纳总人数</w:t>
      </w:r>
      <w:r>
        <w:rPr>
          <w:rFonts w:hint="eastAsia"/>
        </w:rPr>
        <w:t>的</w:t>
      </w:r>
      <w:r>
        <w:t>社保缴纳材料证明；</w:t>
      </w:r>
    </w:p>
    <w:p w14:paraId="0691FD77">
      <w:pPr>
        <w:ind w:firstLine="420"/>
      </w:pPr>
      <w:r>
        <w:t>2</w:t>
      </w:r>
      <w:r>
        <w:rPr>
          <w:rFonts w:hint="eastAsia"/>
        </w:rPr>
        <w:t>、拟提供人员缴纳社保的证明材料，员工参保单位为响应人或委托第三方公司代缴，均认定有效；若员工社保委托第三方公司代缴，需提供代缴材料证明及与第三方公司签订的合同或协议；</w:t>
      </w:r>
    </w:p>
    <w:p w14:paraId="57142E2B">
      <w:pPr>
        <w:ind w:firstLine="420"/>
      </w:pPr>
      <w:r>
        <w:rPr>
          <w:rFonts w:hint="eastAsia"/>
        </w:rPr>
        <w:t>3、拟提供人员的简历信息</w:t>
      </w:r>
    </w:p>
    <w:p w14:paraId="7549A15C">
      <w:pPr>
        <w:ind w:firstLine="420"/>
        <w:rPr>
          <w:lang w:val="zh-CN"/>
        </w:rPr>
      </w:pPr>
    </w:p>
    <w:p w14:paraId="76571915">
      <w:pPr>
        <w:ind w:firstLine="420"/>
        <w:rPr>
          <w:lang w:val="zh-CN"/>
        </w:rPr>
        <w:sectPr>
          <w:pgSz w:w="11906" w:h="16838"/>
          <w:pgMar w:top="1440" w:right="1800" w:bottom="1440" w:left="1800" w:header="851" w:footer="992" w:gutter="0"/>
          <w:cols w:space="720" w:num="1"/>
          <w:docGrid w:type="lines" w:linePitch="312" w:charSpace="0"/>
        </w:sectPr>
      </w:pPr>
    </w:p>
    <w:p w14:paraId="78538A78">
      <w:pPr>
        <w:pStyle w:val="36"/>
      </w:pPr>
      <w:r>
        <w:rPr>
          <w:rFonts w:hint="eastAsia"/>
          <w:lang w:val="zh-CN"/>
        </w:rPr>
        <w:t>（</w:t>
      </w:r>
      <w:r>
        <w:rPr>
          <w:rFonts w:hint="eastAsia"/>
        </w:rPr>
        <w:t>六</w:t>
      </w:r>
      <w:r>
        <w:rPr>
          <w:rFonts w:hint="eastAsia"/>
          <w:lang w:val="zh-CN"/>
        </w:rPr>
        <w:t>）项目案例</w:t>
      </w:r>
      <w:r>
        <w:rPr>
          <w:rFonts w:hint="eastAsia"/>
        </w:rPr>
        <w:t>和业绩证明文件复印件</w:t>
      </w:r>
    </w:p>
    <w:p w14:paraId="30A4FA4A">
      <w:pPr>
        <w:ind w:firstLine="420"/>
      </w:pPr>
      <w:r>
        <w:rPr>
          <w:rFonts w:hint="eastAsia"/>
        </w:rPr>
        <w:t>1、合同关键页（合同关键页</w:t>
      </w:r>
      <w:r>
        <w:t>包含：甲乙双方名称、双方印章、项目名称、合同签订时间</w:t>
      </w:r>
      <w:r>
        <w:rPr>
          <w:rFonts w:hint="eastAsia"/>
        </w:rPr>
        <w:t>、服务范围。）</w:t>
      </w:r>
    </w:p>
    <w:p w14:paraId="76E855DF">
      <w:pPr>
        <w:ind w:firstLine="420"/>
      </w:pPr>
      <w:r>
        <w:rPr>
          <w:rFonts w:hint="eastAsia"/>
        </w:rPr>
        <w:t>2、项目简介（格式自拟）</w:t>
      </w:r>
    </w:p>
    <w:p w14:paraId="6F1E8444">
      <w:pPr>
        <w:ind w:firstLine="420"/>
      </w:pPr>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164C5F5A">
      <w:pPr>
        <w:ind w:firstLine="420"/>
      </w:pPr>
    </w:p>
    <w:p w14:paraId="0684B532">
      <w:pPr>
        <w:ind w:firstLine="420"/>
        <w:rPr>
          <w:lang w:val="zh-CN"/>
        </w:rPr>
      </w:pPr>
    </w:p>
    <w:p w14:paraId="2A10D0A1">
      <w:pPr>
        <w:ind w:firstLine="420"/>
        <w:rPr>
          <w:lang w:val="zh-CN"/>
        </w:rPr>
        <w:sectPr>
          <w:pgSz w:w="11906" w:h="16838"/>
          <w:pgMar w:top="1440" w:right="1800" w:bottom="1440" w:left="1800" w:header="851" w:footer="992" w:gutter="0"/>
          <w:cols w:space="720" w:num="1"/>
          <w:docGrid w:type="lines" w:linePitch="312" w:charSpace="0"/>
        </w:sectPr>
      </w:pPr>
    </w:p>
    <w:p w14:paraId="7AAF19F7">
      <w:pPr>
        <w:pStyle w:val="36"/>
        <w:rPr>
          <w:lang w:val="zh-CN"/>
        </w:rPr>
      </w:pPr>
      <w:r>
        <w:rPr>
          <w:rFonts w:hint="eastAsia"/>
          <w:lang w:val="zh-CN"/>
        </w:rPr>
        <w:t>（</w:t>
      </w:r>
      <w:r>
        <w:rPr>
          <w:rFonts w:hint="eastAsia"/>
        </w:rPr>
        <w:t>七</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19587B8D">
      <w:pPr>
        <w:ind w:firstLine="420"/>
        <w:rPr>
          <w:lang w:val="zh-CN"/>
        </w:rPr>
      </w:pPr>
    </w:p>
    <w:p w14:paraId="2DCED855">
      <w:pPr>
        <w:ind w:firstLine="420"/>
        <w:rPr>
          <w:lang w:val="zh-CN"/>
        </w:rPr>
      </w:pPr>
    </w:p>
    <w:p w14:paraId="31E93F91">
      <w:pPr>
        <w:ind w:firstLine="420"/>
        <w:rPr>
          <w:lang w:val="zh-CN"/>
        </w:rPr>
        <w:sectPr>
          <w:pgSz w:w="11906" w:h="16838"/>
          <w:pgMar w:top="1440" w:right="1800" w:bottom="1440" w:left="1800" w:header="851" w:footer="992" w:gutter="0"/>
          <w:cols w:space="720" w:num="1"/>
          <w:docGrid w:type="lines" w:linePitch="312" w:charSpace="0"/>
        </w:sectPr>
      </w:pPr>
    </w:p>
    <w:p w14:paraId="47507A65">
      <w:pPr>
        <w:pStyle w:val="35"/>
      </w:pPr>
      <w:r>
        <w:t>四、响应性文件</w:t>
      </w:r>
    </w:p>
    <w:p w14:paraId="3159EEBB">
      <w:pPr>
        <w:pStyle w:val="36"/>
      </w:pPr>
      <w:r>
        <w:rPr>
          <w:rFonts w:hint="eastAsia"/>
        </w:rPr>
        <w:t>（一）响应承诺函</w:t>
      </w:r>
    </w:p>
    <w:p w14:paraId="6AFAFC53">
      <w:pPr>
        <w:ind w:firstLine="420"/>
      </w:pPr>
      <w:r>
        <w:rPr>
          <w:rFonts w:hint="eastAsia"/>
        </w:rPr>
        <w:t>根据第三章“项目要求”内容，做出整体承诺，格式自理。</w:t>
      </w:r>
    </w:p>
    <w:p w14:paraId="4DE36686">
      <w:pPr>
        <w:ind w:firstLine="420"/>
      </w:pPr>
    </w:p>
    <w:p w14:paraId="7D727F39">
      <w:pPr>
        <w:ind w:firstLine="420"/>
        <w:sectPr>
          <w:pgSz w:w="11906" w:h="16838"/>
          <w:pgMar w:top="1440" w:right="1800" w:bottom="1440" w:left="1800" w:header="851" w:footer="992" w:gutter="0"/>
          <w:cols w:space="720" w:num="1"/>
          <w:docGrid w:type="lines" w:linePitch="312" w:charSpace="0"/>
        </w:sectPr>
      </w:pPr>
    </w:p>
    <w:p w14:paraId="003F991F">
      <w:pPr>
        <w:pStyle w:val="36"/>
        <w:rPr>
          <w:lang w:val="zh-CN"/>
        </w:rPr>
      </w:pPr>
      <w:r>
        <w:rPr>
          <w:rFonts w:hint="eastAsia"/>
          <w:lang w:val="zh-CN"/>
        </w:rPr>
        <w:t>（</w:t>
      </w:r>
      <w:r>
        <w:rPr>
          <w:lang w:val="zh-CN"/>
        </w:rPr>
        <w:t>二</w:t>
      </w:r>
      <w:r>
        <w:rPr>
          <w:rFonts w:hint="eastAsia"/>
          <w:lang w:val="zh-CN"/>
        </w:rPr>
        <w:t>）</w:t>
      </w:r>
      <w:r>
        <w:t>服务水平协议（SLA）</w:t>
      </w:r>
    </w:p>
    <w:tbl>
      <w:tblPr>
        <w:tblStyle w:val="1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992"/>
        <w:gridCol w:w="704"/>
        <w:gridCol w:w="1134"/>
        <w:gridCol w:w="3544"/>
        <w:gridCol w:w="1276"/>
      </w:tblGrid>
      <w:tr w14:paraId="3284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ED6B931">
            <w:pPr>
              <w:ind w:firstLine="0" w:firstLineChars="0"/>
              <w:jc w:val="center"/>
              <w:rPr>
                <w:rFonts w:cs="Times New Roman"/>
                <w:b/>
                <w:szCs w:val="21"/>
              </w:rPr>
            </w:pPr>
            <w:r>
              <w:rPr>
                <w:rFonts w:cs="Times New Roman"/>
                <w:b/>
                <w:szCs w:val="21"/>
              </w:rPr>
              <w:t>序号</w:t>
            </w:r>
          </w:p>
        </w:tc>
        <w:tc>
          <w:tcPr>
            <w:tcW w:w="992" w:type="dxa"/>
            <w:vAlign w:val="center"/>
          </w:tcPr>
          <w:p w14:paraId="1369CF0F">
            <w:pPr>
              <w:ind w:firstLine="0" w:firstLineChars="0"/>
              <w:jc w:val="center"/>
              <w:rPr>
                <w:rFonts w:cs="Times New Roman"/>
                <w:b/>
                <w:szCs w:val="21"/>
              </w:rPr>
            </w:pPr>
            <w:r>
              <w:rPr>
                <w:rFonts w:cs="Times New Roman"/>
                <w:b/>
                <w:szCs w:val="21"/>
              </w:rPr>
              <w:t>评价维度</w:t>
            </w:r>
          </w:p>
        </w:tc>
        <w:tc>
          <w:tcPr>
            <w:tcW w:w="704" w:type="dxa"/>
            <w:vAlign w:val="center"/>
          </w:tcPr>
          <w:p w14:paraId="61A0BE96">
            <w:pPr>
              <w:ind w:firstLine="0" w:firstLineChars="0"/>
              <w:jc w:val="center"/>
              <w:rPr>
                <w:rFonts w:cs="Times New Roman"/>
                <w:b/>
                <w:szCs w:val="21"/>
              </w:rPr>
            </w:pPr>
            <w:r>
              <w:rPr>
                <w:rFonts w:cs="Times New Roman"/>
                <w:b/>
                <w:szCs w:val="21"/>
              </w:rPr>
              <w:t>评价指标</w:t>
            </w:r>
          </w:p>
        </w:tc>
        <w:tc>
          <w:tcPr>
            <w:tcW w:w="1134" w:type="dxa"/>
            <w:vAlign w:val="center"/>
          </w:tcPr>
          <w:p w14:paraId="48D7DABC">
            <w:pPr>
              <w:ind w:firstLine="0" w:firstLineChars="0"/>
              <w:jc w:val="center"/>
              <w:rPr>
                <w:rFonts w:cs="Times New Roman"/>
                <w:b/>
                <w:szCs w:val="21"/>
              </w:rPr>
            </w:pPr>
            <w:r>
              <w:rPr>
                <w:rFonts w:cs="Times New Roman"/>
                <w:b/>
                <w:szCs w:val="21"/>
              </w:rPr>
              <w:t>指标定义</w:t>
            </w:r>
          </w:p>
        </w:tc>
        <w:tc>
          <w:tcPr>
            <w:tcW w:w="3544" w:type="dxa"/>
            <w:vAlign w:val="center"/>
          </w:tcPr>
          <w:p w14:paraId="3D3C11CB">
            <w:pPr>
              <w:ind w:firstLine="0" w:firstLineChars="0"/>
              <w:jc w:val="center"/>
              <w:rPr>
                <w:rFonts w:cs="Times New Roman"/>
                <w:b/>
                <w:szCs w:val="21"/>
              </w:rPr>
            </w:pPr>
            <w:r>
              <w:rPr>
                <w:rFonts w:cs="Times New Roman"/>
                <w:b/>
                <w:szCs w:val="21"/>
              </w:rPr>
              <w:t>评分</w:t>
            </w:r>
            <w:r>
              <w:rPr>
                <w:rFonts w:hint="eastAsia" w:cs="Times New Roman"/>
                <w:b/>
                <w:szCs w:val="21"/>
              </w:rPr>
              <w:t>/价</w:t>
            </w:r>
            <w:r>
              <w:rPr>
                <w:rFonts w:cs="Times New Roman"/>
                <w:b/>
                <w:szCs w:val="21"/>
              </w:rPr>
              <w:t>标准</w:t>
            </w:r>
          </w:p>
        </w:tc>
        <w:tc>
          <w:tcPr>
            <w:tcW w:w="1276" w:type="dxa"/>
            <w:vAlign w:val="center"/>
          </w:tcPr>
          <w:p w14:paraId="311B30E6">
            <w:pPr>
              <w:ind w:firstLine="0" w:firstLineChars="0"/>
              <w:jc w:val="center"/>
              <w:rPr>
                <w:rFonts w:cs="Times New Roman"/>
                <w:b/>
                <w:szCs w:val="21"/>
              </w:rPr>
            </w:pPr>
            <w:r>
              <w:rPr>
                <w:rFonts w:hint="eastAsia" w:cs="Times New Roman"/>
                <w:b/>
                <w:szCs w:val="21"/>
              </w:rPr>
              <w:t>违约金标准</w:t>
            </w:r>
          </w:p>
        </w:tc>
      </w:tr>
      <w:tr w14:paraId="2E70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BC10D9A">
            <w:pPr>
              <w:ind w:firstLine="0" w:firstLineChars="0"/>
              <w:jc w:val="center"/>
              <w:rPr>
                <w:rFonts w:cs="Times New Roman"/>
                <w:szCs w:val="21"/>
              </w:rPr>
            </w:pPr>
            <w:r>
              <w:rPr>
                <w:rFonts w:hint="eastAsia" w:cs="Times New Roman"/>
                <w:szCs w:val="21"/>
              </w:rPr>
              <w:t>1</w:t>
            </w:r>
          </w:p>
        </w:tc>
        <w:tc>
          <w:tcPr>
            <w:tcW w:w="992" w:type="dxa"/>
            <w:vMerge w:val="restart"/>
            <w:tcBorders>
              <w:left w:val="single" w:color="auto" w:sz="4" w:space="0"/>
            </w:tcBorders>
            <w:vAlign w:val="center"/>
          </w:tcPr>
          <w:p w14:paraId="4D212495">
            <w:pPr>
              <w:ind w:firstLine="0" w:firstLineChars="0"/>
              <w:rPr>
                <w:rFonts w:cs="Times New Roman"/>
                <w:szCs w:val="21"/>
              </w:rPr>
            </w:pPr>
            <w:r>
              <w:rPr>
                <w:rFonts w:hint="eastAsia" w:cs="Times New Roman"/>
                <w:szCs w:val="21"/>
              </w:rPr>
              <w:t>服务质量</w:t>
            </w:r>
          </w:p>
        </w:tc>
        <w:tc>
          <w:tcPr>
            <w:tcW w:w="704" w:type="dxa"/>
            <w:tcBorders>
              <w:left w:val="single" w:color="auto" w:sz="4" w:space="0"/>
            </w:tcBorders>
            <w:vAlign w:val="center"/>
          </w:tcPr>
          <w:p w14:paraId="3660E520">
            <w:pPr>
              <w:ind w:firstLine="0" w:firstLineChars="0"/>
              <w:rPr>
                <w:rFonts w:cs="Times New Roman"/>
                <w:szCs w:val="21"/>
              </w:rPr>
            </w:pPr>
            <w:r>
              <w:rPr>
                <w:rFonts w:cs="Times New Roman"/>
                <w:szCs w:val="21"/>
              </w:rPr>
              <w:t>交付成果质量</w:t>
            </w:r>
          </w:p>
        </w:tc>
        <w:tc>
          <w:tcPr>
            <w:tcW w:w="1134" w:type="dxa"/>
            <w:tcBorders>
              <w:left w:val="single" w:color="auto" w:sz="4" w:space="0"/>
            </w:tcBorders>
            <w:vAlign w:val="center"/>
          </w:tcPr>
          <w:p w14:paraId="122D1A22">
            <w:pPr>
              <w:ind w:firstLine="0" w:firstLineChars="0"/>
              <w:rPr>
                <w:rFonts w:cs="Times New Roman"/>
                <w:szCs w:val="21"/>
              </w:rPr>
            </w:pPr>
            <w:r>
              <w:rPr>
                <w:rFonts w:cs="Times New Roman"/>
                <w:szCs w:val="21"/>
              </w:rPr>
              <w:t>用于记录</w:t>
            </w:r>
            <w:r>
              <w:rPr>
                <w:rFonts w:hint="eastAsia" w:cs="Times New Roman"/>
                <w:szCs w:val="21"/>
              </w:rPr>
              <w:t>乙方</w:t>
            </w:r>
            <w:r>
              <w:rPr>
                <w:rFonts w:cs="Times New Roman"/>
                <w:szCs w:val="21"/>
              </w:rPr>
              <w:t>所提交的项目交付成果与</w:t>
            </w:r>
            <w:r>
              <w:rPr>
                <w:rFonts w:hint="eastAsia" w:cs="Times New Roman"/>
                <w:szCs w:val="21"/>
              </w:rPr>
              <w:t>甲方</w:t>
            </w:r>
            <w:r>
              <w:rPr>
                <w:rFonts w:cs="Times New Roman"/>
                <w:szCs w:val="21"/>
              </w:rPr>
              <w:t>要求的项目交付成果的契合度或交付成果质量与合同所约定要求的项目交付成果质量的满足程度</w:t>
            </w:r>
          </w:p>
        </w:tc>
        <w:tc>
          <w:tcPr>
            <w:tcW w:w="3544" w:type="dxa"/>
            <w:tcBorders>
              <w:left w:val="single" w:color="auto" w:sz="4" w:space="0"/>
            </w:tcBorders>
            <w:vAlign w:val="center"/>
          </w:tcPr>
          <w:p w14:paraId="50DD0C2F">
            <w:pPr>
              <w:ind w:firstLine="0" w:firstLineChars="0"/>
              <w:rPr>
                <w:rFonts w:cs="Times New Roman"/>
                <w:szCs w:val="21"/>
              </w:rPr>
            </w:pPr>
            <w:r>
              <w:rPr>
                <w:rFonts w:hint="eastAsia" w:cs="Times New Roman"/>
                <w:b/>
                <w:bCs/>
                <w:szCs w:val="21"/>
              </w:rPr>
              <w:t>优秀：</w:t>
            </w:r>
            <w:r>
              <w:rPr>
                <w:rFonts w:hint="eastAsia" w:cs="Times New Roman"/>
                <w:szCs w:val="21"/>
              </w:rPr>
              <w:t>5分，</w:t>
            </w:r>
            <w:r>
              <w:rPr>
                <w:rFonts w:cs="Times New Roman"/>
                <w:szCs w:val="21"/>
              </w:rPr>
              <w:t>指</w:t>
            </w:r>
            <w:r>
              <w:rPr>
                <w:rFonts w:hint="eastAsia" w:cs="Times New Roman"/>
                <w:szCs w:val="21"/>
              </w:rPr>
              <w:t>乙方</w:t>
            </w:r>
            <w:r>
              <w:rPr>
                <w:rFonts w:cs="Times New Roman"/>
                <w:szCs w:val="21"/>
              </w:rPr>
              <w:t>能够主动快速与</w:t>
            </w:r>
            <w:r>
              <w:rPr>
                <w:rFonts w:hint="eastAsia" w:cs="Times New Roman"/>
                <w:szCs w:val="21"/>
              </w:rPr>
              <w:t>甲方</w:t>
            </w:r>
            <w:r>
              <w:rPr>
                <w:rFonts w:cs="Times New Roman"/>
                <w:szCs w:val="21"/>
              </w:rPr>
              <w:t>进行有效的沟通，交付成果高度契合需求，完全满足并超出合同约定的预期目标，给</w:t>
            </w:r>
            <w:r>
              <w:rPr>
                <w:rFonts w:hint="eastAsia" w:cs="Times New Roman"/>
                <w:szCs w:val="21"/>
              </w:rPr>
              <w:t>甲方</w:t>
            </w:r>
            <w:r>
              <w:rPr>
                <w:rFonts w:cs="Times New Roman"/>
                <w:szCs w:val="21"/>
              </w:rPr>
              <w:t>带来显著的附加价值</w:t>
            </w:r>
            <w:r>
              <w:rPr>
                <w:rFonts w:hint="eastAsia" w:cs="Times New Roman"/>
                <w:szCs w:val="21"/>
              </w:rPr>
              <w:t>；</w:t>
            </w:r>
          </w:p>
          <w:p w14:paraId="685C3EA1">
            <w:pPr>
              <w:ind w:firstLine="0" w:firstLineChars="0"/>
              <w:rPr>
                <w:rFonts w:cs="Times New Roman"/>
                <w:szCs w:val="21"/>
              </w:rPr>
            </w:pPr>
            <w:r>
              <w:rPr>
                <w:rFonts w:hint="eastAsia" w:cs="Times New Roman"/>
                <w:b/>
                <w:bCs/>
                <w:szCs w:val="21"/>
              </w:rPr>
              <w:t>良好：</w:t>
            </w:r>
            <w:r>
              <w:rPr>
                <w:rFonts w:hint="eastAsia" w:cs="Times New Roman"/>
                <w:szCs w:val="21"/>
              </w:rPr>
              <w:t>4分，</w:t>
            </w:r>
            <w:r>
              <w:rPr>
                <w:rFonts w:cs="Times New Roman"/>
                <w:szCs w:val="21"/>
              </w:rPr>
              <w:t>指</w:t>
            </w:r>
            <w:r>
              <w:rPr>
                <w:rFonts w:hint="eastAsia" w:cs="Times New Roman"/>
                <w:szCs w:val="21"/>
              </w:rPr>
              <w:t>乙方</w:t>
            </w:r>
            <w:r>
              <w:rPr>
                <w:rFonts w:cs="Times New Roman"/>
                <w:szCs w:val="21"/>
              </w:rPr>
              <w:t>能够快速响应需求，交付成果达到合同约定的预期目标，基本契合需求，满足合同约定的预期目标</w:t>
            </w:r>
            <w:r>
              <w:rPr>
                <w:rFonts w:hint="eastAsia" w:cs="Times New Roman"/>
                <w:szCs w:val="21"/>
              </w:rPr>
              <w:t>；</w:t>
            </w:r>
          </w:p>
          <w:p w14:paraId="4E22DCD2">
            <w:pPr>
              <w:ind w:firstLine="0" w:firstLineChars="0"/>
              <w:rPr>
                <w:rFonts w:cs="Times New Roman"/>
                <w:szCs w:val="21"/>
              </w:rPr>
            </w:pPr>
            <w:r>
              <w:rPr>
                <w:rFonts w:hint="eastAsia" w:cs="Times New Roman"/>
                <w:b/>
                <w:bCs/>
                <w:szCs w:val="21"/>
              </w:rPr>
              <w:t>合格：</w:t>
            </w:r>
            <w:r>
              <w:rPr>
                <w:rFonts w:hint="eastAsia" w:cs="Times New Roman"/>
                <w:szCs w:val="21"/>
              </w:rPr>
              <w:t>3分，</w:t>
            </w:r>
            <w:r>
              <w:rPr>
                <w:rFonts w:cs="Times New Roman"/>
                <w:szCs w:val="21"/>
              </w:rPr>
              <w:t>指</w:t>
            </w:r>
            <w:r>
              <w:rPr>
                <w:rFonts w:hint="eastAsia" w:cs="Times New Roman"/>
                <w:szCs w:val="21"/>
              </w:rPr>
              <w:t>乙方</w:t>
            </w:r>
            <w:r>
              <w:rPr>
                <w:rFonts w:cs="Times New Roman"/>
                <w:szCs w:val="21"/>
              </w:rPr>
              <w:t>能够按要求响应需求，交付成果</w:t>
            </w:r>
            <w:r>
              <w:rPr>
                <w:rFonts w:hint="eastAsia" w:cs="Times New Roman"/>
                <w:szCs w:val="21"/>
              </w:rPr>
              <w:t>基本满足</w:t>
            </w:r>
            <w:r>
              <w:rPr>
                <w:rFonts w:cs="Times New Roman"/>
                <w:szCs w:val="21"/>
              </w:rPr>
              <w:t>需求，但是总体可满足合同约定的预期目标</w:t>
            </w:r>
            <w:r>
              <w:rPr>
                <w:rFonts w:hint="eastAsia" w:cs="Times New Roman"/>
                <w:szCs w:val="21"/>
              </w:rPr>
              <w:t>；</w:t>
            </w:r>
          </w:p>
          <w:p w14:paraId="282AF8C8">
            <w:pPr>
              <w:ind w:firstLine="0" w:firstLineChars="0"/>
              <w:rPr>
                <w:rFonts w:cs="Times New Roman"/>
                <w:szCs w:val="21"/>
              </w:rPr>
            </w:pPr>
            <w:r>
              <w:rPr>
                <w:rFonts w:hint="eastAsia" w:cs="Times New Roman"/>
                <w:b/>
                <w:bCs/>
                <w:szCs w:val="21"/>
              </w:rPr>
              <w:t>较差/差：</w:t>
            </w:r>
            <w:r>
              <w:rPr>
                <w:rFonts w:hint="eastAsia" w:cs="Times New Roman"/>
                <w:szCs w:val="21"/>
              </w:rPr>
              <w:t>0分，</w:t>
            </w:r>
            <w:r>
              <w:rPr>
                <w:rFonts w:cs="Times New Roman"/>
                <w:szCs w:val="21"/>
              </w:rPr>
              <w:t>指</w:t>
            </w:r>
            <w:r>
              <w:rPr>
                <w:rFonts w:hint="eastAsia" w:cs="Times New Roman"/>
                <w:szCs w:val="21"/>
              </w:rPr>
              <w:t>乙方未</w:t>
            </w:r>
            <w:r>
              <w:rPr>
                <w:rFonts w:cs="Times New Roman"/>
                <w:szCs w:val="21"/>
              </w:rPr>
              <w:t>能够按要求响应需求，</w:t>
            </w:r>
            <w:r>
              <w:rPr>
                <w:rFonts w:hint="eastAsia" w:cs="Times New Roman"/>
                <w:szCs w:val="21"/>
              </w:rPr>
              <w:t>或</w:t>
            </w:r>
            <w:r>
              <w:rPr>
                <w:rFonts w:cs="Times New Roman"/>
                <w:szCs w:val="21"/>
              </w:rPr>
              <w:t>交付成果与需求</w:t>
            </w:r>
            <w:r>
              <w:rPr>
                <w:rFonts w:hint="eastAsia" w:cs="Times New Roman"/>
                <w:szCs w:val="21"/>
              </w:rPr>
              <w:t>契合度</w:t>
            </w:r>
            <w:r>
              <w:rPr>
                <w:rFonts w:cs="Times New Roman"/>
                <w:szCs w:val="21"/>
              </w:rPr>
              <w:t>差距较大，无法达到合同约定的预期目标</w:t>
            </w:r>
            <w:r>
              <w:rPr>
                <w:rFonts w:hint="eastAsia" w:cs="Times New Roman"/>
                <w:szCs w:val="21"/>
              </w:rPr>
              <w:t>。</w:t>
            </w:r>
          </w:p>
        </w:tc>
        <w:tc>
          <w:tcPr>
            <w:tcW w:w="1276" w:type="dxa"/>
            <w:tcBorders>
              <w:left w:val="single" w:color="auto" w:sz="4" w:space="0"/>
            </w:tcBorders>
            <w:vAlign w:val="center"/>
          </w:tcPr>
          <w:p w14:paraId="3B3F6A59">
            <w:pPr>
              <w:ind w:firstLine="0" w:firstLineChars="0"/>
              <w:rPr>
                <w:rFonts w:cs="Times New Roman"/>
                <w:szCs w:val="21"/>
              </w:rPr>
            </w:pPr>
            <w:r>
              <w:rPr>
                <w:rFonts w:hint="eastAsia" w:cs="Times New Roman"/>
                <w:szCs w:val="21"/>
              </w:rPr>
              <w:t>交付成果每缺少一项扣除乙方金额人民币2</w:t>
            </w:r>
            <w:r>
              <w:rPr>
                <w:rFonts w:cs="Times New Roman"/>
                <w:szCs w:val="21"/>
              </w:rPr>
              <w:t>000</w:t>
            </w:r>
            <w:r>
              <w:rPr>
                <w:rFonts w:hint="eastAsia" w:cs="Times New Roman"/>
                <w:szCs w:val="21"/>
              </w:rPr>
              <w:t>元；每有一项交付成果质量不合格扣除乙方金额人民币2</w:t>
            </w:r>
            <w:r>
              <w:rPr>
                <w:rFonts w:cs="Times New Roman"/>
                <w:szCs w:val="21"/>
              </w:rPr>
              <w:t>000</w:t>
            </w:r>
            <w:r>
              <w:rPr>
                <w:rFonts w:hint="eastAsia" w:cs="Times New Roman"/>
                <w:szCs w:val="21"/>
              </w:rPr>
              <w:t>元。</w:t>
            </w:r>
          </w:p>
        </w:tc>
      </w:tr>
      <w:tr w14:paraId="59B6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3295D1A">
            <w:pPr>
              <w:ind w:firstLine="0" w:firstLineChars="0"/>
              <w:jc w:val="center"/>
              <w:rPr>
                <w:rFonts w:cs="Times New Roman"/>
                <w:szCs w:val="21"/>
              </w:rPr>
            </w:pPr>
            <w:r>
              <w:rPr>
                <w:rFonts w:hint="eastAsia" w:cs="Times New Roman"/>
                <w:szCs w:val="21"/>
              </w:rPr>
              <w:t>2</w:t>
            </w:r>
          </w:p>
        </w:tc>
        <w:tc>
          <w:tcPr>
            <w:tcW w:w="992" w:type="dxa"/>
            <w:vMerge w:val="continue"/>
            <w:tcBorders>
              <w:left w:val="single" w:color="auto" w:sz="4" w:space="0"/>
            </w:tcBorders>
          </w:tcPr>
          <w:p w14:paraId="49243DBC">
            <w:pPr>
              <w:ind w:firstLine="420"/>
            </w:pPr>
          </w:p>
        </w:tc>
        <w:tc>
          <w:tcPr>
            <w:tcW w:w="704" w:type="dxa"/>
            <w:tcBorders>
              <w:left w:val="single" w:color="auto" w:sz="4" w:space="0"/>
            </w:tcBorders>
            <w:vAlign w:val="center"/>
          </w:tcPr>
          <w:p w14:paraId="25F49113">
            <w:pPr>
              <w:ind w:firstLine="0" w:firstLineChars="0"/>
              <w:rPr>
                <w:rFonts w:cs="Times New Roman"/>
                <w:szCs w:val="21"/>
              </w:rPr>
            </w:pPr>
            <w:r>
              <w:rPr>
                <w:rFonts w:cs="Times New Roman"/>
                <w:szCs w:val="21"/>
              </w:rPr>
              <w:t>成果交付延期情况</w:t>
            </w:r>
          </w:p>
        </w:tc>
        <w:tc>
          <w:tcPr>
            <w:tcW w:w="1134" w:type="dxa"/>
            <w:tcBorders>
              <w:left w:val="single" w:color="auto" w:sz="4" w:space="0"/>
            </w:tcBorders>
            <w:vAlign w:val="center"/>
          </w:tcPr>
          <w:p w14:paraId="75B38107">
            <w:pPr>
              <w:ind w:firstLine="0" w:firstLineChars="0"/>
              <w:rPr>
                <w:rFonts w:cs="Times New Roman"/>
                <w:szCs w:val="21"/>
              </w:rPr>
            </w:pPr>
            <w:r>
              <w:rPr>
                <w:rFonts w:cs="Times New Roman"/>
                <w:szCs w:val="21"/>
              </w:rPr>
              <w:t>用于记录</w:t>
            </w:r>
            <w:r>
              <w:rPr>
                <w:rFonts w:hint="eastAsia" w:cs="Times New Roman"/>
                <w:szCs w:val="21"/>
              </w:rPr>
              <w:t>因乙方原因导致</w:t>
            </w:r>
            <w:r>
              <w:rPr>
                <w:rFonts w:cs="Times New Roman"/>
                <w:szCs w:val="21"/>
              </w:rPr>
              <w:t>项目交付成果时间与合同规定时间之间的差距</w:t>
            </w:r>
          </w:p>
        </w:tc>
        <w:tc>
          <w:tcPr>
            <w:tcW w:w="3544" w:type="dxa"/>
            <w:tcBorders>
              <w:left w:val="single" w:color="auto" w:sz="4" w:space="0"/>
            </w:tcBorders>
            <w:vAlign w:val="center"/>
          </w:tcPr>
          <w:p w14:paraId="3C988B10">
            <w:pPr>
              <w:ind w:firstLine="0" w:firstLineChars="0"/>
              <w:rPr>
                <w:rFonts w:cs="Times New Roman"/>
                <w:szCs w:val="21"/>
              </w:rPr>
            </w:pPr>
            <w:r>
              <w:rPr>
                <w:rFonts w:hint="eastAsia" w:cs="Times New Roman"/>
                <w:szCs w:val="21"/>
              </w:rPr>
              <w:t>实</w:t>
            </w:r>
            <w:r>
              <w:rPr>
                <w:rFonts w:cs="Times New Roman"/>
                <w:szCs w:val="21"/>
              </w:rPr>
              <w:t>际交付成果日期与合同约定交付日期之差</w:t>
            </w:r>
          </w:p>
          <w:p w14:paraId="4B377B6F">
            <w:pPr>
              <w:ind w:firstLine="0" w:firstLineChars="0"/>
              <w:rPr>
                <w:rFonts w:cs="Times New Roman"/>
                <w:szCs w:val="21"/>
              </w:rPr>
            </w:pPr>
            <w:r>
              <w:rPr>
                <w:rFonts w:hint="eastAsia" w:cs="Times New Roman"/>
                <w:b/>
                <w:bCs/>
                <w:szCs w:val="21"/>
              </w:rPr>
              <w:t>【得分上限5分】</w:t>
            </w:r>
          </w:p>
          <w:p w14:paraId="028E4006">
            <w:pPr>
              <w:ind w:firstLine="0" w:firstLineChars="0"/>
              <w:rPr>
                <w:rFonts w:cs="Times New Roman"/>
                <w:szCs w:val="21"/>
              </w:rPr>
            </w:pPr>
            <w:r>
              <w:rPr>
                <w:rFonts w:hint="eastAsia" w:cs="Times New Roman"/>
                <w:b/>
                <w:bCs/>
                <w:szCs w:val="21"/>
              </w:rPr>
              <w:t>无延期：</w:t>
            </w:r>
            <w:r>
              <w:rPr>
                <w:rFonts w:hint="eastAsia" w:cs="Times New Roman"/>
                <w:szCs w:val="21"/>
              </w:rPr>
              <w:t>指未出现延期，该项指标满分；</w:t>
            </w:r>
          </w:p>
          <w:p w14:paraId="533A4F39">
            <w:pPr>
              <w:ind w:firstLine="0" w:firstLineChars="0"/>
              <w:rPr>
                <w:rFonts w:cs="Times New Roman"/>
                <w:szCs w:val="21"/>
              </w:rPr>
            </w:pPr>
            <w:r>
              <w:rPr>
                <w:rFonts w:hint="eastAsia" w:cs="Times New Roman"/>
                <w:b/>
                <w:bCs/>
                <w:szCs w:val="21"/>
              </w:rPr>
              <w:t>0＜延期≤3个月：</w:t>
            </w:r>
            <w:r>
              <w:rPr>
                <w:rFonts w:hint="eastAsia" w:cs="Times New Roman"/>
                <w:szCs w:val="21"/>
              </w:rPr>
              <w:t>扣2分，指出现延期3个月</w:t>
            </w:r>
            <w:r>
              <w:rPr>
                <w:rFonts w:cs="Times New Roman"/>
                <w:szCs w:val="21"/>
              </w:rPr>
              <w:t>（含）</w:t>
            </w:r>
            <w:r>
              <w:rPr>
                <w:rFonts w:hint="eastAsia" w:cs="Times New Roman"/>
                <w:szCs w:val="21"/>
              </w:rPr>
              <w:t>以内；</w:t>
            </w:r>
          </w:p>
          <w:p w14:paraId="1E189F89">
            <w:pPr>
              <w:ind w:firstLine="0" w:firstLineChars="0"/>
              <w:rPr>
                <w:rFonts w:cs="Times New Roman"/>
                <w:szCs w:val="21"/>
              </w:rPr>
            </w:pPr>
            <w:r>
              <w:rPr>
                <w:rFonts w:hint="eastAsia" w:cs="Times New Roman"/>
                <w:b/>
                <w:bCs/>
                <w:szCs w:val="21"/>
              </w:rPr>
              <w:t>3＜延期≤6个月：</w:t>
            </w:r>
            <w:r>
              <w:rPr>
                <w:rFonts w:hint="eastAsia" w:cs="Times New Roman"/>
                <w:szCs w:val="21"/>
              </w:rPr>
              <w:t>扣3分，指出现延期大于3个月且小于等于6个月；</w:t>
            </w:r>
          </w:p>
          <w:p w14:paraId="3F6E5C63">
            <w:pPr>
              <w:ind w:firstLine="0" w:firstLineChars="0"/>
              <w:rPr>
                <w:rFonts w:cs="Times New Roman"/>
                <w:b/>
                <w:bCs/>
                <w:szCs w:val="21"/>
              </w:rPr>
            </w:pPr>
            <w:r>
              <w:rPr>
                <w:rFonts w:hint="eastAsia" w:cs="Times New Roman"/>
                <w:b/>
                <w:bCs/>
                <w:szCs w:val="21"/>
              </w:rPr>
              <w:t>延期6个月以上：</w:t>
            </w:r>
            <w:r>
              <w:rPr>
                <w:rFonts w:hint="eastAsia" w:cs="Times New Roman"/>
                <w:szCs w:val="21"/>
              </w:rPr>
              <w:t>扣5分，指出现延期6个月以上。</w:t>
            </w:r>
          </w:p>
        </w:tc>
        <w:tc>
          <w:tcPr>
            <w:tcW w:w="1276" w:type="dxa"/>
            <w:tcBorders>
              <w:left w:val="single" w:color="auto" w:sz="4" w:space="0"/>
            </w:tcBorders>
            <w:vAlign w:val="center"/>
          </w:tcPr>
          <w:p w14:paraId="397AFF0D">
            <w:pPr>
              <w:ind w:firstLine="0" w:firstLineChars="0"/>
              <w:rPr>
                <w:rFonts w:cs="Times New Roman"/>
                <w:b/>
                <w:bCs/>
                <w:szCs w:val="21"/>
              </w:rPr>
            </w:pPr>
            <w:r>
              <w:rPr>
                <w:rFonts w:hint="eastAsia" w:cs="Times New Roman"/>
                <w:szCs w:val="21"/>
              </w:rPr>
              <w:t>若延期超过1个月，每延期增加一天扣除合同总金额的0.1%（注：最多扣除不超过合同总金额的10%）。</w:t>
            </w:r>
          </w:p>
        </w:tc>
      </w:tr>
      <w:tr w14:paraId="4D40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32E5AC4">
            <w:pPr>
              <w:ind w:firstLine="0" w:firstLineChars="0"/>
              <w:jc w:val="center"/>
              <w:rPr>
                <w:rFonts w:cs="Times New Roman"/>
                <w:szCs w:val="21"/>
              </w:rPr>
            </w:pPr>
            <w:r>
              <w:rPr>
                <w:rFonts w:hint="eastAsia" w:cs="Times New Roman"/>
                <w:szCs w:val="21"/>
              </w:rPr>
              <w:t>3</w:t>
            </w:r>
          </w:p>
        </w:tc>
        <w:tc>
          <w:tcPr>
            <w:tcW w:w="992" w:type="dxa"/>
            <w:vMerge w:val="continue"/>
            <w:tcBorders>
              <w:left w:val="single" w:color="auto" w:sz="4" w:space="0"/>
            </w:tcBorders>
          </w:tcPr>
          <w:p w14:paraId="2989D943">
            <w:pPr>
              <w:ind w:firstLine="420"/>
            </w:pPr>
          </w:p>
        </w:tc>
        <w:tc>
          <w:tcPr>
            <w:tcW w:w="704" w:type="dxa"/>
            <w:tcBorders>
              <w:left w:val="single" w:color="auto" w:sz="4" w:space="0"/>
            </w:tcBorders>
            <w:vAlign w:val="center"/>
          </w:tcPr>
          <w:p w14:paraId="297BEC5C">
            <w:pPr>
              <w:ind w:firstLine="0" w:firstLineChars="0"/>
              <w:rPr>
                <w:rFonts w:cs="Times New Roman"/>
                <w:szCs w:val="21"/>
              </w:rPr>
            </w:pPr>
            <w:r>
              <w:rPr>
                <w:rFonts w:cs="Times New Roman"/>
                <w:szCs w:val="21"/>
              </w:rPr>
              <w:t>产品缺陷密度</w:t>
            </w:r>
          </w:p>
        </w:tc>
        <w:tc>
          <w:tcPr>
            <w:tcW w:w="1134" w:type="dxa"/>
            <w:tcBorders>
              <w:left w:val="single" w:color="auto" w:sz="4" w:space="0"/>
            </w:tcBorders>
            <w:vAlign w:val="center"/>
          </w:tcPr>
          <w:p w14:paraId="0E4AA0C2">
            <w:pPr>
              <w:ind w:firstLine="0" w:firstLineChars="0"/>
              <w:rPr>
                <w:rFonts w:cs="Times New Roman"/>
                <w:szCs w:val="21"/>
              </w:rPr>
            </w:pPr>
            <w:r>
              <w:rPr>
                <w:rFonts w:cs="Times New Roman"/>
                <w:szCs w:val="21"/>
              </w:rPr>
              <w:t>用于记录统计周期内单位功能</w:t>
            </w:r>
            <w:r>
              <w:rPr>
                <w:rFonts w:hint="eastAsia" w:cs="Times New Roman"/>
                <w:szCs w:val="21"/>
              </w:rPr>
              <w:t>（案例）</w:t>
            </w:r>
            <w:r>
              <w:rPr>
                <w:rFonts w:cs="Times New Roman"/>
                <w:szCs w:val="21"/>
              </w:rPr>
              <w:t>点发现的缺陷数量</w:t>
            </w:r>
          </w:p>
        </w:tc>
        <w:tc>
          <w:tcPr>
            <w:tcW w:w="3544" w:type="dxa"/>
            <w:tcBorders>
              <w:left w:val="single" w:color="auto" w:sz="4" w:space="0"/>
            </w:tcBorders>
            <w:vAlign w:val="center"/>
          </w:tcPr>
          <w:p w14:paraId="666F3B3A">
            <w:pPr>
              <w:ind w:firstLine="0" w:firstLineChars="0"/>
              <w:rPr>
                <w:rFonts w:cs="Times New Roman"/>
                <w:szCs w:val="21"/>
              </w:rPr>
            </w:pPr>
            <w:r>
              <w:rPr>
                <w:rFonts w:hint="eastAsia" w:cs="Times New Roman"/>
                <w:szCs w:val="21"/>
              </w:rPr>
              <w:t>产</w:t>
            </w:r>
            <w:r>
              <w:rPr>
                <w:rFonts w:cs="Times New Roman"/>
                <w:szCs w:val="21"/>
              </w:rPr>
              <w:t>品缺陷密度=统计周期内发现的该系统有效缺陷数/统计周期内该系统功能点总数</w:t>
            </w:r>
            <w:r>
              <w:rPr>
                <w:rFonts w:hint="eastAsia" w:cs="Times New Roman"/>
                <w:szCs w:val="21"/>
              </w:rPr>
              <w:t>（案例数）</w:t>
            </w:r>
          </w:p>
          <w:p w14:paraId="7505FD14">
            <w:pPr>
              <w:ind w:firstLine="0" w:firstLineChars="0"/>
              <w:rPr>
                <w:rFonts w:cs="Times New Roman"/>
                <w:b/>
                <w:szCs w:val="21"/>
              </w:rPr>
            </w:pPr>
            <w:r>
              <w:rPr>
                <w:rFonts w:hint="eastAsia" w:cs="Times New Roman"/>
                <w:b/>
                <w:szCs w:val="21"/>
              </w:rPr>
              <w:t>10分【0-5%】</w:t>
            </w:r>
          </w:p>
          <w:p w14:paraId="50A64DEE">
            <w:pPr>
              <w:ind w:firstLine="0" w:firstLineChars="0"/>
              <w:rPr>
                <w:rFonts w:cs="Times New Roman"/>
                <w:b/>
                <w:szCs w:val="21"/>
              </w:rPr>
            </w:pPr>
            <w:r>
              <w:rPr>
                <w:rFonts w:hint="eastAsia" w:cs="Times New Roman"/>
                <w:b/>
                <w:szCs w:val="21"/>
              </w:rPr>
              <w:t>5分【5%-20%】</w:t>
            </w:r>
          </w:p>
          <w:p w14:paraId="1BCC3132">
            <w:pPr>
              <w:ind w:firstLine="0" w:firstLineChars="0"/>
              <w:rPr>
                <w:rFonts w:cs="Times New Roman"/>
                <w:b/>
                <w:szCs w:val="21"/>
              </w:rPr>
            </w:pPr>
            <w:r>
              <w:rPr>
                <w:rFonts w:hint="eastAsia" w:cs="Times New Roman"/>
                <w:b/>
                <w:szCs w:val="21"/>
              </w:rPr>
              <w:t>0分【超过20%】</w:t>
            </w:r>
          </w:p>
        </w:tc>
        <w:tc>
          <w:tcPr>
            <w:tcW w:w="1276" w:type="dxa"/>
            <w:tcBorders>
              <w:left w:val="single" w:color="auto" w:sz="4" w:space="0"/>
            </w:tcBorders>
            <w:vAlign w:val="center"/>
          </w:tcPr>
          <w:p w14:paraId="58254A45">
            <w:pPr>
              <w:ind w:firstLine="0" w:firstLineChars="0"/>
              <w:rPr>
                <w:rFonts w:cs="Times New Roman"/>
                <w:szCs w:val="21"/>
              </w:rPr>
            </w:pPr>
            <w:r>
              <w:rPr>
                <w:rFonts w:hint="eastAsia" w:cs="Times New Roman"/>
                <w:szCs w:val="21"/>
              </w:rPr>
              <w:t>产</w:t>
            </w:r>
            <w:r>
              <w:rPr>
                <w:rFonts w:cs="Times New Roman"/>
                <w:szCs w:val="21"/>
              </w:rPr>
              <w:t>品缺</w:t>
            </w:r>
            <w:r>
              <w:rPr>
                <w:rFonts w:hint="eastAsia" w:cs="Times New Roman"/>
                <w:szCs w:val="21"/>
              </w:rPr>
              <w:t>陷</w:t>
            </w:r>
            <w:r>
              <w:rPr>
                <w:rFonts w:cs="Times New Roman"/>
                <w:szCs w:val="21"/>
              </w:rPr>
              <w:t>密度</w:t>
            </w:r>
            <w:r>
              <w:rPr>
                <w:rFonts w:hint="eastAsia" w:cs="Times New Roman"/>
                <w:szCs w:val="21"/>
              </w:rPr>
              <w:t>超过20%，缺陷密度每增加1%扣除合同总金额的0.1%。</w:t>
            </w:r>
          </w:p>
        </w:tc>
      </w:tr>
      <w:tr w14:paraId="3AE9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DF1209C">
            <w:pPr>
              <w:ind w:firstLine="0" w:firstLineChars="0"/>
              <w:jc w:val="center"/>
              <w:rPr>
                <w:rFonts w:cs="Times New Roman"/>
                <w:szCs w:val="21"/>
              </w:rPr>
            </w:pPr>
            <w:r>
              <w:rPr>
                <w:rFonts w:hint="eastAsia" w:cs="Times New Roman"/>
                <w:szCs w:val="21"/>
              </w:rPr>
              <w:t>4</w:t>
            </w:r>
          </w:p>
        </w:tc>
        <w:tc>
          <w:tcPr>
            <w:tcW w:w="992" w:type="dxa"/>
            <w:vMerge w:val="continue"/>
            <w:tcBorders>
              <w:left w:val="single" w:color="auto" w:sz="4" w:space="0"/>
            </w:tcBorders>
          </w:tcPr>
          <w:p w14:paraId="6D404760">
            <w:pPr>
              <w:ind w:firstLine="420"/>
            </w:pPr>
          </w:p>
        </w:tc>
        <w:tc>
          <w:tcPr>
            <w:tcW w:w="704" w:type="dxa"/>
            <w:tcBorders>
              <w:left w:val="single" w:color="auto" w:sz="4" w:space="0"/>
            </w:tcBorders>
            <w:vAlign w:val="center"/>
          </w:tcPr>
          <w:p w14:paraId="7A3FF500">
            <w:pPr>
              <w:ind w:firstLine="0" w:firstLineChars="0"/>
              <w:rPr>
                <w:rFonts w:cs="Times New Roman"/>
                <w:szCs w:val="21"/>
              </w:rPr>
            </w:pPr>
            <w:r>
              <w:rPr>
                <w:rFonts w:cs="Times New Roman"/>
                <w:szCs w:val="21"/>
              </w:rPr>
              <w:t>缺陷</w:t>
            </w:r>
            <w:r>
              <w:rPr>
                <w:rFonts w:hint="eastAsia" w:cs="Times New Roman"/>
                <w:szCs w:val="21"/>
              </w:rPr>
              <w:t>解决率</w:t>
            </w:r>
          </w:p>
        </w:tc>
        <w:tc>
          <w:tcPr>
            <w:tcW w:w="1134" w:type="dxa"/>
            <w:tcBorders>
              <w:left w:val="single" w:color="auto" w:sz="4" w:space="0"/>
            </w:tcBorders>
            <w:vAlign w:val="center"/>
          </w:tcPr>
          <w:p w14:paraId="5438632B">
            <w:pPr>
              <w:ind w:firstLine="0" w:firstLineChars="0"/>
              <w:rPr>
                <w:rFonts w:cs="Times New Roman"/>
                <w:szCs w:val="21"/>
              </w:rPr>
            </w:pPr>
            <w:r>
              <w:rPr>
                <w:rFonts w:cs="Times New Roman"/>
                <w:szCs w:val="21"/>
              </w:rPr>
              <w:t>用于记录统计周期内测试发现的缺陷中已解决缺陷的比例</w:t>
            </w:r>
          </w:p>
        </w:tc>
        <w:tc>
          <w:tcPr>
            <w:tcW w:w="3544" w:type="dxa"/>
            <w:tcBorders>
              <w:left w:val="single" w:color="auto" w:sz="4" w:space="0"/>
            </w:tcBorders>
            <w:vAlign w:val="center"/>
          </w:tcPr>
          <w:p w14:paraId="1B3086FB">
            <w:pPr>
              <w:ind w:firstLine="0" w:firstLineChars="0"/>
              <w:rPr>
                <w:rFonts w:cs="Times New Roman"/>
                <w:szCs w:val="21"/>
              </w:rPr>
            </w:pPr>
            <w:r>
              <w:rPr>
                <w:rFonts w:cs="Times New Roman"/>
                <w:szCs w:val="21"/>
              </w:rPr>
              <w:t>缺陷解决率=统计周期内测试发现的有效缺陷中已解决的数量/统计周期内测试发现的有效缺陷总数量</w:t>
            </w:r>
          </w:p>
          <w:p w14:paraId="15879669">
            <w:pPr>
              <w:ind w:firstLine="0" w:firstLineChars="0"/>
              <w:rPr>
                <w:rFonts w:cs="Times New Roman"/>
                <w:b/>
                <w:szCs w:val="21"/>
              </w:rPr>
            </w:pPr>
            <w:r>
              <w:rPr>
                <w:rFonts w:hint="eastAsia" w:cs="Times New Roman"/>
                <w:b/>
                <w:szCs w:val="21"/>
              </w:rPr>
              <w:t>10分【98%-100%】</w:t>
            </w:r>
          </w:p>
          <w:p w14:paraId="7D233741">
            <w:pPr>
              <w:ind w:firstLine="0" w:firstLineChars="0"/>
              <w:rPr>
                <w:rFonts w:cs="Times New Roman"/>
                <w:b/>
                <w:szCs w:val="21"/>
              </w:rPr>
            </w:pPr>
            <w:r>
              <w:rPr>
                <w:rFonts w:hint="eastAsia" w:cs="Times New Roman"/>
                <w:b/>
                <w:szCs w:val="21"/>
              </w:rPr>
              <w:t>5分【95%-97%】</w:t>
            </w:r>
          </w:p>
          <w:p w14:paraId="131AB241">
            <w:pPr>
              <w:ind w:firstLine="0" w:firstLineChars="0"/>
              <w:rPr>
                <w:rFonts w:cs="Times New Roman"/>
                <w:b/>
                <w:szCs w:val="21"/>
              </w:rPr>
            </w:pPr>
            <w:r>
              <w:rPr>
                <w:rFonts w:hint="eastAsia" w:cs="Times New Roman"/>
                <w:b/>
                <w:szCs w:val="21"/>
              </w:rPr>
              <w:t>0分【低于95%】</w:t>
            </w:r>
          </w:p>
        </w:tc>
        <w:tc>
          <w:tcPr>
            <w:tcW w:w="1276" w:type="dxa"/>
            <w:tcBorders>
              <w:left w:val="single" w:color="auto" w:sz="4" w:space="0"/>
            </w:tcBorders>
            <w:vAlign w:val="center"/>
          </w:tcPr>
          <w:p w14:paraId="694B7D61">
            <w:pPr>
              <w:ind w:firstLine="0" w:firstLineChars="0"/>
              <w:rPr>
                <w:rFonts w:cs="Times New Roman"/>
                <w:szCs w:val="21"/>
              </w:rPr>
            </w:pPr>
            <w:r>
              <w:rPr>
                <w:rFonts w:hint="eastAsia" w:cs="Times New Roman"/>
                <w:szCs w:val="21"/>
              </w:rPr>
              <w:t>若</w:t>
            </w:r>
            <w:r>
              <w:rPr>
                <w:rFonts w:cs="Times New Roman"/>
                <w:szCs w:val="21"/>
              </w:rPr>
              <w:t>缺陷解决率</w:t>
            </w:r>
            <w:r>
              <w:rPr>
                <w:rFonts w:hint="eastAsia" w:cs="Times New Roman"/>
                <w:bCs/>
                <w:szCs w:val="21"/>
              </w:rPr>
              <w:t>低于95</w:t>
            </w:r>
            <w:r>
              <w:rPr>
                <w:rFonts w:hint="eastAsia" w:cs="Times New Roman"/>
                <w:szCs w:val="21"/>
              </w:rPr>
              <w:t>%，</w:t>
            </w:r>
            <w:r>
              <w:rPr>
                <w:rFonts w:cs="Times New Roman"/>
                <w:szCs w:val="21"/>
              </w:rPr>
              <w:t>缺陷</w:t>
            </w:r>
            <w:r>
              <w:rPr>
                <w:rFonts w:hint="eastAsia" w:cs="Times New Roman"/>
                <w:szCs w:val="21"/>
              </w:rPr>
              <w:t>解决率每低1%扣除合同总金额的0.1%。</w:t>
            </w:r>
          </w:p>
        </w:tc>
      </w:tr>
      <w:tr w14:paraId="5BCB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6EE48D2">
            <w:pPr>
              <w:ind w:firstLine="0" w:firstLineChars="0"/>
              <w:jc w:val="center"/>
              <w:rPr>
                <w:rFonts w:cs="Times New Roman"/>
                <w:szCs w:val="21"/>
              </w:rPr>
            </w:pPr>
            <w:r>
              <w:rPr>
                <w:rFonts w:hint="eastAsia" w:cs="Times New Roman"/>
                <w:szCs w:val="21"/>
              </w:rPr>
              <w:t>5</w:t>
            </w:r>
          </w:p>
        </w:tc>
        <w:tc>
          <w:tcPr>
            <w:tcW w:w="992" w:type="dxa"/>
            <w:vMerge w:val="restart"/>
            <w:tcBorders>
              <w:left w:val="single" w:color="auto" w:sz="4" w:space="0"/>
            </w:tcBorders>
            <w:vAlign w:val="center"/>
          </w:tcPr>
          <w:p w14:paraId="15CA0E00">
            <w:pPr>
              <w:ind w:firstLine="0" w:firstLineChars="0"/>
              <w:rPr>
                <w:rFonts w:cs="Times New Roman"/>
                <w:szCs w:val="21"/>
              </w:rPr>
            </w:pPr>
            <w:r>
              <w:rPr>
                <w:rFonts w:hint="eastAsia" w:cs="Times New Roman"/>
                <w:szCs w:val="21"/>
              </w:rPr>
              <w:t>协议履行</w:t>
            </w:r>
          </w:p>
        </w:tc>
        <w:tc>
          <w:tcPr>
            <w:tcW w:w="704" w:type="dxa"/>
            <w:tcBorders>
              <w:left w:val="single" w:color="auto" w:sz="4" w:space="0"/>
            </w:tcBorders>
            <w:vAlign w:val="center"/>
          </w:tcPr>
          <w:p w14:paraId="4A52FE36">
            <w:pPr>
              <w:ind w:firstLine="0" w:firstLineChars="0"/>
              <w:rPr>
                <w:rFonts w:cs="Times New Roman"/>
                <w:szCs w:val="21"/>
              </w:rPr>
            </w:pPr>
            <w:r>
              <w:rPr>
                <w:rFonts w:cs="Times New Roman"/>
                <w:szCs w:val="21"/>
              </w:rPr>
              <w:t>重大事项报告</w:t>
            </w:r>
          </w:p>
        </w:tc>
        <w:tc>
          <w:tcPr>
            <w:tcW w:w="1134" w:type="dxa"/>
            <w:tcBorders>
              <w:left w:val="single" w:color="auto" w:sz="4" w:space="0"/>
            </w:tcBorders>
            <w:vAlign w:val="center"/>
          </w:tcPr>
          <w:p w14:paraId="132CFF60">
            <w:pPr>
              <w:ind w:firstLine="0" w:firstLineChars="0"/>
              <w:rPr>
                <w:rFonts w:cs="Times New Roman"/>
                <w:szCs w:val="21"/>
              </w:rPr>
            </w:pPr>
            <w:r>
              <w:rPr>
                <w:rFonts w:hint="eastAsia" w:cs="Times New Roman"/>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544" w:type="dxa"/>
            <w:tcBorders>
              <w:left w:val="single" w:color="auto" w:sz="4" w:space="0"/>
            </w:tcBorders>
            <w:vAlign w:val="center"/>
          </w:tcPr>
          <w:p w14:paraId="33CB920D">
            <w:pPr>
              <w:ind w:firstLine="0" w:firstLineChars="0"/>
              <w:rPr>
                <w:rFonts w:cs="Times New Roman"/>
                <w:szCs w:val="21"/>
              </w:rPr>
            </w:pPr>
            <w:r>
              <w:rPr>
                <w:rFonts w:hint="eastAsia" w:cs="Times New Roman"/>
                <w:b/>
                <w:bCs/>
                <w:szCs w:val="21"/>
              </w:rPr>
              <w:t>优秀：</w:t>
            </w:r>
            <w:r>
              <w:rPr>
                <w:rFonts w:hint="eastAsia" w:cs="Times New Roman"/>
                <w:szCs w:val="21"/>
              </w:rPr>
              <w:t>5分，</w:t>
            </w:r>
            <w:r>
              <w:rPr>
                <w:rFonts w:cs="Times New Roman"/>
                <w:szCs w:val="21"/>
              </w:rPr>
              <w:t>指无重大事项或当发生重大事项时，能够于24小时内</w:t>
            </w:r>
            <w:r>
              <w:rPr>
                <w:rFonts w:hint="eastAsia" w:cs="Times New Roman"/>
                <w:szCs w:val="21"/>
              </w:rPr>
              <w:t>告知甲方；</w:t>
            </w:r>
          </w:p>
          <w:p w14:paraId="7DD124FD">
            <w:pPr>
              <w:ind w:firstLine="0" w:firstLineChars="0"/>
              <w:rPr>
                <w:rFonts w:cs="Times New Roman"/>
                <w:szCs w:val="21"/>
              </w:rPr>
            </w:pPr>
            <w:r>
              <w:rPr>
                <w:rFonts w:hint="eastAsia" w:cs="Times New Roman"/>
                <w:b/>
                <w:bCs/>
                <w:szCs w:val="21"/>
              </w:rPr>
              <w:t>良好：</w:t>
            </w:r>
            <w:r>
              <w:rPr>
                <w:rFonts w:hint="eastAsia" w:cs="Times New Roman"/>
                <w:szCs w:val="21"/>
              </w:rPr>
              <w:t>4分，</w:t>
            </w:r>
            <w:r>
              <w:rPr>
                <w:rFonts w:cs="Times New Roman"/>
                <w:szCs w:val="21"/>
              </w:rPr>
              <w:t>指当发生重大事项时，能够于一周内告知</w:t>
            </w:r>
            <w:r>
              <w:rPr>
                <w:rFonts w:hint="eastAsia" w:cs="Times New Roman"/>
                <w:szCs w:val="21"/>
              </w:rPr>
              <w:t>甲方；</w:t>
            </w:r>
          </w:p>
          <w:p w14:paraId="72F9FB2C">
            <w:pPr>
              <w:ind w:firstLine="0" w:firstLineChars="0"/>
              <w:rPr>
                <w:rFonts w:cs="Times New Roman"/>
                <w:szCs w:val="21"/>
              </w:rPr>
            </w:pPr>
            <w:r>
              <w:rPr>
                <w:rFonts w:hint="eastAsia" w:cs="Times New Roman"/>
                <w:b/>
                <w:bCs/>
                <w:szCs w:val="21"/>
              </w:rPr>
              <w:t>合格：</w:t>
            </w:r>
            <w:r>
              <w:rPr>
                <w:rFonts w:hint="eastAsia" w:cs="Times New Roman"/>
                <w:szCs w:val="21"/>
              </w:rPr>
              <w:t>3分，</w:t>
            </w:r>
            <w:r>
              <w:rPr>
                <w:rFonts w:cs="Times New Roman"/>
                <w:szCs w:val="21"/>
              </w:rPr>
              <w:t>指当发生重大事项时，能够于一</w:t>
            </w:r>
            <w:r>
              <w:rPr>
                <w:rFonts w:hint="eastAsia" w:cs="Times New Roman"/>
                <w:szCs w:val="21"/>
              </w:rPr>
              <w:t>月</w:t>
            </w:r>
            <w:r>
              <w:rPr>
                <w:rFonts w:cs="Times New Roman"/>
                <w:szCs w:val="21"/>
              </w:rPr>
              <w:t>内告知</w:t>
            </w:r>
            <w:r>
              <w:rPr>
                <w:rFonts w:hint="eastAsia" w:cs="Times New Roman"/>
                <w:szCs w:val="21"/>
              </w:rPr>
              <w:t>甲方；</w:t>
            </w:r>
          </w:p>
          <w:p w14:paraId="6C5BE228">
            <w:pPr>
              <w:ind w:firstLine="0" w:firstLineChars="0"/>
              <w:rPr>
                <w:rFonts w:cs="Times New Roman"/>
                <w:szCs w:val="21"/>
              </w:rPr>
            </w:pPr>
            <w:r>
              <w:rPr>
                <w:rFonts w:hint="eastAsia" w:cs="Times New Roman"/>
                <w:b/>
                <w:bCs/>
                <w:szCs w:val="21"/>
              </w:rPr>
              <w:t>较差/差</w:t>
            </w:r>
            <w:r>
              <w:rPr>
                <w:rFonts w:hint="eastAsia" w:cs="Times New Roman"/>
                <w:szCs w:val="21"/>
              </w:rPr>
              <w:t>：0分，</w:t>
            </w:r>
            <w:r>
              <w:rPr>
                <w:rFonts w:cs="Times New Roman"/>
                <w:szCs w:val="21"/>
              </w:rPr>
              <w:t>指当发生重大事项时，</w:t>
            </w:r>
            <w:r>
              <w:rPr>
                <w:rFonts w:hint="eastAsia" w:cs="Times New Roman"/>
                <w:szCs w:val="21"/>
              </w:rPr>
              <w:t>未</w:t>
            </w:r>
            <w:r>
              <w:rPr>
                <w:rFonts w:cs="Times New Roman"/>
                <w:szCs w:val="21"/>
              </w:rPr>
              <w:t>告知</w:t>
            </w:r>
            <w:r>
              <w:rPr>
                <w:rFonts w:hint="eastAsia" w:cs="Times New Roman"/>
                <w:szCs w:val="21"/>
              </w:rPr>
              <w:t>甲方。</w:t>
            </w:r>
          </w:p>
        </w:tc>
        <w:tc>
          <w:tcPr>
            <w:tcW w:w="1276" w:type="dxa"/>
            <w:tcBorders>
              <w:left w:val="single" w:color="auto" w:sz="4" w:space="0"/>
            </w:tcBorders>
            <w:vAlign w:val="center"/>
          </w:tcPr>
          <w:p w14:paraId="6DFED858">
            <w:pPr>
              <w:ind w:firstLine="0" w:firstLineChars="0"/>
              <w:rPr>
                <w:rFonts w:cs="Times New Roman"/>
                <w:szCs w:val="21"/>
              </w:rPr>
            </w:pPr>
            <w:r>
              <w:rPr>
                <w:rFonts w:hint="eastAsia" w:cs="Times New Roman"/>
                <w:szCs w:val="21"/>
              </w:rPr>
              <w:t>评价为较差/差时，甲方根据实际情况有权终止合同，并要求乙方赔偿实际损失。</w:t>
            </w:r>
          </w:p>
        </w:tc>
      </w:tr>
      <w:tr w14:paraId="3FC1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8D1179C">
            <w:pPr>
              <w:ind w:firstLine="0" w:firstLineChars="0"/>
              <w:jc w:val="center"/>
              <w:rPr>
                <w:rFonts w:cs="Times New Roman"/>
                <w:szCs w:val="21"/>
              </w:rPr>
            </w:pPr>
            <w:r>
              <w:rPr>
                <w:rFonts w:hint="eastAsia" w:cs="Times New Roman"/>
                <w:szCs w:val="21"/>
              </w:rPr>
              <w:t>6</w:t>
            </w:r>
          </w:p>
        </w:tc>
        <w:tc>
          <w:tcPr>
            <w:tcW w:w="992" w:type="dxa"/>
            <w:vMerge w:val="continue"/>
            <w:tcBorders>
              <w:left w:val="single" w:color="auto" w:sz="4" w:space="0"/>
            </w:tcBorders>
          </w:tcPr>
          <w:p w14:paraId="2F9E1A64">
            <w:pPr>
              <w:ind w:firstLine="420"/>
            </w:pPr>
          </w:p>
        </w:tc>
        <w:tc>
          <w:tcPr>
            <w:tcW w:w="704" w:type="dxa"/>
            <w:tcBorders>
              <w:left w:val="single" w:color="auto" w:sz="4" w:space="0"/>
            </w:tcBorders>
            <w:vAlign w:val="center"/>
          </w:tcPr>
          <w:p w14:paraId="66C8A639">
            <w:pPr>
              <w:ind w:firstLine="0" w:firstLineChars="0"/>
              <w:rPr>
                <w:rFonts w:cs="Times New Roman"/>
                <w:szCs w:val="21"/>
              </w:rPr>
            </w:pPr>
            <w:r>
              <w:rPr>
                <w:rFonts w:cs="Times New Roman"/>
                <w:szCs w:val="21"/>
              </w:rPr>
              <w:t>重大</w:t>
            </w:r>
            <w:r>
              <w:rPr>
                <w:rFonts w:hint="eastAsia" w:cs="Times New Roman"/>
                <w:szCs w:val="21"/>
              </w:rPr>
              <w:t>事件及质量缺陷</w:t>
            </w:r>
          </w:p>
        </w:tc>
        <w:tc>
          <w:tcPr>
            <w:tcW w:w="1134" w:type="dxa"/>
            <w:tcBorders>
              <w:left w:val="single" w:color="auto" w:sz="4" w:space="0"/>
            </w:tcBorders>
            <w:vAlign w:val="center"/>
          </w:tcPr>
          <w:p w14:paraId="629BB8D2">
            <w:pPr>
              <w:ind w:firstLine="0" w:firstLineChars="0"/>
              <w:rPr>
                <w:rFonts w:cs="Times New Roman"/>
                <w:szCs w:val="21"/>
              </w:rPr>
            </w:pPr>
            <w:r>
              <w:rPr>
                <w:rFonts w:hint="eastAsia" w:cs="Times New Roman"/>
                <w:szCs w:val="21"/>
              </w:rPr>
              <w:t>用</w:t>
            </w:r>
            <w:r>
              <w:rPr>
                <w:rFonts w:cs="Times New Roman"/>
                <w:szCs w:val="21"/>
              </w:rPr>
              <w:t>于记录</w:t>
            </w:r>
            <w:r>
              <w:rPr>
                <w:rFonts w:hint="eastAsia" w:cs="Times New Roman"/>
                <w:szCs w:val="21"/>
              </w:rPr>
              <w:t>乙方在服务</w:t>
            </w:r>
            <w:r>
              <w:rPr>
                <w:rFonts w:cs="Times New Roman"/>
                <w:szCs w:val="21"/>
              </w:rPr>
              <w:t>期内出现</w:t>
            </w:r>
            <w:r>
              <w:rPr>
                <w:rFonts w:hint="eastAsia" w:cs="Times New Roman"/>
                <w:szCs w:val="21"/>
              </w:rPr>
              <w:t>以下重大事件及质量缺陷次数：</w:t>
            </w:r>
          </w:p>
          <w:p w14:paraId="54E05F62">
            <w:pPr>
              <w:ind w:firstLine="0" w:firstLineChars="0"/>
              <w:rPr>
                <w:rFonts w:cs="Times New Roman"/>
                <w:szCs w:val="21"/>
              </w:rPr>
            </w:pPr>
            <w:r>
              <w:rPr>
                <w:rFonts w:hint="eastAsia" w:cs="Times New Roman"/>
                <w:szCs w:val="21"/>
              </w:rPr>
              <w:t>a.应用软件出现I</w:t>
            </w:r>
            <w:r>
              <w:rPr>
                <w:rFonts w:cs="Times New Roman"/>
                <w:szCs w:val="21"/>
              </w:rPr>
              <w:t>II</w:t>
            </w:r>
            <w:r>
              <w:rPr>
                <w:rFonts w:hint="eastAsia" w:cs="Times New Roman"/>
                <w:szCs w:val="21"/>
              </w:rPr>
              <w:t>级（含）以上的运营中断事件；</w:t>
            </w:r>
          </w:p>
          <w:p w14:paraId="3C9F9B03">
            <w:pPr>
              <w:ind w:firstLine="0" w:firstLineChars="0"/>
              <w:rPr>
                <w:rFonts w:cs="Times New Roman"/>
                <w:szCs w:val="21"/>
              </w:rPr>
            </w:pPr>
            <w:r>
              <w:rPr>
                <w:rFonts w:hint="eastAsia" w:cs="Times New Roman"/>
                <w:szCs w:val="21"/>
              </w:rPr>
              <w:t>b.因乙方原因（含乙方合作的第三方）导致甲方发生网络安全事件；</w:t>
            </w:r>
          </w:p>
          <w:p w14:paraId="06681806">
            <w:pPr>
              <w:ind w:firstLine="0" w:firstLineChars="0"/>
              <w:rPr>
                <w:rFonts w:cs="Times New Roman"/>
                <w:szCs w:val="21"/>
              </w:rPr>
            </w:pPr>
            <w:r>
              <w:rPr>
                <w:rFonts w:hint="eastAsia" w:cs="Times New Roman"/>
                <w:szCs w:val="21"/>
              </w:rPr>
              <w:t>c.应用软件出现严重缺陷和致命缺陷。</w:t>
            </w:r>
          </w:p>
        </w:tc>
        <w:tc>
          <w:tcPr>
            <w:tcW w:w="3544" w:type="dxa"/>
            <w:tcBorders>
              <w:left w:val="single" w:color="auto" w:sz="4" w:space="0"/>
            </w:tcBorders>
            <w:vAlign w:val="center"/>
          </w:tcPr>
          <w:p w14:paraId="2DE7C8BD">
            <w:pPr>
              <w:ind w:firstLine="0" w:firstLineChars="0"/>
              <w:rPr>
                <w:rFonts w:cs="Times New Roman"/>
                <w:b/>
                <w:bCs/>
                <w:szCs w:val="21"/>
              </w:rPr>
            </w:pPr>
            <w:r>
              <w:rPr>
                <w:rFonts w:hint="eastAsia" w:cs="Times New Roman"/>
                <w:b/>
                <w:bCs/>
                <w:szCs w:val="21"/>
              </w:rPr>
              <w:t>【得分上限10分】</w:t>
            </w:r>
          </w:p>
          <w:p w14:paraId="5CD5564C">
            <w:pPr>
              <w:ind w:firstLine="0" w:firstLineChars="0"/>
              <w:rPr>
                <w:rFonts w:cs="Times New Roman"/>
                <w:szCs w:val="21"/>
              </w:rPr>
            </w:pPr>
            <w:r>
              <w:rPr>
                <w:rFonts w:hint="eastAsia" w:cs="Times New Roman"/>
                <w:b/>
                <w:bCs/>
                <w:szCs w:val="21"/>
              </w:rPr>
              <w:t>0次：</w:t>
            </w:r>
            <w:r>
              <w:rPr>
                <w:rFonts w:hint="eastAsia" w:cs="Times New Roman"/>
                <w:szCs w:val="21"/>
              </w:rPr>
              <w:t>指未出现</w:t>
            </w:r>
            <w:r>
              <w:rPr>
                <w:rFonts w:cs="Times New Roman"/>
                <w:szCs w:val="21"/>
              </w:rPr>
              <w:t>重大事件</w:t>
            </w:r>
            <w:r>
              <w:rPr>
                <w:rFonts w:hint="eastAsia" w:cs="Times New Roman"/>
                <w:szCs w:val="21"/>
              </w:rPr>
              <w:t>及质量缺陷，该项指标满分；</w:t>
            </w:r>
          </w:p>
          <w:p w14:paraId="0C99FAEA">
            <w:pPr>
              <w:ind w:firstLine="0" w:firstLineChars="0"/>
              <w:rPr>
                <w:rFonts w:cs="Times New Roman"/>
                <w:szCs w:val="21"/>
              </w:rPr>
            </w:pPr>
            <w:r>
              <w:rPr>
                <w:rFonts w:hint="eastAsia" w:cs="Times New Roman"/>
                <w:b/>
                <w:bCs/>
                <w:szCs w:val="21"/>
              </w:rPr>
              <w:t>1次及以上：</w:t>
            </w:r>
            <w:r>
              <w:rPr>
                <w:rFonts w:hint="eastAsia" w:cs="Times New Roman"/>
                <w:szCs w:val="21"/>
              </w:rPr>
              <w:t>0分，指出现1次及以上任意一项</w:t>
            </w:r>
            <w:r>
              <w:rPr>
                <w:rFonts w:cs="Times New Roman"/>
                <w:szCs w:val="21"/>
              </w:rPr>
              <w:t>重大事件</w:t>
            </w:r>
            <w:r>
              <w:rPr>
                <w:rFonts w:hint="eastAsia" w:cs="Times New Roman"/>
                <w:szCs w:val="21"/>
              </w:rPr>
              <w:t>或质量缺陷。</w:t>
            </w:r>
          </w:p>
        </w:tc>
        <w:tc>
          <w:tcPr>
            <w:tcW w:w="1276" w:type="dxa"/>
            <w:tcBorders>
              <w:left w:val="single" w:color="auto" w:sz="4" w:space="0"/>
            </w:tcBorders>
            <w:vAlign w:val="center"/>
          </w:tcPr>
          <w:p w14:paraId="27C98206">
            <w:pPr>
              <w:ind w:firstLine="0" w:firstLineChars="0"/>
              <w:rPr>
                <w:rFonts w:cs="Times New Roman"/>
                <w:szCs w:val="21"/>
              </w:rPr>
            </w:pPr>
            <w:r>
              <w:rPr>
                <w:rFonts w:hint="eastAsia" w:cs="Times New Roman"/>
                <w:szCs w:val="21"/>
              </w:rPr>
              <w:t>每出现一次</w:t>
            </w:r>
            <w:r>
              <w:rPr>
                <w:rFonts w:cs="Times New Roman"/>
                <w:szCs w:val="21"/>
              </w:rPr>
              <w:t>重大事件</w:t>
            </w:r>
            <w:r>
              <w:rPr>
                <w:rFonts w:hint="eastAsia" w:cs="Times New Roman"/>
                <w:szCs w:val="21"/>
              </w:rPr>
              <w:t>或质量缺陷，扣除乙方合同总金额不低于5%（不低于2万元），并要求乙方赔偿实际损失。</w:t>
            </w:r>
          </w:p>
        </w:tc>
      </w:tr>
      <w:tr w14:paraId="007C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6EB2820">
            <w:pPr>
              <w:ind w:firstLine="0" w:firstLineChars="0"/>
              <w:jc w:val="center"/>
              <w:rPr>
                <w:rFonts w:cs="Times New Roman"/>
                <w:szCs w:val="21"/>
              </w:rPr>
            </w:pPr>
            <w:r>
              <w:rPr>
                <w:rFonts w:hint="eastAsia" w:cs="Times New Roman"/>
                <w:szCs w:val="21"/>
              </w:rPr>
              <w:t>7</w:t>
            </w:r>
          </w:p>
        </w:tc>
        <w:tc>
          <w:tcPr>
            <w:tcW w:w="992" w:type="dxa"/>
            <w:vMerge w:val="continue"/>
            <w:tcBorders>
              <w:left w:val="single" w:color="auto" w:sz="4" w:space="0"/>
            </w:tcBorders>
          </w:tcPr>
          <w:p w14:paraId="25171256">
            <w:pPr>
              <w:ind w:firstLine="420"/>
            </w:pPr>
          </w:p>
        </w:tc>
        <w:tc>
          <w:tcPr>
            <w:tcW w:w="704" w:type="dxa"/>
            <w:tcBorders>
              <w:left w:val="single" w:color="auto" w:sz="4" w:space="0"/>
            </w:tcBorders>
            <w:vAlign w:val="center"/>
          </w:tcPr>
          <w:p w14:paraId="615061FF">
            <w:pPr>
              <w:ind w:firstLine="0" w:firstLineChars="0"/>
              <w:rPr>
                <w:rFonts w:cs="Times New Roman"/>
                <w:szCs w:val="21"/>
              </w:rPr>
            </w:pPr>
            <w:r>
              <w:rPr>
                <w:rFonts w:hint="eastAsia" w:cs="Times New Roman"/>
                <w:szCs w:val="21"/>
              </w:rPr>
              <w:t>信息安全管理</w:t>
            </w:r>
          </w:p>
        </w:tc>
        <w:tc>
          <w:tcPr>
            <w:tcW w:w="1134" w:type="dxa"/>
            <w:tcBorders>
              <w:left w:val="single" w:color="auto" w:sz="4" w:space="0"/>
            </w:tcBorders>
            <w:vAlign w:val="center"/>
          </w:tcPr>
          <w:p w14:paraId="2CB5379A">
            <w:pPr>
              <w:ind w:firstLine="0" w:firstLineChars="0"/>
              <w:rPr>
                <w:rFonts w:cs="Times New Roman"/>
                <w:szCs w:val="21"/>
              </w:rPr>
            </w:pPr>
            <w:r>
              <w:rPr>
                <w:rFonts w:hint="eastAsia" w:cs="Times New Roman"/>
                <w:szCs w:val="21"/>
              </w:rPr>
              <w:t>用</w:t>
            </w:r>
            <w:r>
              <w:rPr>
                <w:rFonts w:cs="Times New Roman"/>
                <w:szCs w:val="21"/>
              </w:rPr>
              <w:t>于记录</w:t>
            </w:r>
            <w:r>
              <w:rPr>
                <w:rFonts w:hint="eastAsia" w:cs="Times New Roman"/>
                <w:szCs w:val="21"/>
              </w:rPr>
              <w:t>乙方在服务</w:t>
            </w:r>
            <w:r>
              <w:rPr>
                <w:rFonts w:cs="Times New Roman"/>
                <w:szCs w:val="21"/>
              </w:rPr>
              <w:t>期内</w:t>
            </w:r>
            <w:r>
              <w:rPr>
                <w:rFonts w:hint="eastAsia" w:cs="Times New Roman"/>
                <w:szCs w:val="21"/>
              </w:rPr>
              <w:t>网络和信息安全服务的管理能力，针对发现的安全漏洞及安全缺陷（包括源代码、第三方SDK或第三方小程序、第三方软件产品及开源组件等），须按甲方要求完成整改</w:t>
            </w:r>
          </w:p>
        </w:tc>
        <w:tc>
          <w:tcPr>
            <w:tcW w:w="3544" w:type="dxa"/>
            <w:tcBorders>
              <w:left w:val="single" w:color="auto" w:sz="4" w:space="0"/>
            </w:tcBorders>
            <w:vAlign w:val="center"/>
          </w:tcPr>
          <w:p w14:paraId="4A7EFE91">
            <w:pPr>
              <w:ind w:firstLine="0" w:firstLineChars="0"/>
              <w:rPr>
                <w:rFonts w:cs="Times New Roman"/>
                <w:szCs w:val="21"/>
              </w:rPr>
            </w:pPr>
            <w:r>
              <w:rPr>
                <w:rFonts w:hint="eastAsia" w:cs="Times New Roman"/>
                <w:szCs w:val="21"/>
              </w:rPr>
              <w:t>互联网或电子银行类系统：</w:t>
            </w:r>
          </w:p>
          <w:p w14:paraId="317CE2AB">
            <w:pPr>
              <w:ind w:firstLine="0" w:firstLineChars="0"/>
              <w:rPr>
                <w:rFonts w:cs="Times New Roman"/>
                <w:szCs w:val="21"/>
              </w:rPr>
            </w:pPr>
            <w:r>
              <w:rPr>
                <w:rFonts w:hint="eastAsia" w:cs="Times New Roman"/>
                <w:szCs w:val="21"/>
              </w:rPr>
              <w:t>1.安全漏洞及安全缺陷整改及时率=100%</w:t>
            </w:r>
          </w:p>
          <w:p w14:paraId="210A97AC">
            <w:pPr>
              <w:ind w:firstLine="0" w:firstLineChars="0"/>
              <w:rPr>
                <w:rFonts w:cs="Times New Roman"/>
                <w:szCs w:val="21"/>
              </w:rPr>
            </w:pPr>
            <w:r>
              <w:rPr>
                <w:rFonts w:hint="eastAsia" w:cs="Times New Roman"/>
                <w:szCs w:val="21"/>
              </w:rPr>
              <w:t>2.安全漏洞及安全缺陷整改通过率=100%</w:t>
            </w:r>
          </w:p>
          <w:p w14:paraId="06C8EDE8">
            <w:pPr>
              <w:ind w:firstLine="0" w:firstLineChars="0"/>
              <w:rPr>
                <w:rFonts w:cs="Times New Roman"/>
                <w:szCs w:val="21"/>
              </w:rPr>
            </w:pPr>
            <w:r>
              <w:rPr>
                <w:rFonts w:hint="eastAsia" w:cs="Times New Roman"/>
                <w:szCs w:val="21"/>
              </w:rPr>
              <w:t>非互联网或电子银行类系统：</w:t>
            </w:r>
          </w:p>
          <w:p w14:paraId="3EA95E7E">
            <w:pPr>
              <w:ind w:firstLine="0" w:firstLineChars="0"/>
              <w:rPr>
                <w:rFonts w:cs="Times New Roman"/>
                <w:szCs w:val="21"/>
              </w:rPr>
            </w:pPr>
            <w:r>
              <w:rPr>
                <w:rFonts w:hint="eastAsia" w:cs="Times New Roman"/>
                <w:szCs w:val="21"/>
              </w:rPr>
              <w:t>1.中高危安全漏洞及安全缺陷整改及时率=100%</w:t>
            </w:r>
          </w:p>
          <w:p w14:paraId="46E701AD">
            <w:pPr>
              <w:ind w:firstLine="0" w:firstLineChars="0"/>
              <w:rPr>
                <w:rFonts w:cs="Times New Roman"/>
                <w:szCs w:val="21"/>
              </w:rPr>
            </w:pPr>
            <w:r>
              <w:rPr>
                <w:rFonts w:hint="eastAsia" w:cs="Times New Roman"/>
                <w:szCs w:val="21"/>
              </w:rPr>
              <w:t>2.中高危安全漏洞及安全缺陷整改通过率=100%</w:t>
            </w:r>
          </w:p>
          <w:p w14:paraId="3D1476A0">
            <w:pPr>
              <w:ind w:firstLine="0" w:firstLineChars="0"/>
              <w:rPr>
                <w:rFonts w:cs="Times New Roman"/>
                <w:szCs w:val="21"/>
              </w:rPr>
            </w:pPr>
            <w:r>
              <w:rPr>
                <w:rFonts w:hint="eastAsia" w:cs="Times New Roman"/>
                <w:b/>
                <w:bCs/>
                <w:szCs w:val="21"/>
              </w:rPr>
              <w:t>优秀：</w:t>
            </w:r>
            <w:r>
              <w:rPr>
                <w:rFonts w:hint="eastAsia" w:cs="Times New Roman"/>
                <w:szCs w:val="21"/>
              </w:rPr>
              <w:t>5分，指未出现安全漏洞及安全缺陷，该项指标满分；</w:t>
            </w:r>
          </w:p>
          <w:p w14:paraId="0B6E1406">
            <w:pPr>
              <w:ind w:firstLine="0" w:firstLineChars="0"/>
              <w:rPr>
                <w:rFonts w:cs="Times New Roman"/>
                <w:szCs w:val="21"/>
              </w:rPr>
            </w:pPr>
            <w:r>
              <w:rPr>
                <w:rFonts w:hint="eastAsia" w:cs="Times New Roman"/>
                <w:b/>
                <w:bCs/>
                <w:szCs w:val="21"/>
              </w:rPr>
              <w:t>合格：</w:t>
            </w:r>
            <w:r>
              <w:rPr>
                <w:rFonts w:hint="eastAsia" w:cs="Times New Roman"/>
                <w:szCs w:val="21"/>
              </w:rPr>
              <w:t>3分，指出现安全漏洞或安全缺陷，但整改及时率、通过率均为100%；</w:t>
            </w:r>
          </w:p>
          <w:p w14:paraId="6FD4D39F">
            <w:pPr>
              <w:ind w:firstLine="0" w:firstLineChars="0"/>
              <w:rPr>
                <w:rFonts w:cs="Times New Roman"/>
                <w:szCs w:val="21"/>
              </w:rPr>
            </w:pPr>
            <w:r>
              <w:rPr>
                <w:rFonts w:hint="eastAsia" w:cs="Times New Roman"/>
                <w:b/>
                <w:bCs/>
                <w:szCs w:val="21"/>
              </w:rPr>
              <w:t>较差/差：</w:t>
            </w:r>
            <w:r>
              <w:rPr>
                <w:rFonts w:hint="eastAsia" w:cs="Times New Roman"/>
                <w:szCs w:val="21"/>
              </w:rPr>
              <w:t>0分，指出现安全漏洞及安全缺陷，但整改及时率或通过率未达到100%。</w:t>
            </w:r>
          </w:p>
        </w:tc>
        <w:tc>
          <w:tcPr>
            <w:tcW w:w="1276" w:type="dxa"/>
            <w:tcBorders>
              <w:left w:val="single" w:color="auto" w:sz="4" w:space="0"/>
            </w:tcBorders>
            <w:vAlign w:val="center"/>
          </w:tcPr>
          <w:p w14:paraId="5E6643C6">
            <w:pPr>
              <w:ind w:firstLine="0" w:firstLineChars="0"/>
              <w:rPr>
                <w:rFonts w:cs="Times New Roman"/>
                <w:szCs w:val="21"/>
              </w:rPr>
            </w:pPr>
            <w:r>
              <w:rPr>
                <w:rFonts w:hint="eastAsia" w:cs="Times New Roman"/>
                <w:szCs w:val="21"/>
              </w:rPr>
              <w:t>若评价为较差/差时，扣除乙方金额人民币不低于2万元，并要求乙方赔偿实际损失。</w:t>
            </w:r>
          </w:p>
          <w:p w14:paraId="411B2D79">
            <w:pPr>
              <w:ind w:firstLine="0" w:firstLineChars="0"/>
              <w:rPr>
                <w:rFonts w:cs="Times New Roman"/>
                <w:szCs w:val="21"/>
              </w:rPr>
            </w:pPr>
            <w:r>
              <w:rPr>
                <w:rFonts w:hint="eastAsia" w:cs="Times New Roman"/>
                <w:szCs w:val="21"/>
              </w:rPr>
              <w:t>若出现的安全漏洞或安全缺陷被上级或监管单位通报的，扣除乙方合同总金额不低于5%（不低于2万元），并要求乙方赔偿实际损失。</w:t>
            </w:r>
          </w:p>
        </w:tc>
      </w:tr>
      <w:tr w14:paraId="195C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E906564">
            <w:pPr>
              <w:ind w:firstLine="0" w:firstLineChars="0"/>
              <w:jc w:val="center"/>
              <w:rPr>
                <w:rFonts w:cs="Times New Roman"/>
                <w:szCs w:val="21"/>
              </w:rPr>
            </w:pPr>
            <w:r>
              <w:rPr>
                <w:rFonts w:hint="eastAsia" w:cs="Times New Roman"/>
                <w:szCs w:val="21"/>
              </w:rPr>
              <w:t>8</w:t>
            </w:r>
          </w:p>
        </w:tc>
        <w:tc>
          <w:tcPr>
            <w:tcW w:w="992" w:type="dxa"/>
            <w:vMerge w:val="continue"/>
            <w:tcBorders>
              <w:left w:val="single" w:color="auto" w:sz="4" w:space="0"/>
            </w:tcBorders>
          </w:tcPr>
          <w:p w14:paraId="251010DA">
            <w:pPr>
              <w:ind w:firstLine="420"/>
            </w:pPr>
          </w:p>
        </w:tc>
        <w:tc>
          <w:tcPr>
            <w:tcW w:w="704" w:type="dxa"/>
            <w:tcBorders>
              <w:left w:val="single" w:color="auto" w:sz="4" w:space="0"/>
            </w:tcBorders>
            <w:vAlign w:val="center"/>
          </w:tcPr>
          <w:p w14:paraId="4C118266">
            <w:pPr>
              <w:ind w:firstLine="0" w:firstLineChars="0"/>
              <w:rPr>
                <w:rFonts w:cs="Times New Roman"/>
                <w:szCs w:val="21"/>
              </w:rPr>
            </w:pPr>
            <w:r>
              <w:rPr>
                <w:rFonts w:hint="eastAsia" w:cs="Times New Roman"/>
                <w:szCs w:val="21"/>
              </w:rPr>
              <w:t>外包安全行为</w:t>
            </w:r>
          </w:p>
        </w:tc>
        <w:tc>
          <w:tcPr>
            <w:tcW w:w="1134" w:type="dxa"/>
            <w:tcBorders>
              <w:left w:val="single" w:color="auto" w:sz="4" w:space="0"/>
            </w:tcBorders>
            <w:vAlign w:val="center"/>
          </w:tcPr>
          <w:p w14:paraId="32519601">
            <w:pPr>
              <w:ind w:firstLine="0" w:firstLineChars="0"/>
              <w:rPr>
                <w:rFonts w:cs="Times New Roman"/>
                <w:szCs w:val="21"/>
              </w:rPr>
            </w:pPr>
            <w:r>
              <w:rPr>
                <w:rFonts w:hint="eastAsia" w:cs="Times New Roman"/>
                <w:szCs w:val="21"/>
              </w:rPr>
              <w:t>用</w:t>
            </w:r>
            <w:r>
              <w:rPr>
                <w:rFonts w:cs="Times New Roman"/>
                <w:szCs w:val="21"/>
              </w:rPr>
              <w:t>于记录在外包人员安全防护意识方面的管理有效</w:t>
            </w:r>
            <w:r>
              <w:rPr>
                <w:rFonts w:hint="eastAsia" w:cs="Times New Roman"/>
                <w:szCs w:val="21"/>
              </w:rPr>
              <w:t>性</w:t>
            </w:r>
          </w:p>
        </w:tc>
        <w:tc>
          <w:tcPr>
            <w:tcW w:w="3544" w:type="dxa"/>
            <w:tcBorders>
              <w:left w:val="single" w:color="auto" w:sz="4" w:space="0"/>
            </w:tcBorders>
            <w:vAlign w:val="center"/>
          </w:tcPr>
          <w:p w14:paraId="06C9034E">
            <w:pPr>
              <w:ind w:firstLine="0" w:firstLineChars="0"/>
              <w:rPr>
                <w:rFonts w:cs="Times New Roman"/>
                <w:szCs w:val="21"/>
              </w:rPr>
            </w:pPr>
            <w:r>
              <w:rPr>
                <w:rFonts w:cs="Times New Roman"/>
                <w:szCs w:val="21"/>
              </w:rPr>
              <w:t>统计周期内安全防护失效的次数。</w:t>
            </w:r>
          </w:p>
          <w:p w14:paraId="34E4C005">
            <w:pPr>
              <w:ind w:firstLine="0" w:firstLineChars="0"/>
              <w:rPr>
                <w:rFonts w:cs="Times New Roman"/>
                <w:szCs w:val="21"/>
              </w:rPr>
            </w:pPr>
            <w:r>
              <w:rPr>
                <w:rFonts w:hint="eastAsia" w:cs="Times New Roman"/>
                <w:szCs w:val="21"/>
              </w:rPr>
              <w:t>（</w:t>
            </w:r>
            <w:r>
              <w:rPr>
                <w:rFonts w:cs="Times New Roman"/>
                <w:szCs w:val="21"/>
              </w:rPr>
              <w:t>注：在服务期间出现以下行为，即为安全防护失效：a）代码泄漏、敏感数据泄漏、被钓鱼攻击、共享数据使用弱口令、账户借用。b）在互联网上泄露客户代码和敏感数据。</w:t>
            </w:r>
            <w:r>
              <w:rPr>
                <w:rFonts w:hint="eastAsia" w:cs="Times New Roman"/>
                <w:szCs w:val="21"/>
              </w:rPr>
              <w:t>c）</w:t>
            </w:r>
            <w:r>
              <w:rPr>
                <w:rFonts w:cs="Times New Roman"/>
                <w:szCs w:val="21"/>
              </w:rPr>
              <w:t>随意搭建测试环境导致信息泄露或被作为攻击入口</w:t>
            </w:r>
            <w:r>
              <w:rPr>
                <w:rFonts w:hint="eastAsia" w:cs="Times New Roman"/>
                <w:szCs w:val="21"/>
              </w:rPr>
              <w:t>。d）在生产运营系统上违反规定进行操作或在实施过程中留下信息系统后门等</w:t>
            </w:r>
            <w:r>
              <w:rPr>
                <w:rFonts w:cs="Times New Roman"/>
                <w:szCs w:val="21"/>
              </w:rPr>
              <w:t>。</w:t>
            </w:r>
          </w:p>
          <w:p w14:paraId="1E3C6D53">
            <w:pPr>
              <w:ind w:firstLine="0" w:firstLineChars="0"/>
              <w:rPr>
                <w:rFonts w:cs="Times New Roman"/>
                <w:b/>
                <w:bCs/>
                <w:szCs w:val="21"/>
              </w:rPr>
            </w:pPr>
            <w:r>
              <w:rPr>
                <w:rFonts w:hint="eastAsia" w:cs="Times New Roman"/>
                <w:b/>
                <w:bCs/>
                <w:szCs w:val="21"/>
              </w:rPr>
              <w:t>【得分上限10分】</w:t>
            </w:r>
          </w:p>
          <w:p w14:paraId="7BA5BF88">
            <w:pPr>
              <w:ind w:firstLine="0" w:firstLineChars="0"/>
              <w:rPr>
                <w:rFonts w:cs="Times New Roman"/>
                <w:szCs w:val="21"/>
              </w:rPr>
            </w:pPr>
            <w:r>
              <w:rPr>
                <w:rFonts w:hint="eastAsia" w:cs="Times New Roman"/>
                <w:b/>
                <w:bCs/>
                <w:szCs w:val="21"/>
              </w:rPr>
              <w:t>0次：</w:t>
            </w:r>
            <w:r>
              <w:rPr>
                <w:rFonts w:hint="eastAsia" w:cs="Times New Roman"/>
                <w:szCs w:val="21"/>
              </w:rPr>
              <w:t>未出现安全防护失效行为，10分；</w:t>
            </w:r>
          </w:p>
          <w:p w14:paraId="07173B73">
            <w:pPr>
              <w:ind w:firstLine="0" w:firstLineChars="0"/>
              <w:rPr>
                <w:rFonts w:cs="Times New Roman"/>
                <w:szCs w:val="21"/>
              </w:rPr>
            </w:pPr>
            <w:r>
              <w:rPr>
                <w:rFonts w:hint="eastAsia" w:cs="Times New Roman"/>
                <w:b/>
                <w:bCs/>
                <w:szCs w:val="21"/>
              </w:rPr>
              <w:t>1次及以上</w:t>
            </w:r>
            <w:r>
              <w:rPr>
                <w:rFonts w:hint="eastAsia" w:cs="Times New Roman"/>
                <w:szCs w:val="21"/>
              </w:rPr>
              <w:t>：出现安全防护失效行为，每出现一次扣5分，最多扣10分。</w:t>
            </w:r>
          </w:p>
        </w:tc>
        <w:tc>
          <w:tcPr>
            <w:tcW w:w="1276" w:type="dxa"/>
            <w:tcBorders>
              <w:left w:val="single" w:color="auto" w:sz="4" w:space="0"/>
            </w:tcBorders>
            <w:vAlign w:val="center"/>
          </w:tcPr>
          <w:p w14:paraId="684C76CC">
            <w:pPr>
              <w:ind w:firstLine="0" w:firstLineChars="0"/>
              <w:rPr>
                <w:rFonts w:cs="Times New Roman"/>
                <w:szCs w:val="21"/>
              </w:rPr>
            </w:pPr>
            <w:r>
              <w:rPr>
                <w:rFonts w:hint="eastAsia" w:cs="Times New Roman"/>
                <w:szCs w:val="21"/>
              </w:rPr>
              <w:t>若出现信息安全防护失效行为未导致严重后果的，扣除乙方金额人民币不低于1万元；</w:t>
            </w:r>
          </w:p>
          <w:p w14:paraId="776304D1">
            <w:pPr>
              <w:ind w:firstLine="0" w:firstLineChars="0"/>
              <w:rPr>
                <w:rFonts w:cs="Times New Roman"/>
                <w:szCs w:val="21"/>
              </w:rPr>
            </w:pPr>
            <w:r>
              <w:rPr>
                <w:rFonts w:hint="eastAsia" w:cs="Times New Roman"/>
                <w:szCs w:val="21"/>
              </w:rPr>
              <w:t>若出现信息安全防护失效行为导致严重后果，或被上级或监管单位通报的，扣除乙方合同总金额不低于5%（不低于2万元），并要求乙方赔偿实际损失。</w:t>
            </w:r>
          </w:p>
        </w:tc>
      </w:tr>
      <w:tr w14:paraId="289C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A0A1EED">
            <w:pPr>
              <w:ind w:firstLine="0" w:firstLineChars="0"/>
              <w:jc w:val="center"/>
              <w:rPr>
                <w:rFonts w:cs="Times New Roman"/>
                <w:szCs w:val="21"/>
              </w:rPr>
            </w:pPr>
            <w:r>
              <w:rPr>
                <w:rFonts w:hint="eastAsia" w:cs="Times New Roman"/>
                <w:szCs w:val="21"/>
              </w:rPr>
              <w:t>9</w:t>
            </w:r>
          </w:p>
        </w:tc>
        <w:tc>
          <w:tcPr>
            <w:tcW w:w="992" w:type="dxa"/>
            <w:vMerge w:val="continue"/>
            <w:tcBorders>
              <w:left w:val="single" w:color="auto" w:sz="4" w:space="0"/>
            </w:tcBorders>
          </w:tcPr>
          <w:p w14:paraId="028D496A">
            <w:pPr>
              <w:ind w:firstLine="420"/>
            </w:pPr>
          </w:p>
        </w:tc>
        <w:tc>
          <w:tcPr>
            <w:tcW w:w="704" w:type="dxa"/>
            <w:tcBorders>
              <w:left w:val="single" w:color="auto" w:sz="4" w:space="0"/>
            </w:tcBorders>
            <w:vAlign w:val="center"/>
          </w:tcPr>
          <w:p w14:paraId="2A8BDF7B">
            <w:pPr>
              <w:ind w:firstLine="0" w:firstLineChars="0"/>
              <w:rPr>
                <w:rFonts w:cs="Times New Roman"/>
                <w:szCs w:val="21"/>
              </w:rPr>
            </w:pPr>
            <w:r>
              <w:rPr>
                <w:rFonts w:hint="eastAsia" w:cs="Times New Roman"/>
                <w:szCs w:val="21"/>
              </w:rPr>
              <w:t>响应与解决及时性</w:t>
            </w:r>
          </w:p>
        </w:tc>
        <w:tc>
          <w:tcPr>
            <w:tcW w:w="1134" w:type="dxa"/>
            <w:tcBorders>
              <w:left w:val="single" w:color="auto" w:sz="4" w:space="0"/>
            </w:tcBorders>
            <w:vAlign w:val="center"/>
          </w:tcPr>
          <w:p w14:paraId="32EC1FF4">
            <w:pPr>
              <w:ind w:firstLine="0" w:firstLineChars="0"/>
              <w:rPr>
                <w:rFonts w:cs="Times New Roman"/>
                <w:szCs w:val="21"/>
              </w:rPr>
            </w:pPr>
            <w:r>
              <w:rPr>
                <w:rFonts w:cs="Times New Roman"/>
                <w:szCs w:val="21"/>
              </w:rPr>
              <w:t>用于记录</w:t>
            </w:r>
            <w:r>
              <w:rPr>
                <w:rFonts w:hint="eastAsia" w:cs="Times New Roman"/>
                <w:szCs w:val="21"/>
              </w:rPr>
              <w:t>乙方</w:t>
            </w:r>
            <w:r>
              <w:rPr>
                <w:rFonts w:cs="Times New Roman"/>
                <w:szCs w:val="21"/>
              </w:rPr>
              <w:t>或服务项目对</w:t>
            </w:r>
            <w:r>
              <w:rPr>
                <w:rFonts w:hint="eastAsia" w:cs="Times New Roman"/>
                <w:szCs w:val="21"/>
              </w:rPr>
              <w:t>甲方</w:t>
            </w:r>
            <w:r>
              <w:rPr>
                <w:rFonts w:cs="Times New Roman"/>
                <w:szCs w:val="21"/>
              </w:rPr>
              <w:t>的响应与解决的及时性</w:t>
            </w:r>
          </w:p>
        </w:tc>
        <w:tc>
          <w:tcPr>
            <w:tcW w:w="3544" w:type="dxa"/>
            <w:tcBorders>
              <w:left w:val="single" w:color="auto" w:sz="4" w:space="0"/>
            </w:tcBorders>
            <w:vAlign w:val="center"/>
          </w:tcPr>
          <w:p w14:paraId="58376775">
            <w:pPr>
              <w:ind w:firstLine="0" w:firstLineChars="0"/>
              <w:rPr>
                <w:rFonts w:cs="Times New Roman"/>
                <w:szCs w:val="21"/>
              </w:rPr>
            </w:pPr>
            <w:r>
              <w:rPr>
                <w:rFonts w:hint="eastAsia" w:cs="Times New Roman"/>
                <w:b/>
                <w:bCs/>
                <w:szCs w:val="21"/>
              </w:rPr>
              <w:t>优秀：</w:t>
            </w:r>
            <w:r>
              <w:rPr>
                <w:rFonts w:hint="eastAsia" w:cs="Times New Roman"/>
                <w:szCs w:val="21"/>
              </w:rPr>
              <w:t>5分，</w:t>
            </w:r>
            <w:r>
              <w:rPr>
                <w:rFonts w:cs="Times New Roman"/>
                <w:szCs w:val="21"/>
              </w:rPr>
              <w:t>指</w:t>
            </w:r>
            <w:r>
              <w:rPr>
                <w:rFonts w:hint="eastAsia" w:cs="Times New Roman"/>
                <w:szCs w:val="21"/>
              </w:rPr>
              <w:t>乙方</w:t>
            </w:r>
            <w:r>
              <w:rPr>
                <w:rFonts w:cs="Times New Roman"/>
                <w:szCs w:val="21"/>
              </w:rPr>
              <w:t>或服务项目能够迅速响应需求，主动快速与</w:t>
            </w:r>
            <w:r>
              <w:rPr>
                <w:rFonts w:hint="eastAsia" w:cs="Times New Roman"/>
                <w:szCs w:val="21"/>
              </w:rPr>
              <w:t>甲方</w:t>
            </w:r>
            <w:r>
              <w:rPr>
                <w:rFonts w:cs="Times New Roman"/>
                <w:szCs w:val="21"/>
              </w:rPr>
              <w:t>进行有效的沟通，第一时间从专业角度给出解决方案并解决问题</w:t>
            </w:r>
            <w:r>
              <w:rPr>
                <w:rFonts w:hint="eastAsia" w:cs="Times New Roman"/>
                <w:szCs w:val="21"/>
              </w:rPr>
              <w:t>；</w:t>
            </w:r>
          </w:p>
          <w:p w14:paraId="6A558F88">
            <w:pPr>
              <w:ind w:firstLine="0" w:firstLineChars="0"/>
              <w:rPr>
                <w:rFonts w:cs="Times New Roman"/>
                <w:szCs w:val="21"/>
              </w:rPr>
            </w:pPr>
            <w:r>
              <w:rPr>
                <w:rFonts w:hint="eastAsia" w:cs="Times New Roman"/>
                <w:b/>
                <w:bCs/>
                <w:szCs w:val="21"/>
              </w:rPr>
              <w:t>良好：</w:t>
            </w:r>
            <w:r>
              <w:rPr>
                <w:rFonts w:hint="eastAsia" w:cs="Times New Roman"/>
                <w:szCs w:val="21"/>
              </w:rPr>
              <w:t>4分，</w:t>
            </w:r>
            <w:r>
              <w:rPr>
                <w:rFonts w:cs="Times New Roman"/>
                <w:szCs w:val="21"/>
              </w:rPr>
              <w:t>指</w:t>
            </w:r>
            <w:r>
              <w:rPr>
                <w:rFonts w:hint="eastAsia" w:cs="Times New Roman"/>
                <w:szCs w:val="21"/>
              </w:rPr>
              <w:t>乙方</w:t>
            </w:r>
            <w:r>
              <w:rPr>
                <w:rFonts w:cs="Times New Roman"/>
                <w:szCs w:val="21"/>
              </w:rPr>
              <w:t>或服务项目能够按要求响应需求，及时与</w:t>
            </w:r>
            <w:r>
              <w:rPr>
                <w:rFonts w:hint="eastAsia" w:cs="Times New Roman"/>
                <w:szCs w:val="21"/>
              </w:rPr>
              <w:t>甲方</w:t>
            </w:r>
            <w:r>
              <w:rPr>
                <w:rFonts w:cs="Times New Roman"/>
                <w:szCs w:val="21"/>
              </w:rPr>
              <w:t>进行有效的沟通，快速给出处理方案并解决问题</w:t>
            </w:r>
            <w:r>
              <w:rPr>
                <w:rFonts w:hint="eastAsia" w:cs="Times New Roman"/>
                <w:szCs w:val="21"/>
              </w:rPr>
              <w:t>；</w:t>
            </w:r>
          </w:p>
          <w:p w14:paraId="07008CE7">
            <w:pPr>
              <w:ind w:firstLine="0" w:firstLineChars="0"/>
              <w:rPr>
                <w:rFonts w:cs="Times New Roman"/>
                <w:szCs w:val="21"/>
              </w:rPr>
            </w:pPr>
            <w:r>
              <w:rPr>
                <w:rFonts w:hint="eastAsia" w:cs="Times New Roman"/>
                <w:b/>
                <w:bCs/>
                <w:szCs w:val="21"/>
              </w:rPr>
              <w:t>合格：</w:t>
            </w:r>
            <w:r>
              <w:rPr>
                <w:rFonts w:hint="eastAsia" w:cs="Times New Roman"/>
                <w:szCs w:val="21"/>
              </w:rPr>
              <w:t>3分，</w:t>
            </w:r>
            <w:r>
              <w:rPr>
                <w:rFonts w:cs="Times New Roman"/>
                <w:szCs w:val="21"/>
              </w:rPr>
              <w:t>指</w:t>
            </w:r>
            <w:r>
              <w:rPr>
                <w:rFonts w:hint="eastAsia" w:cs="Times New Roman"/>
                <w:szCs w:val="21"/>
              </w:rPr>
              <w:t>乙方</w:t>
            </w:r>
            <w:r>
              <w:rPr>
                <w:rFonts w:cs="Times New Roman"/>
                <w:szCs w:val="21"/>
              </w:rPr>
              <w:t>或服务项目能够基本按要求响应需求</w:t>
            </w:r>
            <w:r>
              <w:rPr>
                <w:rFonts w:hint="eastAsia" w:cs="Times New Roman"/>
                <w:szCs w:val="21"/>
              </w:rPr>
              <w:t>，</w:t>
            </w:r>
            <w:r>
              <w:rPr>
                <w:rFonts w:cs="Times New Roman"/>
                <w:szCs w:val="21"/>
              </w:rPr>
              <w:t>保持与</w:t>
            </w:r>
            <w:r>
              <w:rPr>
                <w:rFonts w:hint="eastAsia" w:cs="Times New Roman"/>
                <w:szCs w:val="21"/>
              </w:rPr>
              <w:t>甲方</w:t>
            </w:r>
            <w:r>
              <w:rPr>
                <w:rFonts w:cs="Times New Roman"/>
                <w:szCs w:val="21"/>
              </w:rPr>
              <w:t>的沟通，按时解决问题</w:t>
            </w:r>
            <w:r>
              <w:rPr>
                <w:rFonts w:hint="eastAsia" w:cs="Times New Roman"/>
                <w:szCs w:val="21"/>
              </w:rPr>
              <w:t>；</w:t>
            </w:r>
          </w:p>
          <w:p w14:paraId="046AB0BC">
            <w:pPr>
              <w:ind w:firstLine="0" w:firstLineChars="0"/>
              <w:rPr>
                <w:rFonts w:cs="Times New Roman"/>
                <w:szCs w:val="21"/>
              </w:rPr>
            </w:pPr>
            <w:r>
              <w:rPr>
                <w:rFonts w:hint="eastAsia" w:cs="Times New Roman"/>
                <w:b/>
                <w:bCs/>
                <w:szCs w:val="21"/>
              </w:rPr>
              <w:t>较差/差：</w:t>
            </w:r>
            <w:r>
              <w:rPr>
                <w:rFonts w:hint="eastAsia" w:cs="Times New Roman"/>
                <w:szCs w:val="21"/>
              </w:rPr>
              <w:t>0分，</w:t>
            </w:r>
            <w:r>
              <w:rPr>
                <w:rFonts w:cs="Times New Roman"/>
                <w:szCs w:val="21"/>
              </w:rPr>
              <w:t>指</w:t>
            </w:r>
            <w:r>
              <w:rPr>
                <w:rFonts w:hint="eastAsia" w:cs="Times New Roman"/>
                <w:szCs w:val="21"/>
              </w:rPr>
              <w:t>乙方</w:t>
            </w:r>
            <w:r>
              <w:rPr>
                <w:rFonts w:cs="Times New Roman"/>
                <w:szCs w:val="21"/>
              </w:rPr>
              <w:t>或服务项目未及时响应需求，或响应需求后无法</w:t>
            </w:r>
            <w:r>
              <w:rPr>
                <w:rFonts w:hint="eastAsia" w:cs="Times New Roman"/>
                <w:szCs w:val="21"/>
              </w:rPr>
              <w:t>及时</w:t>
            </w:r>
            <w:r>
              <w:rPr>
                <w:rFonts w:cs="Times New Roman"/>
                <w:szCs w:val="21"/>
              </w:rPr>
              <w:t>解决问题</w:t>
            </w:r>
            <w:r>
              <w:rPr>
                <w:rFonts w:hint="eastAsia" w:cs="Times New Roman"/>
                <w:szCs w:val="21"/>
              </w:rPr>
              <w:t>。</w:t>
            </w:r>
          </w:p>
        </w:tc>
        <w:tc>
          <w:tcPr>
            <w:tcW w:w="1276" w:type="dxa"/>
            <w:tcBorders>
              <w:left w:val="single" w:color="auto" w:sz="4" w:space="0"/>
            </w:tcBorders>
            <w:vAlign w:val="center"/>
          </w:tcPr>
          <w:p w14:paraId="3448CAB5">
            <w:pPr>
              <w:ind w:firstLine="0" w:firstLineChars="0"/>
              <w:rPr>
                <w:rFonts w:cs="Times New Roman"/>
                <w:szCs w:val="21"/>
              </w:rPr>
            </w:pPr>
            <w:r>
              <w:rPr>
                <w:rFonts w:hint="eastAsia" w:cs="Times New Roman"/>
                <w:szCs w:val="21"/>
              </w:rPr>
              <w:t>评价为较差/差，即乙方</w:t>
            </w:r>
            <w:r>
              <w:rPr>
                <w:rFonts w:cs="Times New Roman"/>
                <w:szCs w:val="21"/>
              </w:rPr>
              <w:t>或服务项目未及时响应需求，或响应需求后无法</w:t>
            </w:r>
            <w:r>
              <w:rPr>
                <w:rFonts w:hint="eastAsia" w:cs="Times New Roman"/>
                <w:szCs w:val="21"/>
              </w:rPr>
              <w:t>及时</w:t>
            </w:r>
            <w:r>
              <w:rPr>
                <w:rFonts w:cs="Times New Roman"/>
                <w:szCs w:val="21"/>
              </w:rPr>
              <w:t>解决问题</w:t>
            </w:r>
            <w:r>
              <w:rPr>
                <w:rFonts w:hint="eastAsia" w:cs="Times New Roman"/>
                <w:szCs w:val="21"/>
              </w:rPr>
              <w:t>，扣除乙方金额人民币不低于1000元。</w:t>
            </w:r>
          </w:p>
        </w:tc>
      </w:tr>
      <w:tr w14:paraId="4215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2A26C30">
            <w:pPr>
              <w:ind w:firstLine="0" w:firstLineChars="0"/>
              <w:jc w:val="center"/>
              <w:rPr>
                <w:rFonts w:cs="Times New Roman"/>
                <w:szCs w:val="21"/>
              </w:rPr>
            </w:pPr>
            <w:r>
              <w:rPr>
                <w:rFonts w:cs="Times New Roman"/>
                <w:szCs w:val="21"/>
              </w:rPr>
              <w:t>1</w:t>
            </w:r>
            <w:r>
              <w:rPr>
                <w:rFonts w:hint="eastAsia" w:cs="Times New Roman"/>
                <w:szCs w:val="21"/>
              </w:rPr>
              <w:t>0</w:t>
            </w:r>
          </w:p>
        </w:tc>
        <w:tc>
          <w:tcPr>
            <w:tcW w:w="992" w:type="dxa"/>
            <w:vMerge w:val="continue"/>
            <w:tcBorders>
              <w:left w:val="single" w:color="auto" w:sz="4" w:space="0"/>
            </w:tcBorders>
          </w:tcPr>
          <w:p w14:paraId="6A1EFFAE">
            <w:pPr>
              <w:ind w:firstLine="420"/>
            </w:pPr>
          </w:p>
        </w:tc>
        <w:tc>
          <w:tcPr>
            <w:tcW w:w="704" w:type="dxa"/>
            <w:tcBorders>
              <w:left w:val="single" w:color="auto" w:sz="4" w:space="0"/>
            </w:tcBorders>
            <w:vAlign w:val="center"/>
          </w:tcPr>
          <w:p w14:paraId="5065938E">
            <w:pPr>
              <w:ind w:firstLine="0" w:firstLineChars="0"/>
              <w:rPr>
                <w:rFonts w:cs="Times New Roman"/>
                <w:szCs w:val="21"/>
              </w:rPr>
            </w:pPr>
            <w:r>
              <w:rPr>
                <w:rFonts w:hint="eastAsia" w:cs="Times New Roman"/>
                <w:szCs w:val="21"/>
              </w:rPr>
              <w:t>需求排期率</w:t>
            </w:r>
          </w:p>
        </w:tc>
        <w:tc>
          <w:tcPr>
            <w:tcW w:w="1134" w:type="dxa"/>
            <w:tcBorders>
              <w:left w:val="single" w:color="auto" w:sz="4" w:space="0"/>
            </w:tcBorders>
            <w:vAlign w:val="center"/>
          </w:tcPr>
          <w:p w14:paraId="0B7BA6C2">
            <w:pPr>
              <w:ind w:firstLine="0" w:firstLineChars="0"/>
              <w:rPr>
                <w:rFonts w:cs="Times New Roman"/>
                <w:szCs w:val="21"/>
              </w:rPr>
            </w:pPr>
            <w:r>
              <w:rPr>
                <w:rFonts w:cs="Times New Roman"/>
                <w:szCs w:val="21"/>
              </w:rPr>
              <w:t>用于记录统计周期内对</w:t>
            </w:r>
            <w:r>
              <w:rPr>
                <w:rFonts w:hint="eastAsia" w:cs="Times New Roman"/>
                <w:szCs w:val="21"/>
              </w:rPr>
              <w:t>甲方</w:t>
            </w:r>
            <w:r>
              <w:rPr>
                <w:rFonts w:cs="Times New Roman"/>
                <w:szCs w:val="21"/>
              </w:rPr>
              <w:t>需求进行投产计划安排的比例</w:t>
            </w:r>
          </w:p>
        </w:tc>
        <w:tc>
          <w:tcPr>
            <w:tcW w:w="3544" w:type="dxa"/>
            <w:tcBorders>
              <w:left w:val="single" w:color="auto" w:sz="4" w:space="0"/>
            </w:tcBorders>
            <w:vAlign w:val="center"/>
          </w:tcPr>
          <w:p w14:paraId="49B5677C">
            <w:pPr>
              <w:ind w:firstLine="0" w:firstLineChars="0"/>
              <w:rPr>
                <w:rFonts w:cs="Times New Roman"/>
                <w:szCs w:val="21"/>
              </w:rPr>
            </w:pPr>
            <w:r>
              <w:rPr>
                <w:rFonts w:cs="Times New Roman"/>
                <w:szCs w:val="21"/>
              </w:rPr>
              <w:t>需求排期率=已排期需求数/总需求数</w:t>
            </w:r>
          </w:p>
          <w:p w14:paraId="58AE7050">
            <w:pPr>
              <w:ind w:firstLine="0" w:firstLineChars="0"/>
              <w:rPr>
                <w:rFonts w:cs="Times New Roman"/>
                <w:szCs w:val="21"/>
              </w:rPr>
            </w:pPr>
            <w:r>
              <w:rPr>
                <w:rFonts w:cs="Times New Roman"/>
                <w:szCs w:val="21"/>
              </w:rPr>
              <w:t>注：已排期需求数指统计周期内已经纳入投产计划的需求个数。总需求数指统计周期内由</w:t>
            </w:r>
            <w:r>
              <w:rPr>
                <w:rFonts w:hint="eastAsia" w:cs="Times New Roman"/>
                <w:szCs w:val="21"/>
              </w:rPr>
              <w:t>甲方</w:t>
            </w:r>
            <w:r>
              <w:rPr>
                <w:rFonts w:cs="Times New Roman"/>
                <w:szCs w:val="21"/>
              </w:rPr>
              <w:t>提出到达服务商项目组的需求数。</w:t>
            </w:r>
          </w:p>
          <w:p w14:paraId="0312D678">
            <w:pPr>
              <w:ind w:firstLine="0" w:firstLineChars="0"/>
              <w:rPr>
                <w:rFonts w:cs="Times New Roman"/>
                <w:b/>
                <w:szCs w:val="21"/>
              </w:rPr>
            </w:pPr>
            <w:r>
              <w:rPr>
                <w:rFonts w:hint="eastAsia" w:cs="Times New Roman"/>
                <w:b/>
                <w:szCs w:val="21"/>
              </w:rPr>
              <w:t>5分【98%-100%】</w:t>
            </w:r>
          </w:p>
          <w:p w14:paraId="6CEBCDCB">
            <w:pPr>
              <w:ind w:firstLine="0" w:firstLineChars="0"/>
              <w:rPr>
                <w:rFonts w:cs="Times New Roman"/>
                <w:b/>
                <w:szCs w:val="21"/>
              </w:rPr>
            </w:pPr>
            <w:r>
              <w:rPr>
                <w:rFonts w:hint="eastAsia" w:cs="Times New Roman"/>
                <w:b/>
                <w:szCs w:val="21"/>
              </w:rPr>
              <w:t>3分【95%-97%】</w:t>
            </w:r>
          </w:p>
          <w:p w14:paraId="128F182E">
            <w:pPr>
              <w:ind w:firstLine="0" w:firstLineChars="0"/>
              <w:rPr>
                <w:rFonts w:cs="Times New Roman"/>
                <w:b/>
                <w:bCs/>
                <w:szCs w:val="21"/>
              </w:rPr>
            </w:pPr>
            <w:r>
              <w:rPr>
                <w:rFonts w:hint="eastAsia" w:cs="Times New Roman"/>
                <w:b/>
                <w:szCs w:val="21"/>
              </w:rPr>
              <w:t>0分【低于95%】</w:t>
            </w:r>
          </w:p>
        </w:tc>
        <w:tc>
          <w:tcPr>
            <w:tcW w:w="1276" w:type="dxa"/>
            <w:tcBorders>
              <w:left w:val="single" w:color="auto" w:sz="4" w:space="0"/>
            </w:tcBorders>
            <w:vAlign w:val="center"/>
          </w:tcPr>
          <w:p w14:paraId="24868A47">
            <w:pPr>
              <w:ind w:firstLine="0" w:firstLineChars="0"/>
              <w:rPr>
                <w:rFonts w:cs="Times New Roman"/>
                <w:szCs w:val="21"/>
              </w:rPr>
            </w:pPr>
          </w:p>
        </w:tc>
      </w:tr>
      <w:tr w14:paraId="3E12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D077D7D">
            <w:pPr>
              <w:ind w:firstLine="0" w:firstLineChars="0"/>
              <w:jc w:val="center"/>
              <w:rPr>
                <w:rFonts w:cs="Times New Roman"/>
                <w:szCs w:val="21"/>
              </w:rPr>
            </w:pPr>
            <w:r>
              <w:rPr>
                <w:rFonts w:hint="eastAsia" w:cs="Times New Roman"/>
                <w:szCs w:val="21"/>
              </w:rPr>
              <w:t>11</w:t>
            </w:r>
          </w:p>
        </w:tc>
        <w:tc>
          <w:tcPr>
            <w:tcW w:w="992" w:type="dxa"/>
            <w:vMerge w:val="continue"/>
            <w:tcBorders>
              <w:left w:val="single" w:color="auto" w:sz="4" w:space="0"/>
            </w:tcBorders>
          </w:tcPr>
          <w:p w14:paraId="10865170">
            <w:pPr>
              <w:ind w:firstLine="420"/>
            </w:pPr>
          </w:p>
        </w:tc>
        <w:tc>
          <w:tcPr>
            <w:tcW w:w="704" w:type="dxa"/>
            <w:tcBorders>
              <w:left w:val="single" w:color="auto" w:sz="4" w:space="0"/>
            </w:tcBorders>
            <w:vAlign w:val="center"/>
          </w:tcPr>
          <w:p w14:paraId="3A8DA765">
            <w:pPr>
              <w:ind w:firstLine="0" w:firstLineChars="0"/>
              <w:rPr>
                <w:rFonts w:cs="Times New Roman"/>
                <w:szCs w:val="21"/>
              </w:rPr>
            </w:pPr>
            <w:r>
              <w:rPr>
                <w:rFonts w:hint="eastAsia" w:cs="Times New Roman"/>
                <w:szCs w:val="21"/>
              </w:rPr>
              <w:t>需求完成率</w:t>
            </w:r>
          </w:p>
        </w:tc>
        <w:tc>
          <w:tcPr>
            <w:tcW w:w="1134" w:type="dxa"/>
            <w:tcBorders>
              <w:left w:val="single" w:color="auto" w:sz="4" w:space="0"/>
            </w:tcBorders>
            <w:vAlign w:val="center"/>
          </w:tcPr>
          <w:p w14:paraId="43F6A319">
            <w:pPr>
              <w:ind w:firstLine="0" w:firstLineChars="0"/>
              <w:rPr>
                <w:rFonts w:cs="Times New Roman"/>
                <w:szCs w:val="21"/>
              </w:rPr>
            </w:pPr>
            <w:r>
              <w:rPr>
                <w:rFonts w:cs="Times New Roman"/>
                <w:szCs w:val="21"/>
              </w:rPr>
              <w:t>用于记录统计周期内</w:t>
            </w:r>
            <w:r>
              <w:rPr>
                <w:rFonts w:hint="eastAsia" w:cs="Times New Roman"/>
                <w:szCs w:val="21"/>
              </w:rPr>
              <w:t>甲方</w:t>
            </w:r>
            <w:r>
              <w:rPr>
                <w:rFonts w:cs="Times New Roman"/>
                <w:szCs w:val="21"/>
              </w:rPr>
              <w:t>需求完成投产的比例</w:t>
            </w:r>
          </w:p>
        </w:tc>
        <w:tc>
          <w:tcPr>
            <w:tcW w:w="3544" w:type="dxa"/>
            <w:tcBorders>
              <w:left w:val="single" w:color="auto" w:sz="4" w:space="0"/>
            </w:tcBorders>
            <w:vAlign w:val="center"/>
          </w:tcPr>
          <w:p w14:paraId="597CE947">
            <w:pPr>
              <w:ind w:firstLine="0" w:firstLineChars="0"/>
              <w:rPr>
                <w:rFonts w:cs="Times New Roman"/>
                <w:szCs w:val="21"/>
              </w:rPr>
            </w:pPr>
            <w:r>
              <w:rPr>
                <w:rFonts w:hint="eastAsia" w:cs="Times New Roman"/>
                <w:szCs w:val="21"/>
              </w:rPr>
              <w:t>需</w:t>
            </w:r>
            <w:r>
              <w:rPr>
                <w:rFonts w:cs="Times New Roman"/>
                <w:szCs w:val="21"/>
              </w:rPr>
              <w:t>求完成率=流程完结需求数/总需求数</w:t>
            </w:r>
          </w:p>
          <w:p w14:paraId="14B509CB">
            <w:pPr>
              <w:ind w:firstLine="0" w:firstLineChars="0"/>
              <w:rPr>
                <w:rFonts w:cs="Times New Roman"/>
                <w:szCs w:val="21"/>
              </w:rPr>
            </w:pPr>
            <w:r>
              <w:rPr>
                <w:rFonts w:cs="Times New Roman"/>
                <w:szCs w:val="21"/>
              </w:rPr>
              <w:t>注：流程完结需求数指统计周期内已完成投产的需求个数</w:t>
            </w:r>
            <w:r>
              <w:rPr>
                <w:rFonts w:hint="eastAsia" w:cs="Times New Roman"/>
                <w:szCs w:val="21"/>
              </w:rPr>
              <w:t>；</w:t>
            </w:r>
            <w:r>
              <w:rPr>
                <w:rFonts w:cs="Times New Roman"/>
                <w:szCs w:val="21"/>
              </w:rPr>
              <w:t>总需求数指统计周期内由</w:t>
            </w:r>
            <w:r>
              <w:rPr>
                <w:rFonts w:hint="eastAsia" w:cs="Times New Roman"/>
                <w:szCs w:val="21"/>
              </w:rPr>
              <w:t>甲方</w:t>
            </w:r>
            <w:r>
              <w:rPr>
                <w:rFonts w:cs="Times New Roman"/>
                <w:szCs w:val="21"/>
              </w:rPr>
              <w:t>提出到达服务商项目组的需求个数。</w:t>
            </w:r>
          </w:p>
          <w:p w14:paraId="145CEF41">
            <w:pPr>
              <w:ind w:firstLine="0" w:firstLineChars="0"/>
              <w:rPr>
                <w:rFonts w:cs="Times New Roman"/>
                <w:b/>
                <w:szCs w:val="21"/>
              </w:rPr>
            </w:pPr>
            <w:r>
              <w:rPr>
                <w:rFonts w:hint="eastAsia" w:cs="Times New Roman"/>
                <w:b/>
                <w:szCs w:val="21"/>
              </w:rPr>
              <w:t>5分【98%-100%】</w:t>
            </w:r>
          </w:p>
          <w:p w14:paraId="2AE7E845">
            <w:pPr>
              <w:ind w:firstLine="0" w:firstLineChars="0"/>
              <w:rPr>
                <w:rFonts w:cs="Times New Roman"/>
                <w:b/>
                <w:szCs w:val="21"/>
              </w:rPr>
            </w:pPr>
            <w:r>
              <w:rPr>
                <w:rFonts w:hint="eastAsia" w:cs="Times New Roman"/>
                <w:b/>
                <w:szCs w:val="21"/>
              </w:rPr>
              <w:t>3分【95%-97%】</w:t>
            </w:r>
          </w:p>
          <w:p w14:paraId="48691FED">
            <w:pPr>
              <w:ind w:firstLine="0" w:firstLineChars="0"/>
              <w:rPr>
                <w:rFonts w:cs="Times New Roman"/>
                <w:b/>
                <w:bCs/>
                <w:szCs w:val="21"/>
              </w:rPr>
            </w:pPr>
            <w:r>
              <w:rPr>
                <w:rFonts w:hint="eastAsia" w:cs="Times New Roman"/>
                <w:b/>
                <w:szCs w:val="21"/>
              </w:rPr>
              <w:t>0分【低于95%】</w:t>
            </w:r>
          </w:p>
        </w:tc>
        <w:tc>
          <w:tcPr>
            <w:tcW w:w="1276" w:type="dxa"/>
            <w:tcBorders>
              <w:left w:val="single" w:color="auto" w:sz="4" w:space="0"/>
            </w:tcBorders>
            <w:vAlign w:val="center"/>
          </w:tcPr>
          <w:p w14:paraId="2881604F">
            <w:pPr>
              <w:ind w:firstLine="0" w:firstLineChars="0"/>
              <w:rPr>
                <w:rFonts w:cs="Times New Roman"/>
                <w:szCs w:val="21"/>
              </w:rPr>
            </w:pPr>
          </w:p>
        </w:tc>
      </w:tr>
      <w:tr w14:paraId="3D1B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53C2E9F">
            <w:pPr>
              <w:ind w:firstLine="0" w:firstLineChars="0"/>
              <w:jc w:val="center"/>
              <w:rPr>
                <w:rFonts w:cs="Times New Roman"/>
                <w:szCs w:val="21"/>
              </w:rPr>
            </w:pPr>
            <w:r>
              <w:rPr>
                <w:rFonts w:hint="eastAsia" w:cs="Times New Roman"/>
                <w:szCs w:val="21"/>
              </w:rPr>
              <w:t>12</w:t>
            </w:r>
          </w:p>
        </w:tc>
        <w:tc>
          <w:tcPr>
            <w:tcW w:w="992" w:type="dxa"/>
            <w:vMerge w:val="continue"/>
            <w:tcBorders>
              <w:left w:val="single" w:color="auto" w:sz="4" w:space="0"/>
            </w:tcBorders>
          </w:tcPr>
          <w:p w14:paraId="2CD8452B">
            <w:pPr>
              <w:ind w:firstLine="420"/>
            </w:pPr>
          </w:p>
        </w:tc>
        <w:tc>
          <w:tcPr>
            <w:tcW w:w="704" w:type="dxa"/>
            <w:tcBorders>
              <w:left w:val="single" w:color="auto" w:sz="4" w:space="0"/>
            </w:tcBorders>
            <w:vAlign w:val="center"/>
          </w:tcPr>
          <w:p w14:paraId="407ED7A3">
            <w:pPr>
              <w:ind w:firstLine="0" w:firstLineChars="0"/>
              <w:rPr>
                <w:rFonts w:cs="Times New Roman"/>
                <w:szCs w:val="21"/>
              </w:rPr>
            </w:pPr>
            <w:r>
              <w:rPr>
                <w:rFonts w:hint="eastAsia" w:cs="Times New Roman"/>
                <w:szCs w:val="21"/>
              </w:rPr>
              <w:t>人员行为规范性</w:t>
            </w:r>
          </w:p>
        </w:tc>
        <w:tc>
          <w:tcPr>
            <w:tcW w:w="1134" w:type="dxa"/>
            <w:tcBorders>
              <w:left w:val="single" w:color="auto" w:sz="4" w:space="0"/>
            </w:tcBorders>
            <w:vAlign w:val="center"/>
          </w:tcPr>
          <w:p w14:paraId="0D23405E">
            <w:pPr>
              <w:ind w:firstLine="0" w:firstLineChars="0"/>
              <w:rPr>
                <w:rFonts w:cs="Times New Roman"/>
                <w:szCs w:val="21"/>
              </w:rPr>
            </w:pPr>
            <w:r>
              <w:rPr>
                <w:rFonts w:hint="eastAsia" w:cs="Times New Roman"/>
                <w:szCs w:val="21"/>
              </w:rPr>
              <w:t>用</w:t>
            </w:r>
            <w:r>
              <w:rPr>
                <w:rFonts w:cs="Times New Roman"/>
                <w:szCs w:val="21"/>
              </w:rPr>
              <w:t>于记录外包场地日常管理或</w:t>
            </w:r>
            <w:r>
              <w:rPr>
                <w:rFonts w:hint="eastAsia" w:cs="Times New Roman"/>
                <w:szCs w:val="21"/>
              </w:rPr>
              <w:t>检查</w:t>
            </w:r>
            <w:r>
              <w:rPr>
                <w:rFonts w:cs="Times New Roman"/>
                <w:szCs w:val="21"/>
              </w:rPr>
              <w:t>过程中发现外包人员</w:t>
            </w:r>
            <w:r>
              <w:rPr>
                <w:rFonts w:hint="eastAsia" w:cs="Times New Roman"/>
                <w:szCs w:val="21"/>
              </w:rPr>
              <w:t>行为</w:t>
            </w:r>
            <w:r>
              <w:rPr>
                <w:rFonts w:cs="Times New Roman"/>
                <w:szCs w:val="21"/>
              </w:rPr>
              <w:t>违</w:t>
            </w:r>
            <w:r>
              <w:rPr>
                <w:rFonts w:hint="eastAsia" w:cs="Times New Roman"/>
                <w:szCs w:val="21"/>
              </w:rPr>
              <w:t>规（包括但不限于办公纪律、造成办公环境物理安全隐患等）</w:t>
            </w:r>
            <w:r>
              <w:rPr>
                <w:rFonts w:cs="Times New Roman"/>
                <w:szCs w:val="21"/>
              </w:rPr>
              <w:t>的次数</w:t>
            </w:r>
          </w:p>
        </w:tc>
        <w:tc>
          <w:tcPr>
            <w:tcW w:w="3544" w:type="dxa"/>
            <w:tcBorders>
              <w:left w:val="single" w:color="auto" w:sz="4" w:space="0"/>
            </w:tcBorders>
            <w:vAlign w:val="center"/>
          </w:tcPr>
          <w:p w14:paraId="52EA90E9">
            <w:pPr>
              <w:ind w:firstLine="0" w:firstLineChars="0"/>
              <w:rPr>
                <w:rFonts w:cs="Times New Roman"/>
                <w:b/>
                <w:bCs/>
                <w:szCs w:val="21"/>
              </w:rPr>
            </w:pPr>
            <w:r>
              <w:rPr>
                <w:rFonts w:hint="eastAsia" w:cs="Times New Roman"/>
                <w:b/>
                <w:bCs/>
                <w:szCs w:val="21"/>
              </w:rPr>
              <w:t>【得分上限1</w:t>
            </w:r>
            <w:r>
              <w:rPr>
                <w:rFonts w:cs="Times New Roman"/>
                <w:b/>
                <w:bCs/>
                <w:szCs w:val="21"/>
              </w:rPr>
              <w:t>0</w:t>
            </w:r>
            <w:r>
              <w:rPr>
                <w:rFonts w:hint="eastAsia" w:cs="Times New Roman"/>
                <w:b/>
                <w:bCs/>
                <w:szCs w:val="21"/>
              </w:rPr>
              <w:t>分】</w:t>
            </w:r>
          </w:p>
          <w:p w14:paraId="010EAD71">
            <w:pPr>
              <w:ind w:firstLine="0" w:firstLineChars="0"/>
              <w:rPr>
                <w:rFonts w:cs="Times New Roman"/>
                <w:szCs w:val="21"/>
              </w:rPr>
            </w:pPr>
            <w:r>
              <w:rPr>
                <w:rFonts w:hint="eastAsia" w:cs="Times New Roman"/>
                <w:b/>
                <w:bCs/>
                <w:szCs w:val="21"/>
              </w:rPr>
              <w:t>0次：</w:t>
            </w:r>
            <w:r>
              <w:rPr>
                <w:rFonts w:hint="eastAsia" w:cs="Times New Roman"/>
                <w:szCs w:val="21"/>
              </w:rPr>
              <w:t>指未出现外包人员行为违规，该项指标满分；</w:t>
            </w:r>
          </w:p>
          <w:p w14:paraId="23E9AEC0">
            <w:pPr>
              <w:ind w:firstLine="0" w:firstLineChars="0"/>
              <w:rPr>
                <w:rFonts w:cs="Times New Roman"/>
                <w:szCs w:val="21"/>
              </w:rPr>
            </w:pPr>
            <w:r>
              <w:rPr>
                <w:rFonts w:hint="eastAsia" w:cs="Times New Roman"/>
                <w:b/>
                <w:bCs/>
                <w:szCs w:val="21"/>
              </w:rPr>
              <w:t>1次及以上：</w:t>
            </w:r>
            <w:r>
              <w:rPr>
                <w:rFonts w:hint="eastAsia" w:cs="Times New Roman"/>
                <w:szCs w:val="21"/>
              </w:rPr>
              <w:t>指检查发现外包人员行为违规1次及以上（每人次扣5分，最高扣除1</w:t>
            </w:r>
            <w:r>
              <w:rPr>
                <w:rFonts w:cs="Times New Roman"/>
                <w:szCs w:val="21"/>
              </w:rPr>
              <w:t>0</w:t>
            </w:r>
            <w:r>
              <w:rPr>
                <w:rFonts w:hint="eastAsia" w:cs="Times New Roman"/>
                <w:szCs w:val="21"/>
              </w:rPr>
              <w:t>分）</w:t>
            </w:r>
          </w:p>
        </w:tc>
        <w:tc>
          <w:tcPr>
            <w:tcW w:w="1276" w:type="dxa"/>
            <w:tcBorders>
              <w:left w:val="single" w:color="auto" w:sz="4" w:space="0"/>
            </w:tcBorders>
            <w:vAlign w:val="center"/>
          </w:tcPr>
          <w:p w14:paraId="6E93548F">
            <w:pPr>
              <w:ind w:firstLine="0" w:firstLineChars="0"/>
              <w:rPr>
                <w:rFonts w:cs="Times New Roman"/>
                <w:szCs w:val="21"/>
              </w:rPr>
            </w:pPr>
            <w:r>
              <w:rPr>
                <w:rFonts w:hint="eastAsia" w:cs="Times New Roman"/>
                <w:szCs w:val="21"/>
              </w:rPr>
              <w:t>每出现一次人员行为</w:t>
            </w:r>
            <w:r>
              <w:rPr>
                <w:rFonts w:cs="Times New Roman"/>
                <w:szCs w:val="21"/>
              </w:rPr>
              <w:t>违规</w:t>
            </w:r>
            <w:r>
              <w:rPr>
                <w:rFonts w:hint="eastAsia" w:cs="Times New Roman"/>
                <w:szCs w:val="21"/>
              </w:rPr>
              <w:t>，扣除乙方金额人民币不低于500元。</w:t>
            </w:r>
          </w:p>
        </w:tc>
      </w:tr>
      <w:tr w14:paraId="1FA3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494E372">
            <w:pPr>
              <w:ind w:firstLine="0" w:firstLineChars="0"/>
              <w:jc w:val="center"/>
              <w:rPr>
                <w:rFonts w:cs="Times New Roman"/>
                <w:szCs w:val="21"/>
              </w:rPr>
            </w:pPr>
            <w:r>
              <w:rPr>
                <w:rFonts w:hint="eastAsia" w:cs="Times New Roman"/>
                <w:szCs w:val="21"/>
              </w:rPr>
              <w:t>13</w:t>
            </w:r>
          </w:p>
        </w:tc>
        <w:tc>
          <w:tcPr>
            <w:tcW w:w="992" w:type="dxa"/>
            <w:vMerge w:val="continue"/>
            <w:tcBorders>
              <w:left w:val="single" w:color="auto" w:sz="4" w:space="0"/>
            </w:tcBorders>
          </w:tcPr>
          <w:p w14:paraId="4B627704">
            <w:pPr>
              <w:ind w:firstLine="420"/>
            </w:pPr>
          </w:p>
        </w:tc>
        <w:tc>
          <w:tcPr>
            <w:tcW w:w="704" w:type="dxa"/>
            <w:tcBorders>
              <w:left w:val="single" w:color="auto" w:sz="4" w:space="0"/>
            </w:tcBorders>
            <w:vAlign w:val="center"/>
          </w:tcPr>
          <w:p w14:paraId="4896FD6F">
            <w:pPr>
              <w:ind w:firstLine="0" w:firstLineChars="0"/>
              <w:rPr>
                <w:rFonts w:cs="Times New Roman"/>
                <w:szCs w:val="21"/>
              </w:rPr>
            </w:pPr>
            <w:r>
              <w:rPr>
                <w:rFonts w:hint="eastAsia" w:cs="Times New Roman"/>
                <w:szCs w:val="21"/>
              </w:rPr>
              <w:t>人员变动率</w:t>
            </w:r>
          </w:p>
        </w:tc>
        <w:tc>
          <w:tcPr>
            <w:tcW w:w="1134" w:type="dxa"/>
            <w:tcBorders>
              <w:left w:val="single" w:color="auto" w:sz="4" w:space="0"/>
            </w:tcBorders>
            <w:vAlign w:val="center"/>
          </w:tcPr>
          <w:p w14:paraId="351F7568">
            <w:pPr>
              <w:ind w:firstLine="0" w:firstLineChars="0"/>
              <w:rPr>
                <w:rFonts w:cs="Times New Roman"/>
                <w:szCs w:val="21"/>
              </w:rPr>
            </w:pPr>
            <w:r>
              <w:rPr>
                <w:rFonts w:hint="eastAsia" w:cs="Times New Roman"/>
                <w:szCs w:val="21"/>
              </w:rPr>
              <w:t>用</w:t>
            </w:r>
            <w:r>
              <w:rPr>
                <w:rFonts w:cs="Times New Roman"/>
                <w:szCs w:val="21"/>
              </w:rPr>
              <w:t>于记录统计周期内</w:t>
            </w:r>
            <w:r>
              <w:rPr>
                <w:rFonts w:hint="eastAsia" w:cs="Times New Roman"/>
                <w:szCs w:val="21"/>
              </w:rPr>
              <w:t>乙方未经甲方同意</w:t>
            </w:r>
            <w:r>
              <w:rPr>
                <w:rFonts w:cs="Times New Roman"/>
                <w:szCs w:val="21"/>
              </w:rPr>
              <w:t>更换外包人员数量占</w:t>
            </w:r>
            <w:r>
              <w:rPr>
                <w:rFonts w:hint="eastAsia" w:cs="Times New Roman"/>
                <w:szCs w:val="21"/>
              </w:rPr>
              <w:t>乙方</w:t>
            </w:r>
            <w:r>
              <w:rPr>
                <w:rFonts w:cs="Times New Roman"/>
                <w:szCs w:val="21"/>
              </w:rPr>
              <w:t>驻场外包人员总数量的比率</w:t>
            </w:r>
          </w:p>
        </w:tc>
        <w:tc>
          <w:tcPr>
            <w:tcW w:w="3544" w:type="dxa"/>
            <w:tcBorders>
              <w:left w:val="single" w:color="auto" w:sz="4" w:space="0"/>
            </w:tcBorders>
            <w:vAlign w:val="center"/>
          </w:tcPr>
          <w:p w14:paraId="10C40FE4">
            <w:pPr>
              <w:ind w:firstLine="0" w:firstLineChars="0"/>
              <w:rPr>
                <w:rFonts w:cs="Times New Roman"/>
                <w:szCs w:val="21"/>
              </w:rPr>
            </w:pPr>
            <w:r>
              <w:rPr>
                <w:rFonts w:hint="eastAsia" w:cs="Times New Roman"/>
                <w:szCs w:val="21"/>
              </w:rPr>
              <w:t>人</w:t>
            </w:r>
            <w:r>
              <w:rPr>
                <w:rFonts w:cs="Times New Roman"/>
                <w:szCs w:val="21"/>
              </w:rPr>
              <w:t>员变动率=</w:t>
            </w:r>
            <w:r>
              <w:rPr>
                <w:rFonts w:hint="eastAsia" w:cs="Times New Roman"/>
                <w:szCs w:val="21"/>
              </w:rPr>
              <w:t>乙方未经甲方同意</w:t>
            </w:r>
            <w:r>
              <w:rPr>
                <w:rFonts w:cs="Times New Roman"/>
                <w:szCs w:val="21"/>
              </w:rPr>
              <w:t>更换外包人员数量/</w:t>
            </w:r>
            <w:r>
              <w:rPr>
                <w:rFonts w:hint="eastAsia" w:cs="Times New Roman"/>
                <w:szCs w:val="21"/>
              </w:rPr>
              <w:t>乙方</w:t>
            </w:r>
            <w:r>
              <w:rPr>
                <w:rFonts w:cs="Times New Roman"/>
                <w:szCs w:val="21"/>
              </w:rPr>
              <w:t>驻场外包人员总数量</w:t>
            </w:r>
          </w:p>
          <w:p w14:paraId="07ED4EE3">
            <w:pPr>
              <w:ind w:firstLine="0" w:firstLineChars="0"/>
              <w:rPr>
                <w:rFonts w:cs="Times New Roman"/>
                <w:b/>
                <w:szCs w:val="21"/>
              </w:rPr>
            </w:pPr>
            <w:r>
              <w:rPr>
                <w:rFonts w:hint="eastAsia" w:cs="Times New Roman"/>
                <w:b/>
                <w:szCs w:val="21"/>
              </w:rPr>
              <w:t>10分【0-20%】</w:t>
            </w:r>
          </w:p>
          <w:p w14:paraId="08A87A89">
            <w:pPr>
              <w:ind w:firstLine="0" w:firstLineChars="0"/>
              <w:rPr>
                <w:rFonts w:cs="Times New Roman"/>
                <w:b/>
                <w:szCs w:val="21"/>
              </w:rPr>
            </w:pPr>
            <w:r>
              <w:rPr>
                <w:rFonts w:hint="eastAsia" w:cs="Times New Roman"/>
                <w:b/>
                <w:szCs w:val="21"/>
              </w:rPr>
              <w:t>5分【20%-40%】</w:t>
            </w:r>
          </w:p>
          <w:p w14:paraId="15DE36F7">
            <w:pPr>
              <w:ind w:firstLine="0" w:firstLineChars="0"/>
              <w:rPr>
                <w:rFonts w:cs="Times New Roman"/>
                <w:b/>
                <w:szCs w:val="21"/>
              </w:rPr>
            </w:pPr>
            <w:r>
              <w:rPr>
                <w:rFonts w:hint="eastAsia" w:cs="Times New Roman"/>
                <w:b/>
                <w:szCs w:val="21"/>
              </w:rPr>
              <w:t>0分【超过40%】</w:t>
            </w:r>
          </w:p>
        </w:tc>
        <w:tc>
          <w:tcPr>
            <w:tcW w:w="1276" w:type="dxa"/>
            <w:tcBorders>
              <w:left w:val="single" w:color="auto" w:sz="4" w:space="0"/>
            </w:tcBorders>
            <w:vAlign w:val="center"/>
          </w:tcPr>
          <w:p w14:paraId="511650FC">
            <w:pPr>
              <w:ind w:firstLine="0" w:firstLineChars="0"/>
              <w:rPr>
                <w:rFonts w:cs="Times New Roman"/>
                <w:szCs w:val="21"/>
              </w:rPr>
            </w:pPr>
            <w:r>
              <w:rPr>
                <w:rFonts w:hint="eastAsia" w:cs="Times New Roman"/>
                <w:szCs w:val="21"/>
              </w:rPr>
              <w:t>技术骨干或项目经理未经甲方同意变动，扣除乙方金额人民币不低于3万元；其余人员变动率超过40</w:t>
            </w:r>
            <w:r>
              <w:rPr>
                <w:rFonts w:cs="Times New Roman"/>
                <w:szCs w:val="21"/>
              </w:rPr>
              <w:t>%</w:t>
            </w:r>
            <w:r>
              <w:rPr>
                <w:rFonts w:hint="eastAsia" w:cs="Times New Roman"/>
                <w:szCs w:val="21"/>
              </w:rPr>
              <w:t>，扣除不低于合同总金额的1%。</w:t>
            </w:r>
          </w:p>
        </w:tc>
      </w:tr>
      <w:tr w14:paraId="7BC1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79D4376">
            <w:pPr>
              <w:ind w:firstLine="0" w:firstLineChars="0"/>
              <w:jc w:val="center"/>
              <w:rPr>
                <w:rFonts w:cs="Times New Roman"/>
                <w:szCs w:val="21"/>
              </w:rPr>
            </w:pPr>
            <w:r>
              <w:rPr>
                <w:rFonts w:hint="eastAsia" w:cs="Times New Roman"/>
                <w:szCs w:val="21"/>
              </w:rPr>
              <w:t>14</w:t>
            </w:r>
          </w:p>
        </w:tc>
        <w:tc>
          <w:tcPr>
            <w:tcW w:w="992" w:type="dxa"/>
            <w:vMerge w:val="continue"/>
            <w:tcBorders>
              <w:left w:val="single" w:color="auto" w:sz="4" w:space="0"/>
            </w:tcBorders>
          </w:tcPr>
          <w:p w14:paraId="09753477">
            <w:pPr>
              <w:ind w:firstLine="420"/>
            </w:pPr>
          </w:p>
        </w:tc>
        <w:tc>
          <w:tcPr>
            <w:tcW w:w="704" w:type="dxa"/>
            <w:tcBorders>
              <w:left w:val="single" w:color="auto" w:sz="4" w:space="0"/>
            </w:tcBorders>
            <w:vAlign w:val="center"/>
          </w:tcPr>
          <w:p w14:paraId="78E37F37">
            <w:pPr>
              <w:ind w:firstLine="0" w:firstLineChars="0"/>
              <w:rPr>
                <w:rFonts w:cs="Times New Roman"/>
                <w:szCs w:val="21"/>
              </w:rPr>
            </w:pPr>
            <w:r>
              <w:rPr>
                <w:rFonts w:hint="eastAsia" w:cs="Times New Roman"/>
                <w:szCs w:val="21"/>
              </w:rPr>
              <w:t>人员满意度评价</w:t>
            </w:r>
          </w:p>
        </w:tc>
        <w:tc>
          <w:tcPr>
            <w:tcW w:w="1134" w:type="dxa"/>
            <w:tcBorders>
              <w:left w:val="single" w:color="auto" w:sz="4" w:space="0"/>
            </w:tcBorders>
            <w:vAlign w:val="center"/>
          </w:tcPr>
          <w:p w14:paraId="6432942E">
            <w:pPr>
              <w:ind w:firstLine="0" w:firstLineChars="0"/>
              <w:rPr>
                <w:rFonts w:cs="Times New Roman"/>
                <w:szCs w:val="21"/>
              </w:rPr>
            </w:pPr>
            <w:r>
              <w:rPr>
                <w:rFonts w:hint="eastAsia" w:cs="Times New Roman"/>
                <w:szCs w:val="21"/>
              </w:rPr>
              <w:t>甲方</w:t>
            </w:r>
            <w:r>
              <w:rPr>
                <w:rFonts w:cs="Times New Roman"/>
                <w:szCs w:val="21"/>
              </w:rPr>
              <w:t>对</w:t>
            </w:r>
            <w:r>
              <w:rPr>
                <w:rFonts w:hint="eastAsia" w:cs="Times New Roman"/>
                <w:szCs w:val="21"/>
              </w:rPr>
              <w:t>乙方</w:t>
            </w:r>
            <w:r>
              <w:rPr>
                <w:rFonts w:cs="Times New Roman"/>
                <w:szCs w:val="21"/>
              </w:rPr>
              <w:t>外包人员表现的满意度评价</w:t>
            </w:r>
          </w:p>
        </w:tc>
        <w:tc>
          <w:tcPr>
            <w:tcW w:w="3544" w:type="dxa"/>
            <w:tcBorders>
              <w:left w:val="single" w:color="auto" w:sz="4" w:space="0"/>
            </w:tcBorders>
            <w:vAlign w:val="center"/>
          </w:tcPr>
          <w:p w14:paraId="17EAF569">
            <w:pPr>
              <w:ind w:firstLine="0" w:firstLineChars="0"/>
              <w:rPr>
                <w:rFonts w:cs="Times New Roman"/>
                <w:szCs w:val="21"/>
              </w:rPr>
            </w:pPr>
            <w:r>
              <w:rPr>
                <w:rFonts w:hint="eastAsia" w:cs="Times New Roman"/>
                <w:b/>
                <w:bCs/>
                <w:szCs w:val="21"/>
              </w:rPr>
              <w:t>优秀：</w:t>
            </w:r>
            <w:r>
              <w:rPr>
                <w:rFonts w:hint="eastAsia" w:cs="Times New Roman"/>
                <w:szCs w:val="21"/>
              </w:rPr>
              <w:t>5分，</w:t>
            </w:r>
            <w:r>
              <w:rPr>
                <w:rFonts w:cs="Times New Roman"/>
                <w:szCs w:val="21"/>
              </w:rPr>
              <w:t>指</w:t>
            </w:r>
            <w:r>
              <w:rPr>
                <w:rFonts w:hint="eastAsia" w:cs="Times New Roman"/>
                <w:szCs w:val="21"/>
              </w:rPr>
              <w:t>工作效率高，态度积极主动，</w:t>
            </w:r>
            <w:r>
              <w:rPr>
                <w:rFonts w:cs="Times New Roman"/>
                <w:szCs w:val="21"/>
              </w:rPr>
              <w:t>保质保量完成工作任务</w:t>
            </w:r>
            <w:r>
              <w:rPr>
                <w:rFonts w:hint="eastAsia" w:cs="Times New Roman"/>
                <w:szCs w:val="21"/>
              </w:rPr>
              <w:t>，</w:t>
            </w:r>
            <w:r>
              <w:rPr>
                <w:rFonts w:cs="Times New Roman"/>
                <w:szCs w:val="21"/>
              </w:rPr>
              <w:t>对团队有突出贡献，日常行为能起到模范带头作用</w:t>
            </w:r>
            <w:r>
              <w:rPr>
                <w:rFonts w:hint="eastAsia" w:cs="Times New Roman"/>
                <w:szCs w:val="21"/>
              </w:rPr>
              <w:t>的；</w:t>
            </w:r>
          </w:p>
          <w:p w14:paraId="771C879A">
            <w:pPr>
              <w:ind w:firstLine="0" w:firstLineChars="0"/>
              <w:rPr>
                <w:rFonts w:cs="Times New Roman"/>
                <w:szCs w:val="21"/>
              </w:rPr>
            </w:pPr>
            <w:r>
              <w:rPr>
                <w:rFonts w:hint="eastAsia" w:cs="Times New Roman"/>
                <w:b/>
                <w:bCs/>
                <w:szCs w:val="21"/>
              </w:rPr>
              <w:t>良好：</w:t>
            </w:r>
            <w:r>
              <w:rPr>
                <w:rFonts w:hint="eastAsia" w:cs="Times New Roman"/>
                <w:szCs w:val="21"/>
              </w:rPr>
              <w:t>4分，</w:t>
            </w:r>
            <w:r>
              <w:rPr>
                <w:rFonts w:cs="Times New Roman"/>
                <w:szCs w:val="21"/>
              </w:rPr>
              <w:t>指</w:t>
            </w:r>
            <w:r>
              <w:rPr>
                <w:rFonts w:hint="eastAsia" w:cs="Times New Roman"/>
                <w:szCs w:val="21"/>
              </w:rPr>
              <w:t>工作效率较高，态度比较主动，较好</w:t>
            </w:r>
            <w:r>
              <w:rPr>
                <w:rFonts w:cs="Times New Roman"/>
                <w:szCs w:val="21"/>
              </w:rPr>
              <w:t>完成工作任务</w:t>
            </w:r>
            <w:r>
              <w:rPr>
                <w:rFonts w:hint="eastAsia" w:cs="Times New Roman"/>
                <w:szCs w:val="21"/>
              </w:rPr>
              <w:t>，</w:t>
            </w:r>
            <w:r>
              <w:rPr>
                <w:rFonts w:cs="Times New Roman"/>
                <w:szCs w:val="21"/>
              </w:rPr>
              <w:t>对团队有</w:t>
            </w:r>
            <w:r>
              <w:rPr>
                <w:rFonts w:hint="eastAsia" w:cs="Times New Roman"/>
                <w:szCs w:val="21"/>
              </w:rPr>
              <w:t>一定</w:t>
            </w:r>
            <w:r>
              <w:rPr>
                <w:rFonts w:cs="Times New Roman"/>
                <w:szCs w:val="21"/>
              </w:rPr>
              <w:t>贡献，日常行为</w:t>
            </w:r>
            <w:r>
              <w:rPr>
                <w:rFonts w:hint="eastAsia" w:cs="Times New Roman"/>
                <w:szCs w:val="21"/>
              </w:rPr>
              <w:t>表现较好的；</w:t>
            </w:r>
          </w:p>
          <w:p w14:paraId="096D4D90">
            <w:pPr>
              <w:ind w:firstLine="0" w:firstLineChars="0"/>
              <w:rPr>
                <w:rFonts w:cs="Times New Roman"/>
                <w:szCs w:val="21"/>
              </w:rPr>
            </w:pPr>
            <w:r>
              <w:rPr>
                <w:rFonts w:hint="eastAsia" w:cs="Times New Roman"/>
                <w:b/>
                <w:bCs/>
                <w:szCs w:val="21"/>
              </w:rPr>
              <w:t>合格：</w:t>
            </w:r>
            <w:r>
              <w:rPr>
                <w:rFonts w:hint="eastAsia" w:cs="Times New Roman"/>
                <w:szCs w:val="21"/>
              </w:rPr>
              <w:t>3分，</w:t>
            </w:r>
            <w:r>
              <w:rPr>
                <w:rFonts w:cs="Times New Roman"/>
                <w:szCs w:val="21"/>
              </w:rPr>
              <w:t>指</w:t>
            </w:r>
            <w:r>
              <w:rPr>
                <w:rFonts w:hint="eastAsia" w:cs="Times New Roman"/>
                <w:szCs w:val="21"/>
              </w:rPr>
              <w:t>工作效率一般，态度合格，能够按时</w:t>
            </w:r>
            <w:r>
              <w:rPr>
                <w:rFonts w:cs="Times New Roman"/>
                <w:szCs w:val="21"/>
              </w:rPr>
              <w:t>完成工作任务</w:t>
            </w:r>
            <w:r>
              <w:rPr>
                <w:rFonts w:hint="eastAsia" w:cs="Times New Roman"/>
                <w:szCs w:val="21"/>
              </w:rPr>
              <w:t>的；</w:t>
            </w:r>
          </w:p>
          <w:p w14:paraId="4A5129B9">
            <w:pPr>
              <w:ind w:firstLine="0" w:firstLineChars="0"/>
              <w:rPr>
                <w:rFonts w:cs="Times New Roman"/>
                <w:szCs w:val="21"/>
              </w:rPr>
            </w:pPr>
            <w:r>
              <w:rPr>
                <w:rFonts w:hint="eastAsia" w:cs="Times New Roman"/>
                <w:b/>
                <w:bCs/>
                <w:szCs w:val="21"/>
              </w:rPr>
              <w:t>较差/差：</w:t>
            </w:r>
            <w:r>
              <w:rPr>
                <w:rFonts w:hint="eastAsia" w:cs="Times New Roman"/>
                <w:szCs w:val="21"/>
              </w:rPr>
              <w:t>0分，</w:t>
            </w:r>
            <w:r>
              <w:rPr>
                <w:rFonts w:cs="Times New Roman"/>
                <w:szCs w:val="21"/>
              </w:rPr>
              <w:t>指</w:t>
            </w:r>
            <w:r>
              <w:rPr>
                <w:rFonts w:hint="eastAsia" w:cs="Times New Roman"/>
                <w:szCs w:val="21"/>
              </w:rPr>
              <w:t>工作效率低下，态度懈怠散漫，不能按时</w:t>
            </w:r>
            <w:r>
              <w:rPr>
                <w:rFonts w:cs="Times New Roman"/>
                <w:szCs w:val="21"/>
              </w:rPr>
              <w:t>完成工作任务</w:t>
            </w:r>
            <w:r>
              <w:rPr>
                <w:rFonts w:hint="eastAsia" w:cs="Times New Roman"/>
                <w:szCs w:val="21"/>
              </w:rPr>
              <w:t>的。</w:t>
            </w:r>
          </w:p>
        </w:tc>
        <w:tc>
          <w:tcPr>
            <w:tcW w:w="1276" w:type="dxa"/>
            <w:tcBorders>
              <w:left w:val="single" w:color="auto" w:sz="4" w:space="0"/>
            </w:tcBorders>
            <w:vAlign w:val="center"/>
          </w:tcPr>
          <w:p w14:paraId="71A7E7EF">
            <w:pPr>
              <w:ind w:firstLine="0" w:firstLineChars="0"/>
              <w:rPr>
                <w:rFonts w:cs="Times New Roman"/>
                <w:szCs w:val="21"/>
              </w:rPr>
            </w:pPr>
            <w:r>
              <w:rPr>
                <w:rFonts w:hint="eastAsia" w:cs="Times New Roman"/>
                <w:szCs w:val="21"/>
              </w:rPr>
              <w:t>评价为较差/差时，甲方有权要求乙方更换人员并赔偿实际损失。</w:t>
            </w:r>
          </w:p>
        </w:tc>
      </w:tr>
    </w:tbl>
    <w:p w14:paraId="3937FC50">
      <w:pPr>
        <w:pStyle w:val="47"/>
        <w:ind w:firstLine="420"/>
        <w:jc w:val="both"/>
        <w:rPr>
          <w:lang w:val="zh-CN"/>
        </w:rPr>
      </w:pPr>
    </w:p>
    <w:p w14:paraId="4CEA61A4">
      <w:pPr>
        <w:ind w:firstLine="420"/>
        <w:rPr>
          <w:lang w:val="zh-CN"/>
        </w:rPr>
      </w:pPr>
    </w:p>
    <w:p w14:paraId="5237CAAE">
      <w:pPr>
        <w:ind w:firstLine="420"/>
        <w:rPr>
          <w:lang w:val="zh-CN"/>
        </w:rPr>
      </w:pPr>
    </w:p>
    <w:p w14:paraId="456C902C">
      <w:pPr>
        <w:ind w:firstLine="420"/>
        <w:rPr>
          <w:lang w:val="zh-CN"/>
        </w:rPr>
        <w:sectPr>
          <w:pgSz w:w="11906" w:h="16838"/>
          <w:pgMar w:top="1440" w:right="1800" w:bottom="1440" w:left="1800" w:header="851" w:footer="992" w:gutter="0"/>
          <w:cols w:space="425" w:num="1"/>
          <w:docGrid w:type="lines" w:linePitch="312" w:charSpace="0"/>
        </w:sectPr>
      </w:pPr>
    </w:p>
    <w:p w14:paraId="0F1CA980">
      <w:pPr>
        <w:pStyle w:val="36"/>
        <w:rPr>
          <w:lang w:val="zh-CN"/>
        </w:rPr>
      </w:pPr>
      <w:r>
        <w:rPr>
          <w:rFonts w:hint="eastAsia"/>
          <w:lang w:val="zh-CN"/>
        </w:rPr>
        <w:t>（</w:t>
      </w:r>
      <w:r>
        <w:t>三</w:t>
      </w:r>
      <w:r>
        <w:rPr>
          <w:rFonts w:hint="eastAsia"/>
          <w:lang w:val="zh-CN"/>
        </w:rPr>
        <w:t>）服务连续性预案</w:t>
      </w:r>
    </w:p>
    <w:p w14:paraId="306A4A1A">
      <w:pPr>
        <w:pStyle w:val="47"/>
        <w:jc w:val="both"/>
        <w:rPr>
          <w:lang w:val="zh-CN"/>
        </w:rPr>
      </w:pPr>
    </w:p>
    <w:p w14:paraId="27B48ACB">
      <w:pPr>
        <w:ind w:firstLine="420"/>
        <w:rPr>
          <w:lang w:val="zh-CN"/>
        </w:rPr>
      </w:pPr>
    </w:p>
    <w:p w14:paraId="39F7E68F">
      <w:pPr>
        <w:pStyle w:val="36"/>
        <w:rPr>
          <w:lang w:val="zh-CN"/>
        </w:rPr>
      </w:pPr>
      <w:r>
        <w:rPr>
          <w:lang w:val="zh-CN"/>
        </w:rPr>
        <w:br w:type="page"/>
      </w:r>
      <w:r>
        <w:rPr>
          <w:rFonts w:hint="eastAsia"/>
          <w:lang w:val="zh-CN"/>
        </w:rPr>
        <w:t>（</w:t>
      </w:r>
      <w:r>
        <w:rPr>
          <w:rFonts w:hint="eastAsia"/>
        </w:rPr>
        <w:t>四</w:t>
      </w:r>
      <w:r>
        <w:rPr>
          <w:rFonts w:hint="eastAsia"/>
          <w:lang w:val="zh-CN"/>
        </w:rPr>
        <w:t>）</w:t>
      </w:r>
      <w:r>
        <w:t>人力外包管理方案</w:t>
      </w:r>
    </w:p>
    <w:p w14:paraId="208409E6">
      <w:pPr>
        <w:pStyle w:val="47"/>
        <w:jc w:val="both"/>
        <w:rPr>
          <w:lang w:val="zh-CN"/>
        </w:rPr>
      </w:pPr>
    </w:p>
    <w:p w14:paraId="073C6B1E">
      <w:pPr>
        <w:ind w:firstLine="420"/>
        <w:rPr>
          <w:lang w:val="zh-CN"/>
        </w:rPr>
      </w:pPr>
    </w:p>
    <w:p w14:paraId="2B9AB444">
      <w:pPr>
        <w:pStyle w:val="36"/>
        <w:rPr>
          <w:lang w:val="zh-CN"/>
        </w:rPr>
      </w:pPr>
      <w:r>
        <w:rPr>
          <w:lang w:val="zh-CN"/>
        </w:rPr>
        <w:br w:type="page"/>
      </w:r>
      <w:r>
        <w:rPr>
          <w:rFonts w:hint="eastAsia"/>
          <w:lang w:val="zh-CN"/>
        </w:rPr>
        <w:t>（</w:t>
      </w:r>
      <w:r>
        <w:rPr>
          <w:rFonts w:hint="eastAsia"/>
        </w:rPr>
        <w:t>五</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5DC3AE32">
      <w:pPr>
        <w:ind w:firstLine="420"/>
        <w:rPr>
          <w:lang w:val="zh-CN"/>
        </w:rPr>
      </w:pPr>
      <w:r>
        <w:rPr>
          <w:lang w:val="zh-CN"/>
        </w:rPr>
        <w:t>（</w:t>
      </w:r>
      <w:r>
        <w:t>如第三章中要求提供的文件、方案等材料</w:t>
      </w:r>
      <w:r>
        <w:rPr>
          <w:lang w:val="zh-CN"/>
        </w:rPr>
        <w:t>）</w:t>
      </w:r>
    </w:p>
    <w:p w14:paraId="0B80F06F">
      <w:pPr>
        <w:ind w:firstLine="420"/>
        <w:rPr>
          <w:lang w:val="zh-CN"/>
        </w:rPr>
        <w:sectPr>
          <w:pgSz w:w="11906" w:h="16838"/>
          <w:pgMar w:top="1440" w:right="1800" w:bottom="1440" w:left="1800" w:header="851" w:footer="992" w:gutter="0"/>
          <w:cols w:space="425" w:num="1"/>
          <w:docGrid w:type="lines" w:linePitch="312" w:charSpace="0"/>
        </w:sectPr>
      </w:pPr>
    </w:p>
    <w:p w14:paraId="30BB7298">
      <w:pPr>
        <w:pStyle w:val="35"/>
      </w:pPr>
      <w:r>
        <w:t>五、商务技术文件（如有）</w:t>
      </w:r>
    </w:p>
    <w:p w14:paraId="3A52F9F6">
      <w:pPr>
        <w:pStyle w:val="47"/>
      </w:pPr>
      <w:r>
        <w:t>（根据第四章内容提供相关材料）</w:t>
      </w:r>
    </w:p>
    <w:p w14:paraId="3C593AF5">
      <w:pPr>
        <w:ind w:firstLine="422"/>
        <w:rPr>
          <w:rStyle w:val="30"/>
          <w:b/>
        </w:rPr>
      </w:pPr>
    </w:p>
    <w:p w14:paraId="2517A46E">
      <w:pPr>
        <w:ind w:firstLine="422"/>
        <w:rPr>
          <w:rStyle w:val="30"/>
          <w:b/>
        </w:rPr>
      </w:pPr>
    </w:p>
    <w:p w14:paraId="72BEB24A">
      <w:pPr>
        <w:ind w:firstLine="422"/>
        <w:rPr>
          <w:rStyle w:val="30"/>
          <w:b/>
        </w:rPr>
      </w:pPr>
    </w:p>
    <w:p w14:paraId="35BB581D">
      <w:pPr>
        <w:ind w:firstLine="422"/>
        <w:rPr>
          <w:rStyle w:val="30"/>
          <w:b/>
        </w:rPr>
        <w:sectPr>
          <w:pgSz w:w="11906" w:h="16838"/>
          <w:pgMar w:top="1440" w:right="1800" w:bottom="1440" w:left="1800" w:header="851" w:footer="992" w:gutter="0"/>
          <w:cols w:space="425" w:num="1"/>
          <w:docGrid w:type="lines" w:linePitch="312" w:charSpace="0"/>
        </w:sectPr>
      </w:pPr>
    </w:p>
    <w:p w14:paraId="47AD9BA5">
      <w:pPr>
        <w:pStyle w:val="35"/>
      </w:pPr>
      <w:r>
        <w:t>六、其他（如有）</w:t>
      </w:r>
    </w:p>
    <w:p w14:paraId="534B87A0">
      <w:pPr>
        <w:ind w:firstLine="420"/>
      </w:pPr>
    </w:p>
    <w:p w14:paraId="1A4AEC9B">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embedRegular r:id="rId1" w:fontKey="{44E88014-384D-45C0-A788-C03AD549D823}"/>
  </w:font>
  <w:font w:name="Cambria Math">
    <w:panose1 w:val="02040503050406030204"/>
    <w:charset w:val="00"/>
    <w:family w:val="roman"/>
    <w:pitch w:val="default"/>
    <w:sig w:usb0="E00006FF" w:usb1="420024FF" w:usb2="02000000" w:usb3="00000000" w:csb0="2000019F" w:csb1="00000000"/>
    <w:embedRegular r:id="rId2" w:fontKey="{EE2970A6-7CCE-478C-8090-0B61B6A0B106}"/>
  </w:font>
  <w:font w:name="等线 Light">
    <w:panose1 w:val="02010600030101010101"/>
    <w:charset w:val="86"/>
    <w:family w:val="auto"/>
    <w:pitch w:val="default"/>
    <w:sig w:usb0="A00002BF" w:usb1="38CF7CFA" w:usb2="00000016" w:usb3="00000000" w:csb0="0004000F" w:csb1="00000000"/>
    <w:embedRegular r:id="rId3" w:fontKey="{AE01DBA1-5CEF-45FB-B658-FF73A432D0A6}"/>
  </w:font>
  <w:font w:name="方正兰亭黑_GBK">
    <w:altName w:val="微软雅黑"/>
    <w:panose1 w:val="00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Sim Sun">
    <w:altName w:val="宋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318C0933-84EC-4E58-9306-63777CE946D3}"/>
  </w:font>
  <w:font w:name="方正小标宋_GBK">
    <w:panose1 w:val="03000509000000000000"/>
    <w:charset w:val="86"/>
    <w:family w:val="script"/>
    <w:pitch w:val="default"/>
    <w:sig w:usb0="00000001" w:usb1="080E0000" w:usb2="00000000" w:usb3="00000000" w:csb0="00040000" w:csb1="00000000"/>
    <w:embedRegular r:id="rId5" w:fontKey="{8F156CF6-A591-4BED-8AB2-17BEE1F29B58}"/>
  </w:font>
  <w:font w:name="Cambria">
    <w:panose1 w:val="02040503050406030204"/>
    <w:charset w:val="00"/>
    <w:family w:val="roman"/>
    <w:pitch w:val="default"/>
    <w:sig w:usb0="E00006FF" w:usb1="420024FF" w:usb2="02000000" w:usb3="00000000" w:csb0="2000019F" w:csb1="00000000"/>
    <w:embedRegular r:id="rId6" w:fontKey="{B84FB28A-082F-481A-A421-81F1C8070632}"/>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F965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38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7B1D8">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3EC75">
    <w:pPr>
      <w:tabs>
        <w:tab w:val="center" w:pos="4153"/>
        <w:tab w:val="right" w:pos="8306"/>
      </w:tabs>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77632">
                          <w:pPr>
                            <w:pStyle w:val="14"/>
                            <w:ind w:firstLine="36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8177632">
                    <w:pPr>
                      <w:pStyle w:val="14"/>
                      <w:ind w:firstLine="36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264BF">
    <w:pPr>
      <w:pStyle w:val="14"/>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8D9B4">
                          <w:pPr>
                            <w:pStyle w:val="14"/>
                            <w:ind w:firstLine="36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548D9B4">
                    <w:pPr>
                      <w:pStyle w:val="14"/>
                      <w:ind w:firstLine="360"/>
                    </w:pPr>
                    <w:r>
                      <w:fldChar w:fldCharType="begin"/>
                    </w:r>
                    <w:r>
                      <w:instrText xml:space="preserve"> PAGE  \* MERGEFORMAT </w:instrText>
                    </w:r>
                    <w:r>
                      <w:fldChar w:fldCharType="separate"/>
                    </w:r>
                    <w:r>
                      <w:t>57</w:t>
                    </w:r>
                    <w:r>
                      <w:fldChar w:fldCharType="end"/>
                    </w:r>
                  </w:p>
                </w:txbxContent>
              </v:textbox>
            </v:shape>
          </w:pict>
        </mc:Fallback>
      </mc:AlternateContent>
    </w:r>
  </w:p>
  <w:p w14:paraId="7F9DA342">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E334">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9E459">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CF3B1">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37CC8">
    <w:pPr>
      <w:pStyle w:val="15"/>
      <w:tabs>
        <w:tab w:val="right" w:pos="14015"/>
        <w:tab w:val="clear" w:pos="4153"/>
        <w:tab w:val="clear" w:pos="8306"/>
      </w:tabs>
      <w:ind w:firstLine="36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mY1ODA0NTUyNTIzOGU4NGRmM2JhYjg3Y2Q0YjMifQ=="/>
  </w:docVars>
  <w:rsids>
    <w:rsidRoot w:val="00633AAB"/>
    <w:rsid w:val="00345317"/>
    <w:rsid w:val="005163E9"/>
    <w:rsid w:val="005E1F43"/>
    <w:rsid w:val="00633AAB"/>
    <w:rsid w:val="00850A21"/>
    <w:rsid w:val="00851E69"/>
    <w:rsid w:val="00886DD9"/>
    <w:rsid w:val="00A272C5"/>
    <w:rsid w:val="00B227BE"/>
    <w:rsid w:val="00C747F6"/>
    <w:rsid w:val="00C979F3"/>
    <w:rsid w:val="00DE3E2C"/>
    <w:rsid w:val="00F47AA2"/>
    <w:rsid w:val="02DA4630"/>
    <w:rsid w:val="09223C60"/>
    <w:rsid w:val="0A911A78"/>
    <w:rsid w:val="0D225AA2"/>
    <w:rsid w:val="0F763E6D"/>
    <w:rsid w:val="2DAA4168"/>
    <w:rsid w:val="36F66D77"/>
    <w:rsid w:val="464E73BE"/>
    <w:rsid w:val="5F122CB9"/>
    <w:rsid w:val="6BF02FA5"/>
    <w:rsid w:val="6BFC4F3C"/>
    <w:rsid w:val="6FFE3112"/>
    <w:rsid w:val="75451D55"/>
    <w:rsid w:val="79517ACB"/>
    <w:rsid w:val="7A920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ocked="1"/>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23"/>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4"/>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5"/>
    <w:autoRedefine/>
    <w:qFormat/>
    <w:locked/>
    <w:uiPriority w:val="0"/>
    <w:pPr>
      <w:outlineLvl w:val="2"/>
    </w:pPr>
    <w:rPr>
      <w:b/>
      <w:bCs/>
      <w:szCs w:val="32"/>
    </w:rPr>
  </w:style>
  <w:style w:type="paragraph" w:styleId="5">
    <w:name w:val="heading 4"/>
    <w:basedOn w:val="1"/>
    <w:next w:val="1"/>
    <w:link w:val="26"/>
    <w:autoRedefine/>
    <w:qFormat/>
    <w:locked/>
    <w:uiPriority w:val="0"/>
    <w:pPr>
      <w:outlineLvl w:val="3"/>
    </w:pPr>
    <w:rPr>
      <w:rFonts w:cs="Times New Roman"/>
      <w:bCs/>
      <w:szCs w:val="28"/>
    </w:rPr>
  </w:style>
  <w:style w:type="paragraph" w:styleId="6">
    <w:name w:val="heading 5"/>
    <w:basedOn w:val="1"/>
    <w:next w:val="1"/>
    <w:link w:val="27"/>
    <w:autoRedefine/>
    <w:qFormat/>
    <w:locked/>
    <w:uiPriority w:val="0"/>
    <w:pPr>
      <w:ind w:firstLine="0" w:firstLineChars="0"/>
      <w:jc w:val="center"/>
      <w:outlineLvl w:val="4"/>
    </w:pPr>
    <w:rPr>
      <w:b/>
      <w:sz w:val="28"/>
    </w:rPr>
  </w:style>
  <w:style w:type="paragraph" w:styleId="7">
    <w:name w:val="heading 6"/>
    <w:basedOn w:val="1"/>
    <w:next w:val="1"/>
    <w:link w:val="28"/>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29"/>
    <w:qFormat/>
    <w:locked/>
    <w:uiPriority w:val="0"/>
    <w:pPr>
      <w:keepNext/>
      <w:keepLines/>
      <w:spacing w:before="240" w:after="64" w:line="317" w:lineRule="auto"/>
      <w:outlineLvl w:val="6"/>
    </w:pPr>
    <w:rPr>
      <w:b/>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9">
    <w:name w:val="Document Map"/>
    <w:basedOn w:val="1"/>
    <w:qFormat/>
    <w:uiPriority w:val="0"/>
    <w:pPr>
      <w:widowControl/>
      <w:autoSpaceDE/>
      <w:autoSpaceDN/>
      <w:spacing w:before="100" w:beforeAutospacing="1" w:after="100" w:afterAutospacing="1" w:line="240" w:lineRule="auto"/>
      <w:ind w:firstLine="0" w:firstLineChars="0"/>
      <w:jc w:val="left"/>
    </w:pPr>
    <w:rPr>
      <w:rFonts w:ascii="方正兰亭黑_GBK" w:hAnsi="宋体" w:cs="Arial"/>
      <w:kern w:val="0"/>
      <w:sz w:val="18"/>
      <w:szCs w:val="18"/>
    </w:rPr>
  </w:style>
  <w:style w:type="paragraph" w:styleId="10">
    <w:name w:val="annotation text"/>
    <w:basedOn w:val="1"/>
    <w:qFormat/>
    <w:locked/>
    <w:uiPriority w:val="0"/>
    <w:pPr>
      <w:jc w:val="left"/>
    </w:pPr>
  </w:style>
  <w:style w:type="paragraph" w:styleId="11">
    <w:name w:val="Body Text"/>
    <w:basedOn w:val="1"/>
    <w:qFormat/>
    <w:locked/>
    <w:uiPriority w:val="0"/>
    <w:pPr>
      <w:spacing w:after="120"/>
    </w:pPr>
  </w:style>
  <w:style w:type="paragraph" w:styleId="12">
    <w:name w:val="Plain Text"/>
    <w:basedOn w:val="1"/>
    <w:qFormat/>
    <w:uiPriority w:val="0"/>
    <w:pPr>
      <w:autoSpaceDE/>
      <w:autoSpaceDN/>
      <w:spacing w:line="240" w:lineRule="auto"/>
      <w:ind w:firstLine="0" w:firstLineChars="0"/>
    </w:pPr>
    <w:rPr>
      <w:rFonts w:ascii="宋体" w:cs="Times New Roman"/>
      <w:szCs w:val="21"/>
    </w:rPr>
  </w:style>
  <w:style w:type="paragraph" w:styleId="13">
    <w:name w:val="Balloon Text"/>
    <w:basedOn w:val="1"/>
    <w:qFormat/>
    <w:uiPriority w:val="0"/>
    <w:pPr>
      <w:spacing w:line="240" w:lineRule="auto"/>
    </w:pPr>
    <w:rPr>
      <w:sz w:val="18"/>
      <w:szCs w:val="18"/>
    </w:rPr>
  </w:style>
  <w:style w:type="paragraph" w:styleId="14">
    <w:name w:val="footer"/>
    <w:basedOn w:val="1"/>
    <w:qFormat/>
    <w:locked/>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locked/>
    <w:uiPriority w:val="0"/>
  </w:style>
  <w:style w:type="paragraph" w:styleId="17">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8">
    <w:name w:val="annotation subject"/>
    <w:basedOn w:val="10"/>
    <w:next w:val="10"/>
    <w:qFormat/>
    <w:uiPriority w:val="0"/>
    <w:rPr>
      <w:b/>
      <w:bCs/>
    </w:rPr>
  </w:style>
  <w:style w:type="character" w:styleId="21">
    <w:name w:val="Hyperlink"/>
    <w:qFormat/>
    <w:uiPriority w:val="0"/>
    <w:rPr>
      <w:color w:val="0000FF"/>
      <w:u w:val="single"/>
    </w:rPr>
  </w:style>
  <w:style w:type="character" w:styleId="22">
    <w:name w:val="annotation reference"/>
    <w:basedOn w:val="20"/>
    <w:qFormat/>
    <w:uiPriority w:val="0"/>
    <w:rPr>
      <w:sz w:val="21"/>
      <w:szCs w:val="21"/>
    </w:rPr>
  </w:style>
  <w:style w:type="character" w:customStyle="1" w:styleId="23">
    <w:name w:val="标题 1 字符"/>
    <w:basedOn w:val="20"/>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4">
    <w:name w:val="标题 2 字符"/>
    <w:basedOn w:val="20"/>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5">
    <w:name w:val="标题 3 字符"/>
    <w:basedOn w:val="20"/>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26">
    <w:name w:val="标题 4 字符1"/>
    <w:basedOn w:val="20"/>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7">
    <w:name w:val="标题 5 字符"/>
    <w:basedOn w:val="20"/>
    <w:link w:val="6"/>
    <w:autoRedefine/>
    <w:qFormat/>
    <w:uiPriority w:val="0"/>
    <w:rPr>
      <w:rFonts w:ascii="Times New Roman" w:hAnsi="Times New Roman" w:eastAsia="宋体" w:cs="Cambria Math"/>
      <w:b/>
      <w:kern w:val="2"/>
      <w:sz w:val="28"/>
      <w:szCs w:val="20"/>
      <w:lang w:val="en-US" w:eastAsia="zh-CN" w:bidi="ar-SA"/>
    </w:rPr>
  </w:style>
  <w:style w:type="character" w:customStyle="1" w:styleId="28">
    <w:name w:val="标题 6 字符"/>
    <w:basedOn w:val="20"/>
    <w:link w:val="7"/>
    <w:autoRedefine/>
    <w:qFormat/>
    <w:uiPriority w:val="0"/>
    <w:rPr>
      <w:rFonts w:ascii="Times New Roman" w:hAnsi="Times New Roman" w:eastAsia="黑体" w:cs="Cambria Math"/>
      <w:b/>
      <w:kern w:val="2"/>
      <w:sz w:val="21"/>
      <w:szCs w:val="20"/>
      <w:lang w:val="en-US" w:eastAsia="zh-CN" w:bidi="ar-SA"/>
    </w:rPr>
  </w:style>
  <w:style w:type="character" w:customStyle="1" w:styleId="29">
    <w:name w:val="标题 7 字符"/>
    <w:basedOn w:val="20"/>
    <w:link w:val="8"/>
    <w:qFormat/>
    <w:uiPriority w:val="0"/>
    <w:rPr>
      <w:rFonts w:ascii="Times New Roman" w:hAnsi="Times New Roman" w:eastAsia="宋体" w:cs="Cambria Math"/>
      <w:b/>
      <w:kern w:val="2"/>
      <w:sz w:val="21"/>
      <w:szCs w:val="20"/>
      <w:lang w:val="en-US" w:eastAsia="zh-CN" w:bidi="ar-SA"/>
    </w:rPr>
  </w:style>
  <w:style w:type="character" w:customStyle="1" w:styleId="30">
    <w:name w:val="标题 4 Char"/>
    <w:autoRedefine/>
    <w:qFormat/>
    <w:uiPriority w:val="0"/>
    <w:rPr>
      <w:rFonts w:cs="Times New Roman"/>
      <w:bCs/>
      <w:szCs w:val="28"/>
    </w:rPr>
  </w:style>
  <w:style w:type="character" w:customStyle="1" w:styleId="31">
    <w:name w:val="标题 1 Char"/>
    <w:basedOn w:val="20"/>
    <w:autoRedefine/>
    <w:qFormat/>
    <w:uiPriority w:val="0"/>
    <w:rPr>
      <w:rFonts w:ascii="Times New Roman" w:hAnsi="Times New Roman" w:eastAsia="宋体" w:cs="等线 Light"/>
      <w:b/>
      <w:snapToGrid w:val="0"/>
      <w:kern w:val="0"/>
      <w:sz w:val="44"/>
      <w:szCs w:val="44"/>
    </w:rPr>
  </w:style>
  <w:style w:type="character" w:customStyle="1" w:styleId="32">
    <w:name w:val="标题 2 Char"/>
    <w:basedOn w:val="20"/>
    <w:autoRedefine/>
    <w:qFormat/>
    <w:uiPriority w:val="0"/>
    <w:rPr>
      <w:rFonts w:ascii="Times New Roman" w:hAnsi="Times New Roman" w:eastAsia="宋体" w:cs="Times New Roman"/>
      <w:b/>
      <w:bCs/>
      <w:snapToGrid w:val="0"/>
      <w:szCs w:val="24"/>
    </w:rPr>
  </w:style>
  <w:style w:type="character" w:customStyle="1" w:styleId="33">
    <w:name w:val="标题 3 Char"/>
    <w:basedOn w:val="20"/>
    <w:autoRedefine/>
    <w:qFormat/>
    <w:uiPriority w:val="0"/>
    <w:rPr>
      <w:b/>
      <w:bCs/>
      <w:szCs w:val="32"/>
    </w:rPr>
  </w:style>
  <w:style w:type="character" w:customStyle="1" w:styleId="34">
    <w:name w:val="标题 5 Char"/>
    <w:autoRedefine/>
    <w:qFormat/>
    <w:uiPriority w:val="0"/>
    <w:rPr>
      <w:rFonts w:ascii="Times New Roman" w:hAnsi="Times New Roman" w:eastAsia="宋体"/>
      <w:b/>
      <w:sz w:val="28"/>
    </w:rPr>
  </w:style>
  <w:style w:type="paragraph" w:customStyle="1" w:styleId="35">
    <w:name w:val="参选文件格式1"/>
    <w:basedOn w:val="1"/>
    <w:next w:val="1"/>
    <w:autoRedefine/>
    <w:qFormat/>
    <w:locked/>
    <w:uiPriority w:val="0"/>
    <w:pPr>
      <w:ind w:firstLine="0" w:firstLineChars="0"/>
      <w:jc w:val="center"/>
      <w:outlineLvl w:val="1"/>
    </w:pPr>
    <w:rPr>
      <w:b/>
      <w:sz w:val="28"/>
    </w:rPr>
  </w:style>
  <w:style w:type="paragraph" w:customStyle="1" w:styleId="36">
    <w:name w:val="参选文件格式2"/>
    <w:basedOn w:val="1"/>
    <w:next w:val="1"/>
    <w:autoRedefine/>
    <w:qFormat/>
    <w:locked/>
    <w:uiPriority w:val="0"/>
    <w:pPr>
      <w:ind w:firstLine="0" w:firstLineChars="0"/>
      <w:jc w:val="center"/>
      <w:outlineLvl w:val="2"/>
    </w:pPr>
    <w:rPr>
      <w:bCs/>
      <w:szCs w:val="32"/>
    </w:rPr>
  </w:style>
  <w:style w:type="paragraph" w:customStyle="1" w:styleId="37">
    <w:name w:val="参选文件格式3"/>
    <w:basedOn w:val="1"/>
    <w:link w:val="38"/>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8">
    <w:name w:val="参选文件格式3 Char"/>
    <w:basedOn w:val="20"/>
    <w:link w:val="37"/>
    <w:autoRedefine/>
    <w:qFormat/>
    <w:uiPriority w:val="0"/>
    <w:rPr>
      <w:rFonts w:ascii="宋体" w:hAnsi="宋体" w:eastAsia="宋体" w:cs="Cambria Math"/>
      <w:b/>
      <w:snapToGrid w:val="0"/>
      <w:kern w:val="0"/>
      <w:sz w:val="21"/>
      <w:szCs w:val="20"/>
      <w:lang w:val="en-US" w:eastAsia="zh-CN" w:bidi="ar-SA"/>
    </w:rPr>
  </w:style>
  <w:style w:type="character" w:customStyle="1" w:styleId="39">
    <w:name w:val="标题 4 字符"/>
    <w:autoRedefine/>
    <w:qFormat/>
    <w:uiPriority w:val="0"/>
    <w:rPr>
      <w:rFonts w:cs="Times New Roman"/>
      <w:bCs/>
      <w:szCs w:val="28"/>
    </w:rPr>
  </w:style>
  <w:style w:type="paragraph" w:customStyle="1" w:styleId="40">
    <w:name w:val="表格"/>
    <w:basedOn w:val="1"/>
    <w:qFormat/>
    <w:locked/>
    <w:uiPriority w:val="0"/>
    <w:pPr>
      <w:spacing w:line="240" w:lineRule="auto"/>
      <w:ind w:firstLine="0" w:firstLineChars="0"/>
    </w:pPr>
    <w:rPr>
      <w:bCs/>
      <w:szCs w:val="18"/>
    </w:rPr>
  </w:style>
  <w:style w:type="paragraph" w:customStyle="1" w:styleId="41">
    <w:name w:val="表格（标题）"/>
    <w:basedOn w:val="1"/>
    <w:qFormat/>
    <w:locked/>
    <w:uiPriority w:val="0"/>
    <w:pPr>
      <w:spacing w:line="240" w:lineRule="auto"/>
      <w:ind w:firstLine="0" w:firstLineChars="0"/>
      <w:jc w:val="center"/>
    </w:pPr>
    <w:rPr>
      <w:b/>
      <w:bCs/>
      <w:szCs w:val="18"/>
    </w:rPr>
  </w:style>
  <w:style w:type="paragraph" w:customStyle="1" w:styleId="42">
    <w:name w:val="标题2（无级别）"/>
    <w:basedOn w:val="1"/>
    <w:next w:val="1"/>
    <w:qFormat/>
    <w:locked/>
    <w:uiPriority w:val="0"/>
    <w:pPr>
      <w:ind w:firstLine="0" w:firstLineChars="0"/>
    </w:pPr>
    <w:rPr>
      <w:rFonts w:cs="Times New Roman"/>
      <w:b/>
      <w:bCs/>
      <w:snapToGrid w:val="0"/>
      <w:szCs w:val="24"/>
    </w:rPr>
  </w:style>
  <w:style w:type="paragraph" w:customStyle="1" w:styleId="43">
    <w:name w:val="标题3（无级别）"/>
    <w:basedOn w:val="1"/>
    <w:next w:val="1"/>
    <w:qFormat/>
    <w:locked/>
    <w:uiPriority w:val="0"/>
    <w:rPr>
      <w:b/>
      <w:bCs/>
      <w:szCs w:val="32"/>
    </w:rPr>
  </w:style>
  <w:style w:type="paragraph" w:customStyle="1" w:styleId="44">
    <w:name w:val="小五"/>
    <w:basedOn w:val="1"/>
    <w:next w:val="1"/>
    <w:qFormat/>
    <w:locked/>
    <w:uiPriority w:val="0"/>
    <w:pPr>
      <w:spacing w:line="240" w:lineRule="auto"/>
      <w:ind w:firstLine="0" w:firstLineChars="0"/>
    </w:pPr>
    <w:rPr>
      <w:rFonts w:cs="Times New Roman"/>
      <w:sz w:val="18"/>
      <w:szCs w:val="18"/>
    </w:rPr>
  </w:style>
  <w:style w:type="paragraph" w:customStyle="1" w:styleId="45">
    <w:name w:val="封面标题"/>
    <w:basedOn w:val="1"/>
    <w:qFormat/>
    <w:locked/>
    <w:uiPriority w:val="0"/>
    <w:pPr>
      <w:ind w:firstLine="0" w:firstLineChars="0"/>
      <w:jc w:val="center"/>
    </w:pPr>
    <w:rPr>
      <w:rFonts w:cs="Times New Roman"/>
      <w:b/>
      <w:snapToGrid w:val="0"/>
      <w:kern w:val="0"/>
      <w:sz w:val="48"/>
      <w:szCs w:val="84"/>
    </w:rPr>
  </w:style>
  <w:style w:type="paragraph" w:customStyle="1" w:styleId="46">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7">
    <w:name w:val="正文居中"/>
    <w:basedOn w:val="1"/>
    <w:qFormat/>
    <w:locked/>
    <w:uiPriority w:val="0"/>
    <w:pPr>
      <w:ind w:firstLine="0" w:firstLineChars="0"/>
      <w:jc w:val="center"/>
    </w:pPr>
  </w:style>
  <w:style w:type="paragraph" w:styleId="48">
    <w:name w:val="List Paragraph"/>
    <w:basedOn w:val="1"/>
    <w:qFormat/>
    <w:uiPriority w:val="0"/>
  </w:style>
  <w:style w:type="paragraph" w:customStyle="1" w:styleId="49">
    <w:name w:val="Default"/>
    <w:qFormat/>
    <w:uiPriority w:val="0"/>
    <w:pPr>
      <w:widowControl w:val="0"/>
      <w:autoSpaceDE w:val="0"/>
      <w:autoSpaceDN w:val="0"/>
      <w:adjustRightInd w:val="0"/>
    </w:pPr>
    <w:rPr>
      <w:rFonts w:ascii="Sim Sun" w:hAnsi="Sim Sun" w:eastAsia="Sim Sun" w:cs="Sim Sun"/>
      <w:color w:val="000000"/>
      <w:sz w:val="24"/>
      <w:szCs w:val="24"/>
      <w:lang w:val="en-US" w:eastAsia="zh-CN" w:bidi="ar-SA"/>
    </w:rPr>
  </w:style>
  <w:style w:type="character" w:customStyle="1" w:styleId="50">
    <w:name w:val="font_text_1"/>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DFFC49-EA99-4EAC-9CB7-368C9F07659B}">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266</Words>
  <Characters>280</Characters>
  <Lines>292</Lines>
  <Paragraphs>82</Paragraphs>
  <TotalTime>1</TotalTime>
  <ScaleCrop>false</ScaleCrop>
  <LinksUpToDate>false</LinksUpToDate>
  <CharactersWithSpaces>293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2025-01-17T15:37:00Z</dcterms:created>
  <dc:creator>admin</dc:creator>
  <cp:lastModifiedBy>交易中心-杜</cp:lastModifiedBy>
  <cp:lastPrinted>2025-01-03T09:34:00Z</cp:lastPrinted>
  <dcterms:modified xsi:type="dcterms:W3CDTF">2025-04-24T06:45:54Z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6F160A5B7355477A82BBA53E5E8B7773_13</vt:lpwstr>
  </property>
  <property fmtid="{D5CDD505-2E9C-101B-9397-08002B2CF9AE}" pid="4" name="KSOTemplateDocerSaveRecord">
    <vt:lpwstr>eyJoZGlkIjoiMjE4MmQxZjA1Y2YxYjcxZTkzZjljNGM2ODFmNzIxYzciLCJ1c2VySWQiOiIxNTcyMDkyNzExIn0=</vt:lpwstr>
  </property>
</Properties>
</file>