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96" w:rsidRDefault="00447256">
      <w:pPr>
        <w:spacing w:line="600" w:lineRule="exact"/>
        <w:ind w:firstLineChars="0" w:firstLine="0"/>
        <w:jc w:val="center"/>
        <w:rPr>
          <w:rFonts w:eastAsia="方正小标宋_GBK"/>
          <w:sz w:val="44"/>
          <w:szCs w:val="44"/>
        </w:rPr>
      </w:pPr>
      <w:r>
        <w:rPr>
          <w:rFonts w:eastAsia="方正小标宋_GBK" w:hint="eastAsia"/>
          <w:sz w:val="44"/>
          <w:szCs w:val="44"/>
        </w:rPr>
        <w:t>重庆三峡银行股份有限公司</w:t>
      </w:r>
    </w:p>
    <w:p w:rsidR="004B3996" w:rsidRDefault="00447256">
      <w:pPr>
        <w:spacing w:line="600" w:lineRule="exact"/>
        <w:ind w:firstLineChars="0" w:firstLine="0"/>
        <w:jc w:val="center"/>
        <w:rPr>
          <w:rFonts w:eastAsia="方正小标宋_GBK"/>
          <w:sz w:val="44"/>
          <w:szCs w:val="44"/>
        </w:rPr>
      </w:pPr>
      <w:r>
        <w:rPr>
          <w:rFonts w:eastAsia="方正小标宋_GBK" w:hint="eastAsia"/>
          <w:sz w:val="44"/>
          <w:szCs w:val="44"/>
        </w:rPr>
        <w:t>2024</w:t>
      </w:r>
      <w:r>
        <w:rPr>
          <w:rFonts w:eastAsia="方正小标宋_GBK" w:hint="eastAsia"/>
          <w:sz w:val="44"/>
          <w:szCs w:val="44"/>
        </w:rPr>
        <w:t>年</w:t>
      </w:r>
      <w:r w:rsidR="00F012AF">
        <w:rPr>
          <w:rFonts w:eastAsia="方正小标宋_GBK" w:hint="eastAsia"/>
          <w:sz w:val="44"/>
          <w:szCs w:val="44"/>
        </w:rPr>
        <w:t>四</w:t>
      </w:r>
      <w:r>
        <w:rPr>
          <w:rFonts w:eastAsia="方正小标宋_GBK" w:hint="eastAsia"/>
          <w:sz w:val="44"/>
          <w:szCs w:val="44"/>
        </w:rPr>
        <w:t>季度第三支柱信息披露报告</w:t>
      </w:r>
    </w:p>
    <w:p w:rsidR="004B3996" w:rsidRDefault="004B3996" w:rsidP="004E07BF">
      <w:pPr>
        <w:spacing w:line="600" w:lineRule="exact"/>
        <w:ind w:firstLine="640"/>
      </w:pPr>
    </w:p>
    <w:p w:rsidR="004B3996" w:rsidRDefault="00447256" w:rsidP="004E07BF">
      <w:pPr>
        <w:spacing w:line="600" w:lineRule="exact"/>
        <w:ind w:firstLine="640"/>
      </w:pPr>
      <w:r>
        <w:rPr>
          <w:rFonts w:hint="eastAsia"/>
        </w:rPr>
        <w:t>本报告根据《商业银行资本管理办法》（国家金融监督管理总局令</w:t>
      </w:r>
      <w:r>
        <w:rPr>
          <w:rFonts w:hint="eastAsia"/>
        </w:rPr>
        <w:t>2023</w:t>
      </w:r>
      <w:r>
        <w:rPr>
          <w:rFonts w:hint="eastAsia"/>
        </w:rPr>
        <w:t>年第</w:t>
      </w:r>
      <w:r>
        <w:rPr>
          <w:rFonts w:hint="eastAsia"/>
        </w:rPr>
        <w:t>4</w:t>
      </w:r>
      <w:r>
        <w:rPr>
          <w:rFonts w:hint="eastAsia"/>
        </w:rPr>
        <w:t>号）相关规定编制。</w:t>
      </w:r>
    </w:p>
    <w:p w:rsidR="004B3996" w:rsidRDefault="00447256">
      <w:pPr>
        <w:spacing w:line="600" w:lineRule="exact"/>
        <w:ind w:firstLineChars="0" w:firstLine="0"/>
        <w:jc w:val="center"/>
        <w:rPr>
          <w:b/>
        </w:rPr>
      </w:pPr>
      <w:r>
        <w:rPr>
          <w:rFonts w:hint="eastAsia"/>
          <w:b/>
        </w:rPr>
        <w:t>表</w:t>
      </w:r>
      <w:proofErr w:type="gramStart"/>
      <w:r>
        <w:rPr>
          <w:rFonts w:hint="eastAsia"/>
          <w:b/>
        </w:rPr>
        <w:t>一</w:t>
      </w:r>
      <w:proofErr w:type="gramEnd"/>
      <w:r>
        <w:rPr>
          <w:rFonts w:hint="eastAsia"/>
          <w:b/>
        </w:rPr>
        <w:t>：</w:t>
      </w:r>
      <w:r>
        <w:rPr>
          <w:rFonts w:hint="eastAsia"/>
          <w:b/>
        </w:rPr>
        <w:t xml:space="preserve">KM1: </w:t>
      </w:r>
      <w:r>
        <w:rPr>
          <w:rFonts w:hint="eastAsia"/>
          <w:b/>
        </w:rPr>
        <w:t>监管并</w:t>
      </w:r>
      <w:proofErr w:type="gramStart"/>
      <w:r>
        <w:rPr>
          <w:rFonts w:hint="eastAsia"/>
          <w:b/>
        </w:rPr>
        <w:t>表关键</w:t>
      </w:r>
      <w:proofErr w:type="gramEnd"/>
      <w:r>
        <w:rPr>
          <w:rFonts w:hint="eastAsia"/>
          <w:b/>
        </w:rPr>
        <w:t>审慎监管指标</w:t>
      </w:r>
    </w:p>
    <w:p w:rsidR="004B3996" w:rsidRPr="00482A04" w:rsidRDefault="00447256">
      <w:pPr>
        <w:spacing w:line="600" w:lineRule="exact"/>
        <w:ind w:firstLineChars="0" w:firstLine="0"/>
        <w:jc w:val="right"/>
        <w:rPr>
          <w:b/>
          <w:sz w:val="22"/>
        </w:rPr>
      </w:pPr>
      <w:r w:rsidRPr="00482A04">
        <w:rPr>
          <w:rFonts w:hint="eastAsia"/>
          <w:sz w:val="22"/>
        </w:rPr>
        <w:t>单位：万元、</w:t>
      </w:r>
      <w:r w:rsidRPr="00482A04">
        <w:rPr>
          <w:rFonts w:hint="eastAsia"/>
          <w:sz w:val="22"/>
        </w:rPr>
        <w:t>%</w:t>
      </w:r>
    </w:p>
    <w:tbl>
      <w:tblPr>
        <w:tblW w:w="94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69"/>
        <w:gridCol w:w="2975"/>
        <w:gridCol w:w="1460"/>
        <w:gridCol w:w="1460"/>
        <w:gridCol w:w="1417"/>
        <w:gridCol w:w="1368"/>
      </w:tblGrid>
      <w:tr w:rsidR="00F012AF" w:rsidRPr="00F012AF" w:rsidTr="00827131">
        <w:trPr>
          <w:trHeight w:val="254"/>
          <w:tblHeader/>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序号</w:t>
            </w:r>
          </w:p>
        </w:tc>
        <w:tc>
          <w:tcPr>
            <w:tcW w:w="2975"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项目</w:t>
            </w:r>
          </w:p>
        </w:tc>
        <w:tc>
          <w:tcPr>
            <w:tcW w:w="1460" w:type="dxa"/>
            <w:vAlign w:val="center"/>
          </w:tcPr>
          <w:p w:rsidR="00F012AF" w:rsidRPr="008D6B2D" w:rsidRDefault="00F012AF" w:rsidP="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2024年12月31日</w:t>
            </w:r>
          </w:p>
        </w:tc>
        <w:tc>
          <w:tcPr>
            <w:tcW w:w="1460"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2024年9月30日</w:t>
            </w:r>
          </w:p>
        </w:tc>
        <w:tc>
          <w:tcPr>
            <w:tcW w:w="1417"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2024年6月30日</w:t>
            </w:r>
          </w:p>
        </w:tc>
        <w:tc>
          <w:tcPr>
            <w:tcW w:w="1368"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2024年3月31日</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可用资本</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核心一级资本净额</w:t>
            </w:r>
          </w:p>
        </w:tc>
        <w:tc>
          <w:tcPr>
            <w:tcW w:w="1460" w:type="dxa"/>
          </w:tcPr>
          <w:p w:rsidR="00F012AF" w:rsidRPr="008D6B2D" w:rsidRDefault="00F012AF" w:rsidP="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2,060,375 </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1,973,236</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1,980,752</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1,983,822</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一级资本净额</w:t>
            </w:r>
          </w:p>
        </w:tc>
        <w:tc>
          <w:tcPr>
            <w:tcW w:w="1460" w:type="dxa"/>
          </w:tcPr>
          <w:p w:rsidR="00F012AF" w:rsidRPr="008D6B2D" w:rsidRDefault="00F012AF" w:rsidP="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2,330,375 </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2,243,236</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2,250,752</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2,253,822</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资本净额</w:t>
            </w:r>
          </w:p>
        </w:tc>
        <w:tc>
          <w:tcPr>
            <w:tcW w:w="1460" w:type="dxa"/>
          </w:tcPr>
          <w:p w:rsidR="00F012AF" w:rsidRPr="008D6B2D" w:rsidRDefault="00F012AF" w:rsidP="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2,583,821 </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2,488,664</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2,460,626</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2,449,413</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风险加权资产</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风险加权资产合计</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22,043,258</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21,368,477</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21,098,072</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19,919,723</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资本充足率</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核心一级资本充足率（%）</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9.35</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9.23 </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9.39 </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9.96 </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一级资本充足率（%）</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10.57</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10.50 </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10.67 </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11.31 </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7</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资本充足率（%）</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11.72</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11.65 </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11.66 </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12.30 </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其他各级资本要求</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8</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储备资本要求（%）</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2.50</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2.50 </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2.50 </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2.50 </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9</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逆周期资本要求（%）</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0</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0</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0</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0</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10</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全球系统重要性银行或国内系统重要性银行附加资本要求（%）</w:t>
            </w:r>
          </w:p>
        </w:tc>
        <w:tc>
          <w:tcPr>
            <w:tcW w:w="1460" w:type="dxa"/>
            <w:vAlign w:val="center"/>
          </w:tcPr>
          <w:p w:rsidR="00F012AF" w:rsidRPr="008D6B2D" w:rsidRDefault="00F012AF" w:rsidP="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不适用</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不适用</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不适用</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不适用</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11</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其他各级资本要求（%）（8+9+10）</w:t>
            </w:r>
          </w:p>
        </w:tc>
        <w:tc>
          <w:tcPr>
            <w:tcW w:w="1460" w:type="dxa"/>
            <w:vAlign w:val="center"/>
          </w:tcPr>
          <w:p w:rsidR="00F012AF" w:rsidRPr="008D6B2D" w:rsidRDefault="00F012AF" w:rsidP="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2.50</w:t>
            </w:r>
          </w:p>
        </w:tc>
        <w:tc>
          <w:tcPr>
            <w:tcW w:w="1460" w:type="dxa"/>
            <w:noWrap/>
            <w:vAlign w:val="center"/>
          </w:tcPr>
          <w:p w:rsidR="00F012AF" w:rsidRPr="008D6B2D" w:rsidRDefault="00F012AF" w:rsidP="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2.50</w:t>
            </w:r>
          </w:p>
        </w:tc>
        <w:tc>
          <w:tcPr>
            <w:tcW w:w="1417" w:type="dxa"/>
            <w:noWrap/>
            <w:vAlign w:val="center"/>
          </w:tcPr>
          <w:p w:rsidR="00F012AF" w:rsidRPr="008D6B2D" w:rsidRDefault="00F012AF" w:rsidP="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2.50</w:t>
            </w:r>
          </w:p>
        </w:tc>
        <w:tc>
          <w:tcPr>
            <w:tcW w:w="1368" w:type="dxa"/>
            <w:noWrap/>
            <w:vAlign w:val="center"/>
          </w:tcPr>
          <w:p w:rsidR="00F012AF" w:rsidRPr="008D6B2D" w:rsidRDefault="00F012AF" w:rsidP="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2.50</w:t>
            </w:r>
          </w:p>
        </w:tc>
      </w:tr>
      <w:tr w:rsidR="00D769C8" w:rsidRPr="00F012AF" w:rsidTr="00827131">
        <w:trPr>
          <w:trHeight w:val="254"/>
          <w:jc w:val="center"/>
        </w:trPr>
        <w:tc>
          <w:tcPr>
            <w:tcW w:w="769" w:type="dxa"/>
            <w:noWrap/>
            <w:vAlign w:val="center"/>
          </w:tcPr>
          <w:p w:rsidR="00D769C8" w:rsidRPr="008D6B2D" w:rsidRDefault="00D769C8">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12</w:t>
            </w:r>
          </w:p>
        </w:tc>
        <w:tc>
          <w:tcPr>
            <w:tcW w:w="2975" w:type="dxa"/>
            <w:noWrap/>
            <w:vAlign w:val="center"/>
          </w:tcPr>
          <w:p w:rsidR="00D769C8" w:rsidRPr="008D6B2D" w:rsidRDefault="00D769C8">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满足最低资本要求后的可用</w:t>
            </w:r>
            <w:r w:rsidRPr="008D6B2D">
              <w:rPr>
                <w:rFonts w:ascii="仿宋_GB2312" w:eastAsia="仿宋_GB2312" w:hint="eastAsia"/>
                <w:color w:val="000000"/>
                <w:sz w:val="22"/>
              </w:rPr>
              <w:lastRenderedPageBreak/>
              <w:t>核心一级资本净额</w:t>
            </w:r>
            <w:proofErr w:type="gramStart"/>
            <w:r w:rsidRPr="008D6B2D">
              <w:rPr>
                <w:rFonts w:ascii="仿宋_GB2312" w:eastAsia="仿宋_GB2312" w:hint="eastAsia"/>
                <w:color w:val="000000"/>
                <w:sz w:val="22"/>
              </w:rPr>
              <w:t>占风险</w:t>
            </w:r>
            <w:proofErr w:type="gramEnd"/>
            <w:r w:rsidRPr="008D6B2D">
              <w:rPr>
                <w:rFonts w:ascii="仿宋_GB2312" w:eastAsia="仿宋_GB2312" w:hint="eastAsia"/>
                <w:color w:val="000000"/>
                <w:sz w:val="22"/>
              </w:rPr>
              <w:t>加权资产的比例（%）</w:t>
            </w:r>
          </w:p>
        </w:tc>
        <w:tc>
          <w:tcPr>
            <w:tcW w:w="1460" w:type="dxa"/>
          </w:tcPr>
          <w:p w:rsidR="00D769C8" w:rsidRPr="008D6B2D" w:rsidRDefault="00D769C8" w:rsidP="00D769C8">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lastRenderedPageBreak/>
              <w:t>3.72</w:t>
            </w:r>
          </w:p>
        </w:tc>
        <w:tc>
          <w:tcPr>
            <w:tcW w:w="1460" w:type="dxa"/>
            <w:noWrap/>
          </w:tcPr>
          <w:p w:rsidR="00D769C8" w:rsidRPr="008D6B2D" w:rsidRDefault="00D769C8" w:rsidP="00D769C8">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3.65</w:t>
            </w:r>
          </w:p>
        </w:tc>
        <w:tc>
          <w:tcPr>
            <w:tcW w:w="1417" w:type="dxa"/>
            <w:noWrap/>
          </w:tcPr>
          <w:p w:rsidR="00D769C8" w:rsidRPr="008D6B2D" w:rsidRDefault="00D769C8" w:rsidP="00D769C8">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3.66</w:t>
            </w:r>
          </w:p>
        </w:tc>
        <w:tc>
          <w:tcPr>
            <w:tcW w:w="1368" w:type="dxa"/>
            <w:noWrap/>
          </w:tcPr>
          <w:p w:rsidR="00D769C8" w:rsidRPr="008D6B2D" w:rsidRDefault="00D769C8" w:rsidP="00D769C8">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4.30</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lastRenderedPageBreak/>
              <w:t xml:space="preserve"> 杠杆率 </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13</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调整后表内外资产余额</w:t>
            </w:r>
          </w:p>
        </w:tc>
        <w:tc>
          <w:tcPr>
            <w:tcW w:w="1460" w:type="dxa"/>
          </w:tcPr>
          <w:p w:rsidR="00F012AF" w:rsidRPr="008D6B2D" w:rsidRDefault="00A45274">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35,298,115</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33,998,553</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33,111,769</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32,870,696</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14</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杠杆率（%）</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6.60</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6.6</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6.8</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6.86</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14a</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杠杆率a（%）</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6.60</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6.6</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6.8</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6.86</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流动性覆盖率</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15</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合格优质流动性资产</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5,710,365</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6,220,558</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4,973,058</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5,500,465</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16</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现金净流出量</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2,935,890</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2,629,738</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2,111,269</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2,016,926</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17</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流动性覆盖率（%）</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194.50</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236.55</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235.55</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272.72</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proofErr w:type="gramStart"/>
            <w:r w:rsidRPr="008D6B2D">
              <w:rPr>
                <w:rFonts w:ascii="仿宋_GB2312" w:eastAsia="仿宋_GB2312" w:hint="eastAsia"/>
                <w:b/>
                <w:color w:val="000000"/>
                <w:sz w:val="22"/>
              </w:rPr>
              <w:t>净稳定</w:t>
            </w:r>
            <w:proofErr w:type="gramEnd"/>
            <w:r w:rsidRPr="008D6B2D">
              <w:rPr>
                <w:rFonts w:ascii="仿宋_GB2312" w:eastAsia="仿宋_GB2312" w:hint="eastAsia"/>
                <w:b/>
                <w:color w:val="000000"/>
                <w:sz w:val="22"/>
              </w:rPr>
              <w:t>资金比例</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18</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可用稳定资金合计</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22,375,023</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22,232,275</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21,702,760</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21,208,456</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19</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所需稳定资金合计</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19,491,984</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18,659,882</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18,278,582</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17,367,492</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20</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proofErr w:type="gramStart"/>
            <w:r w:rsidRPr="008D6B2D">
              <w:rPr>
                <w:rFonts w:ascii="仿宋_GB2312" w:eastAsia="仿宋_GB2312" w:hint="eastAsia"/>
                <w:color w:val="000000"/>
                <w:sz w:val="22"/>
              </w:rPr>
              <w:t>净稳定</w:t>
            </w:r>
            <w:proofErr w:type="gramEnd"/>
            <w:r w:rsidRPr="008D6B2D">
              <w:rPr>
                <w:rFonts w:ascii="仿宋_GB2312" w:eastAsia="仿宋_GB2312" w:hint="eastAsia"/>
                <w:color w:val="000000"/>
                <w:sz w:val="22"/>
              </w:rPr>
              <w:t>资金比例（%）</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114.79</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119.14</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118.73</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122.12</w:t>
            </w:r>
          </w:p>
        </w:tc>
      </w:tr>
      <w:tr w:rsidR="00F012AF" w:rsidRPr="00F012AF" w:rsidTr="00827131">
        <w:trPr>
          <w:trHeight w:val="254"/>
          <w:jc w:val="center"/>
        </w:trPr>
        <w:tc>
          <w:tcPr>
            <w:tcW w:w="9449" w:type="dxa"/>
            <w:gridSpan w:val="6"/>
            <w:shd w:val="clear" w:color="auto" w:fill="D9D9D9"/>
          </w:tcPr>
          <w:p w:rsidR="00F012AF" w:rsidRPr="008D6B2D" w:rsidRDefault="00F012AF">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流动性比例</w:t>
            </w:r>
          </w:p>
        </w:tc>
      </w:tr>
      <w:tr w:rsidR="00F012AF" w:rsidRPr="00F012AF" w:rsidTr="00827131">
        <w:trPr>
          <w:trHeight w:val="254"/>
          <w:jc w:val="center"/>
        </w:trPr>
        <w:tc>
          <w:tcPr>
            <w:tcW w:w="769" w:type="dxa"/>
            <w:noWrap/>
            <w:vAlign w:val="center"/>
          </w:tcPr>
          <w:p w:rsidR="00F012AF" w:rsidRPr="008D6B2D" w:rsidRDefault="00F012AF">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21</w:t>
            </w:r>
          </w:p>
        </w:tc>
        <w:tc>
          <w:tcPr>
            <w:tcW w:w="2975" w:type="dxa"/>
            <w:noWrap/>
            <w:vAlign w:val="center"/>
          </w:tcPr>
          <w:p w:rsidR="00F012AF" w:rsidRPr="008D6B2D" w:rsidRDefault="00F012AF">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流动性比例（%）</w:t>
            </w:r>
          </w:p>
        </w:tc>
        <w:tc>
          <w:tcPr>
            <w:tcW w:w="1460" w:type="dxa"/>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122.66</w:t>
            </w:r>
          </w:p>
        </w:tc>
        <w:tc>
          <w:tcPr>
            <w:tcW w:w="1460"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145.34</w:t>
            </w:r>
          </w:p>
        </w:tc>
        <w:tc>
          <w:tcPr>
            <w:tcW w:w="1417"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118.18</w:t>
            </w:r>
          </w:p>
        </w:tc>
        <w:tc>
          <w:tcPr>
            <w:tcW w:w="1368" w:type="dxa"/>
            <w:noWrap/>
            <w:vAlign w:val="center"/>
          </w:tcPr>
          <w:p w:rsidR="00F012AF" w:rsidRPr="008D6B2D" w:rsidRDefault="00F012AF">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122.96</w:t>
            </w:r>
          </w:p>
        </w:tc>
      </w:tr>
    </w:tbl>
    <w:p w:rsidR="004B3996" w:rsidRDefault="00447256" w:rsidP="004B3996">
      <w:pPr>
        <w:spacing w:line="600" w:lineRule="exact"/>
        <w:ind w:firstLine="480"/>
        <w:jc w:val="center"/>
        <w:rPr>
          <w:sz w:val="24"/>
        </w:rPr>
      </w:pPr>
      <w:r>
        <w:rPr>
          <w:rFonts w:hint="eastAsia"/>
          <w:sz w:val="24"/>
        </w:rPr>
        <w:t>备注：本报告表中各相加之和在尾数上有差异的，为四舍五入导致。</w:t>
      </w:r>
    </w:p>
    <w:p w:rsidR="00C92820" w:rsidRDefault="00C92820" w:rsidP="00C92820">
      <w:pPr>
        <w:spacing w:line="600" w:lineRule="exact"/>
        <w:ind w:firstLineChars="0" w:firstLine="0"/>
        <w:jc w:val="center"/>
        <w:rPr>
          <w:b/>
        </w:rPr>
      </w:pPr>
      <w:r>
        <w:rPr>
          <w:rFonts w:hint="eastAsia"/>
          <w:b/>
        </w:rPr>
        <w:t>表</w:t>
      </w:r>
      <w:r>
        <w:rPr>
          <w:rFonts w:hint="eastAsia"/>
          <w:b/>
        </w:rPr>
        <w:t>2</w:t>
      </w:r>
      <w:r>
        <w:rPr>
          <w:rFonts w:hint="eastAsia"/>
          <w:b/>
        </w:rPr>
        <w:t>：</w:t>
      </w:r>
      <w:r>
        <w:rPr>
          <w:rFonts w:hint="eastAsia"/>
          <w:b/>
        </w:rPr>
        <w:t xml:space="preserve">CC1: </w:t>
      </w:r>
      <w:r>
        <w:rPr>
          <w:rFonts w:hint="eastAsia"/>
          <w:b/>
        </w:rPr>
        <w:t>资本构成</w:t>
      </w:r>
    </w:p>
    <w:p w:rsidR="00C92820" w:rsidRPr="008D6B2D" w:rsidRDefault="008D6B2D" w:rsidP="008D6B2D">
      <w:pPr>
        <w:wordWrap w:val="0"/>
        <w:spacing w:line="600" w:lineRule="exact"/>
        <w:ind w:firstLineChars="0" w:firstLine="0"/>
        <w:jc w:val="right"/>
        <w:rPr>
          <w:b/>
          <w:sz w:val="22"/>
        </w:rPr>
      </w:pPr>
      <w:r>
        <w:rPr>
          <w:rFonts w:hint="eastAsia"/>
          <w:sz w:val="22"/>
        </w:rPr>
        <w:t xml:space="preserve">    </w:t>
      </w:r>
      <w:r w:rsidR="00C92820" w:rsidRPr="008D6B2D">
        <w:rPr>
          <w:rFonts w:hint="eastAsia"/>
          <w:sz w:val="22"/>
        </w:rPr>
        <w:t>单位：万元、</w:t>
      </w:r>
      <w:r w:rsidR="00C92820" w:rsidRPr="008D6B2D">
        <w:rPr>
          <w:rFonts w:hint="eastAsia"/>
          <w:sz w:val="22"/>
        </w:rPr>
        <w:t>%</w:t>
      </w:r>
    </w:p>
    <w:tbl>
      <w:tblPr>
        <w:tblW w:w="92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52"/>
        <w:gridCol w:w="4521"/>
        <w:gridCol w:w="2421"/>
        <w:gridCol w:w="1259"/>
      </w:tblGrid>
      <w:tr w:rsidR="00C92820" w:rsidRPr="008D6B2D" w:rsidTr="00827131">
        <w:trPr>
          <w:trHeight w:val="254"/>
          <w:tblHeader/>
        </w:trPr>
        <w:tc>
          <w:tcPr>
            <w:tcW w:w="5573" w:type="dxa"/>
            <w:gridSpan w:val="2"/>
            <w:vMerge w:val="restart"/>
            <w:noWrap/>
            <w:vAlign w:val="center"/>
          </w:tcPr>
          <w:p w:rsidR="00C92820" w:rsidRPr="008D6B2D" w:rsidRDefault="00C92820" w:rsidP="00C92820">
            <w:pPr>
              <w:spacing w:line="400" w:lineRule="exact"/>
              <w:ind w:firstLineChars="0" w:firstLine="0"/>
              <w:jc w:val="center"/>
              <w:rPr>
                <w:rFonts w:ascii="仿宋_GB2312" w:eastAsia="仿宋_GB2312" w:hint="eastAsia"/>
                <w:b/>
                <w:color w:val="000000"/>
                <w:sz w:val="22"/>
              </w:rPr>
            </w:pPr>
            <w:r w:rsidRPr="008D6B2D">
              <w:rPr>
                <w:rFonts w:ascii="仿宋_GB2312" w:eastAsia="仿宋_GB2312" w:hint="eastAsia"/>
                <w:b/>
                <w:color w:val="000000"/>
                <w:sz w:val="22"/>
              </w:rPr>
              <w:t>项</w:t>
            </w:r>
            <w:r w:rsidR="00827131">
              <w:rPr>
                <w:rFonts w:ascii="仿宋_GB2312" w:eastAsia="仿宋_GB2312" w:hint="eastAsia"/>
                <w:b/>
                <w:color w:val="000000"/>
                <w:sz w:val="22"/>
              </w:rPr>
              <w:t xml:space="preserve">  </w:t>
            </w:r>
            <w:r w:rsidRPr="008D6B2D">
              <w:rPr>
                <w:rFonts w:ascii="仿宋_GB2312" w:eastAsia="仿宋_GB2312" w:hint="eastAsia"/>
                <w:b/>
                <w:color w:val="000000"/>
                <w:sz w:val="22"/>
              </w:rPr>
              <w:t>目</w:t>
            </w:r>
          </w:p>
        </w:tc>
        <w:tc>
          <w:tcPr>
            <w:tcW w:w="2421" w:type="dxa"/>
            <w:noWrap/>
            <w:vAlign w:val="center"/>
          </w:tcPr>
          <w:p w:rsidR="00C92820" w:rsidRPr="008D6B2D" w:rsidRDefault="00C92820" w:rsidP="00C92820">
            <w:pPr>
              <w:spacing w:line="400" w:lineRule="exact"/>
              <w:ind w:firstLineChars="0" w:firstLine="0"/>
              <w:jc w:val="center"/>
              <w:rPr>
                <w:rFonts w:ascii="仿宋_GB2312" w:eastAsia="仿宋_GB2312" w:hint="eastAsia"/>
                <w:b/>
                <w:color w:val="000000"/>
                <w:sz w:val="22"/>
              </w:rPr>
            </w:pPr>
            <w:r w:rsidRPr="008D6B2D">
              <w:rPr>
                <w:rFonts w:ascii="仿宋_GB2312" w:eastAsia="仿宋_GB2312" w:hint="eastAsia"/>
                <w:b/>
                <w:color w:val="000000"/>
                <w:sz w:val="22"/>
              </w:rPr>
              <w:t>2024年12月31日</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b/>
                <w:color w:val="000000"/>
                <w:sz w:val="22"/>
              </w:rPr>
            </w:pPr>
            <w:r w:rsidRPr="008D6B2D">
              <w:rPr>
                <w:rFonts w:ascii="仿宋_GB2312" w:eastAsia="仿宋_GB2312" w:hint="eastAsia"/>
                <w:b/>
                <w:color w:val="000000"/>
                <w:sz w:val="22"/>
              </w:rPr>
              <w:t>b</w:t>
            </w:r>
          </w:p>
        </w:tc>
      </w:tr>
      <w:tr w:rsidR="00C92820" w:rsidRPr="008D6B2D" w:rsidTr="00827131">
        <w:trPr>
          <w:trHeight w:val="254"/>
          <w:tblHeader/>
        </w:trPr>
        <w:tc>
          <w:tcPr>
            <w:tcW w:w="5573" w:type="dxa"/>
            <w:gridSpan w:val="2"/>
            <w:vMerge/>
            <w:noWrap/>
            <w:vAlign w:val="center"/>
          </w:tcPr>
          <w:p w:rsidR="00C92820" w:rsidRPr="008D6B2D" w:rsidRDefault="00C92820" w:rsidP="008D6B2D">
            <w:pPr>
              <w:ind w:firstLine="442"/>
              <w:rPr>
                <w:rFonts w:ascii="仿宋_GB2312" w:eastAsia="仿宋_GB2312" w:hint="eastAsia"/>
                <w:b/>
                <w:sz w:val="22"/>
              </w:rPr>
            </w:pPr>
          </w:p>
        </w:tc>
        <w:tc>
          <w:tcPr>
            <w:tcW w:w="2421" w:type="dxa"/>
            <w:noWrap/>
            <w:vAlign w:val="center"/>
          </w:tcPr>
          <w:p w:rsidR="00C92820" w:rsidRPr="008D6B2D" w:rsidRDefault="00C92820" w:rsidP="00C92820">
            <w:pPr>
              <w:spacing w:line="400" w:lineRule="exact"/>
              <w:ind w:firstLineChars="0" w:firstLine="0"/>
              <w:jc w:val="center"/>
              <w:rPr>
                <w:rFonts w:ascii="仿宋_GB2312" w:eastAsia="仿宋_GB2312" w:hint="eastAsia"/>
                <w:b/>
                <w:color w:val="000000"/>
                <w:sz w:val="22"/>
              </w:rPr>
            </w:pPr>
            <w:r w:rsidRPr="008D6B2D">
              <w:rPr>
                <w:rFonts w:ascii="仿宋_GB2312" w:eastAsia="仿宋_GB2312" w:hint="eastAsia"/>
                <w:b/>
                <w:color w:val="000000"/>
                <w:sz w:val="22"/>
              </w:rPr>
              <w:t>数额</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b/>
                <w:color w:val="000000"/>
                <w:sz w:val="22"/>
              </w:rPr>
            </w:pPr>
            <w:r w:rsidRPr="008D6B2D">
              <w:rPr>
                <w:rFonts w:ascii="仿宋_GB2312" w:eastAsia="仿宋_GB2312" w:hint="eastAsia"/>
                <w:b/>
                <w:color w:val="000000"/>
                <w:sz w:val="22"/>
              </w:rPr>
              <w:t>代码</w:t>
            </w: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核心一级资本</w:t>
            </w:r>
          </w:p>
        </w:tc>
        <w:bookmarkStart w:id="0" w:name="_GoBack"/>
        <w:bookmarkEnd w:id="0"/>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实收资本和资本</w:t>
            </w:r>
            <w:proofErr w:type="gramStart"/>
            <w:r w:rsidRPr="008D6B2D">
              <w:rPr>
                <w:rFonts w:ascii="仿宋_GB2312" w:eastAsia="仿宋_GB2312" w:hint="eastAsia"/>
                <w:color w:val="000000"/>
                <w:sz w:val="22"/>
              </w:rPr>
              <w:t>公积可计入</w:t>
            </w:r>
            <w:proofErr w:type="gramEnd"/>
            <w:r w:rsidRPr="008D6B2D">
              <w:rPr>
                <w:rFonts w:ascii="仿宋_GB2312" w:eastAsia="仿宋_GB2312" w:hint="eastAsia"/>
                <w:color w:val="000000"/>
                <w:sz w:val="22"/>
              </w:rPr>
              <w:t>部分</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854,300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proofErr w:type="spellStart"/>
            <w:r w:rsidRPr="008D6B2D">
              <w:rPr>
                <w:rFonts w:ascii="仿宋_GB2312" w:eastAsia="仿宋_GB2312" w:hint="eastAsia"/>
                <w:color w:val="000000"/>
                <w:sz w:val="22"/>
              </w:rPr>
              <w:t>e+g</w:t>
            </w:r>
            <w:proofErr w:type="spellEnd"/>
          </w:p>
        </w:tc>
      </w:tr>
      <w:tr w:rsidR="00C92820" w:rsidRPr="008D6B2D" w:rsidTr="00827131">
        <w:trPr>
          <w:trHeight w:val="254"/>
        </w:trPr>
        <w:tc>
          <w:tcPr>
            <w:tcW w:w="1052" w:type="dxa"/>
            <w:shd w:val="clear" w:color="auto" w:fill="auto"/>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w:t>
            </w:r>
          </w:p>
        </w:tc>
        <w:tc>
          <w:tcPr>
            <w:tcW w:w="4521" w:type="dxa"/>
            <w:shd w:val="clear" w:color="auto" w:fill="auto"/>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留存收益</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1,206,429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2a</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盈余公积</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178,025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h</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2b</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一般风险准备</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489,624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i</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2c</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未分配利润</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538,780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j</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累计其他综合收益</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56,499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lastRenderedPageBreak/>
              <w:t>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少数股东资本可计入部分</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0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扣除前的核心一级资本</w:t>
            </w:r>
          </w:p>
        </w:tc>
        <w:tc>
          <w:tcPr>
            <w:tcW w:w="2421" w:type="dxa"/>
            <w:noWrap/>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2,117,229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b/>
                <w:color w:val="000000"/>
                <w:sz w:val="22"/>
              </w:rPr>
              <w:t>核心一级资本：扣除项</w:t>
            </w:r>
            <w:r w:rsidRPr="008D6B2D">
              <w:rPr>
                <w:rFonts w:ascii="仿宋_GB2312" w:eastAsia="仿宋_GB2312" w:hint="eastAsia"/>
                <w:color w:val="000000"/>
                <w:sz w:val="22"/>
              </w:rPr>
              <w:t xml:space="preserve">　</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审慎估值调整</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商誉（扣除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a-c</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8</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其他无形资产（土地使用权除外）（扣除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29,877 </w:t>
            </w:r>
          </w:p>
        </w:tc>
        <w:tc>
          <w:tcPr>
            <w:tcW w:w="1259"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b-d</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依赖未来盈利的由经营亏损引起的</w:t>
            </w:r>
            <w:proofErr w:type="gramStart"/>
            <w:r w:rsidRPr="008D6B2D">
              <w:rPr>
                <w:rFonts w:ascii="仿宋_GB2312" w:eastAsia="仿宋_GB2312" w:hint="eastAsia"/>
                <w:color w:val="000000"/>
                <w:sz w:val="22"/>
              </w:rPr>
              <w:t>净递延税资产</w:t>
            </w:r>
            <w:proofErr w:type="gramEnd"/>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10</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对未按公允价值计量的项目进行套期形成的现金流储备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损失准备缺口</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12</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资产证券化销售利得</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自身信用风险变化导致其负债公允价值变化带来的未实现损益</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确定受益类的养老金资产净额（扣除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直接或间接持有本银行的股票</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银行间或银行与其他金融机构间通过协议相互持有的核心一级资本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机构小额少数资本投资中的核心一级资本中应扣除金额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18</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机构大额少数资本投资中的核心一级资本中应扣除金额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19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中应扣除金额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26,977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20</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机构大额少数资本投资中的核心一级资本和其他依赖于银行未来盈利的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的未扣除部分超过核心一级资本15%的应扣除金额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lastRenderedPageBreak/>
              <w:t>21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其中：应在对金融机构大额少数资本投资中扣除的金额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22</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其中：应在其他依赖于银行未来盈利的</w:t>
            </w:r>
            <w:proofErr w:type="gramStart"/>
            <w:r w:rsidRPr="008D6B2D">
              <w:rPr>
                <w:rFonts w:ascii="仿宋_GB2312" w:eastAsia="仿宋_GB2312" w:hint="eastAsia"/>
                <w:color w:val="000000"/>
                <w:sz w:val="22"/>
              </w:rPr>
              <w:t>净递延税资产</w:t>
            </w:r>
            <w:proofErr w:type="gramEnd"/>
            <w:r w:rsidRPr="008D6B2D">
              <w:rPr>
                <w:rFonts w:ascii="仿宋_GB2312" w:eastAsia="仿宋_GB2312" w:hint="eastAsia"/>
                <w:color w:val="000000"/>
                <w:sz w:val="22"/>
              </w:rPr>
              <w:t>中扣除的金额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其他应在核心一级资本中扣除的项目合计</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应从其他一级资本和二级资本中扣除的未扣缺口</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核心一级资本扣除项总和</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56,854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核心一级资本净额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2,060,375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其他一级资本</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其他一级资本工具及其溢价</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270,000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shd w:val="clear" w:color="auto" w:fill="auto"/>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28</w:t>
            </w:r>
          </w:p>
        </w:tc>
        <w:tc>
          <w:tcPr>
            <w:tcW w:w="4521" w:type="dxa"/>
            <w:shd w:val="clear" w:color="auto" w:fill="auto"/>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其中：权益部分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270,000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29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其中：负债部分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30</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少数股东资本可计入部分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扣除前的其他一级资本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270,000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其他一级资本:扣除项</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32</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直接或间接持有的本银行其他一级资本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银行间或银行与其他金融机构间通过协议相互持有的其他一级资本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机构小额少数资本投资中的其他一级资本中应扣除金额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机构大额少数资本投资中的其他一级资本中应扣除金额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其他应在其他一级资本中扣除的项目合计</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应从二级资本中扣除的未扣缺口</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38</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其他一级资本扣除项总和</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39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其他一级资本净额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270,000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40</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一级资本净额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2,330,375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二级资本</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lastRenderedPageBreak/>
              <w:t>41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二级资本工具及其溢价</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42</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少数股东资本可计入部分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超额损失准备可计入部分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253,447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扣除前的二级资本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253,447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二级资本：扣除项</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直接或间接持有的本银行的二级资本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银行间或银行与其他金融机构间通过协议相互持有的其他一级资本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机构小额少数资本投资中的二级资本中应扣除金额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48</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机构大额少数资本投资中的二级资本</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49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其他应在二级资本中扣除的项目合计</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50</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二级资本扣除项总和</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二级资本净额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253,447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52</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总资本净额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2,583,821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风险加权资产</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22,043,258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资本充足率和其他各级资本要求</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核心一级资本充足率（%）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9.35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一级资本充足率（%）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10.57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资本充足率（%）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11.72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其他各级资本要求（%）</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2.50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58</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其中：储备资本要求</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2.50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59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其中：逆周期资本要求</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60</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其中：全球系统重要性银行或国内系统重要性银行附加资本要求</w:t>
            </w:r>
          </w:p>
        </w:tc>
        <w:tc>
          <w:tcPr>
            <w:tcW w:w="2421" w:type="dxa"/>
            <w:shd w:val="clear" w:color="auto" w:fill="BEBEBE"/>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61</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满足最低资本要求后的可用核心一级资本净额</w:t>
            </w:r>
            <w:proofErr w:type="gramStart"/>
            <w:r w:rsidRPr="008D6B2D">
              <w:rPr>
                <w:rFonts w:ascii="仿宋_GB2312" w:eastAsia="仿宋_GB2312" w:hint="eastAsia"/>
                <w:b/>
                <w:color w:val="000000"/>
                <w:sz w:val="22"/>
              </w:rPr>
              <w:t>占风险</w:t>
            </w:r>
            <w:proofErr w:type="gramEnd"/>
            <w:r w:rsidRPr="008D6B2D">
              <w:rPr>
                <w:rFonts w:ascii="仿宋_GB2312" w:eastAsia="仿宋_GB2312" w:hint="eastAsia"/>
                <w:b/>
                <w:color w:val="000000"/>
                <w:sz w:val="22"/>
              </w:rPr>
              <w:t>加权资产的比例（%）</w:t>
            </w:r>
          </w:p>
        </w:tc>
        <w:tc>
          <w:tcPr>
            <w:tcW w:w="2421" w:type="dxa"/>
            <w:noWrap/>
            <w:vAlign w:val="center"/>
          </w:tcPr>
          <w:p w:rsidR="00C92820" w:rsidRPr="008D6B2D" w:rsidRDefault="00C92820" w:rsidP="00D769C8">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w:t>
            </w:r>
            <w:r w:rsidR="00D769C8" w:rsidRPr="008D6B2D">
              <w:rPr>
                <w:rFonts w:ascii="仿宋_GB2312" w:eastAsia="仿宋_GB2312" w:hint="eastAsia"/>
                <w:color w:val="000000"/>
                <w:sz w:val="22"/>
              </w:rPr>
              <w:t>3</w:t>
            </w:r>
            <w:r w:rsidRPr="008D6B2D">
              <w:rPr>
                <w:rFonts w:ascii="仿宋_GB2312" w:eastAsia="仿宋_GB2312" w:hint="eastAsia"/>
                <w:color w:val="000000"/>
                <w:sz w:val="22"/>
              </w:rPr>
              <w:t>.</w:t>
            </w:r>
            <w:r w:rsidR="00D769C8" w:rsidRPr="008D6B2D">
              <w:rPr>
                <w:rFonts w:ascii="仿宋_GB2312" w:eastAsia="仿宋_GB2312" w:hint="eastAsia"/>
                <w:color w:val="000000"/>
                <w:sz w:val="22"/>
              </w:rPr>
              <w:t>72</w:t>
            </w:r>
            <w:r w:rsidRPr="008D6B2D">
              <w:rPr>
                <w:rFonts w:ascii="仿宋_GB2312" w:eastAsia="仿宋_GB2312" w:hint="eastAsia"/>
                <w:color w:val="000000"/>
                <w:sz w:val="22"/>
              </w:rPr>
              <w:t xml:space="preserve">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我国最低监管资本要求</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lastRenderedPageBreak/>
              <w:t>62</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核心一级资本充足率（%）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5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63</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一级资本充足率（%）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6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64</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资本充足率（%）</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8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门槛扣除项中未扣除部分</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65</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机构的小额少数资本投资中未扣除部分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31,033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66</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对未并</w:t>
            </w:r>
            <w:proofErr w:type="gramStart"/>
            <w:r w:rsidRPr="008D6B2D">
              <w:rPr>
                <w:rFonts w:ascii="仿宋_GB2312" w:eastAsia="仿宋_GB2312" w:hint="eastAsia"/>
                <w:color w:val="000000"/>
                <w:sz w:val="22"/>
              </w:rPr>
              <w:t>表金融</w:t>
            </w:r>
            <w:proofErr w:type="gramEnd"/>
            <w:r w:rsidRPr="008D6B2D">
              <w:rPr>
                <w:rFonts w:ascii="仿宋_GB2312" w:eastAsia="仿宋_GB2312" w:hint="eastAsia"/>
                <w:color w:val="000000"/>
                <w:sz w:val="22"/>
              </w:rPr>
              <w:t>机构的大额少数资本投资中未扣除部分</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67</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其他依赖于银行未来盈利的</w:t>
            </w:r>
            <w:proofErr w:type="gramStart"/>
            <w:r w:rsidRPr="008D6B2D">
              <w:rPr>
                <w:rFonts w:ascii="仿宋_GB2312" w:eastAsia="仿宋_GB2312" w:hint="eastAsia"/>
                <w:color w:val="000000"/>
                <w:sz w:val="22"/>
              </w:rPr>
              <w:t>净递延税</w:t>
            </w:r>
            <w:proofErr w:type="gramEnd"/>
            <w:r w:rsidRPr="008D6B2D">
              <w:rPr>
                <w:rFonts w:ascii="仿宋_GB2312" w:eastAsia="仿宋_GB2312" w:hint="eastAsia"/>
                <w:color w:val="000000"/>
                <w:sz w:val="22"/>
              </w:rPr>
              <w:t>资产（扣除</w:t>
            </w:r>
            <w:proofErr w:type="gramStart"/>
            <w:r w:rsidRPr="008D6B2D">
              <w:rPr>
                <w:rFonts w:ascii="仿宋_GB2312" w:eastAsia="仿宋_GB2312" w:hint="eastAsia"/>
                <w:color w:val="000000"/>
                <w:sz w:val="22"/>
              </w:rPr>
              <w:t>递延税负债</w:t>
            </w:r>
            <w:proofErr w:type="gramEnd"/>
            <w:r w:rsidRPr="008D6B2D">
              <w:rPr>
                <w:rFonts w:ascii="仿宋_GB2312" w:eastAsia="仿宋_GB2312" w:hint="eastAsia"/>
                <w:color w:val="000000"/>
                <w:sz w:val="22"/>
              </w:rPr>
              <w:t>）</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w:t>
            </w:r>
            <w:r w:rsidR="00482A04" w:rsidRPr="008D6B2D">
              <w:rPr>
                <w:rFonts w:ascii="仿宋_GB2312" w:eastAsia="仿宋_GB2312" w:hint="eastAsia"/>
                <w:color w:val="000000"/>
                <w:sz w:val="22"/>
              </w:rPr>
              <w:t xml:space="preserve">208,735 </w:t>
            </w:r>
            <w:r w:rsidRPr="008D6B2D">
              <w:rPr>
                <w:rFonts w:ascii="仿宋_GB2312" w:eastAsia="仿宋_GB2312" w:hint="eastAsia"/>
                <w:color w:val="000000"/>
                <w:sz w:val="22"/>
              </w:rPr>
              <w:t xml:space="preserve">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9253" w:type="dxa"/>
            <w:gridSpan w:val="4"/>
            <w:noWrap/>
            <w:vAlign w:val="center"/>
          </w:tcPr>
          <w:p w:rsidR="00C92820" w:rsidRPr="008D6B2D" w:rsidRDefault="00C92820" w:rsidP="00C92820">
            <w:pPr>
              <w:spacing w:line="400" w:lineRule="exact"/>
              <w:ind w:firstLineChars="0" w:firstLine="0"/>
              <w:rPr>
                <w:rFonts w:ascii="仿宋_GB2312" w:eastAsia="仿宋_GB2312" w:hint="eastAsia"/>
                <w:b/>
                <w:color w:val="000000"/>
                <w:sz w:val="22"/>
              </w:rPr>
            </w:pPr>
            <w:r w:rsidRPr="008D6B2D">
              <w:rPr>
                <w:rFonts w:ascii="仿宋_GB2312" w:eastAsia="仿宋_GB2312" w:hint="eastAsia"/>
                <w:b/>
                <w:color w:val="000000"/>
                <w:sz w:val="22"/>
              </w:rPr>
              <w:t>可计入二级资本的超额损失准备的限额</w:t>
            </w: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68</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权重法下，实际计提的超额损失准备金额</w:t>
            </w:r>
          </w:p>
        </w:tc>
        <w:tc>
          <w:tcPr>
            <w:tcW w:w="2421" w:type="dxa"/>
            <w:noWrap/>
            <w:vAlign w:val="center"/>
          </w:tcPr>
          <w:p w:rsidR="00C92820" w:rsidRPr="008D6B2D" w:rsidRDefault="00482A04"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339,993</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r w:rsidR="00C92820" w:rsidRPr="008D6B2D" w:rsidTr="00827131">
        <w:trPr>
          <w:trHeight w:val="254"/>
        </w:trPr>
        <w:tc>
          <w:tcPr>
            <w:tcW w:w="1052" w:type="dxa"/>
            <w:noWrap/>
            <w:vAlign w:val="center"/>
          </w:tcPr>
          <w:p w:rsidR="00C92820" w:rsidRPr="008D6B2D" w:rsidRDefault="00C92820" w:rsidP="00C92820">
            <w:pPr>
              <w:spacing w:line="400" w:lineRule="exact"/>
              <w:ind w:firstLineChars="0" w:firstLine="0"/>
              <w:jc w:val="center"/>
              <w:rPr>
                <w:rFonts w:ascii="仿宋_GB2312" w:eastAsia="仿宋_GB2312" w:hint="eastAsia"/>
                <w:color w:val="000000"/>
                <w:sz w:val="22"/>
              </w:rPr>
            </w:pPr>
            <w:r w:rsidRPr="008D6B2D">
              <w:rPr>
                <w:rFonts w:ascii="仿宋_GB2312" w:eastAsia="仿宋_GB2312" w:hint="eastAsia"/>
                <w:color w:val="000000"/>
                <w:sz w:val="22"/>
              </w:rPr>
              <w:t>69</w:t>
            </w:r>
          </w:p>
        </w:tc>
        <w:tc>
          <w:tcPr>
            <w:tcW w:w="4521"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r w:rsidRPr="008D6B2D">
              <w:rPr>
                <w:rFonts w:ascii="仿宋_GB2312" w:eastAsia="仿宋_GB2312" w:hint="eastAsia"/>
                <w:color w:val="000000"/>
                <w:sz w:val="22"/>
              </w:rPr>
              <w:t>权重法下，可计入二级资本超额损失准备的数额</w:t>
            </w:r>
          </w:p>
        </w:tc>
        <w:tc>
          <w:tcPr>
            <w:tcW w:w="2421" w:type="dxa"/>
            <w:noWrap/>
            <w:vAlign w:val="center"/>
          </w:tcPr>
          <w:p w:rsidR="00C92820" w:rsidRPr="008D6B2D" w:rsidRDefault="00C92820" w:rsidP="00C92820">
            <w:pPr>
              <w:spacing w:line="400" w:lineRule="exact"/>
              <w:ind w:firstLineChars="0" w:firstLine="0"/>
              <w:jc w:val="right"/>
              <w:rPr>
                <w:rFonts w:ascii="仿宋_GB2312" w:eastAsia="仿宋_GB2312" w:hint="eastAsia"/>
                <w:color w:val="000000"/>
                <w:sz w:val="22"/>
              </w:rPr>
            </w:pPr>
            <w:r w:rsidRPr="008D6B2D">
              <w:rPr>
                <w:rFonts w:ascii="仿宋_GB2312" w:eastAsia="仿宋_GB2312" w:hint="eastAsia"/>
                <w:color w:val="000000"/>
                <w:sz w:val="22"/>
              </w:rPr>
              <w:t xml:space="preserve">     </w:t>
            </w:r>
            <w:r w:rsidR="00482A04" w:rsidRPr="008D6B2D">
              <w:rPr>
                <w:rFonts w:ascii="仿宋_GB2312" w:eastAsia="仿宋_GB2312" w:hint="eastAsia"/>
                <w:color w:val="000000"/>
                <w:sz w:val="22"/>
              </w:rPr>
              <w:t xml:space="preserve">253,447 </w:t>
            </w:r>
            <w:r w:rsidRPr="008D6B2D">
              <w:rPr>
                <w:rFonts w:ascii="仿宋_GB2312" w:eastAsia="仿宋_GB2312" w:hint="eastAsia"/>
                <w:color w:val="000000"/>
                <w:sz w:val="22"/>
              </w:rPr>
              <w:t xml:space="preserve"> </w:t>
            </w:r>
          </w:p>
        </w:tc>
        <w:tc>
          <w:tcPr>
            <w:tcW w:w="1259" w:type="dxa"/>
            <w:noWrap/>
            <w:vAlign w:val="center"/>
          </w:tcPr>
          <w:p w:rsidR="00C92820" w:rsidRPr="008D6B2D" w:rsidRDefault="00C92820" w:rsidP="00C92820">
            <w:pPr>
              <w:spacing w:line="400" w:lineRule="exact"/>
              <w:ind w:firstLineChars="0" w:firstLine="0"/>
              <w:rPr>
                <w:rFonts w:ascii="仿宋_GB2312" w:eastAsia="仿宋_GB2312" w:hint="eastAsia"/>
                <w:color w:val="000000"/>
                <w:sz w:val="22"/>
              </w:rPr>
            </w:pPr>
          </w:p>
        </w:tc>
      </w:tr>
    </w:tbl>
    <w:p w:rsidR="00C92820" w:rsidRDefault="00C92820" w:rsidP="00C92820">
      <w:pPr>
        <w:spacing w:line="400" w:lineRule="exact"/>
        <w:ind w:firstLine="480"/>
        <w:jc w:val="center"/>
        <w:rPr>
          <w:sz w:val="24"/>
        </w:rPr>
      </w:pPr>
      <w:r>
        <w:rPr>
          <w:rFonts w:hint="eastAsia"/>
          <w:sz w:val="24"/>
        </w:rPr>
        <w:t>备注：本报告表中各相加之和在尾数上有差异的，为四舍五入导致。</w:t>
      </w:r>
    </w:p>
    <w:p w:rsidR="00C92820" w:rsidRPr="00C92820" w:rsidRDefault="00C92820" w:rsidP="004B3996">
      <w:pPr>
        <w:spacing w:line="600" w:lineRule="exact"/>
        <w:ind w:firstLine="480"/>
        <w:jc w:val="center"/>
        <w:rPr>
          <w:sz w:val="24"/>
        </w:rPr>
      </w:pPr>
    </w:p>
    <w:sectPr w:rsidR="00C92820" w:rsidRPr="00C92820" w:rsidSect="004B3996">
      <w:headerReference w:type="even" r:id="rId7"/>
      <w:headerReference w:type="default" r:id="rId8"/>
      <w:footerReference w:type="even" r:id="rId9"/>
      <w:footerReference w:type="default" r:id="rId10"/>
      <w:headerReference w:type="first" r:id="rId11"/>
      <w:footerReference w:type="first" r:id="rId12"/>
      <w:pgSz w:w="11906" w:h="16838"/>
      <w:pgMar w:top="1814" w:right="1701" w:bottom="1814" w:left="1701" w:header="851" w:footer="992"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763" w:rsidRDefault="00695763" w:rsidP="004E07BF">
      <w:pPr>
        <w:ind w:firstLine="640"/>
      </w:pPr>
      <w:r>
        <w:separator/>
      </w:r>
    </w:p>
  </w:endnote>
  <w:endnote w:type="continuationSeparator" w:id="0">
    <w:p w:rsidR="00695763" w:rsidRDefault="00695763" w:rsidP="004E07BF">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20" w:rsidRDefault="00C92820" w:rsidP="004E07BF">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20" w:rsidRDefault="00C92820" w:rsidP="004E07BF">
    <w:pPr>
      <w:pStyle w:val="a5"/>
      <w:ind w:firstLine="360"/>
      <w:jc w:val="center"/>
    </w:pPr>
    <w:r>
      <w:rPr>
        <w:rFonts w:hint="eastAsia"/>
      </w:rPr>
      <w:t xml:space="preserve">- </w:t>
    </w:r>
    <w:r>
      <w:fldChar w:fldCharType="begin"/>
    </w:r>
    <w:r>
      <w:instrText xml:space="preserve"> PAGE   \* MERGEFORMAT </w:instrText>
    </w:r>
    <w:r>
      <w:fldChar w:fldCharType="separate"/>
    </w:r>
    <w:r w:rsidR="00827131" w:rsidRPr="00827131">
      <w:rPr>
        <w:noProof/>
        <w:lang w:val="zh-CN"/>
      </w:rPr>
      <w:t>1</w:t>
    </w:r>
    <w:r>
      <w:rPr>
        <w:lang w:val="zh-CN"/>
      </w:rPr>
      <w:fldChar w:fldCharType="end"/>
    </w:r>
    <w:r>
      <w:rPr>
        <w:rFonts w:hint="eastAsia"/>
      </w:rPr>
      <w:t xml:space="preserve"> -</w:t>
    </w:r>
  </w:p>
  <w:p w:rsidR="00C92820" w:rsidRDefault="00C92820" w:rsidP="004E07BF">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20" w:rsidRDefault="00C92820" w:rsidP="004E07BF">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763" w:rsidRDefault="00695763" w:rsidP="004E07BF">
      <w:pPr>
        <w:ind w:firstLine="640"/>
      </w:pPr>
      <w:r>
        <w:separator/>
      </w:r>
    </w:p>
  </w:footnote>
  <w:footnote w:type="continuationSeparator" w:id="0">
    <w:p w:rsidR="00695763" w:rsidRDefault="00695763" w:rsidP="004E07BF">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20" w:rsidRDefault="00C92820" w:rsidP="004E07BF">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20" w:rsidRDefault="00C92820" w:rsidP="004E07BF">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820" w:rsidRDefault="00C92820" w:rsidP="004E07BF">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4B3996"/>
    <w:rsid w:val="00447256"/>
    <w:rsid w:val="00482A04"/>
    <w:rsid w:val="004B3996"/>
    <w:rsid w:val="004E07BF"/>
    <w:rsid w:val="00512EC9"/>
    <w:rsid w:val="00695763"/>
    <w:rsid w:val="00827131"/>
    <w:rsid w:val="008D6B2D"/>
    <w:rsid w:val="008F02E7"/>
    <w:rsid w:val="00940D57"/>
    <w:rsid w:val="00A45274"/>
    <w:rsid w:val="00A70A93"/>
    <w:rsid w:val="00BA4FB1"/>
    <w:rsid w:val="00C92820"/>
    <w:rsid w:val="00D769C8"/>
    <w:rsid w:val="00F01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3996"/>
    <w:pPr>
      <w:widowControl w:val="0"/>
      <w:ind w:firstLineChars="200" w:firstLine="200"/>
      <w:jc w:val="both"/>
    </w:pPr>
    <w:rPr>
      <w:rFonts w:eastAsia="方正仿宋_GBK" w:cs="Arial"/>
      <w:kern w:val="2"/>
      <w:sz w:val="32"/>
      <w:szCs w:val="22"/>
    </w:rPr>
  </w:style>
  <w:style w:type="paragraph" w:styleId="1">
    <w:name w:val="heading 1"/>
    <w:next w:val="a"/>
    <w:rsid w:val="004B3996"/>
    <w:pPr>
      <w:keepNext/>
      <w:keepLines/>
      <w:widowControl w:val="0"/>
      <w:spacing w:before="340" w:after="330" w:line="600" w:lineRule="exact"/>
      <w:ind w:firstLineChars="200" w:firstLine="200"/>
      <w:jc w:val="center"/>
      <w:outlineLvl w:val="0"/>
    </w:pPr>
    <w:rPr>
      <w:rFonts w:ascii="仿宋" w:eastAsia="方正小标宋_GBK" w:hAnsi="仿宋" w:cs="Arial"/>
      <w:b/>
      <w:kern w:val="44"/>
      <w:sz w:val="36"/>
      <w:szCs w:val="21"/>
    </w:rPr>
  </w:style>
  <w:style w:type="paragraph" w:styleId="2">
    <w:name w:val="heading 2"/>
    <w:basedOn w:val="a"/>
    <w:next w:val="a"/>
    <w:rsid w:val="004B3996"/>
    <w:pPr>
      <w:keepNext/>
      <w:keepLines/>
      <w:spacing w:before="260" w:after="260" w:line="600" w:lineRule="exact"/>
      <w:outlineLvl w:val="1"/>
    </w:pPr>
    <w:rPr>
      <w:rFonts w:ascii="Arial" w:eastAsia="方正黑体_GBK" w:hAnsi="Arial" w:cs="Times New Roman"/>
      <w:szCs w:val="21"/>
    </w:rPr>
  </w:style>
  <w:style w:type="paragraph" w:styleId="3">
    <w:name w:val="heading 3"/>
    <w:basedOn w:val="a"/>
    <w:next w:val="a"/>
    <w:rsid w:val="004B3996"/>
    <w:pPr>
      <w:keepNext/>
      <w:keepLines/>
      <w:spacing w:before="260" w:after="260" w:line="600" w:lineRule="exact"/>
      <w:outlineLvl w:val="2"/>
    </w:pPr>
    <w:rPr>
      <w:rFonts w:ascii="Calibri" w:eastAsia="方正楷体_GBK" w:hAnsi="Calibri"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无间隔1"/>
    <w:rsid w:val="004B3996"/>
    <w:pPr>
      <w:widowControl w:val="0"/>
      <w:ind w:firstLineChars="200" w:firstLine="200"/>
      <w:jc w:val="both"/>
    </w:pPr>
    <w:rPr>
      <w:rFonts w:eastAsia="方正仿宋_GBK" w:cs="Arial"/>
      <w:kern w:val="2"/>
      <w:sz w:val="32"/>
      <w:szCs w:val="22"/>
    </w:rPr>
  </w:style>
  <w:style w:type="paragraph" w:styleId="a3">
    <w:name w:val="Title"/>
    <w:basedOn w:val="a"/>
    <w:next w:val="a"/>
    <w:rsid w:val="004B3996"/>
    <w:rPr>
      <w:rFonts w:eastAsia="方正小标宋_GBK"/>
      <w:sz w:val="44"/>
    </w:rPr>
  </w:style>
  <w:style w:type="paragraph" w:styleId="a4">
    <w:name w:val="header"/>
    <w:basedOn w:val="a"/>
    <w:rsid w:val="004B3996"/>
    <w:pPr>
      <w:pBdr>
        <w:bottom w:val="single" w:sz="6" w:space="1" w:color="auto"/>
      </w:pBdr>
      <w:tabs>
        <w:tab w:val="center" w:pos="4153"/>
        <w:tab w:val="right" w:pos="8306"/>
      </w:tabs>
      <w:snapToGrid w:val="0"/>
      <w:jc w:val="center"/>
    </w:pPr>
    <w:rPr>
      <w:sz w:val="18"/>
      <w:szCs w:val="18"/>
    </w:rPr>
  </w:style>
  <w:style w:type="paragraph" w:styleId="a5">
    <w:name w:val="footer"/>
    <w:basedOn w:val="a"/>
    <w:rsid w:val="004B3996"/>
    <w:pPr>
      <w:tabs>
        <w:tab w:val="center" w:pos="4153"/>
        <w:tab w:val="right" w:pos="8306"/>
      </w:tabs>
      <w:snapToGrid w:val="0"/>
      <w:jc w:val="left"/>
    </w:pPr>
    <w:rPr>
      <w:sz w:val="18"/>
      <w:szCs w:val="18"/>
    </w:rPr>
  </w:style>
  <w:style w:type="paragraph" w:styleId="a6">
    <w:name w:val="Balloon Text"/>
    <w:basedOn w:val="a"/>
    <w:rsid w:val="004B39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6</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孙占清</cp:lastModifiedBy>
  <cp:revision>45</cp:revision>
  <dcterms:created xsi:type="dcterms:W3CDTF">2024-05-29T06:38:00Z</dcterms:created>
  <dcterms:modified xsi:type="dcterms:W3CDTF">2025-04-28T06:28:00Z</dcterms:modified>
</cp:coreProperties>
</file>