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96" w:rsidRDefault="00447256">
      <w:pPr>
        <w:spacing w:line="600" w:lineRule="exact"/>
        <w:ind w:firstLineChars="0"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重庆三峡银行股份有限公司</w:t>
      </w:r>
    </w:p>
    <w:p w:rsidR="004B3996" w:rsidRDefault="00447256">
      <w:pPr>
        <w:spacing w:line="600" w:lineRule="exact"/>
        <w:ind w:firstLineChars="0"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202</w:t>
      </w:r>
      <w:r w:rsidR="004C05A5">
        <w:rPr>
          <w:rFonts w:eastAsia="方正小标宋_GBK" w:hint="eastAsia"/>
          <w:sz w:val="44"/>
          <w:szCs w:val="44"/>
        </w:rPr>
        <w:t>5</w:t>
      </w:r>
      <w:r>
        <w:rPr>
          <w:rFonts w:eastAsia="方正小标宋_GBK" w:hint="eastAsia"/>
          <w:sz w:val="44"/>
          <w:szCs w:val="44"/>
        </w:rPr>
        <w:t>年</w:t>
      </w:r>
      <w:r w:rsidR="004C05A5">
        <w:rPr>
          <w:rFonts w:eastAsia="方正小标宋_GBK" w:hint="eastAsia"/>
          <w:sz w:val="44"/>
          <w:szCs w:val="44"/>
        </w:rPr>
        <w:t>一</w:t>
      </w:r>
      <w:r>
        <w:rPr>
          <w:rFonts w:eastAsia="方正小标宋_GBK" w:hint="eastAsia"/>
          <w:sz w:val="44"/>
          <w:szCs w:val="44"/>
        </w:rPr>
        <w:t>季度第三支柱信息披露报告</w:t>
      </w:r>
    </w:p>
    <w:p w:rsidR="004B3996" w:rsidRDefault="004B3996" w:rsidP="004E07BF">
      <w:pPr>
        <w:spacing w:line="600" w:lineRule="exact"/>
        <w:ind w:firstLine="640"/>
      </w:pPr>
    </w:p>
    <w:p w:rsidR="004B3996" w:rsidRDefault="00447256" w:rsidP="004E07BF">
      <w:pPr>
        <w:spacing w:line="600" w:lineRule="exact"/>
        <w:ind w:firstLine="640"/>
      </w:pPr>
      <w:r>
        <w:rPr>
          <w:rFonts w:hint="eastAsia"/>
        </w:rPr>
        <w:t>本报告根据《商业银行资本管理办法》（国家金融监督管理总局令</w:t>
      </w:r>
      <w:r>
        <w:rPr>
          <w:rFonts w:hint="eastAsia"/>
        </w:rPr>
        <w:t>2023</w:t>
      </w:r>
      <w:r>
        <w:rPr>
          <w:rFonts w:hint="eastAsia"/>
        </w:rPr>
        <w:t>年第</w:t>
      </w:r>
      <w:r>
        <w:rPr>
          <w:rFonts w:hint="eastAsia"/>
        </w:rPr>
        <w:t>4</w:t>
      </w:r>
      <w:r>
        <w:rPr>
          <w:rFonts w:hint="eastAsia"/>
        </w:rPr>
        <w:t>号）相关规定编制。</w:t>
      </w:r>
    </w:p>
    <w:p w:rsidR="004B3996" w:rsidRDefault="00447256">
      <w:pPr>
        <w:spacing w:line="600" w:lineRule="exact"/>
        <w:ind w:firstLineChars="0" w:firstLine="0"/>
        <w:jc w:val="center"/>
        <w:rPr>
          <w:b/>
        </w:rPr>
      </w:pPr>
      <w:r>
        <w:rPr>
          <w:rFonts w:hint="eastAsia"/>
          <w:b/>
        </w:rPr>
        <w:t>表</w:t>
      </w:r>
      <w:proofErr w:type="gramStart"/>
      <w:r>
        <w:rPr>
          <w:rFonts w:hint="eastAsia"/>
          <w:b/>
        </w:rPr>
        <w:t>一</w:t>
      </w:r>
      <w:proofErr w:type="gramEnd"/>
      <w:r>
        <w:rPr>
          <w:rFonts w:hint="eastAsia"/>
          <w:b/>
        </w:rPr>
        <w:t>：</w:t>
      </w:r>
      <w:r>
        <w:rPr>
          <w:rFonts w:hint="eastAsia"/>
          <w:b/>
        </w:rPr>
        <w:t xml:space="preserve">KM1: </w:t>
      </w:r>
      <w:r>
        <w:rPr>
          <w:rFonts w:hint="eastAsia"/>
          <w:b/>
        </w:rPr>
        <w:t>监管并</w:t>
      </w:r>
      <w:proofErr w:type="gramStart"/>
      <w:r>
        <w:rPr>
          <w:rFonts w:hint="eastAsia"/>
          <w:b/>
        </w:rPr>
        <w:t>表关键</w:t>
      </w:r>
      <w:proofErr w:type="gramEnd"/>
      <w:r>
        <w:rPr>
          <w:rFonts w:hint="eastAsia"/>
          <w:b/>
        </w:rPr>
        <w:t>审慎监管指标</w:t>
      </w:r>
    </w:p>
    <w:p w:rsidR="004B3996" w:rsidRPr="00B46F92" w:rsidRDefault="00447256">
      <w:pPr>
        <w:spacing w:line="600" w:lineRule="exact"/>
        <w:ind w:firstLineChars="0" w:firstLine="0"/>
        <w:jc w:val="right"/>
        <w:rPr>
          <w:b/>
          <w:sz w:val="22"/>
        </w:rPr>
      </w:pPr>
      <w:bookmarkStart w:id="0" w:name="_GoBack"/>
      <w:r w:rsidRPr="00B46F92">
        <w:rPr>
          <w:rFonts w:hint="eastAsia"/>
          <w:sz w:val="22"/>
        </w:rPr>
        <w:t>单位：万元、</w:t>
      </w:r>
      <w:r w:rsidRPr="00B46F92">
        <w:rPr>
          <w:rFonts w:hint="eastAsia"/>
          <w:sz w:val="22"/>
        </w:rPr>
        <w:t>%</w:t>
      </w:r>
    </w:p>
    <w:tbl>
      <w:tblPr>
        <w:tblW w:w="98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6"/>
        <w:gridCol w:w="2420"/>
        <w:gridCol w:w="1316"/>
        <w:gridCol w:w="1316"/>
        <w:gridCol w:w="1460"/>
        <w:gridCol w:w="1417"/>
        <w:gridCol w:w="1368"/>
      </w:tblGrid>
      <w:tr w:rsidR="004C05A5" w:rsidRPr="001C21C3" w:rsidTr="001C21C3">
        <w:trPr>
          <w:trHeight w:val="254"/>
          <w:tblHeader/>
          <w:jc w:val="center"/>
        </w:trPr>
        <w:tc>
          <w:tcPr>
            <w:tcW w:w="546" w:type="dxa"/>
            <w:noWrap/>
            <w:vAlign w:val="center"/>
          </w:tcPr>
          <w:bookmarkEnd w:id="0"/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序号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项</w:t>
            </w:r>
            <w:r w:rsidR="001C21C3">
              <w:rPr>
                <w:rFonts w:ascii="仿宋_GB2312" w:eastAsia="仿宋_GB2312" w:hint="eastAsia"/>
                <w:color w:val="000000"/>
                <w:sz w:val="22"/>
              </w:rPr>
              <w:t xml:space="preserve">   </w:t>
            </w: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目</w:t>
            </w:r>
          </w:p>
        </w:tc>
        <w:tc>
          <w:tcPr>
            <w:tcW w:w="1316" w:type="dxa"/>
          </w:tcPr>
          <w:p w:rsidR="004C05A5" w:rsidRPr="001C21C3" w:rsidRDefault="004C05A5" w:rsidP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2025年3月31日</w:t>
            </w:r>
          </w:p>
        </w:tc>
        <w:tc>
          <w:tcPr>
            <w:tcW w:w="1316" w:type="dxa"/>
            <w:vAlign w:val="center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2024年12月31日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2024年9月30日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2024年6月30日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2024年3月31日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984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可用资本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核心一级资本净额</w:t>
            </w:r>
          </w:p>
        </w:tc>
        <w:tc>
          <w:tcPr>
            <w:tcW w:w="1316" w:type="dxa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2,048,255</w:t>
            </w:r>
          </w:p>
        </w:tc>
        <w:tc>
          <w:tcPr>
            <w:tcW w:w="1316" w:type="dxa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 xml:space="preserve">2,060,375 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1,973,236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1,980,752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1,983,822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一级资本净额</w:t>
            </w:r>
          </w:p>
        </w:tc>
        <w:tc>
          <w:tcPr>
            <w:tcW w:w="1316" w:type="dxa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2,318,255</w:t>
            </w:r>
          </w:p>
        </w:tc>
        <w:tc>
          <w:tcPr>
            <w:tcW w:w="1316" w:type="dxa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 xml:space="preserve">2,330,375 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2,243,236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2,250,752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2,253,822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3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资本净额</w:t>
            </w:r>
          </w:p>
        </w:tc>
        <w:tc>
          <w:tcPr>
            <w:tcW w:w="1316" w:type="dxa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2,577,045</w:t>
            </w:r>
          </w:p>
        </w:tc>
        <w:tc>
          <w:tcPr>
            <w:tcW w:w="1316" w:type="dxa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 xml:space="preserve">2,583,821 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2,488,664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2,460,626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2,449,413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984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风险加权资产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4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风险加权资产合计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22,557,004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22,043,258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21,368,477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21,098,072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19,919,723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984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资本充足率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5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核心一级资本充足率（%）</w:t>
            </w:r>
          </w:p>
        </w:tc>
        <w:tc>
          <w:tcPr>
            <w:tcW w:w="1316" w:type="dxa"/>
            <w:vAlign w:val="center"/>
          </w:tcPr>
          <w:p w:rsidR="004C05A5" w:rsidRPr="001C21C3" w:rsidRDefault="004C05A5" w:rsidP="00D77B1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9.08</w:t>
            </w:r>
          </w:p>
        </w:tc>
        <w:tc>
          <w:tcPr>
            <w:tcW w:w="1316" w:type="dxa"/>
            <w:vAlign w:val="center"/>
          </w:tcPr>
          <w:p w:rsidR="004C05A5" w:rsidRPr="001C21C3" w:rsidRDefault="004C05A5" w:rsidP="00D77B1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9.35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 w:rsidP="00D77B1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9.23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 w:rsidP="00D77B1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9.39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 w:rsidP="00D77B1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9.96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6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一级资本充足率（%）</w:t>
            </w:r>
          </w:p>
        </w:tc>
        <w:tc>
          <w:tcPr>
            <w:tcW w:w="1316" w:type="dxa"/>
            <w:vAlign w:val="center"/>
          </w:tcPr>
          <w:p w:rsidR="004C05A5" w:rsidRPr="001C21C3" w:rsidRDefault="004C05A5" w:rsidP="00D77B1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10.28</w:t>
            </w:r>
          </w:p>
        </w:tc>
        <w:tc>
          <w:tcPr>
            <w:tcW w:w="1316" w:type="dxa"/>
            <w:vAlign w:val="center"/>
          </w:tcPr>
          <w:p w:rsidR="004C05A5" w:rsidRPr="001C21C3" w:rsidRDefault="004C05A5" w:rsidP="00D77B1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10.57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 w:rsidP="00D77B1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10.50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 w:rsidP="00D77B1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10.67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 w:rsidP="00D77B1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11.31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7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资本充足率（%）</w:t>
            </w:r>
          </w:p>
        </w:tc>
        <w:tc>
          <w:tcPr>
            <w:tcW w:w="1316" w:type="dxa"/>
            <w:vAlign w:val="center"/>
          </w:tcPr>
          <w:p w:rsidR="004C05A5" w:rsidRPr="001C21C3" w:rsidRDefault="004C05A5" w:rsidP="00D77B1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11.42</w:t>
            </w:r>
          </w:p>
        </w:tc>
        <w:tc>
          <w:tcPr>
            <w:tcW w:w="1316" w:type="dxa"/>
            <w:vAlign w:val="center"/>
          </w:tcPr>
          <w:p w:rsidR="004C05A5" w:rsidRPr="001C21C3" w:rsidRDefault="004C05A5" w:rsidP="00D77B1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11.72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 w:rsidP="00D77B1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11.65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 w:rsidP="00D77B1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11.66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 w:rsidP="00D77B1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12.30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984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其他各级资本要求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8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储备资本要求（%）</w:t>
            </w:r>
          </w:p>
        </w:tc>
        <w:tc>
          <w:tcPr>
            <w:tcW w:w="1316" w:type="dxa"/>
          </w:tcPr>
          <w:p w:rsidR="004C05A5" w:rsidRPr="001C21C3" w:rsidRDefault="004C05A5" w:rsidP="00A17BEE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 xml:space="preserve">2.50 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 xml:space="preserve">2.50 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 xml:space="preserve">2.50 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9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逆周期资本要求（%）</w:t>
            </w:r>
          </w:p>
        </w:tc>
        <w:tc>
          <w:tcPr>
            <w:tcW w:w="1316" w:type="dxa"/>
          </w:tcPr>
          <w:p w:rsidR="004C05A5" w:rsidRPr="001C21C3" w:rsidRDefault="004C05A5" w:rsidP="00A17BEE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0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0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0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10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全球系统重要性银行或国内系统重要性银行附加资本要求（%）</w:t>
            </w:r>
          </w:p>
        </w:tc>
        <w:tc>
          <w:tcPr>
            <w:tcW w:w="1316" w:type="dxa"/>
            <w:vAlign w:val="center"/>
          </w:tcPr>
          <w:p w:rsidR="004C05A5" w:rsidRPr="001C21C3" w:rsidRDefault="004C05A5" w:rsidP="00A17BE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不适用</w:t>
            </w:r>
          </w:p>
        </w:tc>
        <w:tc>
          <w:tcPr>
            <w:tcW w:w="1316" w:type="dxa"/>
            <w:vAlign w:val="center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不适用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不适用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不适用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不适用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11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其他各级资本要求（%）（8+9+10）</w:t>
            </w:r>
          </w:p>
        </w:tc>
        <w:tc>
          <w:tcPr>
            <w:tcW w:w="1316" w:type="dxa"/>
            <w:vAlign w:val="center"/>
          </w:tcPr>
          <w:p w:rsidR="004C05A5" w:rsidRPr="001C21C3" w:rsidRDefault="004C05A5" w:rsidP="00A17BE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316" w:type="dxa"/>
            <w:vAlign w:val="center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</w:tr>
      <w:tr w:rsidR="00D77B1E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D77B1E" w:rsidRPr="001C21C3" w:rsidRDefault="00D77B1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lastRenderedPageBreak/>
              <w:t>12</w:t>
            </w:r>
          </w:p>
        </w:tc>
        <w:tc>
          <w:tcPr>
            <w:tcW w:w="2420" w:type="dxa"/>
            <w:noWrap/>
            <w:vAlign w:val="center"/>
          </w:tcPr>
          <w:p w:rsidR="00D77B1E" w:rsidRPr="001C21C3" w:rsidRDefault="00D77B1E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满足最低资本要求后的可用核心一级资本净额</w:t>
            </w:r>
            <w:proofErr w:type="gramStart"/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占风险</w:t>
            </w:r>
            <w:proofErr w:type="gramEnd"/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加权资产的比例（%）</w:t>
            </w:r>
          </w:p>
        </w:tc>
        <w:tc>
          <w:tcPr>
            <w:tcW w:w="1316" w:type="dxa"/>
            <w:vAlign w:val="center"/>
          </w:tcPr>
          <w:p w:rsidR="00D77B1E" w:rsidRPr="001C21C3" w:rsidRDefault="00D77B1E" w:rsidP="00D77B1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3.42</w:t>
            </w:r>
          </w:p>
        </w:tc>
        <w:tc>
          <w:tcPr>
            <w:tcW w:w="1316" w:type="dxa"/>
            <w:vAlign w:val="center"/>
          </w:tcPr>
          <w:p w:rsidR="00D77B1E" w:rsidRPr="001C21C3" w:rsidRDefault="00D77B1E" w:rsidP="00D77B1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3.72</w:t>
            </w:r>
          </w:p>
        </w:tc>
        <w:tc>
          <w:tcPr>
            <w:tcW w:w="1460" w:type="dxa"/>
            <w:noWrap/>
            <w:vAlign w:val="center"/>
          </w:tcPr>
          <w:p w:rsidR="00D77B1E" w:rsidRPr="001C21C3" w:rsidRDefault="00D77B1E" w:rsidP="00D77B1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3.65</w:t>
            </w:r>
          </w:p>
        </w:tc>
        <w:tc>
          <w:tcPr>
            <w:tcW w:w="1417" w:type="dxa"/>
            <w:noWrap/>
            <w:vAlign w:val="center"/>
          </w:tcPr>
          <w:p w:rsidR="00D77B1E" w:rsidRPr="001C21C3" w:rsidRDefault="00D77B1E" w:rsidP="00D77B1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3.66</w:t>
            </w:r>
          </w:p>
        </w:tc>
        <w:tc>
          <w:tcPr>
            <w:tcW w:w="1368" w:type="dxa"/>
            <w:noWrap/>
            <w:vAlign w:val="center"/>
          </w:tcPr>
          <w:p w:rsidR="00D77B1E" w:rsidRPr="001C21C3" w:rsidRDefault="00D77B1E" w:rsidP="00D77B1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4.30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984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 xml:space="preserve"> 杠杆率 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13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调整后表内外资产余额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35,741,651</w:t>
            </w:r>
          </w:p>
        </w:tc>
        <w:tc>
          <w:tcPr>
            <w:tcW w:w="1316" w:type="dxa"/>
          </w:tcPr>
          <w:p w:rsidR="004C05A5" w:rsidRPr="001C21C3" w:rsidRDefault="00EB6A0D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35,298,115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33,998,553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33,111,769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32,870,696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14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杠杆率（%）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6.49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6.60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6.6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6.8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6.86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14a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杠杆率a（%）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6.49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6.60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6.6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6.8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6.86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984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流动性覆盖率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15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合格优质流动性资产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5,844,275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5,710,365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6,220,558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4,973,058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5,500,465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16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现金净流出量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2,416,353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2,935,890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2,629,738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2,111,269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2,016,926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17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流动性覆盖率（%）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241.86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194.50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236.55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235.55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272.72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984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proofErr w:type="gramStart"/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净稳定</w:t>
            </w:r>
            <w:proofErr w:type="gramEnd"/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资金比例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18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可用稳定资金合计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23,701,273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22,375,023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22,232,275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21,702,760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21,208,456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19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所需稳定资金合计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19,981,109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19,491,984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18,659,882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18,278,582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17,367,492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20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proofErr w:type="gramStart"/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净稳定</w:t>
            </w:r>
            <w:proofErr w:type="gramEnd"/>
            <w:r w:rsidRPr="001C21C3">
              <w:rPr>
                <w:rFonts w:ascii="仿宋_GB2312" w:eastAsia="仿宋_GB2312" w:hint="eastAsia"/>
                <w:color w:val="000000"/>
                <w:sz w:val="22"/>
              </w:rPr>
              <w:t>资金比例（%）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118.62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114.79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119.14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118.73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122.12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984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流动性比例</w:t>
            </w:r>
          </w:p>
        </w:tc>
      </w:tr>
      <w:tr w:rsidR="004C05A5" w:rsidRPr="001C21C3" w:rsidTr="001C21C3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21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流动性比例（%）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139.20</w:t>
            </w:r>
          </w:p>
        </w:tc>
        <w:tc>
          <w:tcPr>
            <w:tcW w:w="1316" w:type="dxa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122.66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145.34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118.18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122.96</w:t>
            </w:r>
          </w:p>
        </w:tc>
      </w:tr>
    </w:tbl>
    <w:p w:rsidR="004B3996" w:rsidRDefault="00447256" w:rsidP="004B3996">
      <w:pPr>
        <w:spacing w:line="600" w:lineRule="exact"/>
        <w:ind w:firstLine="480"/>
        <w:jc w:val="center"/>
        <w:rPr>
          <w:sz w:val="24"/>
        </w:rPr>
      </w:pPr>
      <w:r>
        <w:rPr>
          <w:rFonts w:hint="eastAsia"/>
          <w:sz w:val="24"/>
        </w:rPr>
        <w:t>备注：本报告表中各相加之和在尾数上有差异的，为四舍五入导致。</w:t>
      </w:r>
    </w:p>
    <w:sectPr w:rsidR="004B3996" w:rsidSect="004B39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4" w:right="1701" w:bottom="1814" w:left="1701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4E5" w:rsidRDefault="005074E5" w:rsidP="004E07BF">
      <w:pPr>
        <w:ind w:firstLine="640"/>
      </w:pPr>
      <w:r>
        <w:separator/>
      </w:r>
    </w:p>
  </w:endnote>
  <w:endnote w:type="continuationSeparator" w:id="0">
    <w:p w:rsidR="005074E5" w:rsidRDefault="005074E5" w:rsidP="004E07BF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BF" w:rsidRDefault="004E07BF" w:rsidP="004E07BF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996" w:rsidRDefault="00447256" w:rsidP="004E07BF">
    <w:pPr>
      <w:pStyle w:val="a5"/>
      <w:ind w:firstLine="360"/>
      <w:jc w:val="center"/>
    </w:pPr>
    <w:r>
      <w:rPr>
        <w:rFonts w:hint="eastAsia"/>
      </w:rPr>
      <w:t xml:space="preserve">- </w:t>
    </w:r>
    <w:r w:rsidR="004B3996">
      <w:fldChar w:fldCharType="begin"/>
    </w:r>
    <w:r>
      <w:instrText xml:space="preserve"> PAGE   \* MERGEFORMAT </w:instrText>
    </w:r>
    <w:r w:rsidR="004B3996">
      <w:fldChar w:fldCharType="separate"/>
    </w:r>
    <w:r w:rsidR="00B46F92" w:rsidRPr="00B46F92">
      <w:rPr>
        <w:noProof/>
        <w:lang w:val="zh-CN"/>
      </w:rPr>
      <w:t>1</w:t>
    </w:r>
    <w:r w:rsidR="004B3996">
      <w:rPr>
        <w:lang w:val="zh-CN"/>
      </w:rPr>
      <w:fldChar w:fldCharType="end"/>
    </w:r>
    <w:r>
      <w:rPr>
        <w:rFonts w:hint="eastAsia"/>
      </w:rPr>
      <w:t xml:space="preserve"> -</w:t>
    </w:r>
  </w:p>
  <w:p w:rsidR="004B3996" w:rsidRDefault="004B3996" w:rsidP="004E07BF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BF" w:rsidRDefault="004E07BF" w:rsidP="004E07B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4E5" w:rsidRDefault="005074E5" w:rsidP="004E07BF">
      <w:pPr>
        <w:ind w:firstLine="640"/>
      </w:pPr>
      <w:r>
        <w:separator/>
      </w:r>
    </w:p>
  </w:footnote>
  <w:footnote w:type="continuationSeparator" w:id="0">
    <w:p w:rsidR="005074E5" w:rsidRDefault="005074E5" w:rsidP="004E07BF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BF" w:rsidRDefault="004E07BF" w:rsidP="004E07B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996" w:rsidRDefault="004B3996" w:rsidP="004E07BF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BF" w:rsidRDefault="004E07BF" w:rsidP="004E07B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4B3996"/>
    <w:rsid w:val="00085F82"/>
    <w:rsid w:val="001C21C3"/>
    <w:rsid w:val="003D3DBA"/>
    <w:rsid w:val="00447256"/>
    <w:rsid w:val="004B3996"/>
    <w:rsid w:val="004C05A5"/>
    <w:rsid w:val="004E07BF"/>
    <w:rsid w:val="005074E5"/>
    <w:rsid w:val="008A7E11"/>
    <w:rsid w:val="00940D57"/>
    <w:rsid w:val="00B46F92"/>
    <w:rsid w:val="00C2126D"/>
    <w:rsid w:val="00D77B1E"/>
    <w:rsid w:val="00EA5B81"/>
    <w:rsid w:val="00EB6A0D"/>
    <w:rsid w:val="00F012AF"/>
    <w:rsid w:val="00FC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996"/>
    <w:pPr>
      <w:widowControl w:val="0"/>
      <w:ind w:firstLineChars="200" w:firstLine="200"/>
      <w:jc w:val="both"/>
    </w:pPr>
    <w:rPr>
      <w:rFonts w:eastAsia="方正仿宋_GBK" w:cs="Arial"/>
      <w:kern w:val="2"/>
      <w:sz w:val="32"/>
      <w:szCs w:val="22"/>
    </w:rPr>
  </w:style>
  <w:style w:type="paragraph" w:styleId="1">
    <w:name w:val="heading 1"/>
    <w:next w:val="a"/>
    <w:rsid w:val="004B3996"/>
    <w:pPr>
      <w:keepNext/>
      <w:keepLines/>
      <w:widowControl w:val="0"/>
      <w:spacing w:before="340" w:after="330" w:line="600" w:lineRule="exact"/>
      <w:ind w:firstLineChars="200" w:firstLine="200"/>
      <w:jc w:val="center"/>
      <w:outlineLvl w:val="0"/>
    </w:pPr>
    <w:rPr>
      <w:rFonts w:ascii="仿宋" w:eastAsia="方正小标宋_GBK" w:hAnsi="仿宋" w:cs="Arial"/>
      <w:b/>
      <w:kern w:val="44"/>
      <w:sz w:val="36"/>
      <w:szCs w:val="21"/>
    </w:rPr>
  </w:style>
  <w:style w:type="paragraph" w:styleId="2">
    <w:name w:val="heading 2"/>
    <w:basedOn w:val="a"/>
    <w:next w:val="a"/>
    <w:rsid w:val="004B3996"/>
    <w:pPr>
      <w:keepNext/>
      <w:keepLines/>
      <w:spacing w:before="260" w:after="260" w:line="600" w:lineRule="exact"/>
      <w:outlineLvl w:val="1"/>
    </w:pPr>
    <w:rPr>
      <w:rFonts w:ascii="Arial" w:eastAsia="方正黑体_GBK" w:hAnsi="Arial" w:cs="Times New Roman"/>
      <w:szCs w:val="21"/>
    </w:rPr>
  </w:style>
  <w:style w:type="paragraph" w:styleId="3">
    <w:name w:val="heading 3"/>
    <w:basedOn w:val="a"/>
    <w:next w:val="a"/>
    <w:rsid w:val="004B3996"/>
    <w:pPr>
      <w:keepNext/>
      <w:keepLines/>
      <w:spacing w:before="260" w:after="260" w:line="600" w:lineRule="exact"/>
      <w:outlineLvl w:val="2"/>
    </w:pPr>
    <w:rPr>
      <w:rFonts w:ascii="Calibri" w:eastAsia="方正楷体_GBK" w:hAnsi="Calibri" w:cs="Times New Roman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无间隔1"/>
    <w:rsid w:val="004B3996"/>
    <w:pPr>
      <w:widowControl w:val="0"/>
      <w:ind w:firstLineChars="200" w:firstLine="200"/>
      <w:jc w:val="both"/>
    </w:pPr>
    <w:rPr>
      <w:rFonts w:eastAsia="方正仿宋_GBK" w:cs="Arial"/>
      <w:kern w:val="2"/>
      <w:sz w:val="32"/>
      <w:szCs w:val="22"/>
    </w:rPr>
  </w:style>
  <w:style w:type="paragraph" w:styleId="a3">
    <w:name w:val="Title"/>
    <w:basedOn w:val="a"/>
    <w:next w:val="a"/>
    <w:rsid w:val="004B3996"/>
    <w:rPr>
      <w:rFonts w:eastAsia="方正小标宋_GBK"/>
      <w:sz w:val="44"/>
    </w:rPr>
  </w:style>
  <w:style w:type="paragraph" w:styleId="a4">
    <w:name w:val="header"/>
    <w:basedOn w:val="a"/>
    <w:rsid w:val="004B3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B3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4B39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孙占清</cp:lastModifiedBy>
  <cp:revision>55</cp:revision>
  <dcterms:created xsi:type="dcterms:W3CDTF">2024-05-29T06:38:00Z</dcterms:created>
  <dcterms:modified xsi:type="dcterms:W3CDTF">2025-04-28T06:35:00Z</dcterms:modified>
</cp:coreProperties>
</file>