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45" w:rsidRDefault="00C07C4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新一代核心系统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年度优化项目公告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项目名称：新一代核心系统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一是满足监管新要求，包括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已故存款人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小额线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上支取、电信诈骗惩戒名单、一网通预约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变更及销户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等监管需求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；二是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丰富条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线产品，支持业务发展，包括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新增个人存款产品、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商品房预售资金监管功能升级优化、配合三代手机银行建设、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新希望合作贷款项目等业务需求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；三是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防范风险，提升内部管理质效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，包括</w:t>
      </w:r>
      <w:r>
        <w:rPr>
          <w:rFonts w:eastAsia="方正仿宋_GBK"/>
          <w:sz w:val="32"/>
          <w:szCs w:val="32"/>
        </w:rPr>
        <w:t>柜员管理、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凭证管理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银企对账业务、授信新建及维护客户信息等优化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254.88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884345" w:rsidRDefault="00C07C4E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采购方式的原因及说明：新一代核心系统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 w:hint="eastAsia"/>
          <w:sz w:val="32"/>
          <w:szCs w:val="32"/>
        </w:rPr>
        <w:t>深圳市长亮科技股份有限公司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地址：深圳南山区粤海街道沙河西路深圳湾科技生态园一区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座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95A5E"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095A5E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="00095A5E">
        <w:rPr>
          <w:rFonts w:ascii="Times New Roman" w:eastAsia="方正仿宋_GBK" w:hAnsi="Times New Roman" w:cs="Times New Roman"/>
          <w:sz w:val="32"/>
          <w:szCs w:val="32"/>
        </w:rPr>
        <w:t>梁老师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884345" w:rsidRDefault="00C07C4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88890381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88170835 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884345" w:rsidRDefault="00C07C4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884345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mQxZjA1Y2YxYjcxZTkzZjljNGM2ODFmNzIxYzcifQ=="/>
  </w:docVars>
  <w:rsids>
    <w:rsidRoot w:val="00884345"/>
    <w:rsid w:val="00095A5E"/>
    <w:rsid w:val="00884345"/>
    <w:rsid w:val="00C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1570F0-F50C-41CB-A56A-E7553352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F47650C-ED38-4CB8-AEE4-8E6ED928893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HP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</cp:revision>
  <cp:lastPrinted>2022-09-19T08:29:00Z</cp:lastPrinted>
  <dcterms:created xsi:type="dcterms:W3CDTF">2025-06-06T10:05:00Z</dcterms:created>
  <dcterms:modified xsi:type="dcterms:W3CDTF">2025-06-06T10:05:00Z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