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4A25">
      <w:pPr>
        <w:rPr>
          <w:highlight w:val="none"/>
        </w:rPr>
      </w:pPr>
    </w:p>
    <w:p w14:paraId="0E348EC0">
      <w:pPr>
        <w:rPr>
          <w:highlight w:val="none"/>
        </w:rPr>
      </w:pPr>
    </w:p>
    <w:p w14:paraId="5E810224">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4AFD48BA">
      <w:pPr>
        <w:ind w:firstLine="0" w:firstLineChars="0"/>
        <w:jc w:val="center"/>
        <w:rPr>
          <w:rFonts w:cs="Times New Roman"/>
          <w:b/>
          <w:snapToGrid w:val="0"/>
          <w:kern w:val="0"/>
          <w:sz w:val="48"/>
          <w:szCs w:val="84"/>
          <w:highlight w:val="none"/>
          <w:u w:val="none"/>
        </w:rPr>
      </w:pPr>
      <w:r>
        <w:rPr>
          <w:rFonts w:cs="Times New Roman"/>
          <w:b/>
          <w:sz w:val="48"/>
          <w:szCs w:val="84"/>
          <w:highlight w:val="none"/>
          <w:u w:val="none"/>
        </w:rPr>
        <w:t>2025-2026年度服务器硬件第三方维保</w:t>
      </w:r>
      <w:r>
        <w:rPr>
          <w:rFonts w:hint="eastAsia" w:cs="Times New Roman"/>
          <w:b/>
          <w:sz w:val="48"/>
          <w:szCs w:val="84"/>
          <w:highlight w:val="none"/>
          <w:u w:val="none"/>
        </w:rPr>
        <w:t>项目</w:t>
      </w:r>
    </w:p>
    <w:p w14:paraId="3204D08F">
      <w:pPr>
        <w:rPr>
          <w:highlight w:val="none"/>
        </w:rPr>
      </w:pPr>
    </w:p>
    <w:p w14:paraId="4CC80DD2">
      <w:pPr>
        <w:rPr>
          <w:highlight w:val="none"/>
        </w:rPr>
      </w:pPr>
    </w:p>
    <w:p w14:paraId="24F1A6BF">
      <w:pPr>
        <w:rPr>
          <w:highlight w:val="none"/>
        </w:rPr>
      </w:pPr>
    </w:p>
    <w:p w14:paraId="47E7518B">
      <w:pPr>
        <w:rPr>
          <w:highlight w:val="none"/>
        </w:rPr>
      </w:pPr>
    </w:p>
    <w:p w14:paraId="08DDF58D">
      <w:pPr>
        <w:rPr>
          <w:highlight w:val="none"/>
        </w:rPr>
      </w:pPr>
    </w:p>
    <w:p w14:paraId="152B62AB">
      <w:pPr>
        <w:rPr>
          <w:highlight w:val="none"/>
        </w:rPr>
      </w:pPr>
    </w:p>
    <w:p w14:paraId="2C86F335">
      <w:pPr>
        <w:rPr>
          <w:highlight w:val="none"/>
        </w:rPr>
      </w:pPr>
    </w:p>
    <w:p w14:paraId="7BDCEA7A">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478EA440">
      <w:pPr>
        <w:rPr>
          <w:highlight w:val="none"/>
        </w:rPr>
      </w:pPr>
    </w:p>
    <w:p w14:paraId="6183B012">
      <w:pPr>
        <w:rPr>
          <w:highlight w:val="none"/>
        </w:rPr>
      </w:pPr>
    </w:p>
    <w:p w14:paraId="6D94B649">
      <w:pPr>
        <w:rPr>
          <w:highlight w:val="none"/>
        </w:rPr>
      </w:pPr>
    </w:p>
    <w:p w14:paraId="0423DF96">
      <w:pPr>
        <w:rPr>
          <w:highlight w:val="none"/>
        </w:rPr>
      </w:pPr>
    </w:p>
    <w:p w14:paraId="7D8EB54B">
      <w:pPr>
        <w:rPr>
          <w:highlight w:val="none"/>
        </w:rPr>
      </w:pPr>
    </w:p>
    <w:p w14:paraId="1AAE702C">
      <w:pPr>
        <w:rPr>
          <w:highlight w:val="none"/>
        </w:rPr>
      </w:pPr>
    </w:p>
    <w:p w14:paraId="3011C92F">
      <w:pPr>
        <w:rPr>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57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E83FC86">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410FADA6">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A2B39D0">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4E1B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9F2486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C120D14">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2025年6</w:t>
            </w:r>
            <w:bookmarkStart w:id="277" w:name="_GoBack"/>
            <w:bookmarkEnd w:id="277"/>
            <w:r>
              <w:rPr>
                <w:rFonts w:cs="Times New Roman"/>
                <w:b/>
                <w:snapToGrid w:val="0"/>
                <w:kern w:val="0"/>
                <w:sz w:val="30"/>
                <w:szCs w:val="30"/>
                <w:highlight w:val="none"/>
              </w:rPr>
              <w:t>月</w:t>
            </w:r>
          </w:p>
        </w:tc>
        <w:tc>
          <w:tcPr>
            <w:tcW w:w="2020" w:type="dxa"/>
            <w:vMerge w:val="continue"/>
            <w:tcBorders>
              <w:tl2br w:val="nil"/>
              <w:tr2bl w:val="nil"/>
            </w:tcBorders>
            <w:vAlign w:val="center"/>
          </w:tcPr>
          <w:p w14:paraId="08283528"/>
        </w:tc>
      </w:tr>
    </w:tbl>
    <w:p w14:paraId="0386AB60">
      <w:pPr>
        <w:rPr>
          <w:highlight w:val="none"/>
        </w:rPr>
      </w:pPr>
    </w:p>
    <w:p w14:paraId="7BC61968">
      <w:pPr>
        <w:rPr>
          <w:highlight w:val="none"/>
        </w:rPr>
        <w:sectPr>
          <w:pgSz w:w="11906" w:h="16838"/>
          <w:pgMar w:top="1440" w:right="1800" w:bottom="1440" w:left="1800" w:header="851" w:footer="992" w:gutter="0"/>
          <w:pgNumType w:start="1"/>
          <w:cols w:space="720" w:num="1"/>
          <w:docGrid w:type="lines" w:linePitch="312" w:charSpace="0"/>
        </w:sectPr>
      </w:pPr>
    </w:p>
    <w:p w14:paraId="19FE6BFC">
      <w:pPr>
        <w:pStyle w:val="42"/>
        <w:rPr>
          <w:highlight w:val="none"/>
        </w:rPr>
      </w:pPr>
      <w:r>
        <w:rPr>
          <w:highlight w:val="none"/>
        </w:rPr>
        <w:t>目录</w:t>
      </w:r>
    </w:p>
    <w:p w14:paraId="30BF72F2">
      <w:pPr>
        <w:pStyle w:val="14"/>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_Toc15751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_Toc15751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5A32B5B3">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_Toc13393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_Toc13393 \h </w:instrText>
      </w:r>
      <w:r>
        <w:rPr>
          <w:highlight w:val="none"/>
        </w:rPr>
        <w:fldChar w:fldCharType="separate"/>
      </w:r>
      <w:r>
        <w:rPr>
          <w:highlight w:val="none"/>
        </w:rPr>
        <w:t>5</w:t>
      </w:r>
      <w:r>
        <w:rPr>
          <w:highlight w:val="none"/>
        </w:rPr>
        <w:fldChar w:fldCharType="end"/>
      </w:r>
      <w:r>
        <w:rPr>
          <w:rFonts w:ascii="宋体" w:hAnsi="宋体"/>
          <w:snapToGrid w:val="0"/>
          <w:kern w:val="0"/>
          <w:szCs w:val="24"/>
          <w:highlight w:val="none"/>
        </w:rPr>
        <w:fldChar w:fldCharType="end"/>
      </w:r>
    </w:p>
    <w:p w14:paraId="24C45CF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_Toc5861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_Toc5861 \h </w:instrText>
      </w:r>
      <w:r>
        <w:rPr>
          <w:highlight w:val="none"/>
        </w:rPr>
        <w:fldChar w:fldCharType="separate"/>
      </w:r>
      <w:r>
        <w:rPr>
          <w:highlight w:val="none"/>
        </w:rPr>
        <w:t>12</w:t>
      </w:r>
      <w:r>
        <w:rPr>
          <w:highlight w:val="none"/>
        </w:rPr>
        <w:fldChar w:fldCharType="end"/>
      </w:r>
      <w:r>
        <w:rPr>
          <w:rFonts w:ascii="宋体" w:hAnsi="宋体"/>
          <w:snapToGrid w:val="0"/>
          <w:kern w:val="0"/>
          <w:szCs w:val="24"/>
          <w:highlight w:val="none"/>
        </w:rPr>
        <w:fldChar w:fldCharType="end"/>
      </w:r>
    </w:p>
    <w:p w14:paraId="5A17E16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_Toc5764 </w:instrText>
      </w:r>
      <w:r>
        <w:rPr>
          <w:rFonts w:ascii="宋体" w:hAns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_Toc5764 \h </w:instrText>
      </w:r>
      <w:r>
        <w:rPr>
          <w:highlight w:val="none"/>
        </w:rPr>
        <w:fldChar w:fldCharType="separate"/>
      </w:r>
      <w:r>
        <w:rPr>
          <w:highlight w:val="none"/>
        </w:rPr>
        <w:t>20</w:t>
      </w:r>
      <w:r>
        <w:rPr>
          <w:highlight w:val="none"/>
        </w:rPr>
        <w:fldChar w:fldCharType="end"/>
      </w:r>
      <w:r>
        <w:rPr>
          <w:rFonts w:ascii="宋体" w:hAnsi="宋体"/>
          <w:snapToGrid w:val="0"/>
          <w:kern w:val="0"/>
          <w:szCs w:val="24"/>
          <w:highlight w:val="none"/>
        </w:rPr>
        <w:fldChar w:fldCharType="end"/>
      </w:r>
    </w:p>
    <w:p w14:paraId="617EC548">
      <w:pPr>
        <w:pStyle w:val="14"/>
        <w:tabs>
          <w:tab w:val="right" w:leader="dot" w:pos="8306"/>
        </w:tabs>
        <w:ind w:firstLine="420" w:firstLineChars="200"/>
        <w:rPr>
          <w:rFonts w:eastAsia="宋体"/>
          <w:highlight w:val="none"/>
          <w:lang w:val="en-US" w:eastAsia="zh-CN"/>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_Toc27908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_Toc27908 \h </w:instrText>
      </w:r>
      <w:r>
        <w:rPr>
          <w:highlight w:val="none"/>
        </w:rPr>
        <w:fldChar w:fldCharType="separate"/>
      </w:r>
      <w:r>
        <w:rPr>
          <w:highlight w:val="none"/>
        </w:rPr>
        <w:t>26</w:t>
      </w:r>
      <w:r>
        <w:rPr>
          <w:highlight w:val="none"/>
        </w:rPr>
        <w:fldChar w:fldCharType="end"/>
      </w:r>
      <w:r>
        <w:rPr>
          <w:rFonts w:ascii="宋体" w:hAnsi="宋体"/>
          <w:snapToGrid w:val="0"/>
          <w:kern w:val="0"/>
          <w:szCs w:val="24"/>
          <w:highlight w:val="none"/>
        </w:rPr>
        <w:fldChar w:fldCharType="end"/>
      </w:r>
      <w:r>
        <w:rPr>
          <w:rFonts w:hint="eastAsia" w:ascii="宋体" w:hAnsi="宋体"/>
          <w:snapToGrid w:val="0"/>
          <w:kern w:val="0"/>
          <w:szCs w:val="24"/>
          <w:highlight w:val="none"/>
          <w:lang w:val="en-US" w:eastAsia="zh-CN"/>
        </w:rPr>
        <w:t xml:space="preserve">  </w:t>
      </w:r>
    </w:p>
    <w:p w14:paraId="23D7E205">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_Toc2980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_Toc2980 \h </w:instrText>
      </w:r>
      <w:r>
        <w:rPr>
          <w:highlight w:val="none"/>
        </w:rPr>
        <w:fldChar w:fldCharType="separate"/>
      </w:r>
      <w:r>
        <w:rPr>
          <w:highlight w:val="none"/>
        </w:rPr>
        <w:t>54</w:t>
      </w:r>
      <w:r>
        <w:rPr>
          <w:highlight w:val="none"/>
        </w:rPr>
        <w:fldChar w:fldCharType="end"/>
      </w:r>
      <w:r>
        <w:rPr>
          <w:rFonts w:ascii="宋体" w:hAnsi="宋体"/>
          <w:snapToGrid w:val="0"/>
          <w:kern w:val="0"/>
          <w:szCs w:val="24"/>
          <w:highlight w:val="none"/>
        </w:rPr>
        <w:fldChar w:fldCharType="end"/>
      </w:r>
    </w:p>
    <w:p w14:paraId="618D8131">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3E0315BA">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77DEC8A5">
      <w:pPr>
        <w:rPr>
          <w:highlight w:val="none"/>
        </w:rPr>
      </w:pPr>
      <w:bookmarkStart w:id="0" w:name="_Toc440628903"/>
      <w:bookmarkStart w:id="1" w:name="_Toc469574661"/>
      <w:bookmarkStart w:id="2" w:name="_Toc6745"/>
    </w:p>
    <w:p w14:paraId="4EDB281A">
      <w:pPr>
        <w:pStyle w:val="2"/>
        <w:rPr>
          <w:highlight w:val="none"/>
        </w:rPr>
      </w:pPr>
      <w:bookmarkStart w:id="3" w:name="_Toc15751"/>
      <w:bookmarkStart w:id="4" w:name="_Toc25883"/>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3AF1BFEB">
      <w:pPr>
        <w:rPr>
          <w:highlight w:val="none"/>
        </w:rPr>
      </w:pPr>
      <w:bookmarkStart w:id="5" w:name="_Toc89675127"/>
      <w:bookmarkStart w:id="6" w:name="_Toc55379218"/>
      <w:r>
        <w:rPr>
          <w:rFonts w:hint="eastAsia" w:ascii="宋体" w:eastAsia="宋体" w:cs="Cambria"/>
          <w:snapToGrid w:val="0"/>
          <w:color w:val="000000"/>
          <w:kern w:val="0"/>
          <w:sz w:val="24"/>
          <w:szCs w:val="24"/>
          <w:highlight w:val="none"/>
        </w:rPr>
        <w:t>为了</w:t>
      </w:r>
      <w:r>
        <w:rPr>
          <w:rFonts w:ascii="宋体" w:eastAsia="宋体" w:cs="Cambria"/>
          <w:snapToGrid w:val="0"/>
          <w:color w:val="000000"/>
          <w:kern w:val="0"/>
          <w:sz w:val="24"/>
          <w:szCs w:val="24"/>
          <w:highlight w:val="none"/>
        </w:rPr>
        <w:t>保障重庆三峡银行PC服务器硬件的稳定运行</w:t>
      </w:r>
      <w:r>
        <w:rPr>
          <w:rFonts w:hint="eastAsia"/>
          <w:highlight w:val="none"/>
        </w:rPr>
        <w:t>。现</w:t>
      </w:r>
      <w:r>
        <w:rPr>
          <w:rFonts w:hint="eastAsia"/>
          <w:highlight w:val="none"/>
          <w:u w:val="none"/>
        </w:rPr>
        <w:t>对重庆三峡银行</w:t>
      </w:r>
      <w:r>
        <w:rPr>
          <w:highlight w:val="none"/>
          <w:u w:val="none"/>
        </w:rPr>
        <w:t>2025-2026年度服务器硬件第三方维保</w:t>
      </w:r>
      <w:r>
        <w:rPr>
          <w:rFonts w:hint="eastAsia"/>
          <w:highlight w:val="none"/>
          <w:u w:val="none"/>
        </w:rPr>
        <w:t>项目进行公开询比，</w:t>
      </w:r>
      <w:r>
        <w:rPr>
          <w:highlight w:val="none"/>
          <w:u w:val="none"/>
        </w:rPr>
        <w:t>特邀请有</w:t>
      </w:r>
      <w:bookmarkStart w:id="7" w:name="_Hlk59455120"/>
      <w:r>
        <w:rPr>
          <w:highlight w:val="none"/>
          <w:u w:val="none"/>
        </w:rPr>
        <w:t>意</w:t>
      </w:r>
      <w:r>
        <w:rPr>
          <w:highlight w:val="none"/>
        </w:rPr>
        <w:t>向</w:t>
      </w:r>
      <w:bookmarkEnd w:id="7"/>
      <w:r>
        <w:rPr>
          <w:highlight w:val="none"/>
        </w:rPr>
        <w:t>的潜在</w:t>
      </w:r>
      <w:r>
        <w:rPr>
          <w:rFonts w:hint="eastAsia"/>
          <w:highlight w:val="none"/>
        </w:rPr>
        <w:t>响应人参与响应</w:t>
      </w:r>
      <w:r>
        <w:rPr>
          <w:highlight w:val="none"/>
        </w:rPr>
        <w:t>。</w:t>
      </w:r>
    </w:p>
    <w:p w14:paraId="45D10603">
      <w:pPr>
        <w:pStyle w:val="3"/>
        <w:rPr>
          <w:highlight w:val="none"/>
        </w:rPr>
      </w:pPr>
      <w:r>
        <w:rPr>
          <w:rFonts w:hint="eastAsia"/>
          <w:highlight w:val="none"/>
        </w:rPr>
        <w:t>1. 询比项目内容</w:t>
      </w:r>
      <w:bookmarkEnd w:id="5"/>
      <w:bookmarkEnd w:id="6"/>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A0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C718BDE">
            <w:pPr>
              <w:pStyle w:val="38"/>
              <w:rPr>
                <w:highlight w:val="none"/>
              </w:rPr>
            </w:pPr>
            <w:r>
              <w:rPr>
                <w:rFonts w:hint="eastAsia"/>
                <w:highlight w:val="none"/>
              </w:rPr>
              <w:t>序号</w:t>
            </w:r>
          </w:p>
        </w:tc>
        <w:tc>
          <w:tcPr>
            <w:tcW w:w="3063" w:type="dxa"/>
            <w:vAlign w:val="center"/>
          </w:tcPr>
          <w:p w14:paraId="4C369B59">
            <w:pPr>
              <w:pStyle w:val="38"/>
              <w:rPr>
                <w:highlight w:val="none"/>
              </w:rPr>
            </w:pPr>
            <w:r>
              <w:rPr>
                <w:rFonts w:hint="eastAsia"/>
                <w:highlight w:val="none"/>
              </w:rPr>
              <w:t>项目名称</w:t>
            </w:r>
          </w:p>
        </w:tc>
        <w:tc>
          <w:tcPr>
            <w:tcW w:w="2075" w:type="dxa"/>
            <w:vAlign w:val="center"/>
          </w:tcPr>
          <w:p w14:paraId="7D522B09">
            <w:pPr>
              <w:pStyle w:val="38"/>
              <w:rPr>
                <w:highlight w:val="none"/>
              </w:rPr>
            </w:pPr>
            <w:r>
              <w:rPr>
                <w:rFonts w:hint="eastAsia"/>
                <w:highlight w:val="none"/>
              </w:rPr>
              <w:t>最高限价</w:t>
            </w:r>
          </w:p>
        </w:tc>
        <w:tc>
          <w:tcPr>
            <w:tcW w:w="1563" w:type="dxa"/>
            <w:vAlign w:val="center"/>
          </w:tcPr>
          <w:p w14:paraId="4F86B245">
            <w:pPr>
              <w:pStyle w:val="38"/>
              <w:rPr>
                <w:highlight w:val="none"/>
              </w:rPr>
            </w:pPr>
            <w:r>
              <w:rPr>
                <w:rFonts w:hint="eastAsia"/>
                <w:highlight w:val="none"/>
              </w:rPr>
              <w:t>成交供应商</w:t>
            </w:r>
          </w:p>
          <w:p w14:paraId="454AAEE2">
            <w:pPr>
              <w:pStyle w:val="38"/>
              <w:rPr>
                <w:highlight w:val="none"/>
              </w:rPr>
            </w:pPr>
            <w:r>
              <w:rPr>
                <w:rFonts w:hint="eastAsia"/>
                <w:highlight w:val="none"/>
              </w:rPr>
              <w:t>数量</w:t>
            </w:r>
          </w:p>
        </w:tc>
        <w:tc>
          <w:tcPr>
            <w:tcW w:w="1367" w:type="dxa"/>
            <w:vAlign w:val="center"/>
          </w:tcPr>
          <w:p w14:paraId="2EFF2A8C">
            <w:pPr>
              <w:pStyle w:val="38"/>
              <w:rPr>
                <w:highlight w:val="none"/>
              </w:rPr>
            </w:pPr>
            <w:r>
              <w:rPr>
                <w:rFonts w:hint="eastAsia"/>
                <w:highlight w:val="none"/>
              </w:rPr>
              <w:t>备注</w:t>
            </w:r>
          </w:p>
        </w:tc>
      </w:tr>
      <w:tr w14:paraId="4A0E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2658F53">
            <w:pPr>
              <w:pStyle w:val="37"/>
              <w:jc w:val="center"/>
              <w:rPr>
                <w:highlight w:val="none"/>
              </w:rPr>
            </w:pPr>
            <w:r>
              <w:rPr>
                <w:rFonts w:hint="eastAsia"/>
                <w:highlight w:val="none"/>
              </w:rPr>
              <w:t>1</w:t>
            </w:r>
          </w:p>
        </w:tc>
        <w:tc>
          <w:tcPr>
            <w:tcW w:w="3063" w:type="dxa"/>
            <w:tcBorders>
              <w:left w:val="single" w:color="auto" w:sz="4" w:space="0"/>
            </w:tcBorders>
            <w:vAlign w:val="center"/>
          </w:tcPr>
          <w:p w14:paraId="20E9BEFF">
            <w:pPr>
              <w:pStyle w:val="37"/>
              <w:jc w:val="center"/>
              <w:rPr>
                <w:highlight w:val="none"/>
              </w:rPr>
            </w:pPr>
            <w:r>
              <w:rPr>
                <w:highlight w:val="none"/>
                <w:u w:val="none"/>
              </w:rPr>
              <w:t>重庆三峡银行2025-2026年度服务器硬件第三方维保</w:t>
            </w:r>
            <w:r>
              <w:rPr>
                <w:rFonts w:hint="eastAsia"/>
                <w:highlight w:val="none"/>
                <w:u w:val="none"/>
              </w:rPr>
              <w:t>项</w:t>
            </w:r>
            <w:r>
              <w:rPr>
                <w:rFonts w:hint="eastAsia"/>
                <w:highlight w:val="none"/>
              </w:rPr>
              <w:t>目</w:t>
            </w:r>
          </w:p>
        </w:tc>
        <w:tc>
          <w:tcPr>
            <w:tcW w:w="2075" w:type="dxa"/>
            <w:tcBorders>
              <w:left w:val="single" w:color="auto" w:sz="4" w:space="0"/>
            </w:tcBorders>
            <w:vAlign w:val="center"/>
          </w:tcPr>
          <w:p w14:paraId="5FEAA2FE">
            <w:pPr>
              <w:pStyle w:val="37"/>
              <w:jc w:val="center"/>
              <w:rPr>
                <w:highlight w:val="none"/>
              </w:rPr>
            </w:pPr>
            <w:r>
              <w:rPr>
                <w:highlight w:val="none"/>
              </w:rPr>
              <w:t>539,400元</w:t>
            </w:r>
          </w:p>
        </w:tc>
        <w:tc>
          <w:tcPr>
            <w:tcW w:w="1563" w:type="dxa"/>
            <w:tcBorders>
              <w:left w:val="single" w:color="auto" w:sz="4" w:space="0"/>
            </w:tcBorders>
            <w:vAlign w:val="center"/>
          </w:tcPr>
          <w:p w14:paraId="5E45CC8B">
            <w:pPr>
              <w:pStyle w:val="37"/>
              <w:jc w:val="center"/>
              <w:rPr>
                <w:highlight w:val="none"/>
              </w:rPr>
            </w:pPr>
            <w:r>
              <w:rPr>
                <w:highlight w:val="none"/>
              </w:rPr>
              <w:t>1</w:t>
            </w:r>
          </w:p>
        </w:tc>
        <w:tc>
          <w:tcPr>
            <w:tcW w:w="1367" w:type="dxa"/>
            <w:tcBorders>
              <w:left w:val="single" w:color="auto" w:sz="4" w:space="0"/>
            </w:tcBorders>
            <w:vAlign w:val="center"/>
          </w:tcPr>
          <w:p w14:paraId="03FBF824">
            <w:pPr>
              <w:pStyle w:val="37"/>
              <w:jc w:val="center"/>
              <w:rPr>
                <w:highlight w:val="none"/>
              </w:rPr>
            </w:pPr>
            <w:r>
              <w:rPr>
                <w:rFonts w:hint="eastAsia"/>
                <w:highlight w:val="none"/>
              </w:rPr>
              <w:t>（含税）</w:t>
            </w:r>
          </w:p>
        </w:tc>
      </w:tr>
    </w:tbl>
    <w:p w14:paraId="69DABF5B">
      <w:pPr>
        <w:pStyle w:val="3"/>
        <w:rPr>
          <w:highlight w:val="none"/>
        </w:rPr>
      </w:pPr>
      <w:bookmarkStart w:id="8" w:name="_Toc469574664"/>
      <w:bookmarkStart w:id="9" w:name="_Toc55379219"/>
      <w:bookmarkStart w:id="10" w:name="_Toc288224935"/>
      <w:bookmarkStart w:id="11" w:name="_Toc89675128"/>
      <w:bookmarkStart w:id="12" w:name="_Toc297817088"/>
      <w:r>
        <w:rPr>
          <w:rFonts w:hint="eastAsia"/>
          <w:highlight w:val="none"/>
        </w:rPr>
        <w:t>2. 响应人资格要求</w:t>
      </w:r>
      <w:bookmarkEnd w:id="8"/>
      <w:bookmarkEnd w:id="9"/>
      <w:bookmarkEnd w:id="10"/>
      <w:bookmarkEnd w:id="11"/>
      <w:bookmarkEnd w:id="12"/>
    </w:p>
    <w:p w14:paraId="1BC565D6">
      <w:pPr>
        <w:rPr>
          <w:highlight w:val="none"/>
        </w:rPr>
      </w:pPr>
      <w:bookmarkStart w:id="13" w:name="_Hlk55488870"/>
      <w:r>
        <w:rPr>
          <w:rFonts w:hint="eastAsia"/>
          <w:highlight w:val="none"/>
        </w:rPr>
        <w:t>2.1 具有独立承担民事责任的能力</w:t>
      </w:r>
    </w:p>
    <w:p w14:paraId="31B79CC4">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9290218">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842368D">
      <w:pPr>
        <w:rPr>
          <w:highlight w:val="none"/>
        </w:rPr>
      </w:pPr>
      <w:r>
        <w:rPr>
          <w:rFonts w:hint="eastAsia"/>
          <w:highlight w:val="none"/>
        </w:rPr>
        <w:t>2.3 本项目不允许任何形式的转包【提供书面声明】。</w:t>
      </w:r>
    </w:p>
    <w:p w14:paraId="1E9E459F">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F083AC9">
      <w:pPr>
        <w:rPr>
          <w:highlight w:val="none"/>
        </w:rPr>
      </w:pPr>
      <w:r>
        <w:rPr>
          <w:rFonts w:hint="eastAsia"/>
          <w:highlight w:val="none"/>
        </w:rPr>
        <w:t>2.5 本次询比不接受联合体响应。</w:t>
      </w:r>
    </w:p>
    <w:p w14:paraId="4F95ADEE">
      <w:pPr>
        <w:ind w:firstLine="420" w:firstLineChars="200"/>
        <w:rPr>
          <w:rFonts w:hAnsi="宋体" w:cs="宋体"/>
          <w:snapToGrid w:val="0"/>
          <w:highlight w:val="none"/>
          <w:lang w:val="zh-CN"/>
        </w:rPr>
      </w:pPr>
      <w:r>
        <w:rPr>
          <w:highlight w:val="none"/>
        </w:rPr>
        <w:t xml:space="preserve">2.6 </w:t>
      </w:r>
      <w:r>
        <w:rPr>
          <w:rFonts w:hAnsi="宋体" w:cs="宋体"/>
          <w:snapToGrid w:val="0"/>
          <w:highlight w:val="none"/>
          <w:lang w:val="zh-CN"/>
        </w:rPr>
        <w:t>响应人</w:t>
      </w:r>
      <w:r>
        <w:rPr>
          <w:rFonts w:hint="eastAsia" w:hAnsi="宋体" w:cs="宋体"/>
          <w:snapToGrid w:val="0"/>
          <w:highlight w:val="none"/>
          <w:lang w:val="zh-CN"/>
        </w:rPr>
        <w:t>在重庆具有自有备件库【提供</w:t>
      </w:r>
      <w:r>
        <w:rPr>
          <w:rFonts w:hAnsi="宋体" w:cs="宋体"/>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Ansi="宋体" w:cs="宋体"/>
          <w:snapToGrid w:val="0"/>
          <w:highlight w:val="none"/>
          <w:lang w:val="zh-CN"/>
        </w:rPr>
        <w:t>（格式自理）；2、</w:t>
      </w:r>
      <w:r>
        <w:rPr>
          <w:rFonts w:hint="eastAsia" w:hAnsi="宋体" w:cs="宋体"/>
          <w:snapToGrid w:val="0"/>
          <w:highlight w:val="none"/>
          <w:lang w:val="zh-CN"/>
        </w:rPr>
        <w:t>办公场地房产证或房屋租赁合同相关证明资料复印件</w:t>
      </w:r>
      <w:r>
        <w:rPr>
          <w:rFonts w:hAnsi="宋体" w:cs="宋体"/>
          <w:snapToGrid w:val="0"/>
          <w:highlight w:val="none"/>
          <w:lang w:val="zh-CN"/>
        </w:rPr>
        <w:t>，</w:t>
      </w:r>
      <w:r>
        <w:rPr>
          <w:rFonts w:hint="eastAsia" w:hAnsi="宋体" w:cs="宋体"/>
          <w:snapToGrid w:val="0"/>
          <w:highlight w:val="none"/>
          <w:lang w:val="zh-CN"/>
        </w:rPr>
        <w:t>加盖</w:t>
      </w:r>
      <w:r>
        <w:rPr>
          <w:rFonts w:hAnsi="宋体"/>
          <w:highlight w:val="none"/>
        </w:rPr>
        <w:t>响应人</w:t>
      </w:r>
      <w:r>
        <w:rPr>
          <w:rFonts w:hint="eastAsia" w:hAnsi="宋体" w:cs="宋体"/>
          <w:snapToGrid w:val="0"/>
          <w:highlight w:val="none"/>
          <w:lang w:val="zh-CN"/>
        </w:rPr>
        <w:t>公章】</w:t>
      </w:r>
      <w:r>
        <w:rPr>
          <w:rFonts w:hAnsi="宋体" w:cs="宋体"/>
          <w:snapToGrid w:val="0"/>
          <w:highlight w:val="none"/>
          <w:lang w:val="zh-CN"/>
        </w:rPr>
        <w:t>。</w:t>
      </w:r>
    </w:p>
    <w:p w14:paraId="6BB3869A">
      <w:pPr>
        <w:ind w:firstLine="420" w:firstLineChars="200"/>
        <w:rPr>
          <w:rFonts w:hAnsi="宋体" w:cs="宋体"/>
          <w:snapToGrid w:val="0"/>
          <w:highlight w:val="none"/>
          <w:lang w:val="zh-CN"/>
        </w:rPr>
      </w:pPr>
      <w:r>
        <w:rPr>
          <w:rFonts w:hAnsi="宋体" w:cs="宋体"/>
          <w:snapToGrid w:val="0"/>
          <w:highlight w:val="none"/>
          <w:lang w:val="zh-CN"/>
        </w:rPr>
        <w:t>2.7 响应人</w:t>
      </w:r>
      <w:r>
        <w:rPr>
          <w:rFonts w:hint="eastAsia" w:hAnsi="宋体" w:cs="宋体"/>
          <w:snapToGrid w:val="0"/>
          <w:highlight w:val="none"/>
          <w:lang w:val="zh-CN"/>
        </w:rPr>
        <w:t>应</w:t>
      </w:r>
      <w:r>
        <w:rPr>
          <w:rFonts w:hint="eastAsia" w:hAnsi="宋体" w:cs="宋体"/>
          <w:snapToGrid w:val="0"/>
          <w:highlight w:val="none"/>
          <w:lang w:val="en-US" w:eastAsia="zh-CN"/>
        </w:rPr>
        <w:t>具备</w:t>
      </w:r>
      <w:r>
        <w:rPr>
          <w:rFonts w:hint="eastAsia" w:hAnsi="宋体" w:cs="宋体"/>
          <w:snapToGrid w:val="0"/>
          <w:highlight w:val="none"/>
          <w:lang w:val="zh-CN"/>
        </w:rPr>
        <w:t>本地化服务能力，</w:t>
      </w:r>
      <w:r>
        <w:rPr>
          <w:rFonts w:hint="eastAsia" w:hAnsi="宋体" w:cs="宋体"/>
          <w:snapToGrid w:val="0"/>
          <w:highlight w:val="none"/>
          <w:lang w:val="en-US" w:eastAsia="zh-CN"/>
        </w:rPr>
        <w:t>为本项目</w:t>
      </w:r>
      <w:r>
        <w:rPr>
          <w:rFonts w:hAnsi="宋体" w:cs="宋体"/>
          <w:snapToGrid w:val="0"/>
          <w:highlight w:val="none"/>
          <w:lang w:val="en-US" w:eastAsia="zh-CN"/>
        </w:rPr>
        <w:t>指定</w:t>
      </w:r>
      <w:r>
        <w:rPr>
          <w:rFonts w:hint="eastAsia" w:hAnsi="宋体" w:cs="宋体"/>
          <w:snapToGrid w:val="0"/>
          <w:highlight w:val="none"/>
          <w:lang w:val="en-US" w:eastAsia="zh-CN"/>
        </w:rPr>
        <w:t>常驻</w:t>
      </w:r>
      <w:r>
        <w:rPr>
          <w:rFonts w:hint="eastAsia" w:hAnsi="宋体" w:cs="宋体"/>
          <w:snapToGrid w:val="0"/>
          <w:highlight w:val="none"/>
          <w:lang w:val="zh-CN"/>
        </w:rPr>
        <w:t>重庆市内</w:t>
      </w:r>
      <w:r>
        <w:rPr>
          <w:rFonts w:hint="eastAsia" w:hAnsi="宋体" w:cs="宋体"/>
          <w:snapToGrid w:val="0"/>
          <w:highlight w:val="none"/>
          <w:lang w:val="en-US" w:eastAsia="zh-CN"/>
        </w:rPr>
        <w:t>的1名项目经理和</w:t>
      </w:r>
      <w:r>
        <w:rPr>
          <w:rFonts w:hint="eastAsia" w:hAnsi="宋体" w:cs="宋体"/>
          <w:snapToGrid w:val="0"/>
          <w:highlight w:val="none"/>
          <w:lang w:val="zh-CN"/>
        </w:rPr>
        <w:t>2名</w:t>
      </w:r>
      <w:r>
        <w:rPr>
          <w:rFonts w:hint="eastAsia" w:hAnsi="宋体" w:cs="宋体"/>
          <w:snapToGrid w:val="0"/>
          <w:highlight w:val="none"/>
          <w:lang w:val="en-US" w:eastAsia="zh-CN"/>
        </w:rPr>
        <w:t>服务工程师</w:t>
      </w:r>
      <w:r>
        <w:rPr>
          <w:rFonts w:hint="eastAsia" w:hAnsi="宋体" w:cs="宋体"/>
          <w:snapToGrid w:val="0"/>
          <w:highlight w:val="none"/>
          <w:lang w:val="zh-CN"/>
        </w:rPr>
        <w:t>（</w:t>
      </w:r>
      <w:r>
        <w:rPr>
          <w:rFonts w:hAnsi="宋体" w:cs="宋体"/>
          <w:snapToGrid w:val="0"/>
          <w:highlight w:val="none"/>
          <w:lang w:val="zh-CN"/>
        </w:rPr>
        <w:t>项目经理和2名服务工程师工作经验均需5年及以上</w:t>
      </w:r>
      <w:r>
        <w:rPr>
          <w:rFonts w:hint="eastAsia" w:hAnsi="宋体" w:cs="宋体"/>
          <w:snapToGrid w:val="0"/>
          <w:highlight w:val="none"/>
          <w:lang w:val="zh-CN"/>
        </w:rPr>
        <w:t>），</w:t>
      </w:r>
      <w:r>
        <w:rPr>
          <w:rFonts w:hint="eastAsia" w:hAnsi="宋体"/>
          <w:highlight w:val="none"/>
        </w:rPr>
        <w:t>响应人</w:t>
      </w:r>
      <w:r>
        <w:rPr>
          <w:rFonts w:hAnsi="宋体"/>
          <w:highlight w:val="none"/>
        </w:rPr>
        <w:t>进行本地化服务能力承诺</w:t>
      </w:r>
      <w:r>
        <w:rPr>
          <w:rFonts w:hint="eastAsia" w:hAnsi="宋体" w:cs="宋体"/>
          <w:snapToGrid w:val="0"/>
          <w:highlight w:val="none"/>
          <w:lang w:val="zh-CN"/>
        </w:rPr>
        <w:t>。【</w:t>
      </w:r>
      <w:r>
        <w:rPr>
          <w:rFonts w:hAnsi="Times New Roman" w:cs="Times New Roman"/>
          <w:snapToGrid w:val="0"/>
          <w:highlight w:val="none"/>
        </w:rPr>
        <w:t>提</w:t>
      </w:r>
      <w:r>
        <w:rPr>
          <w:rFonts w:hint="eastAsia" w:hAnsi="Times New Roman" w:cs="Times New Roman"/>
          <w:snapToGrid w:val="0"/>
          <w:highlight w:val="none"/>
        </w:rPr>
        <w:t>供</w:t>
      </w:r>
      <w:r>
        <w:rPr>
          <w:rFonts w:hAnsi="Times New Roman" w:cs="Times New Roman"/>
          <w:snapToGrid w:val="0"/>
          <w:highlight w:val="none"/>
        </w:rPr>
        <w:t>：1、</w:t>
      </w: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r>
        <w:rPr>
          <w:rFonts w:hint="eastAsia" w:hAnsi="Times New Roman" w:cs="Times New Roman"/>
          <w:snapToGrid w:val="0"/>
          <w:highlight w:val="none"/>
          <w:lang w:eastAsia="zh-CN"/>
        </w:rPr>
        <w:t>；</w:t>
      </w:r>
      <w:r>
        <w:rPr>
          <w:rFonts w:hAnsi="Times New Roman" w:cs="Times New Roman"/>
          <w:snapToGrid w:val="0"/>
          <w:highlight w:val="none"/>
          <w:lang w:val="en-US" w:eastAsia="zh-CN"/>
        </w:rPr>
        <w:t>2、</w:t>
      </w: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Times New Roman" w:cs="Times New Roman"/>
          <w:snapToGrid w:val="0"/>
          <w:highlight w:val="none"/>
        </w:rPr>
        <w:t>，加盖</w:t>
      </w:r>
      <w:r>
        <w:rPr>
          <w:rFonts w:hAnsi="宋体"/>
          <w:highlight w:val="none"/>
        </w:rPr>
        <w:t>响应人</w:t>
      </w:r>
      <w:r>
        <w:rPr>
          <w:rFonts w:hAnsi="Times New Roman" w:cs="Times New Roman"/>
          <w:snapToGrid w:val="0"/>
          <w:highlight w:val="none"/>
        </w:rPr>
        <w:t>公章</w:t>
      </w:r>
      <w:r>
        <w:rPr>
          <w:rFonts w:hint="eastAsia" w:hAnsi="Times New Roman" w:cs="Times New Roman"/>
          <w:snapToGrid w:val="0"/>
          <w:highlight w:val="none"/>
          <w:lang w:val="en-US" w:eastAsia="zh-CN"/>
        </w:rPr>
        <w:t>。</w:t>
      </w:r>
      <w:r>
        <w:rPr>
          <w:rFonts w:hint="eastAsia" w:cs="Times New Roman"/>
          <w:snapToGrid w:val="0"/>
          <w:highlight w:val="none"/>
          <w:lang w:val="en-US" w:eastAsia="zh-CN"/>
        </w:rPr>
        <w:t>）</w:t>
      </w:r>
      <w:r>
        <w:rPr>
          <w:rFonts w:hint="eastAsia" w:hAnsi="宋体" w:cs="宋体"/>
          <w:snapToGrid w:val="0"/>
          <w:highlight w:val="none"/>
          <w:lang w:val="zh-CN"/>
        </w:rPr>
        <w:t>】</w:t>
      </w:r>
    </w:p>
    <w:p w14:paraId="69145C4D">
      <w:pPr>
        <w:rPr>
          <w:highlight w:val="none"/>
        </w:rPr>
      </w:pPr>
      <w:r>
        <w:rPr>
          <w:rFonts w:hAnsi="宋体" w:cs="宋体"/>
          <w:snapToGrid w:val="0"/>
          <w:highlight w:val="none"/>
          <w:lang w:val="zh-CN"/>
        </w:rPr>
        <w:t xml:space="preserve">2.8 </w:t>
      </w:r>
      <w:r>
        <w:rPr>
          <w:rFonts w:hint="eastAsia" w:hAnsi="宋体"/>
          <w:highlight w:val="none"/>
        </w:rPr>
        <w:t>响应人</w:t>
      </w:r>
      <w:r>
        <w:rPr>
          <w:rFonts w:hint="eastAsia" w:hAnsi="宋体"/>
          <w:snapToGrid w:val="0"/>
          <w:highlight w:val="none"/>
        </w:rPr>
        <w:t>具备202</w:t>
      </w:r>
      <w:r>
        <w:rPr>
          <w:rFonts w:hAnsi="宋体"/>
          <w:snapToGrid w:val="0"/>
          <w:highlight w:val="none"/>
        </w:rPr>
        <w:t>3</w:t>
      </w:r>
      <w:r>
        <w:rPr>
          <w:rFonts w:hint="eastAsia" w:hAnsi="宋体"/>
          <w:snapToGrid w:val="0"/>
          <w:highlight w:val="none"/>
        </w:rPr>
        <w:t>年1月1日</w:t>
      </w:r>
      <w:r>
        <w:rPr>
          <w:rFonts w:hAnsi="宋体"/>
          <w:snapToGrid w:val="0"/>
          <w:highlight w:val="none"/>
        </w:rPr>
        <w:t>（含）</w:t>
      </w:r>
      <w:r>
        <w:rPr>
          <w:rFonts w:hint="eastAsia" w:hAnsi="宋体"/>
          <w:snapToGrid w:val="0"/>
          <w:highlight w:val="none"/>
        </w:rPr>
        <w:t>以来重庆区域内银行业PC服务器维保技术服务案例至少1个，没有重庆区域内银行业PC服务器维保技术服务案例的取消响应资质。案例以</w:t>
      </w:r>
      <w:r>
        <w:rPr>
          <w:rFonts w:hAnsi="宋体"/>
          <w:snapToGrid w:val="0"/>
          <w:highlight w:val="none"/>
        </w:rPr>
        <w:t>维保截止</w:t>
      </w:r>
      <w:r>
        <w:rPr>
          <w:rFonts w:hint="eastAsia" w:hAnsi="宋体"/>
          <w:snapToGrid w:val="0"/>
          <w:highlight w:val="none"/>
        </w:rPr>
        <w:t>时间为准，</w:t>
      </w:r>
      <w:r>
        <w:rPr>
          <w:rFonts w:hAnsi="宋体"/>
          <w:snapToGrid w:val="0"/>
          <w:highlight w:val="none"/>
        </w:rPr>
        <w:t>截止时间须在2023年1月1日（含）之后，</w:t>
      </w:r>
      <w:r>
        <w:rPr>
          <w:rFonts w:hint="eastAsia" w:hAnsi="宋体"/>
          <w:snapToGrid w:val="0"/>
          <w:highlight w:val="none"/>
        </w:rPr>
        <w:t>最终用户为同一个的只算一个案例，非维保类</w:t>
      </w:r>
      <w:r>
        <w:rPr>
          <w:rFonts w:hAnsi="宋体"/>
          <w:snapToGrid w:val="0"/>
          <w:highlight w:val="none"/>
        </w:rPr>
        <w:t>（如服务器采购类）</w:t>
      </w:r>
      <w:r>
        <w:rPr>
          <w:rFonts w:hint="eastAsia" w:hAnsi="宋体"/>
          <w:snapToGrid w:val="0"/>
          <w:highlight w:val="none"/>
        </w:rPr>
        <w:t>案例无效，维保类案例中不包含PC服务器的无效</w:t>
      </w:r>
      <w:r>
        <w:rPr>
          <w:rFonts w:hAnsi="宋体"/>
          <w:snapToGrid w:val="0"/>
          <w:highlight w:val="none"/>
        </w:rPr>
        <w:t>，响应人须为实际服务提供方，代理类案例无效（如通过响应人购买原厂服务器维保的案例）</w:t>
      </w:r>
      <w:r>
        <w:rPr>
          <w:rFonts w:hint="eastAsia" w:hAnsi="宋体"/>
          <w:snapToGrid w:val="0"/>
          <w:highlight w:val="none"/>
        </w:rPr>
        <w:t>。</w:t>
      </w:r>
      <w:r>
        <w:rPr>
          <w:rFonts w:hint="eastAsia" w:hAnsi="宋体"/>
          <w:snapToGrid w:val="0"/>
          <w:highlight w:val="none"/>
          <w:lang w:eastAsia="zh-CN"/>
        </w:rPr>
        <w:t>【</w:t>
      </w:r>
      <w:r>
        <w:rPr>
          <w:rFonts w:hint="eastAsia"/>
          <w:highlight w:val="none"/>
        </w:rPr>
        <w:t>提供：1、项目简介（格式自拟</w:t>
      </w:r>
      <w:r>
        <w:rPr>
          <w:highlight w:val="none"/>
        </w:rPr>
        <w:t>，需包括合同买方</w:t>
      </w:r>
      <w:r>
        <w:rPr>
          <w:rFonts w:hint="eastAsia" w:hAnsi="Times New Roman" w:cs="宋体"/>
          <w:highlight w:val="none"/>
          <w:lang w:bidi="ar-SA"/>
        </w:rPr>
        <w:t>联系人和联系电话</w:t>
      </w:r>
      <w:r>
        <w:rPr>
          <w:rFonts w:hAnsi="Times New Roman" w:cs="宋体"/>
          <w:highlight w:val="none"/>
          <w:lang w:bidi="ar-SA"/>
        </w:rPr>
        <w:t>，维保起止时间，以</w:t>
      </w:r>
      <w:r>
        <w:rPr>
          <w:rFonts w:cs="宋体"/>
          <w:highlight w:val="none"/>
        </w:rPr>
        <w:t>及</w:t>
      </w:r>
      <w:r>
        <w:rPr>
          <w:rFonts w:hint="eastAsia" w:cs="宋体"/>
          <w:highlight w:val="none"/>
          <w:lang w:val="en-US" w:eastAsia="zh-CN"/>
        </w:rPr>
        <w:t>案例中的PC服务器总数和所涉及的</w:t>
      </w:r>
      <w:r>
        <w:rPr>
          <w:rFonts w:cs="宋体"/>
          <w:highlight w:val="none"/>
          <w:lang w:val="en-US" w:eastAsia="zh-CN"/>
        </w:rPr>
        <w:t>PC</w:t>
      </w:r>
      <w:r>
        <w:rPr>
          <w:rFonts w:hint="eastAsia" w:cs="宋体"/>
          <w:highlight w:val="none"/>
          <w:lang w:val="en-US" w:eastAsia="zh-CN"/>
        </w:rPr>
        <w:t>服务器品牌</w:t>
      </w:r>
      <w:r>
        <w:rPr>
          <w:rFonts w:hint="eastAsia"/>
          <w:highlight w:val="none"/>
        </w:rPr>
        <w:t>）；2、合同关键页（合同关键页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cs="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；3、合同对应的发票</w:t>
      </w:r>
      <w:r>
        <w:rPr>
          <w:highlight w:val="none"/>
        </w:rPr>
        <w:t>复印件</w:t>
      </w:r>
      <w:r>
        <w:rPr>
          <w:rFonts w:hint="eastAsia" w:cs="宋体"/>
          <w:highlight w:val="none"/>
        </w:rPr>
        <w:t>（发票累计金额不低于合同金额</w:t>
      </w:r>
      <w:r>
        <w:rPr>
          <w:rFonts w:hint="eastAsia" w:cs="宋体"/>
          <w:highlight w:val="none"/>
          <w:lang w:val="en-US" w:eastAsia="zh-CN"/>
        </w:rPr>
        <w:t>的</w:t>
      </w:r>
      <w:r>
        <w:rPr>
          <w:rFonts w:hint="eastAsia" w:cs="宋体"/>
          <w:highlight w:val="none"/>
        </w:rPr>
        <w:t>10%</w:t>
      </w:r>
      <w:r>
        <w:rPr>
          <w:highlight w:val="none"/>
        </w:rPr>
        <w:t>）及对应</w:t>
      </w:r>
      <w:r>
        <w:rPr>
          <w:rFonts w:hint="eastAsia"/>
          <w:highlight w:val="none"/>
        </w:rPr>
        <w:t>发票的</w:t>
      </w:r>
      <w:r>
        <w:rPr>
          <w:highlight w:val="none"/>
        </w:rPr>
        <w:t>验证文件（</w:t>
      </w:r>
      <w:r>
        <w:rPr>
          <w:rFonts w:hint="eastAsia" w:hAnsi="宋体" w:cs="宋体"/>
          <w:highlight w:val="none"/>
        </w:rPr>
        <w:t>发票验证文件为“国家税务总局全国增值税发票查验平台https://inv-veri.chinatax.gov.cn/”查验结果截图</w:t>
      </w:r>
      <w:r>
        <w:rPr>
          <w:rFonts w:hint="eastAsia" w:hAnsi="宋体" w:cs="宋体"/>
          <w:highlight w:val="none"/>
          <w:lang w:eastAsia="zh-CN"/>
        </w:rPr>
        <w:t>，</w:t>
      </w:r>
      <w:r>
        <w:rPr>
          <w:rFonts w:hint="eastAsia" w:hAnsi="宋体" w:cs="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rFonts w:hint="eastAsia" w:hAnsi="宋体"/>
          <w:snapToGrid w:val="0"/>
          <w:highlight w:val="none"/>
        </w:rPr>
        <w:t>】</w:t>
      </w:r>
    </w:p>
    <w:p w14:paraId="6153E28F">
      <w:pPr>
        <w:rPr>
          <w:highlight w:val="none"/>
        </w:rPr>
      </w:pPr>
      <w:r>
        <w:rPr>
          <w:rFonts w:hint="eastAsia"/>
          <w:highlight w:val="none"/>
        </w:rPr>
        <w:t>注:以上证明文件若采购人存疑，响应人需提供原件备查，响应文件中须附相关证明文件复印件并逐页加盖公章。</w:t>
      </w:r>
    </w:p>
    <w:p w14:paraId="62A04D39">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BD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1B26F52F">
            <w:pPr>
              <w:pStyle w:val="38"/>
              <w:rPr>
                <w:highlight w:val="none"/>
              </w:rPr>
            </w:pPr>
            <w:r>
              <w:rPr>
                <w:rFonts w:hint="eastAsia"/>
                <w:highlight w:val="none"/>
              </w:rPr>
              <w:t>序号</w:t>
            </w:r>
          </w:p>
        </w:tc>
        <w:tc>
          <w:tcPr>
            <w:tcW w:w="4933" w:type="dxa"/>
          </w:tcPr>
          <w:p w14:paraId="4074D773">
            <w:pPr>
              <w:pStyle w:val="38"/>
              <w:rPr>
                <w:highlight w:val="none"/>
              </w:rPr>
            </w:pPr>
            <w:r>
              <w:rPr>
                <w:rFonts w:hint="eastAsia"/>
                <w:highlight w:val="none"/>
              </w:rPr>
              <w:t>公司</w:t>
            </w:r>
          </w:p>
        </w:tc>
      </w:tr>
      <w:tr w14:paraId="008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256F469">
            <w:pPr>
              <w:pStyle w:val="37"/>
              <w:rPr>
                <w:highlight w:val="none"/>
              </w:rPr>
            </w:pPr>
            <w:r>
              <w:rPr>
                <w:rFonts w:hint="eastAsia" w:cs="宋体"/>
                <w:szCs w:val="21"/>
                <w:highlight w:val="none"/>
              </w:rPr>
              <w:t>1</w:t>
            </w:r>
          </w:p>
        </w:tc>
        <w:tc>
          <w:tcPr>
            <w:tcW w:w="4933" w:type="dxa"/>
            <w:tcBorders>
              <w:left w:val="single" w:color="auto" w:sz="4" w:space="0"/>
            </w:tcBorders>
          </w:tcPr>
          <w:p w14:paraId="780D634E">
            <w:pPr>
              <w:pStyle w:val="37"/>
              <w:rPr>
                <w:highlight w:val="none"/>
              </w:rPr>
            </w:pPr>
            <w:r>
              <w:rPr>
                <w:rFonts w:hint="eastAsia" w:cs="宋体"/>
                <w:szCs w:val="21"/>
                <w:highlight w:val="none"/>
              </w:rPr>
              <w:t>依米康软件技术（深圳）有限责任公司</w:t>
            </w:r>
          </w:p>
        </w:tc>
      </w:tr>
    </w:tbl>
    <w:p w14:paraId="1D319FEF">
      <w:pPr>
        <w:rPr>
          <w:highlight w:val="none"/>
        </w:rPr>
      </w:pPr>
    </w:p>
    <w:bookmarkEnd w:id="13"/>
    <w:p w14:paraId="57E6F71B">
      <w:pPr>
        <w:pStyle w:val="3"/>
        <w:rPr>
          <w:highlight w:val="none"/>
        </w:rPr>
      </w:pPr>
      <w:bookmarkStart w:id="14" w:name="_Toc55379220"/>
      <w:bookmarkStart w:id="15" w:name="_Toc469574667"/>
      <w:bookmarkStart w:id="16" w:name="_Toc89675130"/>
      <w:bookmarkStart w:id="17" w:name="_Toc297817090"/>
      <w:r>
        <w:rPr>
          <w:rFonts w:hint="eastAsia"/>
          <w:highlight w:val="none"/>
        </w:rPr>
        <w:t>3. 询比文件的获取</w:t>
      </w:r>
      <w:bookmarkEnd w:id="14"/>
    </w:p>
    <w:p w14:paraId="7708E0C5">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1E2B5259">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12</w:t>
      </w:r>
      <w:r>
        <w:rPr>
          <w:rFonts w:hint="eastAsia"/>
          <w:highlight w:val="none"/>
        </w:rPr>
        <w:t>日到响应截止时间，在重庆市公共资源交易网（www.cqggzy.com）下载询比文件。</w:t>
      </w:r>
    </w:p>
    <w:p w14:paraId="029DFB4E">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429F2445">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B546AB7">
      <w:pPr>
        <w:pStyle w:val="3"/>
        <w:rPr>
          <w:highlight w:val="none"/>
        </w:rPr>
      </w:pPr>
      <w:bookmarkStart w:id="18" w:name="_Toc55379221"/>
      <w:r>
        <w:rPr>
          <w:rFonts w:hint="eastAsia"/>
          <w:highlight w:val="none"/>
        </w:rPr>
        <w:t>4. 响应保证金的递交</w:t>
      </w:r>
      <w:bookmarkEnd w:id="15"/>
      <w:bookmarkEnd w:id="16"/>
      <w:bookmarkEnd w:id="17"/>
      <w:bookmarkEnd w:id="18"/>
    </w:p>
    <w:p w14:paraId="145F667C">
      <w:pPr>
        <w:rPr>
          <w:highlight w:val="none"/>
        </w:rPr>
      </w:pPr>
      <w:bookmarkStart w:id="19" w:name="_Toc469574668"/>
      <w:bookmarkStart w:id="20" w:name="_Toc55379222"/>
      <w:bookmarkStart w:id="21" w:name="_Toc89675131"/>
      <w:bookmarkStart w:id="22" w:name="_Toc297817091"/>
      <w:r>
        <w:rPr>
          <w:rFonts w:hint="eastAsia"/>
          <w:highlight w:val="none"/>
        </w:rPr>
        <w:t>4.1 响应保证金的金额：</w:t>
      </w:r>
      <w:r>
        <w:rPr>
          <w:rFonts w:hint="eastAsia"/>
          <w:b/>
          <w:bCs/>
          <w:highlight w:val="none"/>
          <w:u w:val="single"/>
        </w:rPr>
        <w:t xml:space="preserve"> </w:t>
      </w:r>
      <w:r>
        <w:rPr>
          <w:b/>
          <w:bCs/>
          <w:highlight w:val="none"/>
          <w:u w:val="single"/>
        </w:rPr>
        <w:t>10,000</w:t>
      </w:r>
      <w:r>
        <w:rPr>
          <w:rFonts w:hint="eastAsia"/>
          <w:b/>
          <w:bCs/>
          <w:highlight w:val="none"/>
          <w:u w:val="single"/>
        </w:rPr>
        <w:t>元整（大写：</w:t>
      </w:r>
      <w:r>
        <w:rPr>
          <w:b/>
          <w:bCs/>
          <w:highlight w:val="none"/>
          <w:u w:val="single"/>
        </w:rPr>
        <w:t>壹万元整</w:t>
      </w:r>
      <w:r>
        <w:rPr>
          <w:rFonts w:hint="eastAsia"/>
          <w:b/>
          <w:bCs/>
          <w:highlight w:val="none"/>
          <w:u w:val="single"/>
        </w:rPr>
        <w:t>）</w:t>
      </w:r>
      <w:r>
        <w:rPr>
          <w:rFonts w:hint="eastAsia"/>
          <w:highlight w:val="none"/>
        </w:rPr>
        <w:t>。</w:t>
      </w:r>
    </w:p>
    <w:p w14:paraId="4DD955FD">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A0E4107">
      <w:pPr>
        <w:rPr>
          <w:b/>
          <w:bCs/>
          <w:highlight w:val="none"/>
        </w:rPr>
      </w:pPr>
      <w:r>
        <w:rPr>
          <w:rFonts w:hint="eastAsia"/>
          <w:b/>
          <w:bCs/>
          <w:highlight w:val="none"/>
        </w:rPr>
        <w:t>响应人必须在付款凭证备注栏中注明项目简称。可简写成：</w:t>
      </w:r>
      <w:r>
        <w:rPr>
          <w:b/>
          <w:bCs/>
          <w:highlight w:val="none"/>
          <w:u w:val="single"/>
        </w:rPr>
        <w:t>三峡银行2025年服务器维保采购</w:t>
      </w:r>
      <w:r>
        <w:rPr>
          <w:rFonts w:hint="eastAsia"/>
          <w:b/>
          <w:bCs/>
          <w:highlight w:val="none"/>
          <w:u w:val="single"/>
        </w:rPr>
        <w:t>项目</w:t>
      </w:r>
      <w:r>
        <w:rPr>
          <w:rFonts w:hint="eastAsia"/>
          <w:b/>
          <w:bCs/>
          <w:highlight w:val="none"/>
        </w:rPr>
        <w:t>。</w:t>
      </w:r>
    </w:p>
    <w:p w14:paraId="452B0355">
      <w:pPr>
        <w:rPr>
          <w:highlight w:val="none"/>
        </w:rPr>
      </w:pPr>
      <w:r>
        <w:rPr>
          <w:rFonts w:hint="eastAsia"/>
          <w:highlight w:val="none"/>
        </w:rPr>
        <w:t>4.3 响应保证金递交的截止时间同响应截止时间。响应保证金以重庆市公共资源交易中心询比现场展示的保证金交纳情况为准。</w:t>
      </w:r>
    </w:p>
    <w:p w14:paraId="7EBDA837">
      <w:pPr>
        <w:rPr>
          <w:highlight w:val="none"/>
        </w:rPr>
      </w:pPr>
      <w:r>
        <w:rPr>
          <w:rFonts w:hint="eastAsia"/>
          <w:highlight w:val="none"/>
        </w:rPr>
        <w:t>4.</w:t>
      </w:r>
      <w:r>
        <w:rPr>
          <w:highlight w:val="none"/>
        </w:rPr>
        <w:t>4</w:t>
      </w:r>
      <w:r>
        <w:rPr>
          <w:rFonts w:hint="eastAsia"/>
          <w:highlight w:val="none"/>
        </w:rPr>
        <w:t xml:space="preserve"> 响应保证金专用账户如下：</w:t>
      </w:r>
    </w:p>
    <w:p w14:paraId="4008867E">
      <w:pPr>
        <w:rPr>
          <w:highlight w:val="none"/>
        </w:rPr>
      </w:pPr>
      <w:r>
        <w:rPr>
          <w:rFonts w:hint="eastAsia"/>
          <w:highlight w:val="none"/>
        </w:rPr>
        <w:t>详见重庆市公共资源交易网（www.cqggzy.com）对应本项目询比公告信息栏中的保证金信息。</w:t>
      </w:r>
    </w:p>
    <w:p w14:paraId="46BC561B">
      <w:pPr>
        <w:pStyle w:val="3"/>
        <w:rPr>
          <w:highlight w:val="none"/>
        </w:rPr>
      </w:pPr>
      <w:r>
        <w:rPr>
          <w:rFonts w:hint="eastAsia"/>
          <w:highlight w:val="none"/>
        </w:rPr>
        <w:t>5. 市场主体信息登记</w:t>
      </w:r>
    </w:p>
    <w:p w14:paraId="4B4CDA60">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7EA9E3A5">
      <w:pPr>
        <w:pStyle w:val="3"/>
        <w:rPr>
          <w:highlight w:val="none"/>
        </w:rPr>
      </w:pPr>
      <w:r>
        <w:rPr>
          <w:rFonts w:hint="eastAsia"/>
          <w:highlight w:val="none"/>
        </w:rPr>
        <w:t>6. 响应文件的递交</w:t>
      </w:r>
    </w:p>
    <w:p w14:paraId="5B535E49">
      <w:pPr>
        <w:rPr>
          <w:highlight w:val="none"/>
        </w:rPr>
      </w:pPr>
      <w:bookmarkStart w:id="23" w:name="_Toc469574669"/>
      <w:bookmarkStart w:id="24" w:name="_Toc55379223"/>
      <w:bookmarkStart w:id="25" w:name="_Toc89675132"/>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05ACB6AD">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5CEBA70">
      <w:pPr>
        <w:rPr>
          <w:highlight w:val="none"/>
        </w:rPr>
      </w:pPr>
      <w:r>
        <w:rPr>
          <w:rFonts w:hint="eastAsia"/>
          <w:highlight w:val="none"/>
        </w:rPr>
        <w:t>6.3 逾期送达的响应文件，不予接收。</w:t>
      </w:r>
    </w:p>
    <w:p w14:paraId="7A995E25">
      <w:pPr>
        <w:pStyle w:val="3"/>
        <w:rPr>
          <w:highlight w:val="none"/>
        </w:rPr>
      </w:pPr>
      <w:r>
        <w:rPr>
          <w:rFonts w:hint="eastAsia"/>
          <w:highlight w:val="none"/>
        </w:rPr>
        <w:t>7. 发布公告的媒介</w:t>
      </w:r>
      <w:bookmarkEnd w:id="23"/>
      <w:bookmarkEnd w:id="24"/>
      <w:bookmarkEnd w:id="25"/>
    </w:p>
    <w:p w14:paraId="008A31EB">
      <w:pPr>
        <w:rPr>
          <w:highlight w:val="none"/>
        </w:rPr>
      </w:pPr>
      <w:bookmarkStart w:id="26" w:name="_Toc250565211"/>
      <w:bookmarkStart w:id="27" w:name="_Toc55379224"/>
      <w:bookmarkStart w:id="28" w:name="_Toc89675133"/>
      <w:bookmarkStart w:id="29" w:name="_Toc469574670"/>
      <w:r>
        <w:rPr>
          <w:rFonts w:hint="eastAsia"/>
          <w:highlight w:val="none"/>
        </w:rPr>
        <w:t>本次询比公告同时在《重庆市公共资源交易网（www.cqggzy.com）》《重庆三峡银行官网（https://www.ccqtgb.com）》和《中国招标投标公共服务平台（http://www.cebpubservice.com）》上发布。</w:t>
      </w:r>
    </w:p>
    <w:p w14:paraId="2E606A51">
      <w:pPr>
        <w:pStyle w:val="3"/>
        <w:rPr>
          <w:highlight w:val="none"/>
        </w:rPr>
      </w:pPr>
      <w:r>
        <w:rPr>
          <w:rFonts w:hint="eastAsia"/>
          <w:highlight w:val="none"/>
        </w:rPr>
        <w:t>8. 联系方式</w:t>
      </w:r>
      <w:bookmarkEnd w:id="26"/>
      <w:bookmarkEnd w:id="27"/>
      <w:bookmarkEnd w:id="28"/>
      <w:bookmarkEnd w:id="29"/>
    </w:p>
    <w:p w14:paraId="3A10CD61">
      <w:pPr>
        <w:rPr>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931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06F7C75">
            <w:pPr>
              <w:ind w:firstLine="0" w:firstLineChars="0"/>
              <w:jc w:val="left"/>
              <w:rPr>
                <w:highlight w:val="none"/>
              </w:rPr>
            </w:pPr>
            <w:r>
              <w:rPr>
                <w:rFonts w:hint="eastAsia"/>
                <w:highlight w:val="none"/>
              </w:rPr>
              <w:t>8.1 项目需求咨询</w:t>
            </w:r>
          </w:p>
        </w:tc>
      </w:tr>
      <w:tr w14:paraId="0D81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29DAD3C">
            <w:pPr>
              <w:ind w:firstLine="0" w:firstLineChars="0"/>
              <w:jc w:val="left"/>
              <w:rPr>
                <w:rFonts w:cs="宋体"/>
                <w:szCs w:val="21"/>
                <w:highlight w:val="none"/>
              </w:rPr>
            </w:pPr>
            <w:r>
              <w:rPr>
                <w:rFonts w:hint="eastAsia"/>
                <w:highlight w:val="none"/>
              </w:rPr>
              <w:t>项目联系人：</w:t>
            </w:r>
            <w:r>
              <w:rPr>
                <w:highlight w:val="none"/>
              </w:rPr>
              <w:t>魏恩</w:t>
            </w:r>
          </w:p>
        </w:tc>
        <w:tc>
          <w:tcPr>
            <w:tcW w:w="4480" w:type="dxa"/>
            <w:tcBorders>
              <w:top w:val="nil"/>
              <w:left w:val="nil"/>
              <w:bottom w:val="nil"/>
              <w:right w:val="single" w:color="auto" w:sz="4" w:space="0"/>
            </w:tcBorders>
          </w:tcPr>
          <w:p w14:paraId="196B4650">
            <w:pPr>
              <w:ind w:firstLine="0" w:firstLineChars="0"/>
              <w:jc w:val="left"/>
              <w:rPr>
                <w:rFonts w:cs="宋体"/>
                <w:szCs w:val="21"/>
                <w:highlight w:val="none"/>
              </w:rPr>
            </w:pPr>
            <w:r>
              <w:rPr>
                <w:rFonts w:hint="eastAsia"/>
                <w:highlight w:val="none"/>
              </w:rPr>
              <w:t>联系方式：</w:t>
            </w:r>
            <w:r>
              <w:rPr>
                <w:highlight w:val="none"/>
              </w:rPr>
              <w:t>17783826559</w:t>
            </w:r>
          </w:p>
        </w:tc>
      </w:tr>
      <w:tr w14:paraId="2E5E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93DB08">
            <w:pPr>
              <w:ind w:firstLine="0" w:firstLineChars="0"/>
              <w:jc w:val="left"/>
              <w:rPr>
                <w:highlight w:val="none"/>
              </w:rPr>
            </w:pPr>
          </w:p>
        </w:tc>
      </w:tr>
      <w:tr w14:paraId="36E6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7D95951">
            <w:pPr>
              <w:ind w:firstLine="0" w:firstLineChars="0"/>
              <w:jc w:val="left"/>
              <w:rPr>
                <w:highlight w:val="none"/>
              </w:rPr>
            </w:pPr>
            <w:r>
              <w:rPr>
                <w:rFonts w:hint="eastAsia"/>
                <w:highlight w:val="none"/>
              </w:rPr>
              <w:t>8.2 项目流程咨询</w:t>
            </w:r>
          </w:p>
        </w:tc>
      </w:tr>
      <w:tr w14:paraId="38EE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0A38AA">
            <w:pPr>
              <w:ind w:firstLine="0" w:firstLineChars="0"/>
              <w:jc w:val="left"/>
              <w:rPr>
                <w:highlight w:val="none"/>
              </w:rPr>
            </w:pPr>
            <w:r>
              <w:rPr>
                <w:rFonts w:hint="eastAsia"/>
                <w:highlight w:val="none"/>
              </w:rPr>
              <w:t>平台服务机构：重庆联合产权交易所集团股份有限公司</w:t>
            </w:r>
          </w:p>
        </w:tc>
      </w:tr>
      <w:tr w14:paraId="0EC1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C758596">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4BC4C748">
            <w:pPr>
              <w:ind w:firstLine="0" w:firstLineChars="0"/>
              <w:jc w:val="left"/>
              <w:rPr>
                <w:rFonts w:cs="宋体"/>
                <w:szCs w:val="21"/>
                <w:highlight w:val="none"/>
              </w:rPr>
            </w:pPr>
            <w:r>
              <w:rPr>
                <w:rFonts w:hint="eastAsia"/>
                <w:highlight w:val="none"/>
              </w:rPr>
              <w:t>联系方式：023-63621694</w:t>
            </w:r>
          </w:p>
        </w:tc>
      </w:tr>
      <w:tr w14:paraId="1C6F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18BD78">
            <w:pPr>
              <w:ind w:firstLine="0" w:firstLineChars="0"/>
              <w:jc w:val="left"/>
              <w:rPr>
                <w:highlight w:val="none"/>
              </w:rPr>
            </w:pPr>
          </w:p>
        </w:tc>
      </w:tr>
      <w:tr w14:paraId="6115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03B0CF">
            <w:pPr>
              <w:ind w:firstLine="0" w:firstLineChars="0"/>
              <w:jc w:val="left"/>
              <w:rPr>
                <w:highlight w:val="none"/>
              </w:rPr>
            </w:pPr>
            <w:r>
              <w:rPr>
                <w:rFonts w:hint="eastAsia"/>
                <w:highlight w:val="none"/>
              </w:rPr>
              <w:t>8.3 采购人联系方式</w:t>
            </w:r>
          </w:p>
        </w:tc>
      </w:tr>
      <w:tr w14:paraId="79FD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2709FB">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9C51209">
            <w:pPr>
              <w:ind w:firstLine="0" w:firstLineChars="0"/>
              <w:jc w:val="left"/>
              <w:rPr>
                <w:rFonts w:cs="宋体"/>
                <w:szCs w:val="21"/>
                <w:highlight w:val="none"/>
              </w:rPr>
            </w:pPr>
            <w:r>
              <w:rPr>
                <w:rFonts w:hint="eastAsia"/>
                <w:highlight w:val="none"/>
              </w:rPr>
              <w:t>联系方式：023-88890395</w:t>
            </w:r>
          </w:p>
        </w:tc>
      </w:tr>
      <w:tr w14:paraId="1173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552FDF">
            <w:pPr>
              <w:ind w:firstLine="0" w:firstLineChars="0"/>
              <w:jc w:val="left"/>
              <w:rPr>
                <w:highlight w:val="none"/>
              </w:rPr>
            </w:pPr>
            <w:r>
              <w:rPr>
                <w:rFonts w:hint="eastAsia"/>
                <w:highlight w:val="none"/>
              </w:rPr>
              <w:t>采购人地址：重庆市渝北区嘉州路88号中渝国际都会4号写字楼21层</w:t>
            </w:r>
          </w:p>
        </w:tc>
      </w:tr>
    </w:tbl>
    <w:p w14:paraId="3FC07306">
      <w:pPr>
        <w:rPr>
          <w:highlight w:val="none"/>
        </w:rPr>
      </w:pPr>
    </w:p>
    <w:p w14:paraId="6C56968B">
      <w:pPr>
        <w:spacing w:line="240" w:lineRule="auto"/>
        <w:ind w:firstLine="0" w:firstLineChars="0"/>
        <w:jc w:val="right"/>
        <w:rPr>
          <w:highlight w:val="none"/>
        </w:rPr>
      </w:pPr>
      <w:r>
        <w:rPr>
          <w:rFonts w:hint="eastAsia"/>
          <w:highlight w:val="none"/>
        </w:rPr>
        <w:t>重庆三峡银行股份有限公司</w:t>
      </w:r>
    </w:p>
    <w:p w14:paraId="3185DED9">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12</w:t>
      </w:r>
      <w:r>
        <w:rPr>
          <w:rFonts w:hint="eastAsia"/>
          <w:highlight w:val="none"/>
        </w:rPr>
        <w:t>日</w:t>
      </w:r>
    </w:p>
    <w:p w14:paraId="5EEAD3FD">
      <w:pPr>
        <w:tabs>
          <w:tab w:val="left" w:pos="3360"/>
        </w:tabs>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highlight w:val="none"/>
        </w:rPr>
        <w:br w:type="page"/>
      </w:r>
      <w:bookmarkStart w:id="30" w:name="_Toc303066033"/>
      <w:bookmarkStart w:id="31" w:name="_Toc89675159"/>
    </w:p>
    <w:p w14:paraId="67C1B275">
      <w:pPr>
        <w:pStyle w:val="2"/>
        <w:rPr>
          <w:highlight w:val="none"/>
        </w:rPr>
      </w:pPr>
      <w:bookmarkStart w:id="32" w:name="_Toc10417"/>
      <w:bookmarkStart w:id="33" w:name="_Toc13393"/>
      <w:r>
        <w:rPr>
          <w:rFonts w:hint="eastAsia"/>
          <w:highlight w:val="none"/>
        </w:rPr>
        <w:t>第二章 响应人须知</w:t>
      </w:r>
      <w:bookmarkEnd w:id="30"/>
      <w:bookmarkEnd w:id="31"/>
      <w:bookmarkEnd w:id="32"/>
      <w:bookmarkEnd w:id="33"/>
    </w:p>
    <w:p w14:paraId="125EE77D">
      <w:pPr>
        <w:pStyle w:val="3"/>
        <w:rPr>
          <w:highlight w:val="none"/>
        </w:rPr>
      </w:pPr>
      <w:bookmarkStart w:id="34" w:name="_Toc89675160"/>
      <w:r>
        <w:rPr>
          <w:rFonts w:hint="eastAsia"/>
          <w:highlight w:val="none"/>
        </w:rPr>
        <w:t>1. 采购人</w:t>
      </w:r>
    </w:p>
    <w:p w14:paraId="3A007611">
      <w:pPr>
        <w:rPr>
          <w:highlight w:val="none"/>
        </w:rPr>
      </w:pPr>
      <w:r>
        <w:rPr>
          <w:highlight w:val="none"/>
        </w:rPr>
        <w:t>重庆三峡银行股份有限公司</w:t>
      </w:r>
      <w:r>
        <w:rPr>
          <w:rFonts w:hint="eastAsia"/>
          <w:highlight w:val="none"/>
        </w:rPr>
        <w:t>。</w:t>
      </w:r>
    </w:p>
    <w:bookmarkEnd w:id="34"/>
    <w:p w14:paraId="0D4BC402">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477C13BB">
      <w:pPr>
        <w:rPr>
          <w:highlight w:val="none"/>
        </w:rPr>
      </w:pPr>
      <w:r>
        <w:rPr>
          <w:rFonts w:hint="eastAsia"/>
          <w:highlight w:val="none"/>
        </w:rPr>
        <w:t>为采购人提供工程、货物和服务的承包商、供货商和服务商。</w:t>
      </w:r>
    </w:p>
    <w:p w14:paraId="08A7C963">
      <w:pPr>
        <w:pStyle w:val="4"/>
        <w:rPr>
          <w:highlight w:val="none"/>
        </w:rPr>
      </w:pPr>
      <w:r>
        <w:rPr>
          <w:rFonts w:hint="eastAsia"/>
          <w:highlight w:val="none"/>
        </w:rPr>
        <w:t>2.1 合格响应人条件</w:t>
      </w:r>
    </w:p>
    <w:p w14:paraId="01C8A9AC">
      <w:pPr>
        <w:rPr>
          <w:highlight w:val="none"/>
        </w:rPr>
      </w:pPr>
      <w:r>
        <w:rPr>
          <w:rFonts w:hint="eastAsia"/>
          <w:highlight w:val="none"/>
        </w:rPr>
        <w:t>合格响应人应完全符合询比文件第一章中规定的响应人资格条件，并对询比文件作出实质性响应。</w:t>
      </w:r>
    </w:p>
    <w:p w14:paraId="42F6697E">
      <w:pPr>
        <w:pStyle w:val="4"/>
        <w:rPr>
          <w:highlight w:val="none"/>
        </w:rPr>
      </w:pPr>
      <w:r>
        <w:rPr>
          <w:rFonts w:hint="eastAsia"/>
          <w:highlight w:val="none"/>
        </w:rPr>
        <w:t>2.2 响应人的风险</w:t>
      </w:r>
    </w:p>
    <w:p w14:paraId="1621065E">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4ECE189F">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0D5D6CE0">
      <w:pPr>
        <w:rPr>
          <w:highlight w:val="none"/>
        </w:rPr>
      </w:pPr>
      <w:r>
        <w:rPr>
          <w:rFonts w:hint="eastAsia"/>
          <w:highlight w:val="none"/>
        </w:rPr>
        <w:t>采购人根据自身采购方案或需求编制的采购文件。</w:t>
      </w:r>
    </w:p>
    <w:p w14:paraId="3DF7A429">
      <w:pPr>
        <w:rPr>
          <w:highlight w:val="none"/>
        </w:rPr>
      </w:pPr>
      <w:r>
        <w:rPr>
          <w:rFonts w:hint="eastAsia"/>
          <w:highlight w:val="none"/>
        </w:rPr>
        <w:t>询比文件是响应人编制响应文件的依据，是评审委员会评判依据和标准。询比文件也是采购人与成交供应商签订合同的基础。</w:t>
      </w:r>
    </w:p>
    <w:p w14:paraId="5F041F42">
      <w:pPr>
        <w:rPr>
          <w:highlight w:val="none"/>
        </w:rPr>
      </w:pPr>
      <w:r>
        <w:rPr>
          <w:rFonts w:hint="eastAsia"/>
          <w:highlight w:val="none"/>
        </w:rPr>
        <w:t>采购人对询比文件所作的一切有效的书面通知、修改及补充，都是询比文件不可分割的部分。</w:t>
      </w:r>
    </w:p>
    <w:p w14:paraId="0DF6FFA2">
      <w:pPr>
        <w:pStyle w:val="3"/>
        <w:rPr>
          <w:highlight w:val="none"/>
        </w:rPr>
      </w:pPr>
      <w:bookmarkStart w:id="37" w:name="_Toc89675163"/>
      <w:r>
        <w:rPr>
          <w:rFonts w:hint="eastAsia"/>
          <w:highlight w:val="none"/>
        </w:rPr>
        <w:t xml:space="preserve">4. </w:t>
      </w:r>
      <w:bookmarkEnd w:id="37"/>
      <w:r>
        <w:rPr>
          <w:rFonts w:hint="eastAsia"/>
          <w:highlight w:val="none"/>
        </w:rPr>
        <w:t>响应</w:t>
      </w:r>
    </w:p>
    <w:p w14:paraId="74279FF2">
      <w:pPr>
        <w:rPr>
          <w:highlight w:val="none"/>
        </w:rPr>
      </w:pPr>
      <w:r>
        <w:rPr>
          <w:rFonts w:hint="eastAsia"/>
          <w:highlight w:val="none"/>
        </w:rPr>
        <w:t>响应人应当按照询比文件的要求编制响应文件，并对询比文件提出的要求和条件作出实质性响应。</w:t>
      </w:r>
    </w:p>
    <w:p w14:paraId="405B99CD">
      <w:pPr>
        <w:pStyle w:val="4"/>
        <w:rPr>
          <w:highlight w:val="none"/>
        </w:rPr>
      </w:pPr>
      <w:r>
        <w:rPr>
          <w:rFonts w:hint="eastAsia"/>
          <w:highlight w:val="none"/>
        </w:rPr>
        <w:t>4.1 响应文件</w:t>
      </w:r>
    </w:p>
    <w:p w14:paraId="66F40C5C">
      <w:pPr>
        <w:rPr>
          <w:highlight w:val="none"/>
        </w:rPr>
      </w:pPr>
      <w:r>
        <w:rPr>
          <w:rFonts w:hint="eastAsia"/>
          <w:highlight w:val="none"/>
        </w:rPr>
        <w:t>参与询比活动的响应人按照询比文件的要求编制提交的要约文件的统称。</w:t>
      </w:r>
    </w:p>
    <w:p w14:paraId="5F51BC08">
      <w:pPr>
        <w:pStyle w:val="4"/>
        <w:rPr>
          <w:highlight w:val="none"/>
        </w:rPr>
      </w:pPr>
      <w:r>
        <w:rPr>
          <w:rFonts w:hint="eastAsia"/>
          <w:highlight w:val="none"/>
        </w:rPr>
        <w:t>4.2 响应文件组成</w:t>
      </w:r>
    </w:p>
    <w:p w14:paraId="4608E10A">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72C06AFC">
      <w:pPr>
        <w:pStyle w:val="4"/>
        <w:rPr>
          <w:highlight w:val="none"/>
        </w:rPr>
      </w:pPr>
      <w:r>
        <w:rPr>
          <w:rFonts w:hint="eastAsia"/>
          <w:highlight w:val="none"/>
        </w:rPr>
        <w:t>4.3 联合响应</w:t>
      </w:r>
    </w:p>
    <w:p w14:paraId="6754ECFF">
      <w:pPr>
        <w:rPr>
          <w:highlight w:val="none"/>
        </w:rPr>
      </w:pPr>
      <w:r>
        <w:rPr>
          <w:rFonts w:hint="eastAsia"/>
          <w:highlight w:val="none"/>
        </w:rPr>
        <w:t>本询比项目不接受联合响应</w:t>
      </w:r>
    </w:p>
    <w:p w14:paraId="567E7316">
      <w:pPr>
        <w:pStyle w:val="4"/>
        <w:rPr>
          <w:highlight w:val="none"/>
        </w:rPr>
      </w:pPr>
      <w:r>
        <w:rPr>
          <w:rFonts w:hint="eastAsia"/>
          <w:highlight w:val="none"/>
        </w:rPr>
        <w:t>4.4 响应有效期</w:t>
      </w:r>
    </w:p>
    <w:p w14:paraId="5C0F0206">
      <w:pPr>
        <w:rPr>
          <w:highlight w:val="none"/>
        </w:rPr>
      </w:pPr>
      <w:r>
        <w:rPr>
          <w:rFonts w:hint="eastAsia"/>
          <w:highlight w:val="none"/>
        </w:rPr>
        <w:t>响应有效期为响应截止时间后90天内。</w:t>
      </w:r>
    </w:p>
    <w:p w14:paraId="4CF04DBE">
      <w:pPr>
        <w:pStyle w:val="4"/>
        <w:rPr>
          <w:highlight w:val="none"/>
        </w:rPr>
      </w:pPr>
      <w:r>
        <w:rPr>
          <w:rFonts w:hint="eastAsia"/>
          <w:highlight w:val="none"/>
        </w:rPr>
        <w:t>4.5 响应保证金</w:t>
      </w:r>
    </w:p>
    <w:p w14:paraId="26C48FF4">
      <w:pPr>
        <w:rPr>
          <w:highlight w:val="none"/>
        </w:rPr>
      </w:pPr>
      <w:r>
        <w:rPr>
          <w:rFonts w:hint="eastAsia"/>
          <w:highlight w:val="none"/>
        </w:rPr>
        <w:t>4.5.1 响应人应在响应截止时间前，按询比文件第一章规定向采购人缴纳响应保证金。</w:t>
      </w:r>
    </w:p>
    <w:p w14:paraId="15647527">
      <w:pPr>
        <w:rPr>
          <w:highlight w:val="none"/>
        </w:rPr>
      </w:pPr>
      <w:r>
        <w:rPr>
          <w:rFonts w:hint="eastAsia"/>
          <w:highlight w:val="none"/>
        </w:rPr>
        <w:t>4.5.2 响应保证金为响应的有效约束条件。</w:t>
      </w:r>
    </w:p>
    <w:p w14:paraId="07A6EB4D">
      <w:pPr>
        <w:rPr>
          <w:highlight w:val="none"/>
        </w:rPr>
      </w:pPr>
      <w:r>
        <w:rPr>
          <w:rFonts w:hint="eastAsia"/>
          <w:highlight w:val="none"/>
        </w:rPr>
        <w:t>4.5.3 响应保证金有效期与响应文件有效期一致。</w:t>
      </w:r>
    </w:p>
    <w:p w14:paraId="5C5406B5">
      <w:pPr>
        <w:rPr>
          <w:highlight w:val="none"/>
        </w:rPr>
      </w:pPr>
      <w:r>
        <w:rPr>
          <w:rFonts w:hint="eastAsia"/>
          <w:highlight w:val="none"/>
        </w:rPr>
        <w:t>4.5.4 响应保证金币种应与响应报价币种相同。</w:t>
      </w:r>
    </w:p>
    <w:p w14:paraId="28085352">
      <w:pPr>
        <w:rPr>
          <w:highlight w:val="none"/>
        </w:rPr>
      </w:pPr>
      <w:r>
        <w:rPr>
          <w:rFonts w:hint="eastAsia"/>
          <w:highlight w:val="none"/>
        </w:rPr>
        <w:t>4.5.5 响应保证金的退还：</w:t>
      </w:r>
    </w:p>
    <w:p w14:paraId="0BE537C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391C0989">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6E323544">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23834AED">
      <w:pPr>
        <w:rPr>
          <w:highlight w:val="none"/>
        </w:rPr>
      </w:pPr>
      <w:r>
        <w:rPr>
          <w:rFonts w:hint="eastAsia"/>
          <w:highlight w:val="none"/>
        </w:rPr>
        <w:t>4.5.6 响应人有下列情形之一的，响应保证金将不予退还：</w:t>
      </w:r>
    </w:p>
    <w:p w14:paraId="53E8A247">
      <w:pPr>
        <w:rPr>
          <w:highlight w:val="none"/>
        </w:rPr>
      </w:pPr>
      <w:r>
        <w:rPr>
          <w:rFonts w:hint="eastAsia"/>
          <w:highlight w:val="none"/>
        </w:rPr>
        <w:t>4.5.6.1 响应人在响应有效期内撤销响应文件的；</w:t>
      </w:r>
    </w:p>
    <w:p w14:paraId="6EC67B76">
      <w:pPr>
        <w:rPr>
          <w:highlight w:val="none"/>
        </w:rPr>
      </w:pPr>
      <w:r>
        <w:rPr>
          <w:rFonts w:hint="eastAsia"/>
          <w:highlight w:val="none"/>
        </w:rPr>
        <w:t>4.5.6.2 响应人在响应过程中弄虚作假，提供虚假材料的；</w:t>
      </w:r>
    </w:p>
    <w:p w14:paraId="0D2F48C4">
      <w:pPr>
        <w:rPr>
          <w:highlight w:val="none"/>
        </w:rPr>
      </w:pPr>
      <w:r>
        <w:rPr>
          <w:rFonts w:hint="eastAsia"/>
          <w:highlight w:val="none"/>
        </w:rPr>
        <w:t>4.5.6.3 成交供应商无故弃选或无正当理由不与采购人签订合同的；</w:t>
      </w:r>
    </w:p>
    <w:p w14:paraId="042EF890">
      <w:pPr>
        <w:rPr>
          <w:highlight w:val="none"/>
        </w:rPr>
      </w:pPr>
      <w:r>
        <w:rPr>
          <w:rFonts w:hint="eastAsia"/>
          <w:highlight w:val="none"/>
        </w:rPr>
        <w:t>4.5.6.4 成交供应商将成交项目转让给他人或者在响应文件中未说明且未经询比单位同意，将成交项目分包给他人的；</w:t>
      </w:r>
    </w:p>
    <w:p w14:paraId="5E95AB73">
      <w:pPr>
        <w:rPr>
          <w:highlight w:val="none"/>
        </w:rPr>
      </w:pPr>
      <w:r>
        <w:rPr>
          <w:rFonts w:hint="eastAsia"/>
          <w:highlight w:val="none"/>
        </w:rPr>
        <w:t>4.5.6.5 成交供应商拒绝履行合同义务的；</w:t>
      </w:r>
    </w:p>
    <w:p w14:paraId="754C2107">
      <w:pPr>
        <w:rPr>
          <w:highlight w:val="none"/>
        </w:rPr>
      </w:pPr>
      <w:r>
        <w:rPr>
          <w:rFonts w:hint="eastAsia"/>
          <w:highlight w:val="none"/>
        </w:rPr>
        <w:t>4.5.6.6 其他严重扰乱询比程序的；</w:t>
      </w:r>
    </w:p>
    <w:p w14:paraId="3E499566">
      <w:pPr>
        <w:pStyle w:val="4"/>
        <w:rPr>
          <w:highlight w:val="none"/>
        </w:rPr>
      </w:pPr>
      <w:r>
        <w:rPr>
          <w:rFonts w:hint="eastAsia"/>
          <w:highlight w:val="none"/>
        </w:rPr>
        <w:t>4.6 响应文件的份数和签署</w:t>
      </w:r>
    </w:p>
    <w:p w14:paraId="77F56DE8">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E8F9E25">
      <w:pPr>
        <w:rPr>
          <w:highlight w:val="none"/>
        </w:rPr>
      </w:pPr>
      <w:r>
        <w:rPr>
          <w:rFonts w:hint="eastAsia"/>
          <w:highlight w:val="none"/>
        </w:rPr>
        <w:t>4.6.2 响应文件正本中，每一页均应由响应人加盖公章，其中规定格式的文件应当按要求签名和加盖响应人公章。</w:t>
      </w:r>
    </w:p>
    <w:p w14:paraId="6616F606">
      <w:pPr>
        <w:rPr>
          <w:highlight w:val="none"/>
        </w:rPr>
      </w:pPr>
      <w:r>
        <w:rPr>
          <w:rFonts w:hint="eastAsia"/>
          <w:highlight w:val="none"/>
        </w:rPr>
        <w:t>4.6.3 若响应人对响应文件的错处作必要修改，则应在修改处加盖响应人公章或由法人或委托代理人签字确认。</w:t>
      </w:r>
    </w:p>
    <w:p w14:paraId="7F3A1005">
      <w:pPr>
        <w:rPr>
          <w:highlight w:val="none"/>
        </w:rPr>
      </w:pPr>
      <w:r>
        <w:rPr>
          <w:rFonts w:hint="eastAsia"/>
          <w:highlight w:val="none"/>
        </w:rPr>
        <w:t>4.6.4 电报、电话、邮寄、传真形式的响应文件概不接受。</w:t>
      </w:r>
    </w:p>
    <w:p w14:paraId="7B2421E5">
      <w:pPr>
        <w:pStyle w:val="4"/>
        <w:rPr>
          <w:highlight w:val="none"/>
        </w:rPr>
      </w:pPr>
      <w:r>
        <w:rPr>
          <w:rFonts w:hint="eastAsia"/>
          <w:highlight w:val="none"/>
        </w:rPr>
        <w:t>4.7 响应文件的密封与标记</w:t>
      </w:r>
    </w:p>
    <w:p w14:paraId="7FF1BAD2">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2565831C">
      <w:pPr>
        <w:rPr>
          <w:highlight w:val="none"/>
        </w:rPr>
      </w:pPr>
      <w:r>
        <w:rPr>
          <w:rFonts w:hint="eastAsia"/>
          <w:highlight w:val="none"/>
        </w:rPr>
        <w:t>如果未按上述规定进行密封和标记，则其响应将作为无效响应处理。</w:t>
      </w:r>
    </w:p>
    <w:p w14:paraId="3BFC3EEA">
      <w:pPr>
        <w:pStyle w:val="4"/>
        <w:rPr>
          <w:highlight w:val="none"/>
        </w:rPr>
      </w:pPr>
      <w:r>
        <w:rPr>
          <w:rFonts w:hint="eastAsia"/>
          <w:highlight w:val="none"/>
        </w:rPr>
        <w:t>4.8 响应报价</w:t>
      </w:r>
    </w:p>
    <w:p w14:paraId="705805B8">
      <w:pPr>
        <w:rPr>
          <w:highlight w:val="none"/>
        </w:rPr>
      </w:pPr>
      <w:r>
        <w:rPr>
          <w:rFonts w:hint="eastAsia"/>
          <w:highlight w:val="none"/>
        </w:rPr>
        <w:t>4.8.1 响应人应严格按照“响应文件格式”填写报价。</w:t>
      </w:r>
    </w:p>
    <w:p w14:paraId="1240D6B2">
      <w:pPr>
        <w:rPr>
          <w:highlight w:val="none"/>
        </w:rPr>
      </w:pPr>
      <w:r>
        <w:rPr>
          <w:rFonts w:hint="eastAsia"/>
          <w:highlight w:val="none"/>
        </w:rPr>
        <w:t>4.8.2 响应人的报价为一次性报价，即在响应有效期内响应价格固定不变。</w:t>
      </w:r>
    </w:p>
    <w:p w14:paraId="23EBA761">
      <w:pPr>
        <w:rPr>
          <w:highlight w:val="none"/>
        </w:rPr>
      </w:pPr>
      <w:r>
        <w:rPr>
          <w:rFonts w:hint="eastAsia"/>
          <w:highlight w:val="none"/>
        </w:rPr>
        <w:t>4.8.3 本项目只接受一个响应报价，有选择的或有条件的响应将不予接受。</w:t>
      </w:r>
    </w:p>
    <w:p w14:paraId="5D1F558F">
      <w:pPr>
        <w:rPr>
          <w:highlight w:val="none"/>
        </w:rPr>
      </w:pPr>
      <w:r>
        <w:rPr>
          <w:rFonts w:hint="eastAsia"/>
          <w:highlight w:val="none"/>
        </w:rPr>
        <w:t>4.8.4 响应报价不得高于最高限价。</w:t>
      </w:r>
    </w:p>
    <w:p w14:paraId="455117D1">
      <w:pPr>
        <w:pStyle w:val="4"/>
        <w:rPr>
          <w:highlight w:val="none"/>
        </w:rPr>
      </w:pPr>
      <w:r>
        <w:rPr>
          <w:rFonts w:hint="eastAsia"/>
          <w:highlight w:val="none"/>
        </w:rPr>
        <w:t>4.9 修正错误</w:t>
      </w:r>
    </w:p>
    <w:p w14:paraId="14100095">
      <w:pPr>
        <w:rPr>
          <w:highlight w:val="none"/>
        </w:rPr>
      </w:pPr>
      <w:r>
        <w:rPr>
          <w:rFonts w:hint="eastAsia"/>
          <w:highlight w:val="none"/>
        </w:rPr>
        <w:t>若响应文件出现计算或表达上的错误，修正错误的原则如下：</w:t>
      </w:r>
    </w:p>
    <w:p w14:paraId="3BD6D044">
      <w:pPr>
        <w:rPr>
          <w:highlight w:val="none"/>
        </w:rPr>
      </w:pPr>
      <w:r>
        <w:rPr>
          <w:rFonts w:hint="eastAsia"/>
          <w:highlight w:val="none"/>
        </w:rPr>
        <w:t>4.9.1 响应文件的大写金额和小写金额不一致的，以大写金额为准；</w:t>
      </w:r>
    </w:p>
    <w:p w14:paraId="015764C5">
      <w:pPr>
        <w:rPr>
          <w:highlight w:val="none"/>
        </w:rPr>
      </w:pPr>
      <w:r>
        <w:rPr>
          <w:rFonts w:hint="eastAsia"/>
          <w:highlight w:val="none"/>
        </w:rPr>
        <w:t>4.9.2 总价金额与按单价汇总金额不一致的，以单价金额计算结果为准；</w:t>
      </w:r>
    </w:p>
    <w:p w14:paraId="4AE67491">
      <w:pPr>
        <w:rPr>
          <w:highlight w:val="none"/>
        </w:rPr>
      </w:pPr>
      <w:r>
        <w:rPr>
          <w:rFonts w:hint="eastAsia"/>
          <w:highlight w:val="none"/>
        </w:rPr>
        <w:t>4.9.3 单价金额小数点有明显错位的，应以总价为准，并修正单价；</w:t>
      </w:r>
    </w:p>
    <w:p w14:paraId="65B18ACB">
      <w:pPr>
        <w:rPr>
          <w:highlight w:val="none"/>
        </w:rPr>
      </w:pPr>
      <w:r>
        <w:rPr>
          <w:rFonts w:hint="eastAsia"/>
          <w:highlight w:val="none"/>
        </w:rPr>
        <w:t>4.9.4 对不同文字文本响应文件的解释发生异议的，以中文文本为准。</w:t>
      </w:r>
    </w:p>
    <w:p w14:paraId="7CC1F1E2">
      <w:pPr>
        <w:rPr>
          <w:highlight w:val="none"/>
        </w:rPr>
      </w:pPr>
      <w:r>
        <w:rPr>
          <w:rFonts w:hint="eastAsia"/>
          <w:highlight w:val="none"/>
        </w:rPr>
        <w:t>4.9.5 含税金额与不含税金额不一致的，以含税金额为准。</w:t>
      </w:r>
    </w:p>
    <w:p w14:paraId="15754984">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3239644">
      <w:pPr>
        <w:pStyle w:val="3"/>
        <w:rPr>
          <w:highlight w:val="none"/>
        </w:rPr>
      </w:pPr>
      <w:bookmarkStart w:id="38" w:name="_Toc89675166"/>
      <w:r>
        <w:rPr>
          <w:rFonts w:hint="eastAsia"/>
          <w:highlight w:val="none"/>
        </w:rPr>
        <w:t>5. 询比程序</w:t>
      </w:r>
    </w:p>
    <w:p w14:paraId="3E6C0874">
      <w:pPr>
        <w:rPr>
          <w:highlight w:val="none"/>
        </w:rPr>
      </w:pPr>
      <w:r>
        <w:rPr>
          <w:rFonts w:hint="eastAsia"/>
          <w:highlight w:val="none"/>
        </w:rPr>
        <w:t>主持人按下列程序进行询比：</w:t>
      </w:r>
    </w:p>
    <w:p w14:paraId="26E01A6B">
      <w:pPr>
        <w:rPr>
          <w:highlight w:val="none"/>
        </w:rPr>
      </w:pPr>
      <w:r>
        <w:rPr>
          <w:rFonts w:hint="eastAsia"/>
          <w:highlight w:val="none"/>
        </w:rPr>
        <w:t>5.1 宣布询比纪律；</w:t>
      </w:r>
    </w:p>
    <w:p w14:paraId="4262FBED">
      <w:pPr>
        <w:rPr>
          <w:highlight w:val="none"/>
        </w:rPr>
      </w:pPr>
      <w:r>
        <w:rPr>
          <w:rFonts w:hint="eastAsia"/>
          <w:highlight w:val="none"/>
        </w:rPr>
        <w:t>5.2 宣布采购人、唱标人、记录人、监督人等有关人员姓名；</w:t>
      </w:r>
    </w:p>
    <w:p w14:paraId="51D4F84A">
      <w:pPr>
        <w:rPr>
          <w:highlight w:val="none"/>
        </w:rPr>
      </w:pPr>
      <w:r>
        <w:rPr>
          <w:rFonts w:hint="eastAsia"/>
          <w:highlight w:val="none"/>
        </w:rPr>
        <w:t>5.3 公布在响应截止时间前递交响应文件的响应人名称，并点名确认响应人是否派人到场；</w:t>
      </w:r>
    </w:p>
    <w:p w14:paraId="679B2CCB">
      <w:pPr>
        <w:rPr>
          <w:highlight w:val="none"/>
        </w:rPr>
      </w:pPr>
      <w:r>
        <w:rPr>
          <w:rFonts w:hint="eastAsia"/>
          <w:highlight w:val="none"/>
        </w:rPr>
        <w:t>5.4 展示响应保证金，响应保证金缴款不全或有误的，则记录在案交由评审委员会评审；</w:t>
      </w:r>
    </w:p>
    <w:p w14:paraId="6080FC88">
      <w:pPr>
        <w:rPr>
          <w:highlight w:val="none"/>
        </w:rPr>
      </w:pPr>
      <w:r>
        <w:rPr>
          <w:rFonts w:hint="eastAsia"/>
          <w:highlight w:val="none"/>
        </w:rPr>
        <w:t>5.5 封装情况检查：响应人或者其推选的代表检查各响应文件的封装情况并确认；</w:t>
      </w:r>
    </w:p>
    <w:p w14:paraId="34FCD633">
      <w:pPr>
        <w:rPr>
          <w:highlight w:val="none"/>
        </w:rPr>
      </w:pPr>
      <w:r>
        <w:rPr>
          <w:rFonts w:hint="eastAsia"/>
          <w:highlight w:val="none"/>
        </w:rPr>
        <w:t>5.6 设有最高限价的，公布最高限价；</w:t>
      </w:r>
    </w:p>
    <w:p w14:paraId="163FD855">
      <w:pPr>
        <w:rPr>
          <w:highlight w:val="none"/>
        </w:rPr>
      </w:pPr>
      <w:r>
        <w:rPr>
          <w:rFonts w:hint="eastAsia"/>
          <w:highlight w:val="none"/>
        </w:rPr>
        <w:t>5.7 开启响应文件；</w:t>
      </w:r>
    </w:p>
    <w:p w14:paraId="3C3F5365">
      <w:pPr>
        <w:rPr>
          <w:highlight w:val="none"/>
        </w:rPr>
      </w:pPr>
      <w:r>
        <w:rPr>
          <w:rFonts w:hint="eastAsia"/>
          <w:highlight w:val="none"/>
        </w:rPr>
        <w:t>5.8 采购人代表、响应人代表、监督人、记录人等有关人员在询比记录上签字确认；</w:t>
      </w:r>
    </w:p>
    <w:p w14:paraId="50F968C5">
      <w:pPr>
        <w:rPr>
          <w:highlight w:val="none"/>
        </w:rPr>
      </w:pPr>
      <w:r>
        <w:rPr>
          <w:rFonts w:hint="eastAsia"/>
          <w:highlight w:val="none"/>
        </w:rPr>
        <w:t>5.9 询比结束。</w:t>
      </w:r>
    </w:p>
    <w:p w14:paraId="19EFB318">
      <w:pPr>
        <w:pStyle w:val="3"/>
        <w:rPr>
          <w:highlight w:val="none"/>
        </w:rPr>
      </w:pPr>
      <w:r>
        <w:rPr>
          <w:rFonts w:hint="eastAsia"/>
          <w:highlight w:val="none"/>
        </w:rPr>
        <w:t>6. 评审</w:t>
      </w:r>
    </w:p>
    <w:p w14:paraId="1A164ED2">
      <w:pPr>
        <w:rPr>
          <w:highlight w:val="none"/>
        </w:rPr>
      </w:pPr>
      <w:r>
        <w:rPr>
          <w:rFonts w:hint="eastAsia"/>
          <w:highlight w:val="none"/>
        </w:rPr>
        <w:t>见第四章内容。</w:t>
      </w:r>
    </w:p>
    <w:p w14:paraId="4AC85C70">
      <w:pPr>
        <w:pStyle w:val="3"/>
        <w:rPr>
          <w:highlight w:val="none"/>
        </w:rPr>
      </w:pPr>
      <w:r>
        <w:rPr>
          <w:rFonts w:hint="eastAsia"/>
          <w:highlight w:val="none"/>
        </w:rPr>
        <w:t xml:space="preserve">7. </w:t>
      </w:r>
      <w:bookmarkEnd w:id="38"/>
      <w:r>
        <w:rPr>
          <w:rFonts w:hint="eastAsia"/>
          <w:highlight w:val="none"/>
        </w:rPr>
        <w:t>确定成交供应商</w:t>
      </w:r>
    </w:p>
    <w:p w14:paraId="6E916C7A">
      <w:pPr>
        <w:rPr>
          <w:highlight w:val="none"/>
        </w:rPr>
      </w:pPr>
      <w:r>
        <w:rPr>
          <w:rFonts w:hint="eastAsia"/>
          <w:highlight w:val="none"/>
        </w:rPr>
        <w:t>7.1 确定成交供应商原则</w:t>
      </w:r>
    </w:p>
    <w:p w14:paraId="0F552DF3">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8FE8C78">
      <w:pPr>
        <w:rPr>
          <w:highlight w:val="none"/>
        </w:rPr>
      </w:pPr>
      <w:r>
        <w:rPr>
          <w:rFonts w:hint="eastAsia"/>
          <w:highlight w:val="none"/>
        </w:rPr>
        <w:t>7.2 不承诺最低价格成交。</w:t>
      </w:r>
    </w:p>
    <w:p w14:paraId="5B7B5801">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C6B9062">
      <w:pPr>
        <w:pStyle w:val="3"/>
        <w:rPr>
          <w:highlight w:val="none"/>
        </w:rPr>
      </w:pPr>
      <w:bookmarkStart w:id="39" w:name="_Toc89675168"/>
      <w:bookmarkStart w:id="40" w:name="_Toc12245"/>
      <w:r>
        <w:rPr>
          <w:rFonts w:hint="eastAsia"/>
          <w:highlight w:val="none"/>
        </w:rPr>
        <w:t>8. 签订合同</w:t>
      </w:r>
      <w:bookmarkEnd w:id="39"/>
      <w:bookmarkEnd w:id="40"/>
    </w:p>
    <w:p w14:paraId="5E017226">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41F8BFE7">
      <w:pPr>
        <w:rPr>
          <w:highlight w:val="none"/>
        </w:rPr>
      </w:pPr>
      <w:r>
        <w:rPr>
          <w:rFonts w:hint="eastAsia"/>
          <w:highlight w:val="none"/>
        </w:rPr>
        <w:t>8.2 成交供应商在领取成交通知书后，应根据第一章中“联系方式”内容，及时与项目联系人对接，并按采购人要求在规定时间</w:t>
      </w:r>
      <w:r>
        <w:rPr>
          <w:highlight w:val="none"/>
        </w:rPr>
        <w:t>内</w:t>
      </w:r>
      <w:r>
        <w:rPr>
          <w:rFonts w:hint="eastAsia"/>
          <w:highlight w:val="none"/>
        </w:rPr>
        <w:t>完成合同的签订。如未在规定时间内签订合同，且经采购人书面通知后仍不按照通知要求签订合同的，可视为成交供应商无故弃选。</w:t>
      </w:r>
    </w:p>
    <w:p w14:paraId="41BA0ACB">
      <w:pPr>
        <w:rPr>
          <w:highlight w:val="none"/>
        </w:rPr>
      </w:pPr>
      <w:r>
        <w:rPr>
          <w:rFonts w:hint="eastAsia"/>
          <w:highlight w:val="none"/>
        </w:rPr>
        <w:t>8.3 询比文件、成交供应商的响应文件及澄清文件等，均为签订合同的依据。</w:t>
      </w:r>
    </w:p>
    <w:p w14:paraId="50F5B8BB">
      <w:pPr>
        <w:rPr>
          <w:highlight w:val="none"/>
        </w:rPr>
      </w:pPr>
      <w:r>
        <w:rPr>
          <w:rFonts w:hint="eastAsia"/>
          <w:highlight w:val="none"/>
        </w:rPr>
        <w:t>8.4 合同生效条款由供需双方约定，法律、行政法规规定应当办理批准、登记等手续后生效的合同，依照其规定。</w:t>
      </w:r>
    </w:p>
    <w:p w14:paraId="434CA594">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08FB6FC7">
      <w:pPr>
        <w:rPr>
          <w:highlight w:val="none"/>
        </w:rPr>
      </w:pPr>
      <w:r>
        <w:rPr>
          <w:rFonts w:hint="eastAsia"/>
          <w:highlight w:val="none"/>
        </w:rPr>
        <w:t>8.6 该项目不允许任何形式的转包。</w:t>
      </w:r>
    </w:p>
    <w:p w14:paraId="77921D0E">
      <w:pPr>
        <w:pStyle w:val="3"/>
        <w:rPr>
          <w:highlight w:val="none"/>
        </w:rPr>
      </w:pPr>
      <w:r>
        <w:rPr>
          <w:rFonts w:hint="eastAsia"/>
          <w:highlight w:val="none"/>
        </w:rPr>
        <w:t>9. 纪律与要求</w:t>
      </w:r>
    </w:p>
    <w:p w14:paraId="43AECC76">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469DF215">
      <w:pPr>
        <w:rPr>
          <w:highlight w:val="none"/>
        </w:rPr>
      </w:pPr>
      <w:r>
        <w:rPr>
          <w:rFonts w:hint="eastAsia"/>
          <w:highlight w:val="none"/>
        </w:rPr>
        <w:t>9.1 有下列情形之一的，属于响应人相互串通响应：</w:t>
      </w:r>
    </w:p>
    <w:p w14:paraId="6F521D52">
      <w:pPr>
        <w:rPr>
          <w:highlight w:val="none"/>
        </w:rPr>
      </w:pPr>
      <w:r>
        <w:rPr>
          <w:rFonts w:hint="eastAsia"/>
          <w:highlight w:val="none"/>
        </w:rPr>
        <w:t>9.1.1 响应人之间协商响应报价等响应文件的实质性内容；</w:t>
      </w:r>
    </w:p>
    <w:p w14:paraId="57BB8591">
      <w:pPr>
        <w:rPr>
          <w:highlight w:val="none"/>
        </w:rPr>
      </w:pPr>
      <w:r>
        <w:rPr>
          <w:rFonts w:hint="eastAsia"/>
          <w:highlight w:val="none"/>
        </w:rPr>
        <w:t>9.1.2 响应人之间约定成交供应商；</w:t>
      </w:r>
    </w:p>
    <w:p w14:paraId="7D7DC2B4">
      <w:pPr>
        <w:rPr>
          <w:highlight w:val="none"/>
        </w:rPr>
      </w:pPr>
      <w:r>
        <w:rPr>
          <w:rFonts w:hint="eastAsia"/>
          <w:highlight w:val="none"/>
        </w:rPr>
        <w:t>9.1.3 响应人之间约定部分响应人放弃响应或者成交；</w:t>
      </w:r>
    </w:p>
    <w:p w14:paraId="1EA60631">
      <w:pPr>
        <w:rPr>
          <w:highlight w:val="none"/>
        </w:rPr>
      </w:pPr>
      <w:r>
        <w:rPr>
          <w:rFonts w:hint="eastAsia"/>
          <w:highlight w:val="none"/>
        </w:rPr>
        <w:t>9.1.4 属于同一集团、协会、商会等组织成员的响应人按照该组织要求协同响应；</w:t>
      </w:r>
    </w:p>
    <w:p w14:paraId="30C51932">
      <w:pPr>
        <w:rPr>
          <w:highlight w:val="none"/>
        </w:rPr>
      </w:pPr>
      <w:r>
        <w:rPr>
          <w:rFonts w:hint="eastAsia"/>
          <w:highlight w:val="none"/>
        </w:rPr>
        <w:t>9.1.5 响应人之间为谋取成交或者排斥特定响应人而采取的其他联合行动。</w:t>
      </w:r>
    </w:p>
    <w:p w14:paraId="1A35E9E1">
      <w:pPr>
        <w:rPr>
          <w:highlight w:val="none"/>
        </w:rPr>
      </w:pPr>
      <w:r>
        <w:rPr>
          <w:rFonts w:hint="eastAsia"/>
          <w:highlight w:val="none"/>
        </w:rPr>
        <w:t>9.2 有下列情形之一的，视为响应人相互串通响应：</w:t>
      </w:r>
    </w:p>
    <w:p w14:paraId="75116812">
      <w:pPr>
        <w:rPr>
          <w:highlight w:val="none"/>
        </w:rPr>
      </w:pPr>
      <w:r>
        <w:rPr>
          <w:rFonts w:hint="eastAsia"/>
          <w:highlight w:val="none"/>
        </w:rPr>
        <w:t>9.2.1 不同响应人的响应文件由同一单位或者个人编制；</w:t>
      </w:r>
    </w:p>
    <w:p w14:paraId="3544E24C">
      <w:pPr>
        <w:rPr>
          <w:highlight w:val="none"/>
        </w:rPr>
      </w:pPr>
      <w:r>
        <w:rPr>
          <w:rFonts w:hint="eastAsia"/>
          <w:highlight w:val="none"/>
        </w:rPr>
        <w:t>9.2.2 不同响应人委托同一单位或者个人办理响应事宜；</w:t>
      </w:r>
    </w:p>
    <w:p w14:paraId="4BED4245">
      <w:pPr>
        <w:rPr>
          <w:highlight w:val="none"/>
        </w:rPr>
      </w:pPr>
      <w:r>
        <w:rPr>
          <w:rFonts w:hint="eastAsia"/>
          <w:highlight w:val="none"/>
        </w:rPr>
        <w:t>9.2.3 不同响应人的响应文件载明的项目管理成员为同一人；</w:t>
      </w:r>
    </w:p>
    <w:p w14:paraId="1FEC26E1">
      <w:pPr>
        <w:rPr>
          <w:highlight w:val="none"/>
        </w:rPr>
      </w:pPr>
      <w:r>
        <w:rPr>
          <w:rFonts w:hint="eastAsia"/>
          <w:highlight w:val="none"/>
        </w:rPr>
        <w:t>9.2.4 不同响应人的响应文件相互混装；</w:t>
      </w:r>
    </w:p>
    <w:p w14:paraId="74C65D13">
      <w:pPr>
        <w:rPr>
          <w:highlight w:val="none"/>
        </w:rPr>
      </w:pPr>
      <w:r>
        <w:rPr>
          <w:rFonts w:hint="eastAsia"/>
          <w:highlight w:val="none"/>
        </w:rPr>
        <w:t>9.2.5 不同响应人的响应保证金从同一单位或者个人的账户转出。</w:t>
      </w:r>
    </w:p>
    <w:p w14:paraId="30FD29ED">
      <w:pPr>
        <w:rPr>
          <w:highlight w:val="none"/>
        </w:rPr>
      </w:pPr>
      <w:r>
        <w:rPr>
          <w:rFonts w:hint="eastAsia"/>
          <w:highlight w:val="none"/>
        </w:rPr>
        <w:t>9.3 使用通过受让或者租借等方式获取的资格、资质证书响应的，属于以他人名义响应。</w:t>
      </w:r>
    </w:p>
    <w:p w14:paraId="0864DDBF">
      <w:pPr>
        <w:rPr>
          <w:highlight w:val="none"/>
        </w:rPr>
      </w:pPr>
      <w:r>
        <w:rPr>
          <w:rFonts w:hint="eastAsia"/>
          <w:highlight w:val="none"/>
        </w:rPr>
        <w:t>9.4 响应人有下列情形之一的，属于弄虚作假的行为：</w:t>
      </w:r>
    </w:p>
    <w:p w14:paraId="750262B4">
      <w:pPr>
        <w:rPr>
          <w:highlight w:val="none"/>
        </w:rPr>
      </w:pPr>
      <w:r>
        <w:rPr>
          <w:rFonts w:hint="eastAsia"/>
          <w:highlight w:val="none"/>
        </w:rPr>
        <w:t>9.4.1 使用伪造、变造的许可证件；</w:t>
      </w:r>
    </w:p>
    <w:p w14:paraId="1FF840D0">
      <w:pPr>
        <w:rPr>
          <w:highlight w:val="none"/>
        </w:rPr>
      </w:pPr>
      <w:r>
        <w:rPr>
          <w:rFonts w:hint="eastAsia"/>
          <w:highlight w:val="none"/>
        </w:rPr>
        <w:t>9.4.2 提供虚假的财务状况或者虚假业绩；</w:t>
      </w:r>
    </w:p>
    <w:p w14:paraId="078E2488">
      <w:pPr>
        <w:rPr>
          <w:highlight w:val="none"/>
        </w:rPr>
      </w:pPr>
      <w:r>
        <w:rPr>
          <w:rFonts w:hint="eastAsia"/>
          <w:highlight w:val="none"/>
        </w:rPr>
        <w:t>9.4.3 提供虚假的项目负责人或者主要技术人员简历、劳动关系证明；</w:t>
      </w:r>
    </w:p>
    <w:p w14:paraId="552069B1">
      <w:pPr>
        <w:rPr>
          <w:highlight w:val="none"/>
        </w:rPr>
      </w:pPr>
      <w:r>
        <w:rPr>
          <w:rFonts w:hint="eastAsia"/>
          <w:highlight w:val="none"/>
        </w:rPr>
        <w:t>9.4.4 提供虚假的信用状况；</w:t>
      </w:r>
    </w:p>
    <w:p w14:paraId="51CC845E">
      <w:pPr>
        <w:rPr>
          <w:highlight w:val="none"/>
        </w:rPr>
      </w:pPr>
      <w:r>
        <w:rPr>
          <w:rFonts w:hint="eastAsia"/>
          <w:highlight w:val="none"/>
        </w:rPr>
        <w:t>9.4.5 其它弄虚作假的行为。</w:t>
      </w:r>
    </w:p>
    <w:p w14:paraId="492E3542">
      <w:pPr>
        <w:rPr>
          <w:highlight w:val="none"/>
        </w:rPr>
      </w:pPr>
      <w:r>
        <w:rPr>
          <w:rFonts w:hint="eastAsia"/>
          <w:highlight w:val="none"/>
        </w:rPr>
        <w:t>针对以上情况，采购人有权没收响应人的响应保证金，并保留进一步追究由此带来损失的权利。</w:t>
      </w:r>
    </w:p>
    <w:p w14:paraId="6D746073">
      <w:pPr>
        <w:pStyle w:val="3"/>
        <w:rPr>
          <w:highlight w:val="none"/>
        </w:rPr>
      </w:pPr>
      <w:bookmarkStart w:id="41" w:name="_Toc89675169"/>
      <w:r>
        <w:rPr>
          <w:rFonts w:hint="eastAsia"/>
          <w:highlight w:val="none"/>
        </w:rPr>
        <w:t>10. 提问、质疑、投诉</w:t>
      </w:r>
    </w:p>
    <w:p w14:paraId="56897C8D">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4313BDE6">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93CC9A6">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76B14B01">
      <w:pPr>
        <w:rPr>
          <w:highlight w:val="none"/>
        </w:rPr>
      </w:pPr>
      <w:r>
        <w:rPr>
          <w:rFonts w:hint="eastAsia"/>
          <w:highlight w:val="none"/>
        </w:rPr>
        <w:t>10.4 响应人对采购人的答复不满意或者有质疑，可向采购人纪检监察部投诉。</w:t>
      </w:r>
    </w:p>
    <w:p w14:paraId="1DA9A527">
      <w:pPr>
        <w:rPr>
          <w:highlight w:val="none"/>
        </w:rPr>
      </w:pPr>
      <w:r>
        <w:rPr>
          <w:rFonts w:hint="eastAsia"/>
          <w:highlight w:val="none"/>
        </w:rPr>
        <w:t>采购质疑邮箱：</w:t>
      </w:r>
      <w:r>
        <w:rPr>
          <w:highlight w:val="none"/>
        </w:rPr>
        <w:t>sx.jcb@ccqtgb.com</w:t>
      </w:r>
    </w:p>
    <w:p w14:paraId="721E8AFA">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59436A78">
      <w:pPr>
        <w:pStyle w:val="3"/>
        <w:rPr>
          <w:highlight w:val="none"/>
        </w:rPr>
      </w:pPr>
      <w:bookmarkStart w:id="43" w:name="_Toc440628924"/>
      <w:bookmarkStart w:id="44" w:name="_Toc89675157"/>
      <w:bookmarkStart w:id="45" w:name="_Toc11439"/>
      <w:bookmarkStart w:id="46" w:name="_Toc275199618"/>
      <w:bookmarkStart w:id="47" w:name="_Toc15059431"/>
      <w:r>
        <w:rPr>
          <w:rFonts w:hint="eastAsia"/>
          <w:highlight w:val="none"/>
        </w:rPr>
        <w:t>11. 无效响应条款</w:t>
      </w:r>
      <w:bookmarkEnd w:id="43"/>
      <w:bookmarkEnd w:id="44"/>
      <w:bookmarkEnd w:id="45"/>
      <w:bookmarkEnd w:id="46"/>
      <w:bookmarkEnd w:id="47"/>
    </w:p>
    <w:p w14:paraId="538ED3E2">
      <w:pPr>
        <w:rPr>
          <w:highlight w:val="none"/>
        </w:rPr>
      </w:pPr>
      <w:r>
        <w:rPr>
          <w:rFonts w:hint="eastAsia"/>
          <w:highlight w:val="none"/>
        </w:rPr>
        <w:t>响应人或其响应文件出现下列情况之一者，应为无效响应：</w:t>
      </w:r>
    </w:p>
    <w:p w14:paraId="4162B953">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743771D0">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6FE6D8AA">
      <w:pPr>
        <w:rPr>
          <w:highlight w:val="none"/>
        </w:rPr>
      </w:pPr>
      <w:r>
        <w:rPr>
          <w:rFonts w:hint="eastAsia"/>
          <w:highlight w:val="none"/>
        </w:rPr>
        <w:t>11.3 响应人超出其营业执照或事业单位法人证书上经营范围（业务范围）响应的。</w:t>
      </w:r>
    </w:p>
    <w:p w14:paraId="5E8979F9">
      <w:pPr>
        <w:rPr>
          <w:highlight w:val="none"/>
        </w:rPr>
      </w:pPr>
      <w:r>
        <w:rPr>
          <w:rFonts w:hint="eastAsia"/>
          <w:highlight w:val="none"/>
        </w:rPr>
        <w:t>11.4 单位负责人为同一人或者存在直接控股、管理关系的不同响应人，不得参加同一合同项下的采购活动。</w:t>
      </w:r>
    </w:p>
    <w:p w14:paraId="25127E07">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0D3C00A6">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33F626EE">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0BCF06FB">
      <w:pPr>
        <w:rPr>
          <w:highlight w:val="none"/>
        </w:rPr>
      </w:pPr>
      <w:r>
        <w:rPr>
          <w:rFonts w:hint="eastAsia"/>
          <w:highlight w:val="none"/>
        </w:rPr>
        <w:t>11.8 响应报价</w:t>
      </w:r>
      <w:r>
        <w:rPr>
          <w:highlight w:val="none"/>
        </w:rPr>
        <w:t>超出最高限价的</w:t>
      </w:r>
      <w:r>
        <w:rPr>
          <w:rFonts w:hint="eastAsia"/>
          <w:highlight w:val="none"/>
        </w:rPr>
        <w:t>。</w:t>
      </w:r>
    </w:p>
    <w:p w14:paraId="13B7E969">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0F5DA294">
      <w:pPr>
        <w:rPr>
          <w:highlight w:val="none"/>
        </w:rPr>
      </w:pPr>
      <w:r>
        <w:rPr>
          <w:rFonts w:hint="eastAsia"/>
          <w:highlight w:val="none"/>
        </w:rPr>
        <w:t>11.10 出现影响询比公正的违法、违规行为的。</w:t>
      </w:r>
    </w:p>
    <w:p w14:paraId="70179D52">
      <w:pPr>
        <w:rPr>
          <w:highlight w:val="none"/>
        </w:rPr>
      </w:pPr>
      <w:r>
        <w:rPr>
          <w:rFonts w:hint="eastAsia"/>
          <w:highlight w:val="none"/>
        </w:rPr>
        <w:t>11.11 与采购人、评审专家、其他响应人恶意串通。</w:t>
      </w:r>
    </w:p>
    <w:p w14:paraId="177E8A03">
      <w:pPr>
        <w:rPr>
          <w:highlight w:val="none"/>
        </w:rPr>
      </w:pPr>
      <w:r>
        <w:rPr>
          <w:rFonts w:hint="eastAsia"/>
          <w:highlight w:val="none"/>
        </w:rPr>
        <w:t>11.12 参与响应的法人发生合并、分立、破产等重大变化后，不再具备询比要求的资格条件的。</w:t>
      </w:r>
    </w:p>
    <w:p w14:paraId="3BA6A67C">
      <w:pPr>
        <w:rPr>
          <w:highlight w:val="none"/>
        </w:rPr>
      </w:pPr>
      <w:r>
        <w:rPr>
          <w:rFonts w:hint="eastAsia"/>
          <w:highlight w:val="none"/>
        </w:rPr>
        <w:t>11.13 提供虚假材料谋取成交资格的。</w:t>
      </w:r>
    </w:p>
    <w:p w14:paraId="659BB0F8">
      <w:pPr>
        <w:rPr>
          <w:highlight w:val="none"/>
        </w:rPr>
      </w:pPr>
      <w:r>
        <w:rPr>
          <w:rFonts w:hint="eastAsia"/>
          <w:highlight w:val="none"/>
        </w:rPr>
        <w:t>11.14 响应文件含有采购人不能接受的附件条件的。</w:t>
      </w:r>
    </w:p>
    <w:p w14:paraId="3631ED4E">
      <w:pPr>
        <w:pStyle w:val="3"/>
        <w:rPr>
          <w:highlight w:val="none"/>
        </w:rPr>
      </w:pPr>
      <w:r>
        <w:rPr>
          <w:rFonts w:hint="eastAsia"/>
          <w:highlight w:val="none"/>
        </w:rPr>
        <w:t>12. 询比失败情形</w:t>
      </w:r>
    </w:p>
    <w:p w14:paraId="056C75AF">
      <w:pPr>
        <w:rPr>
          <w:highlight w:val="none"/>
        </w:rPr>
      </w:pPr>
      <w:r>
        <w:rPr>
          <w:rFonts w:hint="eastAsia"/>
          <w:highlight w:val="none"/>
        </w:rPr>
        <w:t>12.1 出现以下情形本次询比失败：</w:t>
      </w:r>
    </w:p>
    <w:p w14:paraId="4CE7496D">
      <w:pPr>
        <w:rPr>
          <w:highlight w:val="none"/>
        </w:rPr>
      </w:pPr>
      <w:r>
        <w:rPr>
          <w:rFonts w:hint="eastAsia"/>
          <w:highlight w:val="none"/>
        </w:rPr>
        <w:t>12.1.1 首次询比的项目，截至响应截止时间，响应人少于3个的。</w:t>
      </w:r>
    </w:p>
    <w:p w14:paraId="61600F4C">
      <w:pPr>
        <w:rPr>
          <w:highlight w:val="none"/>
        </w:rPr>
      </w:pPr>
      <w:r>
        <w:rPr>
          <w:rFonts w:hint="eastAsia"/>
          <w:highlight w:val="none"/>
        </w:rPr>
        <w:t>12.1.2 经评审委员会评审后否决所有响应的。</w:t>
      </w:r>
    </w:p>
    <w:p w14:paraId="186FE757">
      <w:pPr>
        <w:rPr>
          <w:highlight w:val="none"/>
        </w:rPr>
      </w:pPr>
      <w:r>
        <w:rPr>
          <w:rFonts w:hint="eastAsia"/>
          <w:highlight w:val="none"/>
        </w:rPr>
        <w:t>12.1.3 法律法规规定的其他情形。</w:t>
      </w:r>
    </w:p>
    <w:p w14:paraId="3EEF80EF">
      <w:pPr>
        <w:rPr>
          <w:highlight w:val="none"/>
        </w:rPr>
      </w:pPr>
      <w:r>
        <w:rPr>
          <w:rFonts w:hint="eastAsia"/>
          <w:highlight w:val="none"/>
        </w:rPr>
        <w:t>12.2 重新询比和不再询比</w:t>
      </w:r>
    </w:p>
    <w:p w14:paraId="2C1621C8">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4E56F368">
      <w:pPr>
        <w:pStyle w:val="3"/>
        <w:rPr>
          <w:highlight w:val="none"/>
        </w:rPr>
      </w:pPr>
      <w:r>
        <w:rPr>
          <w:rFonts w:hint="eastAsia"/>
          <w:highlight w:val="none"/>
        </w:rPr>
        <w:t>13. 终止</w:t>
      </w:r>
      <w:bookmarkEnd w:id="41"/>
      <w:r>
        <w:rPr>
          <w:rFonts w:hint="eastAsia"/>
          <w:highlight w:val="none"/>
        </w:rPr>
        <w:t>询比</w:t>
      </w:r>
    </w:p>
    <w:p w14:paraId="230D3664">
      <w:pPr>
        <w:rPr>
          <w:highlight w:val="none"/>
        </w:rPr>
      </w:pPr>
      <w:r>
        <w:rPr>
          <w:rFonts w:hint="eastAsia"/>
          <w:highlight w:val="none"/>
        </w:rPr>
        <w:t>13.1 因情况发生变化或其他原因造成该项目取消的，本次询比自动终止，双方互不承担责任，采购人有息退还响应保证金。</w:t>
      </w:r>
    </w:p>
    <w:p w14:paraId="1C3D201F">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0CD3C563">
      <w:pPr>
        <w:pStyle w:val="3"/>
        <w:rPr>
          <w:highlight w:val="none"/>
        </w:rPr>
      </w:pPr>
      <w:r>
        <w:rPr>
          <w:rFonts w:hint="eastAsia"/>
          <w:highlight w:val="none"/>
        </w:rPr>
        <w:t>14. 参与项目费用</w:t>
      </w:r>
    </w:p>
    <w:p w14:paraId="25A48451">
      <w:pPr>
        <w:rPr>
          <w:highlight w:val="none"/>
        </w:rPr>
      </w:pPr>
      <w:r>
        <w:rPr>
          <w:rFonts w:hint="eastAsia"/>
          <w:highlight w:val="none"/>
        </w:rPr>
        <w:t>响应人参与本询比项目时，一切与响应有关的费用均由响应人自理。</w:t>
      </w:r>
    </w:p>
    <w:p w14:paraId="3BF3C0F1">
      <w:pPr>
        <w:rPr>
          <w:highlight w:val="none"/>
        </w:rPr>
      </w:pPr>
      <w:r>
        <w:rPr>
          <w:rFonts w:hint="eastAsia"/>
          <w:highlight w:val="none"/>
          <w:lang w:val="en-US" w:eastAsia="zh-CN"/>
        </w:rPr>
        <w:t>若成交金额小于等于50万元，</w:t>
      </w:r>
      <w:r>
        <w:rPr>
          <w:rFonts w:hint="eastAsia"/>
          <w:highlight w:val="none"/>
        </w:rPr>
        <w:t>本项目平台服务费为</w:t>
      </w:r>
      <w:r>
        <w:rPr>
          <w:rFonts w:hint="eastAsia"/>
          <w:highlight w:val="none"/>
          <w:lang w:val="en-US" w:eastAsia="zh-CN"/>
        </w:rPr>
        <w:t>8000.00</w:t>
      </w:r>
      <w:r>
        <w:rPr>
          <w:rFonts w:hint="eastAsia"/>
          <w:highlight w:val="none"/>
        </w:rPr>
        <w:t>元，</w:t>
      </w:r>
      <w:r>
        <w:rPr>
          <w:rFonts w:hint="eastAsia"/>
          <w:highlight w:val="none"/>
          <w:lang w:val="en-US" w:eastAsia="zh-CN"/>
        </w:rPr>
        <w:t>若成交金额大于50万元，本项目平台服务费为15000.00元，</w:t>
      </w:r>
      <w:r>
        <w:rPr>
          <w:rFonts w:hint="eastAsia"/>
          <w:highlight w:val="none"/>
        </w:rPr>
        <w:t>由成交供应商向重庆联合产权交易所集团股份有限公司支付。成交供应商应在领取成交通知书时一次性缴纳，请各响应人综合考虑进行报价。</w:t>
      </w:r>
    </w:p>
    <w:p w14:paraId="1CFF61CB">
      <w:pPr>
        <w:rPr>
          <w:highlight w:val="none"/>
        </w:rPr>
      </w:pPr>
      <w:r>
        <w:rPr>
          <w:highlight w:val="none"/>
        </w:rPr>
        <w:br w:type="page"/>
      </w:r>
    </w:p>
    <w:p w14:paraId="6C718D80">
      <w:pPr>
        <w:pStyle w:val="2"/>
        <w:rPr>
          <w:highlight w:val="none"/>
        </w:rPr>
      </w:pPr>
      <w:bookmarkStart w:id="48" w:name="_Toc30519"/>
      <w:bookmarkStart w:id="49" w:name="_Toc5861"/>
      <w:r>
        <w:rPr>
          <w:rFonts w:hint="eastAsia"/>
          <w:highlight w:val="none"/>
        </w:rPr>
        <w:t>第三章 项目要求</w:t>
      </w:r>
      <w:bookmarkEnd w:id="48"/>
      <w:bookmarkEnd w:id="49"/>
    </w:p>
    <w:p w14:paraId="6F528E07">
      <w:pPr>
        <w:pStyle w:val="3"/>
        <w:numPr>
          <w:ilvl w:val="0"/>
          <w:numId w:val="1"/>
        </w:numPr>
        <w:rPr>
          <w:highlight w:val="none"/>
        </w:rPr>
      </w:pPr>
      <w:r>
        <w:rPr>
          <w:rFonts w:hint="eastAsia"/>
          <w:highlight w:val="none"/>
        </w:rPr>
        <w:t>维保时间</w:t>
      </w:r>
      <w:r>
        <w:rPr>
          <w:highlight w:val="none"/>
        </w:rPr>
        <w:t>、地点、内容</w:t>
      </w:r>
    </w:p>
    <w:p w14:paraId="0A020DA6">
      <w:pPr>
        <w:pStyle w:val="4"/>
        <w:rPr>
          <w:rStyle w:val="19"/>
          <w:b w:val="0"/>
          <w:bCs w:val="0"/>
          <w:highlight w:val="none"/>
        </w:rPr>
      </w:pPr>
      <w:r>
        <w:rPr>
          <w:rFonts w:hint="eastAsia"/>
          <w:highlight w:val="none"/>
        </w:rPr>
        <w:t>1.1 维保</w:t>
      </w:r>
      <w:r>
        <w:rPr>
          <w:highlight w:val="none"/>
        </w:rPr>
        <w:t>时间</w:t>
      </w:r>
    </w:p>
    <w:p w14:paraId="32FE8B19">
      <w:pPr>
        <w:ind w:firstLine="420" w:firstLineChars="200"/>
        <w:rPr>
          <w:snapToGrid w:val="0"/>
          <w:highlight w:val="none"/>
        </w:rPr>
      </w:pPr>
      <w:r>
        <w:rPr>
          <w:rFonts w:hint="eastAsia"/>
          <w:snapToGrid w:val="0"/>
          <w:highlight w:val="none"/>
        </w:rPr>
        <w:t>开始时间见</w:t>
      </w:r>
      <w:r>
        <w:rPr>
          <w:snapToGrid w:val="0"/>
          <w:highlight w:val="none"/>
        </w:rPr>
        <w:t>如下</w:t>
      </w:r>
      <w:r>
        <w:rPr>
          <w:rFonts w:hint="eastAsia"/>
          <w:snapToGrid w:val="0"/>
          <w:highlight w:val="none"/>
        </w:rPr>
        <w:t>维保设备清单要求，结束时间所有设备均为2</w:t>
      </w:r>
      <w:r>
        <w:rPr>
          <w:rFonts w:hint="eastAsia" w:hAnsi="Times New Roman" w:cs="Times New Roman"/>
          <w:snapToGrid w:val="0"/>
          <w:highlight w:val="none"/>
        </w:rPr>
        <w:t>02</w:t>
      </w:r>
      <w:r>
        <w:rPr>
          <w:rFonts w:hAnsi="Times New Roman" w:cs="Times New Roman"/>
          <w:snapToGrid w:val="0"/>
          <w:highlight w:val="none"/>
        </w:rPr>
        <w:t>6</w:t>
      </w:r>
      <w:r>
        <w:rPr>
          <w:rFonts w:hint="eastAsia" w:hAnsi="Times New Roman" w:cs="Times New Roman"/>
          <w:snapToGrid w:val="0"/>
          <w:highlight w:val="none"/>
        </w:rPr>
        <w:t>年</w:t>
      </w:r>
      <w:r>
        <w:rPr>
          <w:rFonts w:hAnsi="Times New Roman" w:cs="Times New Roman"/>
          <w:snapToGrid w:val="0"/>
          <w:highlight w:val="none"/>
        </w:rPr>
        <w:t>12</w:t>
      </w:r>
      <w:r>
        <w:rPr>
          <w:rFonts w:hint="eastAsia" w:hAnsi="Times New Roman" w:cs="Times New Roman"/>
          <w:snapToGrid w:val="0"/>
          <w:highlight w:val="none"/>
        </w:rPr>
        <w:t>月3</w:t>
      </w:r>
      <w:r>
        <w:rPr>
          <w:rFonts w:hAnsi="Times New Roman" w:cs="Times New Roman"/>
          <w:snapToGrid w:val="0"/>
          <w:highlight w:val="none"/>
        </w:rPr>
        <w:t>1</w:t>
      </w:r>
      <w:r>
        <w:rPr>
          <w:rFonts w:hint="eastAsia"/>
          <w:snapToGrid w:val="0"/>
          <w:highlight w:val="none"/>
        </w:rPr>
        <w:t>日。</w:t>
      </w:r>
    </w:p>
    <w:tbl>
      <w:tblPr>
        <w:tblStyle w:val="17"/>
        <w:tblW w:w="8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gridCol w:w="1029"/>
      </w:tblGrid>
      <w:tr w14:paraId="0021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14:paraId="12C8ACB1">
            <w:pPr>
              <w:widowControl/>
              <w:jc w:val="left"/>
              <w:rPr>
                <w:rFonts w:eastAsia="方正仿宋_GBK" w:cs="宋体"/>
                <w:b/>
                <w:bCs/>
                <w:color w:val="000000"/>
                <w:kern w:val="0"/>
                <w:szCs w:val="21"/>
                <w:highlight w:val="none"/>
              </w:rPr>
            </w:pPr>
            <w:r>
              <w:rPr>
                <w:rFonts w:hint="eastAsia" w:eastAsia="方正仿宋_GBK" w:cs="宋体"/>
                <w:b/>
                <w:bCs/>
                <w:color w:val="000000"/>
                <w:kern w:val="0"/>
                <w:szCs w:val="21"/>
                <w:highlight w:val="none"/>
              </w:rPr>
              <w:t>服务器品牌、型号、序列号</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1D3A72E">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三方维保</w:t>
            </w:r>
          </w:p>
          <w:p w14:paraId="71731A5D">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开始时间</w:t>
            </w:r>
          </w:p>
        </w:tc>
      </w:tr>
      <w:tr w14:paraId="0BAD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F032A8B">
            <w:pPr>
              <w:widowControl/>
              <w:ind w:left="0" w:firstLine="0" w:firstLineChars="0"/>
              <w:jc w:val="left"/>
              <w:rPr>
                <w:rFonts w:eastAsia="方正仿宋_GBK" w:cs="宋体"/>
                <w:color w:val="000000"/>
                <w:kern w:val="0"/>
                <w:sz w:val="18"/>
                <w:szCs w:val="18"/>
                <w:highlight w:val="none"/>
              </w:rPr>
            </w:pPr>
            <w:r>
              <w:rPr>
                <w:rFonts w:hint="eastAsia" w:eastAsia="方正仿宋_GBK" w:cs="宋体"/>
                <w:color w:val="000000"/>
                <w:kern w:val="0"/>
                <w:sz w:val="18"/>
                <w:szCs w:val="18"/>
                <w:highlight w:val="none"/>
              </w:rPr>
              <w:t>惠普DL380 G5：</w:t>
            </w:r>
            <w:r>
              <w:rPr>
                <w:rFonts w:eastAsia="方正仿宋_GBK" w:cs="宋体"/>
                <w:color w:val="000000"/>
                <w:kern w:val="0"/>
                <w:sz w:val="18"/>
                <w:szCs w:val="18"/>
                <w:highlight w:val="none"/>
              </w:rPr>
              <w:t>CNG834S0CN CNG902S68Y CNG902S68Z</w:t>
            </w:r>
            <w:r>
              <w:rPr>
                <w:rFonts w:hint="eastAsia" w:eastAsia="方正仿宋_GBK" w:cs="宋体"/>
                <w:color w:val="000000"/>
                <w:kern w:val="0"/>
                <w:sz w:val="18"/>
                <w:szCs w:val="18"/>
                <w:highlight w:val="none"/>
              </w:rPr>
              <w:br w:type="textWrapping"/>
            </w:r>
            <w:r>
              <w:rPr>
                <w:rFonts w:eastAsia="方正仿宋_GBK" w:cs="宋体"/>
                <w:color w:val="000000"/>
                <w:kern w:val="0"/>
                <w:sz w:val="18"/>
                <w:szCs w:val="18"/>
                <w:highlight w:val="none"/>
              </w:rPr>
              <w:t>惠普DL380 G6：CNG004S2Z1</w:t>
            </w:r>
          </w:p>
          <w:p w14:paraId="558D332F">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惠普DL380 G9：6CU724SBC3 6CU724SBCJ 6CU724SBAN 6CU715A0D3 6CU724SBA7 6CU724SBBL 6CU724SB9R 6CU724SBB5 6CU715A0CN 6CU703R827 6CU601YL9S 6CU735E4KD 6CU747EH2J 6CU834M3FG 6CU73279NM 6CU703R817 6CU703R800 6CU719K1CH 6CU611XAKJ 6CU611XAK3 6CU703R807 6CU724SAWD 6CU735E4K7 6CU834M3F3 6CU73279P1 6CU703R80E 6CU724SAWT </w:t>
            </w:r>
          </w:p>
          <w:p w14:paraId="50F3CF4F">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G7: CNG141SF1M CNG141SF03</w:t>
            </w:r>
          </w:p>
          <w:p w14:paraId="6D7ED791">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惠普DL388 G8: 6CU3383FVF CNG212S2RB 6CU304WM9D CNG212S6ND CNG212S2S3 6CU34346G2 6CU35162H7 6CU34346DC 6CU311XVNB 6CU35162FB </w:t>
            </w:r>
          </w:p>
          <w:p w14:paraId="2A6C521C">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G9: CN75380C3Y CN75380C4J CN744306VF CN744306VP CN75160DZN CN75350BNH CN75360084 CN75160DZV CN75380HKT CN745103XY CN75170B4R CN7517099H 6CU611XAJL CN74510DDH CN744306VR CN744306XK CN75170B4P CN75390393 CN75380CJN CN753909GL</w:t>
            </w:r>
          </w:p>
          <w:p w14:paraId="535391D2">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惠普DL580 G7: 6CU50265DR 6CU430GB4P CN71290LJ2 6CU430GB3J CN733301Y6 CN7313061B CN73130637 6CU4080859</w:t>
            </w:r>
          </w:p>
          <w:p w14:paraId="31FD016E">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惠普DL580 G9: 6CU611XAHE 6CU611XAF2 CNG941S0HC 6CU6434P9R </w:t>
            </w:r>
          </w:p>
          <w:p w14:paraId="0D65C06B">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V3: 2102310YJA10H8003018 2102310YJW10H4000181 2102310YJW10H4000180</w:t>
            </w:r>
          </w:p>
          <w:p w14:paraId="3B4E9E0A">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V5: 2102310YJA10H8003023 2102311TXHN0K8000042 2102311TXHN0K8000035 2102311TXHN0K8000038</w:t>
            </w:r>
          </w:p>
          <w:p w14:paraId="70EB221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 V3: 2102310YJV10H8002554 2102310YJV10GB005006 2102310YJV10GB005007 2102310YJV10GB005002 2102310YJV10GB005003 2102310YJV10GB005004 2102310YJV10GB005008 2102310YJV10GB005005 2102310YJV10GB005001 2102310YJW10H4000182 2102310YJA10H8003021 2102310YJA10H8003017 2102310YJA10H8003019 2102310YJA10H8003020 2102310YJA10H8003016 </w:t>
            </w:r>
          </w:p>
          <w:p w14:paraId="72C943E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华为RH2288H V5: 2102311TXHN0K8000044 2102311TXHN0K8000045 2102311TXHN0K8000048 2102311TXHN0K8000039 2102311TXHN0K8000032 2102311TXHN0K8000031 2102311TXHN0K8000043 2102311TYBN0KC001401 2102311TYBN0KC001400 2102311TXHN0K8000041 2102311TXHN0K8000046 2102311TXHN0K8000036 2102311TXHN0K8000037 2102311TXHN0K8000047 2102311TXHN0K8000049 2102311TXHN0K8000033 2102311TXHN0K8000040 2102311TYBN0KC001402 2102311TYBN0KC001403 2102311TXH10LC000132 2102311TXHN0K8000030 2102311TXHN0K8000034 </w:t>
            </w:r>
          </w:p>
          <w:p w14:paraId="63271D13">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V2: 2102310QPB10E7001621</w:t>
            </w:r>
          </w:p>
          <w:p w14:paraId="498CF81D">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华为RH5885 V3: 2102311JWG10GB000615 2102311JWG10GB000610 2102311JWG10GB000614 2102311JWG10GB000611 2102311JWG10G8000407 2102311JWG10G8000412 2102311JWG10G8000411 2102311JWG10G8000410 2102311JWG10G8000409 2102311JWG10G8000408</w:t>
            </w:r>
          </w:p>
          <w:p w14:paraId="1F2E9217">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富士康 R2-1218R-TH: 7CE838P68K 7CE838P68L 7CE838P68P 7CE838P68R 7CE838P68N 7CE838P68T 7CE838P68S 7CE838P68U</w:t>
            </w:r>
          </w:p>
          <w:p w14:paraId="52A3F5D6">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浪潮SA5212M4: 818472109 818472108 818472112 818472111 818472110 818472107 818472106</w:t>
            </w:r>
          </w:p>
          <w:p w14:paraId="6EFACA4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同方R628: 3190880100037300050 3190880100037300012 3190880100037300064 3190880100037300045 3190880100037300026 3190780000415700010 3190780000415700024 3190880100037300083 3190880100037300097 3190880100037300031 3190880100037300078 3190880000553500052 3190880000553500071 3190880000553500028 3190880000553500033 3190880000553500014 3190880000553500066 3190880000553500047</w:t>
            </w:r>
          </w:p>
          <w:p w14:paraId="348648BD">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J301693F J301693G J301693V J301693P J3016ME0 J3016MDG J3016MDF J3016MDC J3016MDV J3016MDX J3016MD9 J3016MDH J3016MDW J3016ME2 J3016MDP J3016MD7 J3016MDY J301694M J30200V2 J3016MDM J3016MDA J3016MDL J30200V3 J3016MD8 J3016MEF J3016MDB J301693L J301693E J301693H J301693B J301693K J301693T J3016MDE J301693W J3016MDN J301694K J301693R J301693N J3016AX9 J30200TW J30200V0 J3016AX7 J30200V1 J3016MDZ J3016MDR J3016MDD J301694H J30200V6 J3016AX8 J3016MDT J301694L J30200TN J3016ME1 J3016MDK J30200TG J30200V5 J30200TT J30200TX J30200V4 J30200TY J30200TR J30200TM J30200TH J30200TF J30200TE J301694N J30200TP J3016AXA J30200TV J301693D J301693C J301693M J30200TZ</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23A1E5D">
            <w:pPr>
              <w:widowControl/>
              <w:ind w:left="0" w:firstLine="0" w:firstLineChars="0"/>
              <w:jc w:val="left"/>
              <w:rPr>
                <w:rFonts w:eastAsia="方正仿宋_GBK" w:cs="宋体"/>
                <w:color w:val="000000"/>
                <w:kern w:val="0"/>
                <w:szCs w:val="21"/>
                <w:highlight w:val="none"/>
              </w:rPr>
            </w:pPr>
            <w:r>
              <w:rPr>
                <w:rFonts w:eastAsia="方正仿宋_GBK" w:cs="宋体"/>
                <w:color w:val="000000"/>
                <w:kern w:val="0"/>
                <w:szCs w:val="21"/>
                <w:highlight w:val="none"/>
              </w:rPr>
              <w:t>合同签订之日</w:t>
            </w:r>
          </w:p>
        </w:tc>
      </w:tr>
      <w:tr w14:paraId="3937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452733BA">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V5: 2102311TYK6TL5000005 2102311TYK6TL5000008 2102311TYK6TL5000007 2102311TYK6TL5000009 2102311TYK6TL5000006 2102311TYK6TL5000015 2102311TYK6TL5000018 2102311TYK6TL5000004 2102311TYK6TL5000017 2102311TYK6TL5000010 2102311TYK6TL5000016 2102311TYK6TL5000013 2102311TYK6TL5000011 2102311TYK6TL5000014 2102311TYK6TL5000019 2102311TYK6TL5000012</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B8BF4B5">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2025/8/4</w:t>
            </w:r>
          </w:p>
          <w:p w14:paraId="7DCCCFD4">
            <w:pPr>
              <w:widowControl/>
              <w:jc w:val="center"/>
              <w:rPr>
                <w:rFonts w:eastAsia="方正仿宋_GBK" w:cs="宋体"/>
                <w:color w:val="000000"/>
                <w:kern w:val="0"/>
                <w:szCs w:val="21"/>
                <w:highlight w:val="none"/>
              </w:rPr>
            </w:pPr>
          </w:p>
        </w:tc>
      </w:tr>
      <w:tr w14:paraId="5586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6D132DC6">
            <w:pPr>
              <w:ind w:left="0" w:firstLine="0" w:firstLineChars="0"/>
              <w:jc w:val="left"/>
              <w:rPr>
                <w:rFonts w:eastAsia="方正仿宋_GBK" w:cs="宋体"/>
                <w:sz w:val="18"/>
                <w:szCs w:val="18"/>
                <w:highlight w:val="none"/>
              </w:rPr>
            </w:pPr>
            <w:r>
              <w:rPr>
                <w:rFonts w:eastAsia="方正仿宋_GBK" w:cs="宋体"/>
                <w:sz w:val="18"/>
                <w:szCs w:val="18"/>
                <w:highlight w:val="none"/>
              </w:rPr>
              <w:t>华为RH2288 V5：2102311TYB6TL6003828 2102311TYB6TL6003830 2102311TYB6TL6003834 2102311TYB6TL6003826 2102311TYB6TL6003840 2102311TYB6TL6003831 2102311TYB6TL6003835 2102311TYB6TL6003832 2102311TYB6TL6003837 2102311TYB6TL6003838 2102311TYB6TL6003827 2102311TYB6TL6003833 2102311TYB6TL6003836 2102311TXH6TL6005504 2102311TYB6TL6003825 2102311TXH6TL6005492 2102311TXH6TL6005490 2102311TXH6TL6005502 2102311TXH6TL6005507 2102311TXH6TL6005506 2102311TXH6TL6005497 2102311TXH6TL6005498 2102311TXH6TL6005511 2102311TXH6TL6005501 2102311TXH6TL6005495 2102311TXH6TL6005496 2102311TXH6TL6005491 2102311TXH6TL6005499 2102311TXH6TL6005510 2102311TXH6TL6005489 2102311TXH6TL6005488 2102311TXH6TL6005493 2102311TXH6TL6005494 2102311TXH6TL6005500 2102311TXH6TL6005508 2102311TXH6TL6005509 2102311TXH6TL6005503 2102311TYB6TL6003824 2102311TYB6TL6003839 2102311TXH6TL6005505 2102311TYB6TL6003829</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DB11ED9">
            <w:pPr>
              <w:widowControl/>
              <w:ind w:left="0" w:firstLine="0" w:firstLineChars="0"/>
              <w:jc w:val="both"/>
              <w:rPr>
                <w:rFonts w:hint="eastAsia" w:eastAsia="方正仿宋_GBK" w:cs="宋体"/>
                <w:color w:val="000000"/>
                <w:kern w:val="0"/>
                <w:szCs w:val="21"/>
                <w:highlight w:val="none"/>
                <w:lang w:eastAsia="zh-CN"/>
              </w:rPr>
            </w:pPr>
            <w:r>
              <w:rPr>
                <w:rFonts w:eastAsia="方正仿宋_GBK" w:cs="宋体"/>
                <w:color w:val="000000"/>
                <w:kern w:val="0"/>
                <w:szCs w:val="21"/>
                <w:highlight w:val="none"/>
                <w:lang w:eastAsia="zh-CN"/>
              </w:rPr>
              <w:t>2025/8/19</w:t>
            </w:r>
          </w:p>
        </w:tc>
      </w:tr>
      <w:tr w14:paraId="294E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37C7C66">
            <w:pPr>
              <w:ind w:left="0" w:firstLine="0" w:firstLineChars="0"/>
              <w:jc w:val="left"/>
              <w:rPr>
                <w:rFonts w:eastAsia="方正仿宋_GBK" w:cs="宋体"/>
                <w:sz w:val="18"/>
                <w:szCs w:val="18"/>
                <w:highlight w:val="none"/>
              </w:rPr>
            </w:pPr>
            <w:r>
              <w:rPr>
                <w:rFonts w:eastAsia="方正仿宋_GBK" w:cs="宋体"/>
                <w:sz w:val="18"/>
                <w:szCs w:val="18"/>
                <w:highlight w:val="none"/>
              </w:rPr>
              <w:t>华为RH2288H V5: 2102311TXH10LC000138 2102311TXH10LC000136 2102311TXH10LC000130 2102311TXH10LC000133 2102311TXH10LC000141 2102311TXH10LC000135 2102311TXH10LC000139 2102311TXH10LC000137 2102311TXH10LC000140 2102311TXH10LC000131 2102311TXH10LC000134</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2078FBD">
            <w:pPr>
              <w:widowControl/>
              <w:ind w:left="0" w:firstLine="0" w:firstLineChars="0"/>
              <w:jc w:val="both"/>
              <w:rPr>
                <w:rFonts w:eastAsia="方正仿宋_GBK" w:cs="宋体"/>
                <w:color w:val="000000"/>
                <w:kern w:val="0"/>
                <w:szCs w:val="21"/>
                <w:highlight w:val="none"/>
                <w:lang w:eastAsia="zh-CN"/>
              </w:rPr>
            </w:pPr>
            <w:r>
              <w:rPr>
                <w:rFonts w:eastAsia="方正仿宋_GBK" w:cs="宋体"/>
                <w:color w:val="000000"/>
                <w:kern w:val="0"/>
                <w:szCs w:val="21"/>
                <w:highlight w:val="none"/>
                <w:lang w:eastAsia="zh-CN"/>
              </w:rPr>
              <w:t>2026/3/15</w:t>
            </w:r>
          </w:p>
        </w:tc>
      </w:tr>
      <w:tr w14:paraId="0D7F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EFA748E">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J30200TL J30200TK</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4AE722D">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2026/6/15</w:t>
            </w:r>
          </w:p>
        </w:tc>
      </w:tr>
    </w:tbl>
    <w:p w14:paraId="435078FB">
      <w:pPr>
        <w:rPr>
          <w:highlight w:val="none"/>
        </w:rPr>
      </w:pPr>
    </w:p>
    <w:p w14:paraId="5494DC7A">
      <w:pPr>
        <w:pStyle w:val="4"/>
        <w:rPr>
          <w:highlight w:val="none"/>
        </w:rPr>
      </w:pPr>
      <w:r>
        <w:rPr>
          <w:rFonts w:hint="eastAsia"/>
          <w:highlight w:val="none"/>
        </w:rPr>
        <w:t>1.2 服务</w:t>
      </w:r>
      <w:r>
        <w:rPr>
          <w:highlight w:val="none"/>
        </w:rPr>
        <w:t>地点</w:t>
      </w:r>
    </w:p>
    <w:p w14:paraId="44E1CC1F">
      <w:pPr>
        <w:rPr>
          <w:highlight w:val="none"/>
        </w:rPr>
      </w:pPr>
      <w:r>
        <w:rPr>
          <w:rFonts w:hint="eastAsia"/>
          <w:highlight w:val="none"/>
        </w:rPr>
        <w:t>重庆市。</w:t>
      </w:r>
    </w:p>
    <w:p w14:paraId="1AFD74D1">
      <w:pPr>
        <w:pStyle w:val="4"/>
        <w:rPr>
          <w:highlight w:val="none"/>
        </w:rPr>
      </w:pPr>
      <w:r>
        <w:rPr>
          <w:rFonts w:hint="eastAsia"/>
          <w:highlight w:val="none"/>
        </w:rPr>
        <w:t>1.3 维保</w:t>
      </w:r>
      <w:r>
        <w:rPr>
          <w:highlight w:val="none"/>
        </w:rPr>
        <w:t>范围</w:t>
      </w:r>
    </w:p>
    <w:p w14:paraId="31C86625">
      <w:pPr>
        <w:rPr>
          <w:highlight w:val="none"/>
        </w:rPr>
      </w:pPr>
      <w:r>
        <w:rPr>
          <w:rFonts w:hint="eastAsia" w:cs="宋体"/>
          <w:snapToGrid w:val="0"/>
          <w:highlight w:val="none"/>
        </w:rPr>
        <w:t>为以上维保设备清单中的设备</w:t>
      </w:r>
      <w:r>
        <w:rPr>
          <w:rFonts w:hint="eastAsia"/>
          <w:highlight w:val="none"/>
        </w:rPr>
        <w:t>提供</w:t>
      </w:r>
      <w:r>
        <w:rPr>
          <w:highlight w:val="none"/>
        </w:rPr>
        <w:t>7*24小时级别的硬件维保</w:t>
      </w:r>
      <w:r>
        <w:rPr>
          <w:rFonts w:hint="eastAsia"/>
          <w:highlight w:val="none"/>
        </w:rPr>
        <w:t>服务。</w:t>
      </w:r>
    </w:p>
    <w:p w14:paraId="77144266">
      <w:pPr>
        <w:pStyle w:val="3"/>
        <w:numPr>
          <w:ilvl w:val="0"/>
          <w:numId w:val="1"/>
        </w:numPr>
        <w:rPr>
          <w:highlight w:val="none"/>
        </w:rPr>
      </w:pPr>
      <w:r>
        <w:rPr>
          <w:rFonts w:hint="eastAsia"/>
          <w:highlight w:val="none"/>
        </w:rPr>
        <w:t>技术服务内容及</w:t>
      </w:r>
      <w:r>
        <w:rPr>
          <w:highlight w:val="none"/>
        </w:rPr>
        <w:t>要求</w:t>
      </w:r>
    </w:p>
    <w:p w14:paraId="5B0DC641">
      <w:pPr>
        <w:ind w:firstLine="420" w:firstLineChars="200"/>
        <w:rPr>
          <w:rFonts w:cs="宋体"/>
          <w:snapToGrid w:val="0"/>
          <w:highlight w:val="none"/>
        </w:rPr>
      </w:pPr>
      <w:r>
        <w:rPr>
          <w:highlight w:val="none"/>
        </w:rPr>
        <w:t>2</w:t>
      </w:r>
      <w:r>
        <w:rPr>
          <w:rFonts w:hint="eastAsia"/>
          <w:highlight w:val="none"/>
        </w:rPr>
        <w:t>.</w:t>
      </w:r>
      <w:r>
        <w:rPr>
          <w:highlight w:val="none"/>
        </w:rPr>
        <w:t xml:space="preserve">1 </w:t>
      </w:r>
      <w:r>
        <w:rPr>
          <w:rFonts w:hint="eastAsia" w:cs="宋体"/>
          <w:snapToGrid w:val="0"/>
          <w:highlight w:val="none"/>
        </w:rPr>
        <w:t>技术支持</w:t>
      </w:r>
    </w:p>
    <w:p w14:paraId="563A1A63">
      <w:pPr>
        <w:ind w:firstLine="420" w:firstLineChars="200"/>
        <w:rPr>
          <w:rFonts w:cs="宋体"/>
          <w:snapToGrid w:val="0"/>
          <w:highlight w:val="none"/>
        </w:rPr>
      </w:pPr>
      <w:r>
        <w:rPr>
          <w:rFonts w:hint="eastAsia" w:cs="宋体"/>
          <w:snapToGrid w:val="0"/>
          <w:highlight w:val="none"/>
        </w:rPr>
        <w:t>按照</w:t>
      </w:r>
      <w:r>
        <w:rPr>
          <w:rFonts w:cs="宋体"/>
          <w:snapToGrid w:val="0"/>
          <w:highlight w:val="none"/>
        </w:rPr>
        <w:t>采购人</w:t>
      </w:r>
      <w:r>
        <w:rPr>
          <w:rFonts w:hint="eastAsia" w:cs="宋体"/>
          <w:snapToGrid w:val="0"/>
          <w:highlight w:val="none"/>
        </w:rPr>
        <w:t>要求，为以上维保设备清单中的设备提供7*24级别的技术支持服务，</w:t>
      </w:r>
      <w:r>
        <w:rPr>
          <w:rFonts w:cs="宋体"/>
          <w:snapToGrid w:val="0"/>
          <w:highlight w:val="none"/>
        </w:rPr>
        <w:t>响应人需根据采购</w:t>
      </w:r>
      <w:r>
        <w:rPr>
          <w:rFonts w:hint="eastAsia" w:cs="宋体"/>
          <w:snapToGrid w:val="0"/>
          <w:highlight w:val="none"/>
        </w:rPr>
        <w:t>人实际需求，配合完成如设备搬迁、设备配置调试等工作</w:t>
      </w:r>
      <w:r>
        <w:rPr>
          <w:rFonts w:cs="宋体"/>
          <w:snapToGrid w:val="0"/>
          <w:highlight w:val="none"/>
        </w:rPr>
        <w:t>。</w:t>
      </w:r>
    </w:p>
    <w:p w14:paraId="163D91E2">
      <w:pPr>
        <w:ind w:firstLine="420" w:firstLineChars="200"/>
        <w:rPr>
          <w:rFonts w:cs="宋体"/>
          <w:snapToGrid w:val="0"/>
          <w:highlight w:val="none"/>
        </w:rPr>
      </w:pPr>
      <w:r>
        <w:rPr>
          <w:rFonts w:cs="宋体"/>
          <w:snapToGrid w:val="0"/>
          <w:highlight w:val="none"/>
        </w:rPr>
        <w:t xml:space="preserve">2.2 </w:t>
      </w:r>
      <w:r>
        <w:rPr>
          <w:rFonts w:hint="eastAsia" w:cs="宋体"/>
          <w:snapToGrid w:val="0"/>
          <w:highlight w:val="none"/>
        </w:rPr>
        <w:t>应急管理</w:t>
      </w:r>
    </w:p>
    <w:p w14:paraId="3FFA655A">
      <w:pPr>
        <w:ind w:firstLine="420" w:firstLineChars="200"/>
        <w:rPr>
          <w:rFonts w:cs="宋体"/>
          <w:snapToGrid w:val="0"/>
          <w:highlight w:val="none"/>
        </w:rPr>
      </w:pPr>
      <w:r>
        <w:rPr>
          <w:rFonts w:cs="宋体"/>
          <w:snapToGrid w:val="0"/>
          <w:highlight w:val="none"/>
        </w:rPr>
        <w:t>响应人</w:t>
      </w:r>
      <w:r>
        <w:rPr>
          <w:rFonts w:hint="eastAsia" w:cs="宋体"/>
          <w:snapToGrid w:val="0"/>
          <w:highlight w:val="none"/>
        </w:rPr>
        <w:t>接到技术服务请求后，应10分钟内做出电话响应，安排具有相关设备维护资质的工程师立即赶赴现场进行故障处理，工程师到达现场时间不超过4小时，并根据实际硬件故障情况，对故障设备、部件进行维修或更换，确保清单内的设备恢复正常运行，常规备件（包含硬盘、内存条、风扇、电源）要求在报修后4小时内送达现场进行更换，非常规备件（包含主板、硬盘背板、CPU、HBA接口卡等）要求在报修后24小时内送达</w:t>
      </w:r>
      <w:r>
        <w:rPr>
          <w:rFonts w:cs="宋体"/>
          <w:snapToGrid w:val="0"/>
          <w:highlight w:val="none"/>
        </w:rPr>
        <w:t>采购人</w:t>
      </w:r>
      <w:r>
        <w:rPr>
          <w:rFonts w:hint="eastAsia" w:cs="宋体"/>
          <w:snapToGrid w:val="0"/>
          <w:highlight w:val="none"/>
        </w:rPr>
        <w:t>现场进行更换。</w:t>
      </w:r>
    </w:p>
    <w:p w14:paraId="09293582">
      <w:pPr>
        <w:ind w:firstLine="420" w:firstLineChars="200"/>
        <w:rPr>
          <w:rFonts w:cs="宋体"/>
          <w:snapToGrid w:val="0"/>
          <w:highlight w:val="none"/>
        </w:rPr>
      </w:pPr>
      <w:r>
        <w:rPr>
          <w:rFonts w:cs="宋体"/>
          <w:snapToGrid w:val="0"/>
          <w:highlight w:val="none"/>
        </w:rPr>
        <w:t xml:space="preserve">2.3 </w:t>
      </w:r>
      <w:r>
        <w:rPr>
          <w:rFonts w:hint="eastAsia" w:cs="宋体"/>
          <w:snapToGrid w:val="0"/>
          <w:highlight w:val="none"/>
        </w:rPr>
        <w:t>定期巡检</w:t>
      </w:r>
    </w:p>
    <w:p w14:paraId="2D3AA4A3">
      <w:pPr>
        <w:ind w:firstLine="420" w:firstLineChars="200"/>
        <w:rPr>
          <w:rFonts w:cs="宋体"/>
          <w:snapToGrid w:val="0"/>
          <w:highlight w:val="none"/>
          <w:lang w:bidi="ar-SA"/>
        </w:rPr>
      </w:pPr>
      <w:r>
        <w:rPr>
          <w:rFonts w:hint="eastAsia" w:cs="宋体"/>
          <w:snapToGrid w:val="0"/>
          <w:highlight w:val="none"/>
          <w:lang w:bidi="ar-SA"/>
        </w:rPr>
        <w:t>对维保期内的设备提供每季度1次的现场巡检服务，并提交巡检报告。</w:t>
      </w:r>
    </w:p>
    <w:p w14:paraId="208A83E8">
      <w:pPr>
        <w:ind w:firstLine="420" w:firstLineChars="200"/>
        <w:rPr>
          <w:rFonts w:cs="宋体"/>
          <w:snapToGrid w:val="0"/>
          <w:highlight w:val="none"/>
          <w:lang w:bidi="ar-SA"/>
        </w:rPr>
      </w:pPr>
      <w:r>
        <w:rPr>
          <w:rFonts w:cs="宋体"/>
          <w:snapToGrid w:val="0"/>
          <w:highlight w:val="none"/>
          <w:lang w:bidi="ar-SA"/>
        </w:rPr>
        <w:t xml:space="preserve">2.4 </w:t>
      </w:r>
      <w:r>
        <w:rPr>
          <w:rFonts w:hint="eastAsia" w:cs="宋体"/>
          <w:snapToGrid w:val="0"/>
          <w:highlight w:val="none"/>
          <w:lang w:bidi="ar-SA"/>
        </w:rPr>
        <w:t>硬盘不返还</w:t>
      </w:r>
    </w:p>
    <w:p w14:paraId="389195AA">
      <w:pPr>
        <w:ind w:firstLine="420" w:firstLineChars="200"/>
        <w:rPr>
          <w:rFonts w:cs="宋体"/>
          <w:snapToGrid w:val="0"/>
          <w:highlight w:val="none"/>
          <w:lang w:bidi="ar-SA"/>
        </w:rPr>
      </w:pPr>
      <w:r>
        <w:rPr>
          <w:rFonts w:hint="eastAsia" w:cs="宋体"/>
          <w:snapToGrid w:val="0"/>
          <w:highlight w:val="none"/>
          <w:lang w:bidi="ar-SA"/>
        </w:rPr>
        <w:t>需提供维保清单内所有设备的硬盘不返还服务</w:t>
      </w:r>
      <w:r>
        <w:rPr>
          <w:rFonts w:cs="宋体"/>
          <w:snapToGrid w:val="0"/>
          <w:highlight w:val="none"/>
          <w:lang w:bidi="ar-SA"/>
        </w:rPr>
        <w:t>。</w:t>
      </w:r>
    </w:p>
    <w:p w14:paraId="6388428C">
      <w:pPr>
        <w:ind w:firstLine="420" w:firstLineChars="200"/>
        <w:rPr>
          <w:rFonts w:cs="宋体"/>
          <w:snapToGrid w:val="0"/>
          <w:highlight w:val="none"/>
          <w:lang w:bidi="ar-SA"/>
        </w:rPr>
      </w:pPr>
      <w:r>
        <w:rPr>
          <w:rFonts w:cs="宋体"/>
          <w:snapToGrid w:val="0"/>
          <w:highlight w:val="none"/>
          <w:lang w:bidi="ar-SA"/>
        </w:rPr>
        <w:t xml:space="preserve">2.5 </w:t>
      </w:r>
      <w:r>
        <w:rPr>
          <w:rFonts w:hint="eastAsia" w:cs="宋体"/>
          <w:snapToGrid w:val="0"/>
          <w:highlight w:val="none"/>
          <w:lang w:bidi="ar-SA"/>
        </w:rPr>
        <w:t>备件放置</w:t>
      </w:r>
    </w:p>
    <w:p w14:paraId="25DFC55D">
      <w:pPr>
        <w:ind w:firstLine="420" w:firstLineChars="200"/>
        <w:rPr>
          <w:rFonts w:cs="宋体"/>
          <w:snapToGrid w:val="0"/>
          <w:highlight w:val="none"/>
          <w:lang w:bidi="ar-SA"/>
        </w:rPr>
      </w:pPr>
      <w:r>
        <w:rPr>
          <w:rFonts w:cs="宋体"/>
          <w:snapToGrid w:val="0"/>
          <w:highlight w:val="none"/>
          <w:lang w:bidi="ar-SA"/>
        </w:rPr>
        <w:t>响应人在完成合同签订后5个工作日内将</w:t>
      </w:r>
      <w:r>
        <w:rPr>
          <w:rFonts w:hint="eastAsia" w:cs="宋体"/>
          <w:snapToGrid w:val="0"/>
          <w:highlight w:val="none"/>
          <w:lang w:bidi="ar-SA"/>
        </w:rPr>
        <w:t>如下常用备件</w:t>
      </w:r>
      <w:r>
        <w:rPr>
          <w:rFonts w:cs="宋体"/>
          <w:snapToGrid w:val="0"/>
          <w:highlight w:val="none"/>
          <w:lang w:bidi="ar-SA"/>
        </w:rPr>
        <w:t>放置到采购人</w:t>
      </w:r>
      <w:r>
        <w:rPr>
          <w:rFonts w:hint="eastAsia" w:cs="宋体"/>
          <w:snapToGrid w:val="0"/>
          <w:highlight w:val="none"/>
          <w:lang w:bidi="ar-SA"/>
        </w:rPr>
        <w:t>西永数据中心，数量均为1个，在</w:t>
      </w:r>
      <w:r>
        <w:rPr>
          <w:rFonts w:cs="宋体"/>
          <w:snapToGrid w:val="0"/>
          <w:highlight w:val="none"/>
          <w:lang w:bidi="ar-SA"/>
        </w:rPr>
        <w:t>项目期间</w:t>
      </w:r>
      <w:r>
        <w:rPr>
          <w:rFonts w:hint="eastAsia" w:cs="宋体"/>
          <w:snapToGrid w:val="0"/>
          <w:highlight w:val="none"/>
          <w:lang w:bidi="ar-SA"/>
        </w:rPr>
        <w:t>不得将备件调走，且因设备故障进行相关备件更换后需在24小时内进行补齐。</w:t>
      </w:r>
    </w:p>
    <w:tbl>
      <w:tblPr>
        <w:tblStyle w:val="17"/>
        <w:tblW w:w="6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661"/>
        <w:gridCol w:w="2590"/>
      </w:tblGrid>
      <w:tr w14:paraId="66DB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14:paraId="5AEA12B0">
            <w:pPr>
              <w:ind w:left="0" w:firstLine="0" w:firstLineChars="0"/>
              <w:jc w:val="both"/>
              <w:rPr>
                <w:sz w:val="18"/>
                <w:szCs w:val="18"/>
                <w:highlight w:val="none"/>
              </w:rPr>
            </w:pPr>
            <w:r>
              <w:rPr>
                <w:rFonts w:hint="eastAsia" w:ascii="宋体" w:eastAsia="宋体" w:cs="Lucida Sans"/>
                <w:color w:val="auto"/>
                <w:sz w:val="18"/>
                <w:szCs w:val="18"/>
                <w:highlight w:val="none"/>
                <w:lang w:bidi="ar-SA"/>
              </w:rPr>
              <w:t>服务器品牌</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B7E1678">
            <w:pPr>
              <w:ind w:left="0" w:firstLine="0" w:firstLineChars="0"/>
              <w:rPr>
                <w:sz w:val="18"/>
                <w:szCs w:val="18"/>
                <w:highlight w:val="none"/>
              </w:rPr>
            </w:pPr>
            <w:r>
              <w:rPr>
                <w:rFonts w:hint="eastAsia" w:ascii="宋体" w:eastAsia="宋体" w:cs="Lucida Sans"/>
                <w:color w:val="auto"/>
                <w:sz w:val="18"/>
                <w:szCs w:val="18"/>
                <w:highlight w:val="none"/>
                <w:lang w:bidi="ar-SA"/>
              </w:rPr>
              <w:t>备件描述</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C2CAF4B">
            <w:pPr>
              <w:ind w:left="0" w:firstLine="0" w:firstLineChars="0"/>
              <w:rPr>
                <w:sz w:val="18"/>
                <w:szCs w:val="18"/>
                <w:highlight w:val="none"/>
              </w:rPr>
            </w:pPr>
            <w:r>
              <w:rPr>
                <w:rFonts w:hint="eastAsia" w:ascii="宋体" w:eastAsia="宋体" w:cs="Lucida Sans"/>
                <w:color w:val="auto"/>
                <w:sz w:val="18"/>
                <w:szCs w:val="18"/>
                <w:highlight w:val="none"/>
                <w:lang w:bidi="ar-SA"/>
              </w:rPr>
              <w:t>备件号</w:t>
            </w:r>
          </w:p>
        </w:tc>
      </w:tr>
      <w:tr w14:paraId="52DE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1E51ED3F">
            <w:pPr>
              <w:jc w:val="center"/>
              <w:rPr>
                <w:sz w:val="18"/>
                <w:szCs w:val="18"/>
                <w:highlight w:val="none"/>
              </w:rPr>
            </w:pPr>
            <w:r>
              <w:rPr>
                <w:rFonts w:hint="eastAsia" w:ascii="宋体" w:eastAsia="宋体" w:cs="Lucida Sans"/>
                <w:color w:val="auto"/>
                <w:sz w:val="18"/>
                <w:szCs w:val="18"/>
                <w:highlight w:val="none"/>
                <w:lang w:bidi="ar-SA"/>
              </w:rPr>
              <w:t>惠普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FA65D9">
            <w:pPr>
              <w:ind w:left="0" w:firstLine="0" w:firstLineChars="0"/>
              <w:rPr>
                <w:sz w:val="18"/>
                <w:szCs w:val="18"/>
                <w:highlight w:val="none"/>
              </w:rPr>
            </w:pPr>
            <w:r>
              <w:rPr>
                <w:rFonts w:hint="eastAsia" w:ascii="宋体" w:eastAsia="宋体" w:cs="Lucida Sans"/>
                <w:color w:val="auto"/>
                <w:sz w:val="18"/>
                <w:szCs w:val="18"/>
                <w:highlight w:val="none"/>
                <w:lang w:bidi="ar-SA"/>
              </w:rPr>
              <w:t>500W电源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B46DAC3">
            <w:pPr>
              <w:ind w:left="0" w:firstLine="0" w:firstLineChars="0"/>
              <w:rPr>
                <w:sz w:val="18"/>
                <w:szCs w:val="18"/>
                <w:highlight w:val="none"/>
              </w:rPr>
            </w:pPr>
            <w:r>
              <w:rPr>
                <w:rFonts w:hint="eastAsia" w:ascii="宋体" w:eastAsia="宋体" w:cs="Lucida Sans"/>
                <w:color w:val="auto"/>
                <w:sz w:val="18"/>
                <w:szCs w:val="18"/>
                <w:highlight w:val="none"/>
                <w:lang w:bidi="ar-SA"/>
              </w:rPr>
              <w:t>754377-001</w:t>
            </w:r>
          </w:p>
        </w:tc>
      </w:tr>
      <w:tr w14:paraId="1789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909AD4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EDCEDA5">
            <w:pPr>
              <w:ind w:left="0" w:firstLine="0" w:firstLineChars="0"/>
              <w:rPr>
                <w:sz w:val="18"/>
                <w:szCs w:val="18"/>
                <w:highlight w:val="none"/>
              </w:rPr>
            </w:pPr>
            <w:r>
              <w:rPr>
                <w:rFonts w:hint="eastAsia" w:ascii="宋体" w:eastAsia="宋体" w:cs="Lucida Sans"/>
                <w:color w:val="auto"/>
                <w:sz w:val="18"/>
                <w:szCs w:val="18"/>
                <w:highlight w:val="none"/>
                <w:lang w:bidi="ar-SA"/>
              </w:rPr>
              <w:t>800W电源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5B3DB19">
            <w:pPr>
              <w:ind w:left="0" w:firstLine="0" w:firstLineChars="0"/>
              <w:rPr>
                <w:sz w:val="18"/>
                <w:szCs w:val="18"/>
                <w:highlight w:val="none"/>
              </w:rPr>
            </w:pPr>
            <w:r>
              <w:rPr>
                <w:rFonts w:hint="eastAsia" w:ascii="宋体" w:eastAsia="宋体" w:cs="Lucida Sans"/>
                <w:color w:val="auto"/>
                <w:sz w:val="18"/>
                <w:szCs w:val="18"/>
                <w:highlight w:val="none"/>
                <w:lang w:bidi="ar-SA"/>
              </w:rPr>
              <w:t>754381-001</w:t>
            </w:r>
          </w:p>
        </w:tc>
      </w:tr>
      <w:tr w14:paraId="341F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7EAFF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7DF8ADF">
            <w:pPr>
              <w:ind w:left="0" w:firstLine="0" w:firstLineChars="0"/>
              <w:rPr>
                <w:sz w:val="18"/>
                <w:szCs w:val="18"/>
                <w:highlight w:val="none"/>
              </w:rPr>
            </w:pPr>
            <w:r>
              <w:rPr>
                <w:rFonts w:hint="eastAsia" w:ascii="宋体" w:eastAsia="宋体" w:cs="Lucida Sans"/>
                <w:color w:val="auto"/>
                <w:sz w:val="18"/>
                <w:szCs w:val="18"/>
                <w:highlight w:val="none"/>
                <w:lang w:bidi="ar-SA"/>
              </w:rPr>
              <w:t>1200W电源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257C97D">
            <w:pPr>
              <w:ind w:left="0" w:firstLine="0" w:firstLineChars="0"/>
              <w:rPr>
                <w:sz w:val="18"/>
                <w:szCs w:val="18"/>
                <w:highlight w:val="none"/>
              </w:rPr>
            </w:pPr>
            <w:r>
              <w:rPr>
                <w:rFonts w:hint="eastAsia" w:ascii="宋体" w:eastAsia="宋体" w:cs="Lucida Sans"/>
                <w:color w:val="auto"/>
                <w:sz w:val="18"/>
                <w:szCs w:val="18"/>
                <w:highlight w:val="none"/>
                <w:lang w:bidi="ar-SA"/>
              </w:rPr>
              <w:t>498152-001</w:t>
            </w:r>
          </w:p>
        </w:tc>
      </w:tr>
      <w:tr w14:paraId="482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BB37A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376007B">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55CCDF">
            <w:pPr>
              <w:ind w:left="0" w:firstLine="0" w:firstLineChars="0"/>
              <w:rPr>
                <w:sz w:val="18"/>
                <w:szCs w:val="18"/>
                <w:highlight w:val="none"/>
              </w:rPr>
            </w:pPr>
            <w:r>
              <w:rPr>
                <w:rFonts w:hint="eastAsia" w:ascii="宋体" w:eastAsia="宋体" w:cs="Lucida Sans"/>
                <w:color w:val="auto"/>
                <w:sz w:val="18"/>
                <w:szCs w:val="18"/>
                <w:highlight w:val="none"/>
                <w:lang w:bidi="ar-SA"/>
              </w:rPr>
              <w:t>752369-081</w:t>
            </w:r>
          </w:p>
        </w:tc>
      </w:tr>
      <w:tr w14:paraId="26E7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D0CF8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1F9BCD">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D55DFE7">
            <w:pPr>
              <w:ind w:left="0" w:firstLine="0" w:firstLineChars="0"/>
              <w:rPr>
                <w:sz w:val="18"/>
                <w:szCs w:val="18"/>
                <w:highlight w:val="none"/>
              </w:rPr>
            </w:pPr>
            <w:r>
              <w:rPr>
                <w:rFonts w:hint="eastAsia" w:ascii="宋体" w:eastAsia="宋体" w:cs="Lucida Sans"/>
                <w:color w:val="auto"/>
                <w:sz w:val="18"/>
                <w:szCs w:val="18"/>
                <w:highlight w:val="none"/>
                <w:lang w:bidi="ar-SA"/>
              </w:rPr>
              <w:t>809081-081</w:t>
            </w:r>
          </w:p>
        </w:tc>
      </w:tr>
      <w:tr w14:paraId="3718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09995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EFA9208">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DDR3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0EEC36C">
            <w:pPr>
              <w:ind w:left="0" w:firstLine="0" w:firstLineChars="0"/>
              <w:rPr>
                <w:sz w:val="18"/>
                <w:szCs w:val="18"/>
                <w:highlight w:val="none"/>
              </w:rPr>
            </w:pPr>
            <w:r>
              <w:rPr>
                <w:rFonts w:hint="eastAsia" w:ascii="宋体" w:eastAsia="宋体" w:cs="Lucida Sans"/>
                <w:color w:val="auto"/>
                <w:sz w:val="18"/>
                <w:szCs w:val="18"/>
                <w:highlight w:val="none"/>
                <w:lang w:bidi="ar-SA"/>
              </w:rPr>
              <w:t>632204-001</w:t>
            </w:r>
          </w:p>
        </w:tc>
      </w:tr>
      <w:tr w14:paraId="1CB3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C9846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8F69BC2">
            <w:pPr>
              <w:ind w:left="0" w:firstLine="0" w:firstLineChars="0"/>
              <w:rPr>
                <w:sz w:val="18"/>
                <w:szCs w:val="18"/>
                <w:highlight w:val="none"/>
              </w:rPr>
            </w:pPr>
            <w:r>
              <w:rPr>
                <w:rFonts w:hint="eastAsia" w:ascii="宋体" w:eastAsia="宋体" w:cs="Lucida Sans"/>
                <w:color w:val="auto"/>
                <w:sz w:val="18"/>
                <w:szCs w:val="18"/>
                <w:highlight w:val="none"/>
                <w:lang w:bidi="ar-SA"/>
              </w:rPr>
              <w:t>146G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380D049">
            <w:pPr>
              <w:ind w:left="0" w:firstLine="0" w:firstLineChars="0"/>
              <w:rPr>
                <w:sz w:val="18"/>
                <w:szCs w:val="18"/>
                <w:highlight w:val="none"/>
              </w:rPr>
            </w:pPr>
            <w:r>
              <w:rPr>
                <w:rFonts w:hint="eastAsia" w:ascii="宋体" w:eastAsia="宋体" w:cs="Lucida Sans"/>
                <w:color w:val="auto"/>
                <w:sz w:val="18"/>
                <w:szCs w:val="18"/>
                <w:highlight w:val="none"/>
                <w:lang w:bidi="ar-SA"/>
              </w:rPr>
              <w:t>507283-001</w:t>
            </w:r>
          </w:p>
        </w:tc>
      </w:tr>
      <w:tr w14:paraId="20B6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0E728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9A9E79">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0E7EC88">
            <w:pPr>
              <w:ind w:left="0" w:firstLine="0" w:firstLineChars="0"/>
              <w:rPr>
                <w:sz w:val="18"/>
                <w:szCs w:val="18"/>
                <w:highlight w:val="none"/>
              </w:rPr>
            </w:pPr>
            <w:r>
              <w:rPr>
                <w:rFonts w:hint="eastAsia" w:ascii="宋体" w:eastAsia="宋体" w:cs="Lucida Sans"/>
                <w:color w:val="auto"/>
                <w:sz w:val="18"/>
                <w:szCs w:val="18"/>
                <w:highlight w:val="none"/>
                <w:lang w:bidi="ar-SA"/>
              </w:rPr>
              <w:t>653955</w:t>
            </w:r>
          </w:p>
        </w:tc>
      </w:tr>
      <w:tr w14:paraId="500B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2185F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AE76BA6">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BF16681">
            <w:pPr>
              <w:ind w:left="0" w:firstLine="0" w:firstLineChars="0"/>
              <w:rPr>
                <w:sz w:val="18"/>
                <w:szCs w:val="18"/>
                <w:highlight w:val="none"/>
              </w:rPr>
            </w:pPr>
            <w:r>
              <w:rPr>
                <w:rFonts w:hint="eastAsia" w:ascii="宋体" w:eastAsia="宋体" w:cs="Lucida Sans"/>
                <w:color w:val="auto"/>
                <w:sz w:val="18"/>
                <w:szCs w:val="18"/>
                <w:highlight w:val="none"/>
                <w:lang w:bidi="ar-SA"/>
              </w:rPr>
              <w:t>785410</w:t>
            </w:r>
          </w:p>
        </w:tc>
      </w:tr>
      <w:tr w14:paraId="41F4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2B136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B0B6CAD">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A1D4ED9">
            <w:pPr>
              <w:ind w:left="0" w:firstLine="0" w:firstLineChars="0"/>
              <w:rPr>
                <w:sz w:val="18"/>
                <w:szCs w:val="18"/>
                <w:highlight w:val="none"/>
              </w:rPr>
            </w:pPr>
            <w:r>
              <w:rPr>
                <w:rFonts w:hint="eastAsia" w:ascii="宋体" w:eastAsia="宋体" w:cs="Lucida Sans"/>
                <w:color w:val="auto"/>
                <w:sz w:val="18"/>
                <w:szCs w:val="18"/>
                <w:highlight w:val="none"/>
                <w:lang w:bidi="ar-SA"/>
              </w:rPr>
              <w:t>782735</w:t>
            </w:r>
          </w:p>
        </w:tc>
      </w:tr>
      <w:tr w14:paraId="5B4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E9477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694DCE1">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E3E25A">
            <w:pPr>
              <w:ind w:left="0" w:firstLine="0" w:firstLineChars="0"/>
              <w:rPr>
                <w:sz w:val="18"/>
                <w:szCs w:val="18"/>
                <w:highlight w:val="none"/>
              </w:rPr>
            </w:pPr>
            <w:r>
              <w:rPr>
                <w:rFonts w:hint="eastAsia" w:ascii="宋体" w:eastAsia="宋体" w:cs="Lucida Sans"/>
                <w:color w:val="auto"/>
                <w:sz w:val="18"/>
                <w:szCs w:val="18"/>
                <w:highlight w:val="none"/>
                <w:lang w:bidi="ar-SA"/>
              </w:rPr>
              <w:t>627195</w:t>
            </w:r>
          </w:p>
        </w:tc>
      </w:tr>
      <w:tr w14:paraId="2E4F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05E07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25E239F">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C063C7F">
            <w:pPr>
              <w:ind w:left="0" w:firstLine="0" w:firstLineChars="0"/>
              <w:rPr>
                <w:sz w:val="18"/>
                <w:szCs w:val="18"/>
                <w:highlight w:val="none"/>
              </w:rPr>
            </w:pPr>
            <w:r>
              <w:rPr>
                <w:rFonts w:hint="eastAsia" w:ascii="宋体" w:eastAsia="宋体" w:cs="Lucida Sans"/>
                <w:color w:val="auto"/>
                <w:sz w:val="18"/>
                <w:szCs w:val="18"/>
                <w:highlight w:val="none"/>
                <w:lang w:bidi="ar-SA"/>
              </w:rPr>
              <w:t>759546</w:t>
            </w:r>
          </w:p>
        </w:tc>
      </w:tr>
      <w:tr w14:paraId="226B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A29B1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EB746A8">
            <w:pPr>
              <w:ind w:left="0" w:firstLine="0" w:firstLineChars="0"/>
              <w:rPr>
                <w:sz w:val="18"/>
                <w:szCs w:val="18"/>
                <w:highlight w:val="none"/>
              </w:rPr>
            </w:pPr>
            <w:r>
              <w:rPr>
                <w:rFonts w:hint="eastAsia" w:ascii="宋体" w:eastAsia="宋体" w:cs="Lucida Sans"/>
                <w:color w:val="auto"/>
                <w:sz w:val="18"/>
                <w:szCs w:val="18"/>
                <w:highlight w:val="none"/>
                <w:lang w:bidi="ar-SA"/>
              </w:rPr>
              <w:t>600G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B891560">
            <w:pPr>
              <w:ind w:left="0" w:firstLine="0" w:firstLineChars="0"/>
              <w:rPr>
                <w:sz w:val="18"/>
                <w:szCs w:val="18"/>
                <w:highlight w:val="none"/>
              </w:rPr>
            </w:pPr>
            <w:r>
              <w:rPr>
                <w:rFonts w:hint="eastAsia" w:ascii="宋体" w:eastAsia="宋体" w:cs="Lucida Sans"/>
                <w:color w:val="auto"/>
                <w:sz w:val="18"/>
                <w:szCs w:val="18"/>
                <w:highlight w:val="none"/>
                <w:lang w:bidi="ar-SA"/>
              </w:rPr>
              <w:t>781577</w:t>
            </w:r>
          </w:p>
        </w:tc>
      </w:tr>
      <w:tr w14:paraId="298B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010FE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E247BFB">
            <w:pPr>
              <w:ind w:left="0" w:firstLine="0" w:firstLineChars="0"/>
              <w:rPr>
                <w:sz w:val="18"/>
                <w:szCs w:val="18"/>
                <w:highlight w:val="none"/>
              </w:rPr>
            </w:pPr>
            <w:r>
              <w:rPr>
                <w:rFonts w:hint="eastAsia" w:ascii="宋体" w:eastAsia="宋体" w:cs="Lucida Sans"/>
                <w:color w:val="auto"/>
                <w:sz w:val="18"/>
                <w:szCs w:val="18"/>
                <w:highlight w:val="none"/>
                <w:lang w:bidi="ar-SA"/>
              </w:rPr>
              <w:t>2TB 7.2K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5219491">
            <w:pPr>
              <w:ind w:left="0" w:firstLine="0" w:firstLineChars="0"/>
              <w:rPr>
                <w:sz w:val="18"/>
                <w:szCs w:val="18"/>
                <w:highlight w:val="none"/>
              </w:rPr>
            </w:pPr>
            <w:r>
              <w:rPr>
                <w:rFonts w:hint="eastAsia" w:ascii="宋体" w:eastAsia="宋体" w:cs="Lucida Sans"/>
                <w:color w:val="auto"/>
                <w:sz w:val="18"/>
                <w:szCs w:val="18"/>
                <w:highlight w:val="none"/>
                <w:lang w:bidi="ar-SA"/>
              </w:rPr>
              <w:t>819078</w:t>
            </w:r>
          </w:p>
        </w:tc>
      </w:tr>
      <w:tr w14:paraId="428B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0446A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A07CD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307AB24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591208-001</w:t>
            </w:r>
          </w:p>
        </w:tc>
      </w:tr>
      <w:tr w14:paraId="5448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6D415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CDC56C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804000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496066-001</w:t>
            </w:r>
          </w:p>
        </w:tc>
      </w:tr>
      <w:tr w14:paraId="6F99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59EFE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1AC6CF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C871C8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662520-001</w:t>
            </w:r>
          </w:p>
        </w:tc>
      </w:tr>
      <w:tr w14:paraId="3218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DBA9C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B75FB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3814C40">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735513-001</w:t>
            </w:r>
          </w:p>
        </w:tc>
      </w:tr>
      <w:tr w14:paraId="7B67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3C6F68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ABCAA8C">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5B5527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777286-001</w:t>
            </w:r>
          </w:p>
        </w:tc>
      </w:tr>
      <w:tr w14:paraId="7D66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713A3777">
            <w:pPr>
              <w:jc w:val="center"/>
              <w:rPr>
                <w:sz w:val="18"/>
                <w:szCs w:val="18"/>
                <w:highlight w:val="none"/>
              </w:rPr>
            </w:pPr>
            <w:r>
              <w:rPr>
                <w:rFonts w:hint="eastAsia" w:ascii="宋体" w:eastAsia="宋体" w:cs="Lucida Sans"/>
                <w:color w:val="auto"/>
                <w:sz w:val="18"/>
                <w:szCs w:val="18"/>
                <w:highlight w:val="none"/>
                <w:lang w:bidi="ar-SA"/>
              </w:rPr>
              <w:t>华为</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9DBA215">
            <w:pPr>
              <w:ind w:left="0" w:firstLine="0" w:firstLineChars="0"/>
              <w:rPr>
                <w:sz w:val="18"/>
                <w:szCs w:val="18"/>
                <w:highlight w:val="none"/>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891EEFC">
            <w:pPr>
              <w:ind w:left="0" w:firstLine="0" w:firstLineChars="0"/>
              <w:rPr>
                <w:sz w:val="18"/>
                <w:szCs w:val="18"/>
                <w:highlight w:val="none"/>
              </w:rPr>
            </w:pPr>
            <w:r>
              <w:rPr>
                <w:rFonts w:hint="eastAsia" w:ascii="宋体" w:eastAsia="宋体" w:cs="Lucida Sans"/>
                <w:color w:val="auto"/>
                <w:sz w:val="18"/>
                <w:szCs w:val="18"/>
                <w:highlight w:val="none"/>
                <w:lang w:bidi="ar-SA"/>
              </w:rPr>
              <w:t>0231</w:t>
            </w:r>
            <w:r>
              <w:rPr>
                <w:rFonts w:ascii="宋体" w:eastAsia="宋体" w:cs="Lucida Sans"/>
                <w:color w:val="auto"/>
                <w:sz w:val="18"/>
                <w:szCs w:val="18"/>
                <w:highlight w:val="none"/>
                <w:lang w:bidi="ar-SA"/>
              </w:rPr>
              <w:t>2XGP</w:t>
            </w:r>
          </w:p>
        </w:tc>
      </w:tr>
      <w:tr w14:paraId="5659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3064807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1D4E31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5398C31">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02312ACW</w:t>
            </w:r>
          </w:p>
        </w:tc>
      </w:tr>
      <w:tr w14:paraId="2E83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236C246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C9F3B33">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E3AD089">
            <w:pPr>
              <w:ind w:left="0" w:firstLine="0" w:firstLineChars="0"/>
              <w:rPr>
                <w:sz w:val="18"/>
                <w:szCs w:val="18"/>
                <w:highlight w:val="none"/>
              </w:rPr>
            </w:pPr>
            <w:r>
              <w:rPr>
                <w:rFonts w:hint="eastAsia" w:ascii="宋体" w:eastAsia="宋体" w:cs="Lucida Sans"/>
                <w:color w:val="auto"/>
                <w:sz w:val="18"/>
                <w:szCs w:val="18"/>
                <w:highlight w:val="none"/>
                <w:lang w:bidi="ar-SA"/>
              </w:rPr>
              <w:t>02311TJX</w:t>
            </w:r>
          </w:p>
        </w:tc>
      </w:tr>
      <w:tr w14:paraId="10B8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62FEC7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4ABAA1F">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8A3071A">
            <w:pPr>
              <w:ind w:left="0" w:firstLine="0" w:firstLineChars="0"/>
              <w:rPr>
                <w:sz w:val="18"/>
                <w:szCs w:val="18"/>
                <w:highlight w:val="none"/>
              </w:rPr>
            </w:pPr>
            <w:r>
              <w:rPr>
                <w:rFonts w:hint="eastAsia" w:ascii="宋体" w:eastAsia="宋体" w:cs="Lucida Sans"/>
                <w:color w:val="auto"/>
                <w:sz w:val="18"/>
                <w:szCs w:val="18"/>
                <w:highlight w:val="none"/>
                <w:lang w:bidi="ar-SA"/>
              </w:rPr>
              <w:t>02310YDA</w:t>
            </w:r>
          </w:p>
        </w:tc>
      </w:tr>
      <w:tr w14:paraId="51CE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7FBE3C9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CB62553">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98AE4D8">
            <w:pPr>
              <w:ind w:left="0" w:firstLine="0" w:firstLineChars="0"/>
              <w:rPr>
                <w:sz w:val="18"/>
                <w:szCs w:val="18"/>
                <w:highlight w:val="none"/>
              </w:rPr>
            </w:pPr>
            <w:r>
              <w:rPr>
                <w:rFonts w:hint="eastAsia" w:ascii="宋体" w:eastAsia="宋体" w:cs="Lucida Sans"/>
                <w:color w:val="auto"/>
                <w:sz w:val="18"/>
                <w:szCs w:val="18"/>
                <w:highlight w:val="none"/>
                <w:lang w:bidi="ar-SA"/>
              </w:rPr>
              <w:t>02312GNR</w:t>
            </w:r>
          </w:p>
        </w:tc>
      </w:tr>
      <w:tr w14:paraId="098E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2534BC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8B7E3A8">
            <w:pPr>
              <w:ind w:left="0" w:firstLine="0" w:firstLineChars="0"/>
              <w:rPr>
                <w:sz w:val="18"/>
                <w:szCs w:val="18"/>
                <w:highlight w:val="none"/>
              </w:rPr>
            </w:pPr>
            <w:r>
              <w:rPr>
                <w:rFonts w:hint="eastAsia" w:ascii="宋体" w:eastAsia="宋体" w:cs="Lucida Sans"/>
                <w:color w:val="auto"/>
                <w:sz w:val="18"/>
                <w:szCs w:val="18"/>
                <w:highlight w:val="none"/>
                <w:lang w:bidi="ar-SA"/>
              </w:rPr>
              <w:t>1.2TB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FEAF327">
            <w:pPr>
              <w:ind w:left="0" w:firstLine="0" w:firstLineChars="0"/>
              <w:rPr>
                <w:sz w:val="18"/>
                <w:szCs w:val="18"/>
                <w:highlight w:val="none"/>
              </w:rPr>
            </w:pPr>
            <w:r>
              <w:rPr>
                <w:rFonts w:hint="eastAsia" w:ascii="宋体" w:eastAsia="宋体" w:cs="Lucida Sans"/>
                <w:color w:val="auto"/>
                <w:sz w:val="18"/>
                <w:szCs w:val="18"/>
                <w:highlight w:val="none"/>
                <w:lang w:bidi="ar-SA"/>
              </w:rPr>
              <w:t>02312RBV</w:t>
            </w:r>
          </w:p>
        </w:tc>
      </w:tr>
      <w:tr w14:paraId="763F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7E2486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5CE03E4">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15A7412">
            <w:pPr>
              <w:ind w:left="0" w:firstLine="0" w:firstLineChars="0"/>
              <w:rPr>
                <w:sz w:val="18"/>
                <w:szCs w:val="18"/>
                <w:highlight w:val="none"/>
              </w:rPr>
            </w:pPr>
            <w:r>
              <w:rPr>
                <w:rFonts w:hint="eastAsia" w:ascii="宋体" w:eastAsia="宋体" w:cs="Lucida Sans"/>
                <w:color w:val="auto"/>
                <w:sz w:val="18"/>
                <w:szCs w:val="18"/>
                <w:highlight w:val="none"/>
                <w:lang w:bidi="ar-SA"/>
              </w:rPr>
              <w:t>02311HAK</w:t>
            </w:r>
          </w:p>
        </w:tc>
      </w:tr>
      <w:tr w14:paraId="78C5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3671DB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5E226E">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A0B27D4">
            <w:pPr>
              <w:ind w:left="0" w:firstLine="0" w:firstLineChars="0"/>
              <w:rPr>
                <w:sz w:val="18"/>
                <w:szCs w:val="18"/>
                <w:highlight w:val="none"/>
              </w:rPr>
            </w:pPr>
            <w:r>
              <w:rPr>
                <w:rFonts w:hint="eastAsia" w:ascii="宋体" w:eastAsia="宋体" w:cs="Lucida Sans"/>
                <w:color w:val="auto"/>
                <w:sz w:val="18"/>
                <w:szCs w:val="18"/>
                <w:highlight w:val="none"/>
                <w:lang w:bidi="ar-SA"/>
              </w:rPr>
              <w:t>02311EXX</w:t>
            </w:r>
          </w:p>
        </w:tc>
      </w:tr>
      <w:tr w14:paraId="38D5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297F6B7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5F9126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w:t>
            </w:r>
            <w:r>
              <w:rPr>
                <w:rFonts w:hint="eastAsia" w:ascii="宋体" w:eastAsia="宋体" w:cs="Lucida Sans"/>
                <w:color w:val="auto"/>
                <w:sz w:val="18"/>
                <w:szCs w:val="18"/>
                <w:highlight w:val="none"/>
                <w:lang w:bidi="ar-SA"/>
              </w:rPr>
              <w:t>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D92638B">
            <w:pPr>
              <w:ind w:left="0" w:firstLine="0" w:firstLineChars="0"/>
              <w:rPr>
                <w:sz w:val="18"/>
                <w:szCs w:val="18"/>
                <w:highlight w:val="none"/>
              </w:rPr>
            </w:pPr>
            <w:r>
              <w:rPr>
                <w:rFonts w:hint="eastAsia" w:ascii="宋体" w:eastAsia="宋体" w:cs="Lucida Sans"/>
                <w:color w:val="auto"/>
                <w:sz w:val="18"/>
                <w:szCs w:val="18"/>
                <w:highlight w:val="none"/>
                <w:lang w:bidi="ar-SA"/>
              </w:rPr>
              <w:t>02311AY</w:t>
            </w:r>
            <w:r>
              <w:rPr>
                <w:rFonts w:ascii="宋体" w:eastAsia="宋体" w:cs="Lucida Sans"/>
                <w:color w:val="auto"/>
                <w:sz w:val="18"/>
                <w:szCs w:val="18"/>
                <w:highlight w:val="none"/>
                <w:lang w:bidi="ar-SA"/>
              </w:rPr>
              <w:t>T</w:t>
            </w:r>
          </w:p>
        </w:tc>
      </w:tr>
      <w:tr w14:paraId="32F7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8BBF23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DF09B16">
            <w:pPr>
              <w:ind w:left="0" w:firstLine="0" w:firstLineChars="0"/>
              <w:rPr>
                <w:sz w:val="18"/>
                <w:szCs w:val="18"/>
                <w:highlight w:val="none"/>
              </w:rPr>
            </w:pPr>
            <w:r>
              <w:rPr>
                <w:rFonts w:hint="eastAsia" w:ascii="宋体" w:eastAsia="宋体" w:cs="Lucida Sans"/>
                <w:color w:val="auto"/>
                <w:sz w:val="18"/>
                <w:szCs w:val="18"/>
                <w:highlight w:val="none"/>
                <w:lang w:bidi="ar-SA"/>
              </w:rPr>
              <w:t>4TB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1B996F4">
            <w:pPr>
              <w:ind w:left="0" w:firstLine="0" w:firstLineChars="0"/>
              <w:rPr>
                <w:sz w:val="18"/>
                <w:szCs w:val="18"/>
                <w:highlight w:val="none"/>
              </w:rPr>
            </w:pPr>
            <w:r>
              <w:rPr>
                <w:rFonts w:hint="eastAsia" w:ascii="宋体" w:eastAsia="宋体" w:cs="Lucida Sans"/>
                <w:color w:val="auto"/>
                <w:sz w:val="18"/>
                <w:szCs w:val="18"/>
                <w:highlight w:val="none"/>
                <w:lang w:bidi="ar-SA"/>
              </w:rPr>
              <w:t>02311AYV</w:t>
            </w:r>
          </w:p>
        </w:tc>
      </w:tr>
      <w:tr w14:paraId="0B8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7460FC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7D59527">
            <w:pPr>
              <w:ind w:left="0" w:firstLine="0" w:firstLineChars="0"/>
              <w:rPr>
                <w:sz w:val="18"/>
                <w:szCs w:val="18"/>
                <w:highlight w:val="none"/>
              </w:rPr>
            </w:pPr>
            <w:r>
              <w:rPr>
                <w:rFonts w:hint="eastAsia" w:ascii="宋体" w:eastAsia="宋体" w:cs="Lucida Sans"/>
                <w:color w:val="auto"/>
                <w:sz w:val="18"/>
                <w:szCs w:val="18"/>
                <w:highlight w:val="none"/>
                <w:lang w:bidi="ar-SA"/>
              </w:rPr>
              <w:t>8TB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C1B07AE">
            <w:pPr>
              <w:ind w:left="0" w:firstLine="0" w:firstLineChars="0"/>
              <w:rPr>
                <w:sz w:val="18"/>
                <w:szCs w:val="18"/>
                <w:highlight w:val="none"/>
              </w:rPr>
            </w:pPr>
            <w:r>
              <w:rPr>
                <w:rFonts w:hint="eastAsia" w:ascii="宋体" w:eastAsia="宋体" w:cs="Lucida Sans"/>
                <w:color w:val="auto"/>
                <w:sz w:val="18"/>
                <w:szCs w:val="18"/>
                <w:highlight w:val="none"/>
                <w:lang w:bidi="ar-SA"/>
              </w:rPr>
              <w:t>02311JRE</w:t>
            </w:r>
          </w:p>
        </w:tc>
      </w:tr>
      <w:tr w14:paraId="39E5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7E1EA94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DFFBA21">
            <w:pPr>
              <w:ind w:left="0" w:firstLine="0" w:firstLineChars="0"/>
              <w:rPr>
                <w:rFonts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32GB DDR4 RDIMM 2</w:t>
            </w:r>
            <w:r>
              <w:rPr>
                <w:rFonts w:ascii="宋体" w:eastAsia="宋体" w:cs="Lucida Sans"/>
                <w:color w:val="auto"/>
                <w:sz w:val="18"/>
                <w:szCs w:val="18"/>
                <w:highlight w:val="none"/>
                <w:lang w:bidi="ar-SA"/>
              </w:rPr>
              <w:t>933</w:t>
            </w:r>
            <w:r>
              <w:rPr>
                <w:rFonts w:hint="eastAsia" w:ascii="宋体" w:eastAsia="宋体" w:cs="Lucida Sans"/>
                <w:color w:val="auto"/>
                <w:sz w:val="18"/>
                <w:szCs w:val="18"/>
                <w:highlight w:val="none"/>
                <w:lang w:bidi="ar-SA"/>
              </w:rPr>
              <w:t xml:space="preserve">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0A1A7E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06200317</w:t>
            </w:r>
          </w:p>
        </w:tc>
      </w:tr>
      <w:tr w14:paraId="33A2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0812EFC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BFD0C5">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2666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27B0A4">
            <w:pPr>
              <w:ind w:left="0" w:firstLine="0" w:firstLineChars="0"/>
              <w:rPr>
                <w:sz w:val="18"/>
                <w:szCs w:val="18"/>
                <w:highlight w:val="none"/>
              </w:rPr>
            </w:pPr>
            <w:r>
              <w:rPr>
                <w:rFonts w:hint="eastAsia" w:ascii="宋体" w:eastAsia="宋体" w:cs="Lucida Sans"/>
                <w:color w:val="auto"/>
                <w:sz w:val="18"/>
                <w:szCs w:val="18"/>
                <w:highlight w:val="none"/>
                <w:lang w:bidi="ar-SA"/>
              </w:rPr>
              <w:t>06200241</w:t>
            </w:r>
          </w:p>
        </w:tc>
      </w:tr>
      <w:tr w14:paraId="1280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A8FD38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51DDEC2">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2133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1F8CE7D">
            <w:pPr>
              <w:ind w:left="0" w:firstLine="0" w:firstLineChars="0"/>
              <w:rPr>
                <w:sz w:val="18"/>
                <w:szCs w:val="18"/>
                <w:highlight w:val="none"/>
              </w:rPr>
            </w:pPr>
            <w:r>
              <w:rPr>
                <w:rFonts w:hint="eastAsia" w:ascii="宋体" w:eastAsia="宋体" w:cs="Lucida Sans"/>
                <w:color w:val="auto"/>
                <w:sz w:val="18"/>
                <w:szCs w:val="18"/>
                <w:highlight w:val="none"/>
                <w:lang w:bidi="ar-SA"/>
              </w:rPr>
              <w:t>06200201</w:t>
            </w:r>
          </w:p>
        </w:tc>
      </w:tr>
      <w:tr w14:paraId="5329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DD15E6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BF524F">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60A1659">
            <w:pPr>
              <w:ind w:left="0" w:firstLine="0" w:firstLineChars="0"/>
              <w:rPr>
                <w:sz w:val="18"/>
                <w:szCs w:val="18"/>
                <w:highlight w:val="none"/>
              </w:rPr>
            </w:pPr>
            <w:r>
              <w:rPr>
                <w:rFonts w:hint="eastAsia" w:ascii="宋体" w:eastAsia="宋体" w:cs="Lucida Sans"/>
                <w:color w:val="auto"/>
                <w:sz w:val="18"/>
                <w:szCs w:val="18"/>
                <w:highlight w:val="none"/>
                <w:lang w:bidi="ar-SA"/>
              </w:rPr>
              <w:t>06200213</w:t>
            </w:r>
          </w:p>
        </w:tc>
      </w:tr>
      <w:tr w14:paraId="2DBD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9704F4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238F494">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E66280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02311VSF</w:t>
            </w:r>
          </w:p>
        </w:tc>
      </w:tr>
      <w:tr w14:paraId="46E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15EDEC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2ED73C">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7A6751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02310YKN</w:t>
            </w:r>
          </w:p>
        </w:tc>
      </w:tr>
      <w:tr w14:paraId="1AB9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D59594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3989D">
            <w:pPr>
              <w:ind w:left="0" w:firstLine="0" w:firstLineChars="0"/>
              <w:rPr>
                <w:sz w:val="18"/>
                <w:szCs w:val="18"/>
                <w:highlight w:val="none"/>
              </w:rPr>
            </w:pPr>
            <w:r>
              <w:rPr>
                <w:rFonts w:hint="eastAsia" w:ascii="宋体" w:eastAsia="宋体" w:cs="Lucida Sans"/>
                <w:color w:val="auto"/>
                <w:sz w:val="18"/>
                <w:szCs w:val="18"/>
                <w:highlight w:val="none"/>
                <w:u w:val="none" w:color="auto"/>
                <w:lang w:bidi="ar-SA"/>
              </w:rPr>
              <w:t>900W交流电源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99B5B8">
            <w:pPr>
              <w:ind w:left="0" w:firstLine="0" w:firstLineChars="0"/>
              <w:rPr>
                <w:sz w:val="18"/>
                <w:szCs w:val="18"/>
                <w:highlight w:val="none"/>
              </w:rPr>
            </w:pPr>
            <w:r>
              <w:rPr>
                <w:rFonts w:hint="eastAsia" w:ascii="宋体" w:eastAsia="宋体" w:cs="Lucida Sans"/>
                <w:color w:val="auto"/>
                <w:sz w:val="18"/>
                <w:szCs w:val="18"/>
                <w:highlight w:val="none"/>
                <w:lang w:bidi="ar-SA"/>
              </w:rPr>
              <w:t>02311TLF</w:t>
            </w:r>
          </w:p>
        </w:tc>
      </w:tr>
      <w:tr w14:paraId="2DB8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34D5B23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DCFCC28">
            <w:pPr>
              <w:ind w:left="0" w:firstLine="0" w:firstLineChars="0"/>
              <w:rPr>
                <w:sz w:val="18"/>
                <w:szCs w:val="18"/>
                <w:highlight w:val="none"/>
              </w:rPr>
            </w:pPr>
            <w:r>
              <w:rPr>
                <w:rFonts w:hint="eastAsia" w:ascii="宋体" w:eastAsia="宋体" w:cs="Lucida Sans"/>
                <w:color w:val="auto"/>
                <w:sz w:val="18"/>
                <w:szCs w:val="18"/>
                <w:highlight w:val="none"/>
                <w:u w:val="none"/>
                <w:vertAlign w:val="baseline"/>
                <w:lang w:bidi="ar-SA"/>
              </w:rPr>
              <w:t>750W交流电源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7370E88">
            <w:pPr>
              <w:ind w:left="0" w:firstLine="0" w:firstLineChars="0"/>
              <w:rPr>
                <w:sz w:val="18"/>
                <w:szCs w:val="18"/>
                <w:highlight w:val="none"/>
              </w:rPr>
            </w:pPr>
            <w:r>
              <w:rPr>
                <w:rFonts w:hint="eastAsia" w:ascii="宋体" w:eastAsia="宋体" w:cs="Lucida Sans"/>
                <w:color w:val="auto"/>
                <w:sz w:val="18"/>
                <w:szCs w:val="18"/>
                <w:highlight w:val="none"/>
                <w:lang w:bidi="ar-SA"/>
              </w:rPr>
              <w:t>02310QWX</w:t>
            </w:r>
          </w:p>
        </w:tc>
      </w:tr>
      <w:tr w14:paraId="5802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14:paraId="05DCD7DE">
            <w:pPr>
              <w:jc w:val="center"/>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同方</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36B7DEB">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C7277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M393A4K40BB2-CTD</w:t>
            </w:r>
          </w:p>
        </w:tc>
      </w:tr>
      <w:tr w14:paraId="018A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683F2AF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BB2F83">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 xml:space="preserve">SEAGATE </w:t>
            </w: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9101133">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ST1200MM0129</w:t>
            </w:r>
          </w:p>
        </w:tc>
      </w:tr>
      <w:tr w14:paraId="6BF2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06403D3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5511EA0">
            <w:pPr>
              <w:ind w:left="0" w:firstLine="0" w:firstLineChars="0"/>
              <w:rPr>
                <w:rFonts w:hint="eastAsia" w:ascii="宋体" w:eastAsia="宋体" w:cs="Lucida Sans"/>
                <w:color w:val="auto"/>
                <w:sz w:val="18"/>
                <w:szCs w:val="18"/>
                <w:highlight w:val="none"/>
                <w:u w:val="none"/>
                <w:vertAlign w:val="baseline"/>
                <w:lang w:bidi="ar-SA"/>
              </w:rPr>
            </w:pPr>
            <w:r>
              <w:rPr>
                <w:rFonts w:hint="eastAsia" w:ascii="宋体" w:eastAsia="宋体"/>
                <w:sz w:val="18"/>
                <w:szCs w:val="18"/>
                <w:highlight w:val="none"/>
              </w:rPr>
              <w:t>Great Wall  800W电源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498F8C8">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CRPS800</w:t>
            </w:r>
          </w:p>
        </w:tc>
      </w:tr>
      <w:tr w14:paraId="0183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204CBD45">
            <w:pPr>
              <w:jc w:val="center"/>
              <w:rPr>
                <w:sz w:val="18"/>
                <w:szCs w:val="18"/>
                <w:highlight w:val="none"/>
              </w:rPr>
            </w:pPr>
            <w:r>
              <w:rPr>
                <w:rFonts w:hint="eastAsia" w:ascii="宋体" w:eastAsia="宋体" w:cs="Lucida Sans"/>
                <w:color w:val="auto"/>
                <w:sz w:val="18"/>
                <w:szCs w:val="18"/>
                <w:highlight w:val="none"/>
                <w:lang w:bidi="ar-SA"/>
              </w:rPr>
              <w:t>联想</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8D13B52">
            <w:pPr>
              <w:ind w:left="0" w:firstLine="0" w:firstLineChars="0"/>
              <w:rPr>
                <w:sz w:val="18"/>
                <w:szCs w:val="18"/>
                <w:highlight w:val="none"/>
              </w:rPr>
            </w:pP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16D35BB">
            <w:pPr>
              <w:ind w:left="0" w:firstLine="0" w:firstLineChars="0"/>
              <w:rPr>
                <w:sz w:val="18"/>
                <w:szCs w:val="18"/>
                <w:highlight w:val="none"/>
              </w:rPr>
            </w:pPr>
            <w:r>
              <w:rPr>
                <w:rFonts w:hint="eastAsia" w:ascii="宋体" w:eastAsia="宋体" w:cs="Lucida Sans"/>
                <w:color w:val="auto"/>
                <w:sz w:val="18"/>
                <w:szCs w:val="18"/>
                <w:highlight w:val="none"/>
                <w:lang w:bidi="ar-SA"/>
              </w:rPr>
              <w:t>00YK016</w:t>
            </w:r>
          </w:p>
        </w:tc>
      </w:tr>
      <w:tr w14:paraId="20B2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98871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1BAA1C1">
            <w:pPr>
              <w:ind w:left="0" w:firstLine="0" w:firstLineChars="0"/>
              <w:rPr>
                <w:sz w:val="18"/>
                <w:szCs w:val="18"/>
                <w:highlight w:val="none"/>
              </w:rPr>
            </w:pPr>
            <w:r>
              <w:rPr>
                <w:rFonts w:hint="eastAsia" w:ascii="宋体" w:eastAsia="宋体" w:cs="Lucida Sans"/>
                <w:color w:val="auto"/>
                <w:sz w:val="18"/>
                <w:szCs w:val="18"/>
                <w:highlight w:val="none"/>
                <w:lang w:bidi="ar-SA"/>
              </w:rPr>
              <w:t>1.8TB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31BC3FE">
            <w:pPr>
              <w:ind w:left="0" w:firstLine="0" w:firstLineChars="0"/>
              <w:rPr>
                <w:sz w:val="18"/>
                <w:szCs w:val="18"/>
                <w:highlight w:val="none"/>
              </w:rPr>
            </w:pPr>
            <w:r>
              <w:rPr>
                <w:rFonts w:hint="eastAsia" w:ascii="宋体" w:eastAsia="宋体" w:cs="Lucida Sans"/>
                <w:color w:val="auto"/>
                <w:sz w:val="18"/>
                <w:szCs w:val="18"/>
                <w:highlight w:val="none"/>
                <w:lang w:bidi="ar-SA"/>
              </w:rPr>
              <w:t>00YK017</w:t>
            </w:r>
          </w:p>
        </w:tc>
      </w:tr>
      <w:tr w14:paraId="63E8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40AC6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528F01">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2933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9FD2728">
            <w:pPr>
              <w:ind w:left="0" w:firstLine="0" w:firstLineChars="0"/>
              <w:rPr>
                <w:sz w:val="18"/>
                <w:szCs w:val="18"/>
                <w:highlight w:val="none"/>
              </w:rPr>
            </w:pPr>
            <w:r>
              <w:rPr>
                <w:rFonts w:hint="eastAsia" w:ascii="宋体" w:eastAsia="宋体" w:cs="Lucida Sans"/>
                <w:color w:val="auto"/>
                <w:sz w:val="18"/>
                <w:szCs w:val="18"/>
                <w:highlight w:val="none"/>
                <w:lang w:bidi="ar-SA"/>
              </w:rPr>
              <w:t>01KR355</w:t>
            </w:r>
          </w:p>
        </w:tc>
      </w:tr>
      <w:tr w14:paraId="0BB4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00037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31AF845">
            <w:pPr>
              <w:ind w:left="0" w:firstLine="0" w:firstLineChars="0"/>
              <w:rPr>
                <w:sz w:val="18"/>
                <w:szCs w:val="18"/>
                <w:highlight w:val="none"/>
              </w:rPr>
            </w:pPr>
            <w:r>
              <w:rPr>
                <w:rFonts w:hint="eastAsia" w:ascii="宋体" w:eastAsia="宋体" w:cs="Lucida Sans"/>
                <w:color w:val="auto"/>
                <w:sz w:val="18"/>
                <w:szCs w:val="18"/>
                <w:highlight w:val="none"/>
                <w:lang w:bidi="ar-SA"/>
              </w:rPr>
              <w:t>1100W电源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B1CF352">
            <w:pPr>
              <w:ind w:left="0" w:firstLine="0" w:firstLineChars="0"/>
              <w:rPr>
                <w:sz w:val="18"/>
                <w:szCs w:val="18"/>
                <w:highlight w:val="none"/>
              </w:rPr>
            </w:pPr>
            <w:r>
              <w:rPr>
                <w:rFonts w:hint="eastAsia" w:ascii="宋体" w:eastAsia="宋体" w:cs="Lucida Sans"/>
                <w:color w:val="auto"/>
                <w:sz w:val="18"/>
                <w:szCs w:val="18"/>
                <w:highlight w:val="none"/>
                <w:lang w:bidi="ar-SA"/>
              </w:rPr>
              <w:t>01PF096</w:t>
            </w:r>
          </w:p>
        </w:tc>
      </w:tr>
      <w:tr w14:paraId="2F0B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4F9CD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2E6F08E">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35AACF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01KP692</w:t>
            </w:r>
          </w:p>
        </w:tc>
      </w:tr>
      <w:tr w14:paraId="3BB8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344C93">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富士康</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41B6B8E">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Micron M500DC 800GB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17E4A33">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MTFDDAK800MBB</w:t>
            </w:r>
          </w:p>
        </w:tc>
      </w:tr>
      <w:tr w14:paraId="24D7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20D2F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675C03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Skhynix 32GB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553ECCE">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HMA84GR7AFR4N-UH</w:t>
            </w:r>
          </w:p>
        </w:tc>
      </w:tr>
      <w:tr w14:paraId="1D54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644BB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6B94A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00D122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V60E12BS2CB5-07</w:t>
            </w:r>
          </w:p>
        </w:tc>
      </w:tr>
      <w:tr w14:paraId="5C08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54113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DDC81D4">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1B1F9A3">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D</w:t>
            </w:r>
          </w:p>
        </w:tc>
      </w:tr>
      <w:tr w14:paraId="2E25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339DEEE">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浪潮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7B34955">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SEAGATE 600GB SAS</w:t>
            </w:r>
            <w:r>
              <w:rPr>
                <w:rFonts w:hint="eastAsia" w:ascii="宋体" w:eastAsia="宋体" w:cs="Lucida Sans"/>
                <w:color w:val="auto"/>
                <w:sz w:val="18"/>
                <w:szCs w:val="18"/>
                <w:highlight w:val="none"/>
                <w:lang w:bidi="ar-SA"/>
              </w:rPr>
              <w:t>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1C065C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w:t>
            </w:r>
            <w:r>
              <w:rPr>
                <w:rFonts w:ascii="宋体" w:eastAsia="宋体" w:cs="Lucida Sans"/>
                <w:color w:val="auto"/>
                <w:sz w:val="18"/>
                <w:szCs w:val="18"/>
                <w:highlight w:val="none"/>
                <w:lang w:bidi="ar-SA"/>
              </w:rPr>
              <w:t>600</w:t>
            </w:r>
            <w:r>
              <w:rPr>
                <w:rFonts w:hint="eastAsia" w:ascii="宋体" w:eastAsia="宋体" w:cs="Lucida Sans"/>
                <w:color w:val="auto"/>
                <w:sz w:val="18"/>
                <w:szCs w:val="18"/>
                <w:highlight w:val="none"/>
                <w:lang w:bidi="ar-SA"/>
              </w:rPr>
              <w:t>MM0</w:t>
            </w:r>
            <w:r>
              <w:rPr>
                <w:rFonts w:ascii="宋体" w:eastAsia="宋体" w:cs="Lucida Sans"/>
                <w:color w:val="auto"/>
                <w:sz w:val="18"/>
                <w:szCs w:val="18"/>
                <w:highlight w:val="none"/>
                <w:lang w:bidi="ar-SA"/>
              </w:rPr>
              <w:t>00</w:t>
            </w:r>
            <w:r>
              <w:rPr>
                <w:rFonts w:hint="eastAsia" w:ascii="宋体" w:eastAsia="宋体" w:cs="Lucida Sans"/>
                <w:color w:val="auto"/>
                <w:sz w:val="18"/>
                <w:szCs w:val="18"/>
                <w:highlight w:val="none"/>
                <w:lang w:bidi="ar-SA"/>
              </w:rPr>
              <w:t>9</w:t>
            </w:r>
          </w:p>
        </w:tc>
      </w:tr>
      <w:tr w14:paraId="73B3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A5E2E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E861C5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Micron 16GB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BFAFB3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MTA18ASF2G72PZ-2G3B1IG</w:t>
            </w:r>
          </w:p>
        </w:tc>
      </w:tr>
      <w:tr w14:paraId="6D45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AD058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56D460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DC71212">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V80E12BUA7-07</w:t>
            </w:r>
          </w:p>
        </w:tc>
      </w:tr>
      <w:tr w14:paraId="781A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BDFB9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3CF7C59">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CAE481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A</w:t>
            </w:r>
          </w:p>
        </w:tc>
      </w:tr>
    </w:tbl>
    <w:p w14:paraId="2826A7CC">
      <w:pPr>
        <w:ind w:left="360"/>
        <w:rPr>
          <w:highlight w:val="none"/>
        </w:rPr>
      </w:pPr>
      <w:r>
        <w:rPr>
          <w:highlight w:val="none"/>
        </w:rPr>
        <w:t>2.6 交付物</w:t>
      </w:r>
    </w:p>
    <w:tbl>
      <w:tblPr>
        <w:tblStyle w:val="1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5D29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0B4A91DE">
            <w:pPr>
              <w:ind w:left="0" w:firstLine="0" w:firstLineChars="0"/>
              <w:rPr>
                <w:rFonts w:hint="eastAsia" w:ascii="宋体"/>
                <w:highlight w:val="none"/>
              </w:rPr>
            </w:pPr>
            <w:r>
              <w:rPr>
                <w:rFonts w:hint="eastAsia" w:ascii="宋体"/>
                <w:highlight w:val="none"/>
              </w:rPr>
              <w:t>编号</w:t>
            </w:r>
          </w:p>
        </w:tc>
        <w:tc>
          <w:tcPr>
            <w:tcW w:w="3500" w:type="dxa"/>
            <w:tcBorders>
              <w:tl2br w:val="nil"/>
              <w:tr2bl w:val="nil"/>
            </w:tcBorders>
          </w:tcPr>
          <w:p w14:paraId="49E09F1B">
            <w:pPr>
              <w:ind w:left="0" w:firstLine="0" w:firstLineChars="0"/>
              <w:rPr>
                <w:rFonts w:hint="eastAsia" w:ascii="宋体"/>
                <w:highlight w:val="none"/>
              </w:rPr>
            </w:pPr>
            <w:r>
              <w:rPr>
                <w:rFonts w:hint="eastAsia" w:ascii="宋体"/>
                <w:highlight w:val="none"/>
              </w:rPr>
              <w:t>名  称</w:t>
            </w:r>
          </w:p>
        </w:tc>
        <w:tc>
          <w:tcPr>
            <w:tcW w:w="4362" w:type="dxa"/>
            <w:tcBorders>
              <w:tl2br w:val="nil"/>
              <w:tr2bl w:val="nil"/>
            </w:tcBorders>
          </w:tcPr>
          <w:p w14:paraId="338ACB41">
            <w:pPr>
              <w:jc w:val="center"/>
              <w:rPr>
                <w:rFonts w:hint="eastAsia" w:ascii="宋体"/>
                <w:highlight w:val="none"/>
              </w:rPr>
            </w:pPr>
            <w:r>
              <w:rPr>
                <w:rFonts w:hint="eastAsia" w:ascii="宋体"/>
                <w:highlight w:val="none"/>
              </w:rPr>
              <w:t>规 格</w:t>
            </w:r>
          </w:p>
        </w:tc>
      </w:tr>
      <w:tr w14:paraId="650B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8823D19">
            <w:pPr>
              <w:ind w:left="0" w:firstLine="0" w:firstLineChars="0"/>
              <w:rPr>
                <w:rFonts w:hint="eastAsia" w:ascii="宋体"/>
                <w:highlight w:val="none"/>
              </w:rPr>
            </w:pPr>
            <w:r>
              <w:rPr>
                <w:rFonts w:hint="eastAsia" w:ascii="宋体"/>
                <w:highlight w:val="none"/>
              </w:rPr>
              <w:t>1</w:t>
            </w:r>
          </w:p>
        </w:tc>
        <w:tc>
          <w:tcPr>
            <w:tcW w:w="3500" w:type="dxa"/>
            <w:tcBorders>
              <w:tl2br w:val="nil"/>
              <w:tr2bl w:val="nil"/>
            </w:tcBorders>
          </w:tcPr>
          <w:p w14:paraId="65371ED6">
            <w:pPr>
              <w:ind w:left="0" w:firstLine="0" w:firstLineChars="0"/>
              <w:rPr>
                <w:rFonts w:hint="eastAsia" w:ascii="宋体"/>
                <w:highlight w:val="none"/>
              </w:rPr>
            </w:pPr>
            <w:r>
              <w:rPr>
                <w:rFonts w:hint="eastAsia" w:ascii="宋体"/>
                <w:highlight w:val="none"/>
              </w:rPr>
              <w:t>《现场服务报告单》</w:t>
            </w:r>
          </w:p>
        </w:tc>
        <w:tc>
          <w:tcPr>
            <w:tcW w:w="4362" w:type="dxa"/>
            <w:tcBorders>
              <w:tl2br w:val="nil"/>
              <w:tr2bl w:val="nil"/>
            </w:tcBorders>
          </w:tcPr>
          <w:p w14:paraId="40EB91E3">
            <w:pPr>
              <w:ind w:left="0" w:firstLine="0" w:firstLineChars="0"/>
              <w:rPr>
                <w:rFonts w:hint="eastAsia" w:ascii="宋体"/>
                <w:highlight w:val="none"/>
              </w:rPr>
            </w:pPr>
            <w:r>
              <w:rPr>
                <w:rFonts w:hint="eastAsia" w:ascii="宋体"/>
                <w:highlight w:val="none"/>
              </w:rPr>
              <w:t xml:space="preserve">每次现场服务后, </w:t>
            </w:r>
            <w:r>
              <w:rPr>
                <w:rFonts w:ascii="宋体"/>
                <w:highlight w:val="none"/>
              </w:rPr>
              <w:t>5个工作日内，</w:t>
            </w:r>
            <w:r>
              <w:rPr>
                <w:rFonts w:hint="eastAsia" w:ascii="宋体"/>
                <w:highlight w:val="none"/>
              </w:rPr>
              <w:t>由</w:t>
            </w:r>
            <w:r>
              <w:rPr>
                <w:rFonts w:ascii="宋体"/>
                <w:highlight w:val="none"/>
              </w:rPr>
              <w:t>响应人</w:t>
            </w:r>
            <w:r>
              <w:rPr>
                <w:rFonts w:hint="eastAsia" w:ascii="宋体"/>
                <w:highlight w:val="none"/>
              </w:rPr>
              <w:t xml:space="preserve">填写, </w:t>
            </w:r>
            <w:r>
              <w:rPr>
                <w:rFonts w:ascii="宋体"/>
                <w:highlight w:val="none"/>
              </w:rPr>
              <w:t>采购人</w:t>
            </w:r>
            <w:r>
              <w:rPr>
                <w:rFonts w:hint="eastAsia" w:ascii="宋体"/>
                <w:highlight w:val="none"/>
              </w:rPr>
              <w:t>项目经理签字认可。</w:t>
            </w:r>
          </w:p>
        </w:tc>
      </w:tr>
      <w:tr w14:paraId="2F27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72C3D8B">
            <w:pPr>
              <w:ind w:left="0" w:firstLine="0" w:firstLineChars="0"/>
              <w:rPr>
                <w:rFonts w:ascii="宋体"/>
                <w:highlight w:val="none"/>
              </w:rPr>
            </w:pPr>
            <w:r>
              <w:rPr>
                <w:rFonts w:ascii="宋体"/>
                <w:highlight w:val="none"/>
              </w:rPr>
              <w:t>2</w:t>
            </w:r>
          </w:p>
        </w:tc>
        <w:tc>
          <w:tcPr>
            <w:tcW w:w="3500" w:type="dxa"/>
            <w:tcBorders>
              <w:tl2br w:val="nil"/>
              <w:tr2bl w:val="nil"/>
            </w:tcBorders>
          </w:tcPr>
          <w:p w14:paraId="6A406C97">
            <w:pPr>
              <w:ind w:left="0" w:firstLine="0" w:firstLineChars="0"/>
              <w:rPr>
                <w:rFonts w:ascii="宋体"/>
                <w:highlight w:val="none"/>
              </w:rPr>
            </w:pPr>
            <w:r>
              <w:rPr>
                <w:rFonts w:ascii="宋体"/>
                <w:highlight w:val="none"/>
              </w:rPr>
              <w:t>《现场服务沟通和技术交流确认单》</w:t>
            </w:r>
          </w:p>
        </w:tc>
        <w:tc>
          <w:tcPr>
            <w:tcW w:w="4362" w:type="dxa"/>
            <w:tcBorders>
              <w:tl2br w:val="nil"/>
              <w:tr2bl w:val="nil"/>
            </w:tcBorders>
          </w:tcPr>
          <w:p w14:paraId="35DAD9D4">
            <w:pPr>
              <w:ind w:left="0" w:firstLine="0" w:firstLineChars="0"/>
              <w:rPr>
                <w:rFonts w:ascii="宋体"/>
                <w:highlight w:val="none"/>
              </w:rPr>
            </w:pPr>
            <w:r>
              <w:rPr>
                <w:rFonts w:ascii="宋体"/>
                <w:highlight w:val="none"/>
              </w:rPr>
              <w:t>响应人项目经理和2名服务工程师每月到采购人现场进行服务沟通和技术交流后，5个工作日内，响应人找采购人项目经理签字确认。</w:t>
            </w:r>
          </w:p>
        </w:tc>
      </w:tr>
      <w:tr w14:paraId="19F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193304E">
            <w:pPr>
              <w:ind w:left="0" w:firstLine="0" w:firstLineChars="0"/>
              <w:rPr>
                <w:rFonts w:hint="eastAsia" w:ascii="宋体"/>
                <w:highlight w:val="none"/>
              </w:rPr>
            </w:pPr>
            <w:r>
              <w:rPr>
                <w:rFonts w:ascii="宋体"/>
                <w:highlight w:val="none"/>
              </w:rPr>
              <w:t>3</w:t>
            </w:r>
          </w:p>
        </w:tc>
        <w:tc>
          <w:tcPr>
            <w:tcW w:w="3500" w:type="dxa"/>
            <w:tcBorders>
              <w:tl2br w:val="nil"/>
              <w:tr2bl w:val="nil"/>
            </w:tcBorders>
          </w:tcPr>
          <w:p w14:paraId="3EA54D0C">
            <w:pPr>
              <w:ind w:left="0" w:firstLine="0" w:firstLineChars="0"/>
              <w:rPr>
                <w:rFonts w:hint="eastAsia" w:ascii="宋体"/>
                <w:highlight w:val="none"/>
              </w:rPr>
            </w:pPr>
            <w:r>
              <w:rPr>
                <w:rFonts w:hint="eastAsia" w:ascii="宋体"/>
                <w:highlight w:val="none"/>
              </w:rPr>
              <w:t>《巡检报告》</w:t>
            </w:r>
          </w:p>
        </w:tc>
        <w:tc>
          <w:tcPr>
            <w:tcW w:w="4362" w:type="dxa"/>
            <w:tcBorders>
              <w:tl2br w:val="nil"/>
              <w:tr2bl w:val="nil"/>
            </w:tcBorders>
          </w:tcPr>
          <w:p w14:paraId="45FC13C8">
            <w:pPr>
              <w:ind w:left="0" w:firstLine="0" w:firstLineChars="0"/>
              <w:rPr>
                <w:rFonts w:hint="eastAsia" w:ascii="宋体"/>
                <w:highlight w:val="none"/>
              </w:rPr>
            </w:pPr>
            <w:r>
              <w:rPr>
                <w:rFonts w:hint="eastAsia" w:ascii="宋体"/>
                <w:highlight w:val="none"/>
              </w:rPr>
              <w:t>每季度的巡检完成后，</w:t>
            </w:r>
            <w:r>
              <w:rPr>
                <w:rFonts w:ascii="宋体"/>
                <w:highlight w:val="none"/>
              </w:rPr>
              <w:t>30个工作日内，</w:t>
            </w:r>
            <w:r>
              <w:rPr>
                <w:rFonts w:hint="eastAsia" w:ascii="宋体"/>
                <w:highlight w:val="none"/>
              </w:rPr>
              <w:t>由</w:t>
            </w:r>
            <w:r>
              <w:rPr>
                <w:rFonts w:ascii="宋体"/>
                <w:highlight w:val="none"/>
              </w:rPr>
              <w:t>响应人</w:t>
            </w:r>
            <w:r>
              <w:rPr>
                <w:rFonts w:hint="eastAsia" w:ascii="宋体"/>
                <w:highlight w:val="none"/>
              </w:rPr>
              <w:t>填写并</w:t>
            </w:r>
            <w:r>
              <w:rPr>
                <w:rFonts w:ascii="宋体"/>
                <w:highlight w:val="none"/>
              </w:rPr>
              <w:t>加盖公章后</w:t>
            </w:r>
            <w:r>
              <w:rPr>
                <w:rFonts w:hint="eastAsia" w:ascii="宋体"/>
                <w:highlight w:val="none"/>
              </w:rPr>
              <w:t>提交给</w:t>
            </w:r>
            <w:r>
              <w:rPr>
                <w:rFonts w:ascii="宋体"/>
                <w:highlight w:val="none"/>
              </w:rPr>
              <w:t>采购人</w:t>
            </w:r>
            <w:r>
              <w:rPr>
                <w:rFonts w:hint="eastAsia" w:ascii="宋体"/>
                <w:highlight w:val="none"/>
              </w:rPr>
              <w:t>。</w:t>
            </w:r>
          </w:p>
        </w:tc>
      </w:tr>
    </w:tbl>
    <w:p w14:paraId="77713BF1">
      <w:pPr>
        <w:ind w:left="360"/>
        <w:rPr>
          <w:highlight w:val="none"/>
        </w:rPr>
      </w:pPr>
    </w:p>
    <w:p w14:paraId="070458F2">
      <w:pPr>
        <w:pStyle w:val="3"/>
        <w:numPr>
          <w:ilvl w:val="0"/>
          <w:numId w:val="1"/>
        </w:numPr>
        <w:rPr>
          <w:highlight w:val="none"/>
        </w:rPr>
      </w:pPr>
      <w:bookmarkStart w:id="50" w:name="_Toc89675146"/>
      <w:bookmarkStart w:id="51" w:name="_Toc15059420"/>
      <w:bookmarkStart w:id="52" w:name="_Toc432254881"/>
      <w:bookmarkStart w:id="53" w:name="_Toc1125"/>
      <w:bookmarkStart w:id="54" w:name="_Toc440628915"/>
      <w:bookmarkStart w:id="55" w:name="_Toc387826347"/>
      <w:r>
        <w:rPr>
          <w:rFonts w:hint="eastAsia"/>
          <w:highlight w:val="none"/>
        </w:rPr>
        <w:t>服务连续性预案</w:t>
      </w:r>
    </w:p>
    <w:p w14:paraId="2E86F4B8">
      <w:pPr>
        <w:rPr>
          <w:highlight w:val="none"/>
        </w:rPr>
      </w:pPr>
      <w:r>
        <w:rPr>
          <w:rFonts w:hint="eastAsia"/>
          <w:highlight w:val="none"/>
        </w:rPr>
        <w:t>在本次询比中，响应人应在响应文件中提供服务连续性预案供采购人查看，</w:t>
      </w:r>
      <w:r>
        <w:rPr>
          <w:rFonts w:hint="eastAsia" w:hAnsi="Times New Roman"/>
          <w:highlight w:val="none"/>
        </w:rPr>
        <w:t>服务连续性预案应</w:t>
      </w:r>
      <w:r>
        <w:rPr>
          <w:rFonts w:hAnsi="Times New Roman"/>
          <w:highlight w:val="none"/>
        </w:rPr>
        <w:t>体现服务保障措施及</w:t>
      </w:r>
      <w:r>
        <w:rPr>
          <w:rFonts w:hint="eastAsia" w:hAnsi="Times New Roman"/>
          <w:highlight w:val="none"/>
        </w:rPr>
        <w:t>考虑供应链风险产生的影响</w:t>
      </w:r>
      <w:r>
        <w:rPr>
          <w:rFonts w:hAnsi="Times New Roman"/>
          <w:highlight w:val="none"/>
        </w:rPr>
        <w:t>和保障措施</w:t>
      </w:r>
      <w:r>
        <w:rPr>
          <w:rFonts w:hint="eastAsia"/>
          <w:highlight w:val="none"/>
        </w:rPr>
        <w:t>。【提供服务连续性预案】</w:t>
      </w:r>
    </w:p>
    <w:p w14:paraId="29AF55AA">
      <w:pPr>
        <w:pStyle w:val="3"/>
        <w:numPr>
          <w:ilvl w:val="0"/>
          <w:numId w:val="1"/>
        </w:numPr>
        <w:rPr>
          <w:highlight w:val="none"/>
        </w:rPr>
      </w:pPr>
      <w:r>
        <w:rPr>
          <w:rFonts w:hint="eastAsia"/>
          <w:highlight w:val="none"/>
        </w:rPr>
        <w:t>项目实施方案</w:t>
      </w:r>
    </w:p>
    <w:p w14:paraId="1077B61D">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0"/>
    <w:bookmarkEnd w:id="51"/>
    <w:p w14:paraId="7DD4705D">
      <w:pPr>
        <w:pStyle w:val="3"/>
        <w:numPr>
          <w:ilvl w:val="0"/>
          <w:numId w:val="1"/>
        </w:numPr>
        <w:rPr>
          <w:highlight w:val="none"/>
        </w:rPr>
      </w:pPr>
      <w:bookmarkStart w:id="56" w:name="_Toc15059422"/>
      <w:bookmarkStart w:id="57" w:name="_Toc89675148"/>
      <w:r>
        <w:rPr>
          <w:rFonts w:hint="eastAsia"/>
          <w:highlight w:val="none"/>
        </w:rPr>
        <w:t>付款方式</w:t>
      </w:r>
      <w:bookmarkEnd w:id="56"/>
      <w:bookmarkEnd w:id="57"/>
    </w:p>
    <w:p w14:paraId="19C9A889">
      <w:pPr>
        <w:snapToGrid w:val="0"/>
        <w:ind w:firstLine="420" w:firstLineChars="200"/>
        <w:rPr>
          <w:rFonts w:hint="eastAsia" w:cs="宋体"/>
          <w:snapToGrid w:val="0"/>
          <w:highlight w:val="none"/>
        </w:rPr>
      </w:pPr>
      <w:r>
        <w:rPr>
          <w:rFonts w:cs="宋体"/>
          <w:snapToGrid w:val="0"/>
          <w:highlight w:val="none"/>
        </w:rPr>
        <w:t xml:space="preserve">5.1 </w:t>
      </w:r>
      <w:r>
        <w:rPr>
          <w:rFonts w:hint="eastAsia" w:cs="宋体"/>
          <w:snapToGrid w:val="0"/>
          <w:highlight w:val="none"/>
        </w:rPr>
        <w:t>在服务满半年后，由乙方提出申请，经过甲方服务评审，服务质量达到合同约定的要求后，乙方出具合法足额的增值税专用发票给甲方，甲方于收到发票30个工作日内，将维保服务费用的3</w:t>
      </w:r>
      <w:r>
        <w:rPr>
          <w:rFonts w:hint="eastAsia" w:cs="宋体"/>
          <w:snapToGrid w:val="0"/>
          <w:highlight w:val="none"/>
          <w:lang w:val="en-US" w:eastAsia="zh-CN"/>
        </w:rPr>
        <w:t>0</w:t>
      </w:r>
      <w:r>
        <w:rPr>
          <w:rFonts w:hint="eastAsia" w:cs="宋体"/>
          <w:snapToGrid w:val="0"/>
          <w:highlight w:val="none"/>
        </w:rPr>
        <w:t>%支付给乙方。</w:t>
      </w:r>
    </w:p>
    <w:p w14:paraId="64D755C0">
      <w:pPr>
        <w:snapToGrid w:val="0"/>
        <w:ind w:firstLine="420" w:firstLineChars="200"/>
        <w:rPr>
          <w:rFonts w:hint="eastAsia" w:cs="宋体"/>
          <w:snapToGrid w:val="0"/>
          <w:highlight w:val="none"/>
        </w:rPr>
      </w:pPr>
      <w:r>
        <w:rPr>
          <w:rFonts w:cs="宋体"/>
          <w:snapToGrid w:val="0"/>
          <w:highlight w:val="none"/>
        </w:rPr>
        <w:t xml:space="preserve">5.2 </w:t>
      </w:r>
      <w:r>
        <w:rPr>
          <w:rFonts w:hint="eastAsia" w:cs="宋体"/>
          <w:snapToGrid w:val="0"/>
          <w:highlight w:val="none"/>
        </w:rPr>
        <w:t>在服务满一年后，由乙方提出申请，经过甲方服务评审，服务质量达到合同约定的要求后，乙方出具合法足额的增值税专用发票给甲方，甲方于收到发票30个工作日内将维保服务费用的3</w:t>
      </w:r>
      <w:r>
        <w:rPr>
          <w:rFonts w:hint="eastAsia" w:cs="宋体"/>
          <w:snapToGrid w:val="0"/>
          <w:highlight w:val="none"/>
          <w:lang w:val="en-US" w:eastAsia="zh-CN"/>
        </w:rPr>
        <w:t>0</w:t>
      </w:r>
      <w:r>
        <w:rPr>
          <w:rFonts w:hint="eastAsia" w:cs="宋体"/>
          <w:snapToGrid w:val="0"/>
          <w:highlight w:val="none"/>
        </w:rPr>
        <w:t>%支付给乙方。</w:t>
      </w:r>
    </w:p>
    <w:p w14:paraId="59EBDF9E">
      <w:pPr>
        <w:snapToGrid w:val="0"/>
        <w:ind w:left="360" w:firstLine="420" w:firstLineChars="200"/>
        <w:rPr>
          <w:highlight w:val="none"/>
        </w:rPr>
      </w:pPr>
      <w:r>
        <w:rPr>
          <w:rFonts w:cs="宋体"/>
          <w:snapToGrid w:val="0"/>
          <w:highlight w:val="none"/>
        </w:rPr>
        <w:t xml:space="preserve">5.3 </w:t>
      </w:r>
      <w:r>
        <w:rPr>
          <w:rFonts w:hint="eastAsia" w:cs="宋体"/>
          <w:snapToGrid w:val="0"/>
          <w:highlight w:val="none"/>
        </w:rPr>
        <w:t>在维保服务期结束后，由乙方提出申请，经过甲方服务评审，服务质量达到合同约定的要求后，乙方出具合法足额的增值税专用发票给甲方，甲方于收到发票30个工作日内将维保服务费用的</w:t>
      </w:r>
      <w:r>
        <w:rPr>
          <w:rFonts w:hint="eastAsia" w:cs="宋体"/>
          <w:snapToGrid w:val="0"/>
          <w:highlight w:val="none"/>
          <w:lang w:val="en-US" w:eastAsia="zh-CN"/>
        </w:rPr>
        <w:t>4</w:t>
      </w:r>
      <w:r>
        <w:rPr>
          <w:rFonts w:hint="eastAsia" w:cs="宋体"/>
          <w:snapToGrid w:val="0"/>
          <w:highlight w:val="none"/>
        </w:rPr>
        <w:t>0%支付给乙方。</w:t>
      </w:r>
      <w:bookmarkStart w:id="58" w:name="_Toc89675150"/>
      <w:bookmarkStart w:id="59" w:name="_Toc15059424"/>
    </w:p>
    <w:p w14:paraId="204AB157">
      <w:pPr>
        <w:pStyle w:val="3"/>
        <w:numPr>
          <w:ilvl w:val="0"/>
          <w:numId w:val="1"/>
        </w:numPr>
        <w:rPr>
          <w:highlight w:val="none"/>
        </w:rPr>
      </w:pPr>
      <w:r>
        <w:rPr>
          <w:rFonts w:hint="eastAsia"/>
          <w:highlight w:val="none"/>
        </w:rPr>
        <w:t>保密条款</w:t>
      </w:r>
      <w:bookmarkEnd w:id="52"/>
      <w:bookmarkEnd w:id="53"/>
      <w:bookmarkEnd w:id="54"/>
      <w:bookmarkEnd w:id="55"/>
      <w:bookmarkEnd w:id="58"/>
      <w:bookmarkEnd w:id="59"/>
    </w:p>
    <w:p w14:paraId="07834A94">
      <w:pPr>
        <w:pStyle w:val="4"/>
        <w:rPr>
          <w:highlight w:val="none"/>
        </w:rPr>
      </w:pPr>
      <w:r>
        <w:rPr>
          <w:highlight w:val="none"/>
          <w:lang w:val="en-US" w:eastAsia="zh-CN"/>
        </w:rPr>
        <w:t>6</w:t>
      </w:r>
      <w:r>
        <w:rPr>
          <w:rFonts w:hint="eastAsia"/>
          <w:highlight w:val="none"/>
        </w:rPr>
        <w:t>.1 保密范围</w:t>
      </w:r>
    </w:p>
    <w:p w14:paraId="07E093A7">
      <w:pPr>
        <w:rPr>
          <w:highlight w:val="none"/>
        </w:rPr>
      </w:pPr>
      <w:r>
        <w:rPr>
          <w:rFonts w:hint="eastAsia"/>
          <w:highlight w:val="none"/>
        </w:rPr>
        <w:t>成交供应商在实施过程中接触到的采购人知识产权、经营信息等。</w:t>
      </w:r>
    </w:p>
    <w:p w14:paraId="3174BF6F">
      <w:pPr>
        <w:pStyle w:val="4"/>
        <w:rPr>
          <w:highlight w:val="none"/>
        </w:rPr>
      </w:pPr>
      <w:r>
        <w:rPr>
          <w:highlight w:val="none"/>
          <w:lang w:val="en-US" w:eastAsia="zh-CN"/>
        </w:rPr>
        <w:t>6</w:t>
      </w:r>
      <w:r>
        <w:rPr>
          <w:rFonts w:hint="eastAsia"/>
          <w:highlight w:val="none"/>
        </w:rPr>
        <w:t>.2 保密责任</w:t>
      </w:r>
    </w:p>
    <w:p w14:paraId="782BB751">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1BCA9029">
      <w:pPr>
        <w:pStyle w:val="3"/>
        <w:numPr>
          <w:ilvl w:val="0"/>
          <w:numId w:val="1"/>
        </w:numPr>
        <w:rPr>
          <w:highlight w:val="none"/>
        </w:rPr>
      </w:pPr>
      <w:r>
        <w:rPr>
          <w:rFonts w:hint="eastAsia"/>
          <w:highlight w:val="none"/>
        </w:rPr>
        <w:t>报价要求</w:t>
      </w:r>
    </w:p>
    <w:p w14:paraId="349F3AF2">
      <w:pPr>
        <w:rPr>
          <w:highlight w:val="none"/>
        </w:rPr>
      </w:pPr>
      <w:r>
        <w:rPr>
          <w:rFonts w:hint="eastAsia"/>
          <w:highlight w:val="none"/>
        </w:rPr>
        <w:t>响应人应严格按照《响应文件格式》的“报价一览表”和“分项报价明细表”的格式认真填写。</w:t>
      </w:r>
    </w:p>
    <w:p w14:paraId="78071ABA">
      <w:pPr>
        <w:pStyle w:val="3"/>
        <w:numPr>
          <w:ilvl w:val="0"/>
          <w:numId w:val="1"/>
        </w:numPr>
        <w:rPr>
          <w:highlight w:val="none"/>
        </w:rPr>
      </w:pPr>
      <w:bookmarkStart w:id="60" w:name="_Toc15059426"/>
      <w:bookmarkStart w:id="61" w:name="_Toc89675152"/>
      <w:r>
        <w:rPr>
          <w:rFonts w:hint="eastAsia"/>
          <w:highlight w:val="none"/>
        </w:rPr>
        <w:t>知识产权</w:t>
      </w:r>
      <w:bookmarkEnd w:id="60"/>
      <w:bookmarkEnd w:id="61"/>
    </w:p>
    <w:p w14:paraId="46010E9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54CB0E7">
      <w:pPr>
        <w:pStyle w:val="3"/>
        <w:numPr>
          <w:ilvl w:val="0"/>
          <w:numId w:val="1"/>
        </w:numPr>
        <w:rPr>
          <w:highlight w:val="none"/>
        </w:rPr>
      </w:pPr>
      <w:bookmarkStart w:id="62" w:name="_Toc15059427"/>
      <w:bookmarkStart w:id="63" w:name="_Toc89675153"/>
      <w:r>
        <w:rPr>
          <w:rFonts w:hint="eastAsia"/>
          <w:highlight w:val="none"/>
        </w:rPr>
        <w:t>其他</w:t>
      </w:r>
      <w:bookmarkEnd w:id="62"/>
      <w:bookmarkEnd w:id="63"/>
    </w:p>
    <w:p w14:paraId="68D34817">
      <w:pPr>
        <w:rPr>
          <w:highlight w:val="none"/>
        </w:rPr>
      </w:pPr>
      <w:r>
        <w:rPr>
          <w:rFonts w:hint="eastAsia"/>
          <w:highlight w:val="none"/>
        </w:rPr>
        <w:t>1）响应人必须在响应承诺函中对本章内容做出整体性响应和承诺，承诺内容必须达到本章及询比文件其他条款的要求。</w:t>
      </w:r>
    </w:p>
    <w:p w14:paraId="4323DE89">
      <w:pPr>
        <w:rPr>
          <w:highlight w:val="none"/>
        </w:rPr>
      </w:pPr>
      <w:r>
        <w:rPr>
          <w:rFonts w:hint="eastAsia"/>
          <w:highlight w:val="none"/>
        </w:rPr>
        <w:t>2）响应人应根据本章内容和要求，提供对应资料，无遗漏。</w:t>
      </w:r>
    </w:p>
    <w:p w14:paraId="5F0A5A27">
      <w:pPr>
        <w:rPr>
          <w:snapToGrid w:val="0"/>
          <w:highlight w:val="none"/>
        </w:rPr>
      </w:pPr>
      <w:r>
        <w:rPr>
          <w:rFonts w:hint="eastAsia"/>
          <w:highlight w:val="none"/>
        </w:rPr>
        <w:t>3）其他未尽事宜由供需双方在合同中详细约定。</w:t>
      </w:r>
    </w:p>
    <w:p w14:paraId="4DD35532">
      <w:pPr>
        <w:rPr>
          <w:highlight w:val="none"/>
        </w:rPr>
      </w:pPr>
    </w:p>
    <w:p w14:paraId="78F83D2D">
      <w:pPr>
        <w:rPr>
          <w:highlight w:val="none"/>
        </w:rPr>
      </w:pPr>
      <w:r>
        <w:rPr>
          <w:rFonts w:hint="eastAsia"/>
          <w:highlight w:val="none"/>
        </w:rPr>
        <w:br w:type="page"/>
      </w:r>
    </w:p>
    <w:p w14:paraId="568BDABA">
      <w:pPr>
        <w:pStyle w:val="2"/>
        <w:rPr>
          <w:highlight w:val="none"/>
        </w:rPr>
      </w:pPr>
      <w:bookmarkStart w:id="64" w:name="_Toc22407"/>
      <w:bookmarkStart w:id="65" w:name="_Toc5764"/>
      <w:r>
        <w:rPr>
          <w:rFonts w:hint="eastAsia"/>
          <w:highlight w:val="none"/>
        </w:rPr>
        <w:t>第四章 评审办法（综合评估法）</w:t>
      </w:r>
      <w:bookmarkEnd w:id="64"/>
      <w:bookmarkEnd w:id="65"/>
    </w:p>
    <w:p w14:paraId="46CEB96A">
      <w:pPr>
        <w:pStyle w:val="3"/>
        <w:rPr>
          <w:highlight w:val="none"/>
        </w:rPr>
      </w:pPr>
      <w:bookmarkStart w:id="66" w:name="_Toc14810"/>
      <w:bookmarkStart w:id="67" w:name="_Toc2028"/>
      <w:bookmarkStart w:id="68" w:name="_Toc11471"/>
      <w:bookmarkStart w:id="69" w:name="_Toc27076"/>
      <w:r>
        <w:rPr>
          <w:rFonts w:hint="eastAsia"/>
          <w:highlight w:val="none"/>
        </w:rPr>
        <w:t>评审办法前附表</w:t>
      </w:r>
      <w:bookmarkEnd w:id="66"/>
      <w:bookmarkEnd w:id="67"/>
      <w:bookmarkEnd w:id="68"/>
      <w:bookmarkEnd w:id="69"/>
    </w:p>
    <w:p w14:paraId="40BE2519">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ED8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A0631D0">
            <w:pPr>
              <w:pStyle w:val="38"/>
              <w:rPr>
                <w:highlight w:val="none"/>
              </w:rPr>
            </w:pPr>
            <w:bookmarkStart w:id="70" w:name="CQZH1_07"/>
            <w:r>
              <w:rPr>
                <w:rFonts w:hint="eastAsia"/>
                <w:highlight w:val="none"/>
              </w:rPr>
              <w:t>条款号</w:t>
            </w:r>
          </w:p>
        </w:tc>
        <w:tc>
          <w:tcPr>
            <w:tcW w:w="1482" w:type="dxa"/>
            <w:vAlign w:val="center"/>
          </w:tcPr>
          <w:p w14:paraId="1C71216E">
            <w:pPr>
              <w:pStyle w:val="38"/>
              <w:rPr>
                <w:highlight w:val="none"/>
              </w:rPr>
            </w:pPr>
            <w:r>
              <w:rPr>
                <w:rFonts w:hint="eastAsia"/>
                <w:highlight w:val="none"/>
              </w:rPr>
              <w:t>评审因素</w:t>
            </w:r>
          </w:p>
        </w:tc>
        <w:tc>
          <w:tcPr>
            <w:tcW w:w="7162" w:type="dxa"/>
            <w:gridSpan w:val="3"/>
            <w:vAlign w:val="center"/>
          </w:tcPr>
          <w:p w14:paraId="134667D9">
            <w:pPr>
              <w:pStyle w:val="38"/>
              <w:rPr>
                <w:highlight w:val="none"/>
              </w:rPr>
            </w:pPr>
            <w:r>
              <w:rPr>
                <w:rFonts w:hint="eastAsia"/>
                <w:highlight w:val="none"/>
              </w:rPr>
              <w:t>评审标准</w:t>
            </w:r>
          </w:p>
        </w:tc>
      </w:tr>
      <w:tr w14:paraId="3F1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A9856D8">
            <w:pPr>
              <w:pStyle w:val="37"/>
              <w:rPr>
                <w:highlight w:val="none"/>
              </w:rPr>
            </w:pPr>
            <w:r>
              <w:rPr>
                <w:rFonts w:hint="eastAsia"/>
                <w:highlight w:val="none"/>
              </w:rPr>
              <w:t>1</w:t>
            </w:r>
          </w:p>
        </w:tc>
        <w:tc>
          <w:tcPr>
            <w:tcW w:w="1482" w:type="dxa"/>
            <w:tcBorders>
              <w:left w:val="single" w:color="auto" w:sz="4" w:space="0"/>
            </w:tcBorders>
            <w:vAlign w:val="center"/>
          </w:tcPr>
          <w:p w14:paraId="650A5F97">
            <w:pPr>
              <w:pStyle w:val="37"/>
              <w:rPr>
                <w:highlight w:val="none"/>
              </w:rPr>
            </w:pPr>
            <w:r>
              <w:rPr>
                <w:rFonts w:hint="eastAsia"/>
                <w:highlight w:val="none"/>
              </w:rPr>
              <w:t>评审办法</w:t>
            </w:r>
          </w:p>
        </w:tc>
        <w:tc>
          <w:tcPr>
            <w:tcW w:w="7162" w:type="dxa"/>
            <w:gridSpan w:val="3"/>
            <w:tcBorders>
              <w:left w:val="single" w:color="auto" w:sz="4" w:space="0"/>
            </w:tcBorders>
            <w:vAlign w:val="center"/>
          </w:tcPr>
          <w:p w14:paraId="14639E37">
            <w:pPr>
              <w:pStyle w:val="37"/>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rPr>
                <w:rFonts w:hint="eastAsia"/>
                <w:highlight w:val="none"/>
                <w:lang w:eastAsia="zh-CN"/>
              </w:rPr>
              <w:t>（</w:t>
            </w:r>
            <w:r>
              <w:rPr>
                <w:rFonts w:hint="eastAsia"/>
                <w:highlight w:val="none"/>
              </w:rPr>
              <w:t>含税</w:t>
            </w:r>
            <w:r>
              <w:rPr>
                <w:rFonts w:hint="eastAsia"/>
                <w:highlight w:val="none"/>
                <w:lang w:eastAsia="zh-CN"/>
              </w:rPr>
              <w:t>）</w:t>
            </w:r>
            <w:r>
              <w:rPr>
                <w:highlight w:val="none"/>
              </w:rPr>
              <w:t>低</w:t>
            </w:r>
            <w:r>
              <w:rPr>
                <w:rFonts w:hint="eastAsia"/>
                <w:highlight w:val="none"/>
              </w:rPr>
              <w:t>的优先；响应报价也相等的，由评审委员会按照</w:t>
            </w:r>
            <w:r>
              <w:rPr>
                <w:highlight w:val="none"/>
              </w:rPr>
              <w:t>单个案例</w:t>
            </w:r>
            <w:r>
              <w:rPr>
                <w:rFonts w:hint="eastAsia"/>
                <w:highlight w:val="none"/>
                <w:lang w:val="en-US" w:eastAsia="zh-CN"/>
              </w:rPr>
              <w:t>中</w:t>
            </w:r>
            <w:r>
              <w:rPr>
                <w:highlight w:val="none"/>
              </w:rPr>
              <w:t>PC服务器数量最多的优先</w:t>
            </w:r>
            <w:r>
              <w:rPr>
                <w:rFonts w:hint="eastAsia"/>
                <w:highlight w:val="none"/>
              </w:rPr>
              <w:t>原则排序。</w:t>
            </w:r>
          </w:p>
        </w:tc>
      </w:tr>
      <w:tr w14:paraId="49CE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832D0E2">
            <w:pPr>
              <w:pStyle w:val="37"/>
              <w:rPr>
                <w:highlight w:val="none"/>
              </w:rPr>
            </w:pPr>
            <w:r>
              <w:rPr>
                <w:rFonts w:hint="eastAsia"/>
                <w:highlight w:val="none"/>
              </w:rPr>
              <w:t>2.1</w:t>
            </w:r>
          </w:p>
        </w:tc>
        <w:tc>
          <w:tcPr>
            <w:tcW w:w="1482" w:type="dxa"/>
            <w:tcBorders>
              <w:left w:val="single" w:color="auto" w:sz="4" w:space="0"/>
            </w:tcBorders>
            <w:vAlign w:val="center"/>
          </w:tcPr>
          <w:p w14:paraId="15C1B30B">
            <w:pPr>
              <w:pStyle w:val="37"/>
              <w:rPr>
                <w:highlight w:val="none"/>
              </w:rPr>
            </w:pPr>
            <w:r>
              <w:rPr>
                <w:rFonts w:hint="eastAsia"/>
                <w:highlight w:val="none"/>
              </w:rPr>
              <w:t>初步评审标准</w:t>
            </w:r>
          </w:p>
        </w:tc>
        <w:tc>
          <w:tcPr>
            <w:tcW w:w="7162" w:type="dxa"/>
            <w:gridSpan w:val="3"/>
            <w:tcBorders>
              <w:left w:val="single" w:color="auto" w:sz="4" w:space="0"/>
            </w:tcBorders>
            <w:vAlign w:val="center"/>
          </w:tcPr>
          <w:p w14:paraId="314367F7">
            <w:pPr>
              <w:pStyle w:val="37"/>
              <w:rPr>
                <w:highlight w:val="none"/>
              </w:rPr>
            </w:pPr>
            <w:r>
              <w:rPr>
                <w:rFonts w:hint="eastAsia"/>
                <w:highlight w:val="none"/>
              </w:rPr>
              <w:t>所有响应单位进行初步评审。初步评审内容：资格评审、形式评审、响应性评审。</w:t>
            </w:r>
          </w:p>
        </w:tc>
      </w:tr>
      <w:tr w14:paraId="0CEF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FBFD489">
            <w:pPr>
              <w:pStyle w:val="37"/>
              <w:rPr>
                <w:highlight w:val="none"/>
              </w:rPr>
            </w:pPr>
            <w:r>
              <w:rPr>
                <w:rFonts w:hint="eastAsia"/>
                <w:highlight w:val="none"/>
              </w:rPr>
              <w:t>2.1.1</w:t>
            </w:r>
          </w:p>
        </w:tc>
        <w:tc>
          <w:tcPr>
            <w:tcW w:w="1482" w:type="dxa"/>
            <w:tcBorders>
              <w:left w:val="single" w:color="auto" w:sz="4" w:space="0"/>
            </w:tcBorders>
            <w:vAlign w:val="center"/>
          </w:tcPr>
          <w:p w14:paraId="11F4A1AD">
            <w:pPr>
              <w:pStyle w:val="37"/>
              <w:rPr>
                <w:highlight w:val="none"/>
              </w:rPr>
            </w:pPr>
            <w:r>
              <w:rPr>
                <w:rFonts w:hint="eastAsia"/>
                <w:highlight w:val="none"/>
              </w:rPr>
              <w:t>资格评审标准</w:t>
            </w:r>
          </w:p>
        </w:tc>
        <w:tc>
          <w:tcPr>
            <w:tcW w:w="1686" w:type="dxa"/>
            <w:gridSpan w:val="2"/>
            <w:tcBorders>
              <w:left w:val="single" w:color="auto" w:sz="4" w:space="0"/>
            </w:tcBorders>
            <w:vAlign w:val="center"/>
          </w:tcPr>
          <w:p w14:paraId="6A400131">
            <w:pPr>
              <w:pStyle w:val="37"/>
              <w:rPr>
                <w:highlight w:val="none"/>
              </w:rPr>
            </w:pPr>
            <w:r>
              <w:rPr>
                <w:rFonts w:hint="eastAsia"/>
                <w:highlight w:val="none"/>
              </w:rPr>
              <w:t>资格条件要求</w:t>
            </w:r>
          </w:p>
        </w:tc>
        <w:tc>
          <w:tcPr>
            <w:tcW w:w="5476" w:type="dxa"/>
            <w:tcBorders>
              <w:left w:val="single" w:color="auto" w:sz="4" w:space="0"/>
            </w:tcBorders>
            <w:vAlign w:val="center"/>
          </w:tcPr>
          <w:p w14:paraId="4C2300F5">
            <w:pPr>
              <w:pStyle w:val="37"/>
              <w:rPr>
                <w:highlight w:val="none"/>
              </w:rPr>
            </w:pPr>
            <w:r>
              <w:rPr>
                <w:rFonts w:hint="eastAsia"/>
                <w:highlight w:val="none"/>
              </w:rPr>
              <w:t>符合第一章“2. 响应人资格要求”规定</w:t>
            </w:r>
          </w:p>
        </w:tc>
      </w:tr>
      <w:tr w14:paraId="2A09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7BD1100">
            <w:pPr>
              <w:pStyle w:val="37"/>
              <w:rPr>
                <w:highlight w:val="none"/>
              </w:rPr>
            </w:pPr>
            <w:r>
              <w:rPr>
                <w:rFonts w:hint="eastAsia"/>
                <w:highlight w:val="none"/>
              </w:rPr>
              <w:t>2.1.2</w:t>
            </w:r>
          </w:p>
        </w:tc>
        <w:tc>
          <w:tcPr>
            <w:tcW w:w="1482" w:type="dxa"/>
            <w:vMerge w:val="restart"/>
            <w:tcBorders>
              <w:left w:val="single" w:color="auto" w:sz="4" w:space="0"/>
            </w:tcBorders>
            <w:vAlign w:val="center"/>
          </w:tcPr>
          <w:p w14:paraId="2BEEDFA6">
            <w:pPr>
              <w:pStyle w:val="37"/>
              <w:rPr>
                <w:highlight w:val="none"/>
              </w:rPr>
            </w:pPr>
            <w:r>
              <w:rPr>
                <w:rFonts w:hint="eastAsia"/>
                <w:highlight w:val="none"/>
              </w:rPr>
              <w:t>形式评审标准</w:t>
            </w:r>
          </w:p>
        </w:tc>
        <w:tc>
          <w:tcPr>
            <w:tcW w:w="1686" w:type="dxa"/>
            <w:gridSpan w:val="2"/>
            <w:tcBorders>
              <w:left w:val="single" w:color="auto" w:sz="4" w:space="0"/>
            </w:tcBorders>
            <w:vAlign w:val="center"/>
          </w:tcPr>
          <w:p w14:paraId="4D87C9FA">
            <w:pPr>
              <w:pStyle w:val="37"/>
              <w:rPr>
                <w:highlight w:val="none"/>
              </w:rPr>
            </w:pPr>
            <w:r>
              <w:rPr>
                <w:rFonts w:hint="eastAsia"/>
                <w:highlight w:val="none"/>
              </w:rPr>
              <w:t>响应人名称</w:t>
            </w:r>
          </w:p>
        </w:tc>
        <w:tc>
          <w:tcPr>
            <w:tcW w:w="5476" w:type="dxa"/>
            <w:tcBorders>
              <w:left w:val="single" w:color="auto" w:sz="4" w:space="0"/>
            </w:tcBorders>
            <w:vAlign w:val="center"/>
          </w:tcPr>
          <w:p w14:paraId="645426BE">
            <w:pPr>
              <w:pStyle w:val="37"/>
              <w:rPr>
                <w:highlight w:val="none"/>
              </w:rPr>
            </w:pPr>
            <w:r>
              <w:rPr>
                <w:rFonts w:hint="eastAsia"/>
                <w:highlight w:val="none"/>
              </w:rPr>
              <w:t>与营业执照、资格证明材料一致</w:t>
            </w:r>
          </w:p>
        </w:tc>
      </w:tr>
      <w:tr w14:paraId="734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4B4DD4D"/>
        </w:tc>
        <w:tc>
          <w:tcPr>
            <w:tcW w:w="1482" w:type="dxa"/>
            <w:vMerge w:val="continue"/>
            <w:tcBorders>
              <w:left w:val="single" w:color="auto" w:sz="4" w:space="0"/>
            </w:tcBorders>
            <w:textDirection w:val="tbRlV"/>
            <w:vAlign w:val="center"/>
          </w:tcPr>
          <w:p w14:paraId="40891A4F"/>
        </w:tc>
        <w:tc>
          <w:tcPr>
            <w:tcW w:w="1686" w:type="dxa"/>
            <w:gridSpan w:val="2"/>
            <w:tcBorders>
              <w:left w:val="single" w:color="auto" w:sz="4" w:space="0"/>
            </w:tcBorders>
            <w:vAlign w:val="center"/>
          </w:tcPr>
          <w:p w14:paraId="4465E60C">
            <w:pPr>
              <w:pStyle w:val="37"/>
              <w:rPr>
                <w:highlight w:val="none"/>
              </w:rPr>
            </w:pPr>
            <w:r>
              <w:rPr>
                <w:rFonts w:hint="eastAsia"/>
                <w:highlight w:val="none"/>
              </w:rPr>
              <w:t>响应文件的签字盖章</w:t>
            </w:r>
          </w:p>
        </w:tc>
        <w:tc>
          <w:tcPr>
            <w:tcW w:w="5476" w:type="dxa"/>
            <w:tcBorders>
              <w:left w:val="single" w:color="auto" w:sz="4" w:space="0"/>
            </w:tcBorders>
            <w:vAlign w:val="center"/>
          </w:tcPr>
          <w:p w14:paraId="1ADA3B0C">
            <w:pPr>
              <w:pStyle w:val="37"/>
              <w:rPr>
                <w:highlight w:val="none"/>
              </w:rPr>
            </w:pPr>
            <w:r>
              <w:rPr>
                <w:rFonts w:hint="eastAsia"/>
                <w:highlight w:val="none"/>
              </w:rPr>
              <w:t>符合第二章“响应人须知”4.6 条规定</w:t>
            </w:r>
          </w:p>
        </w:tc>
      </w:tr>
      <w:tr w14:paraId="187E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2EBE0BF"/>
        </w:tc>
        <w:tc>
          <w:tcPr>
            <w:tcW w:w="1482" w:type="dxa"/>
            <w:vMerge w:val="continue"/>
            <w:tcBorders>
              <w:left w:val="single" w:color="auto" w:sz="4" w:space="0"/>
            </w:tcBorders>
            <w:textDirection w:val="tbRlV"/>
            <w:vAlign w:val="center"/>
          </w:tcPr>
          <w:p w14:paraId="5AAFD880"/>
        </w:tc>
        <w:tc>
          <w:tcPr>
            <w:tcW w:w="1686" w:type="dxa"/>
            <w:gridSpan w:val="2"/>
            <w:tcBorders>
              <w:left w:val="single" w:color="auto" w:sz="4" w:space="0"/>
            </w:tcBorders>
            <w:vAlign w:val="center"/>
          </w:tcPr>
          <w:p w14:paraId="27AEBCC2">
            <w:pPr>
              <w:pStyle w:val="37"/>
              <w:rPr>
                <w:highlight w:val="none"/>
              </w:rPr>
            </w:pPr>
            <w:r>
              <w:rPr>
                <w:rFonts w:hint="eastAsia"/>
                <w:highlight w:val="none"/>
              </w:rPr>
              <w:t>响应文件的密封</w:t>
            </w:r>
          </w:p>
        </w:tc>
        <w:tc>
          <w:tcPr>
            <w:tcW w:w="5476" w:type="dxa"/>
            <w:tcBorders>
              <w:left w:val="single" w:color="auto" w:sz="4" w:space="0"/>
            </w:tcBorders>
            <w:vAlign w:val="center"/>
          </w:tcPr>
          <w:p w14:paraId="1030D258">
            <w:pPr>
              <w:pStyle w:val="37"/>
              <w:rPr>
                <w:highlight w:val="none"/>
              </w:rPr>
            </w:pPr>
            <w:r>
              <w:rPr>
                <w:rFonts w:hint="eastAsia"/>
                <w:highlight w:val="none"/>
              </w:rPr>
              <w:t>符合第二章“响应人须知”4.7 条规定</w:t>
            </w:r>
          </w:p>
        </w:tc>
      </w:tr>
      <w:tr w14:paraId="103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22469AD"/>
        </w:tc>
        <w:tc>
          <w:tcPr>
            <w:tcW w:w="1482" w:type="dxa"/>
            <w:vMerge w:val="continue"/>
            <w:tcBorders>
              <w:left w:val="single" w:color="auto" w:sz="4" w:space="0"/>
            </w:tcBorders>
            <w:textDirection w:val="tbRlV"/>
            <w:vAlign w:val="center"/>
          </w:tcPr>
          <w:p w14:paraId="2C6FE342"/>
        </w:tc>
        <w:tc>
          <w:tcPr>
            <w:tcW w:w="1686" w:type="dxa"/>
            <w:gridSpan w:val="2"/>
            <w:tcBorders>
              <w:left w:val="single" w:color="auto" w:sz="4" w:space="0"/>
            </w:tcBorders>
            <w:vAlign w:val="center"/>
          </w:tcPr>
          <w:p w14:paraId="6BD07033">
            <w:pPr>
              <w:pStyle w:val="37"/>
              <w:rPr>
                <w:highlight w:val="none"/>
              </w:rPr>
            </w:pPr>
            <w:r>
              <w:rPr>
                <w:rFonts w:hint="eastAsia"/>
                <w:highlight w:val="none"/>
              </w:rPr>
              <w:t>响应文件格式</w:t>
            </w:r>
          </w:p>
        </w:tc>
        <w:tc>
          <w:tcPr>
            <w:tcW w:w="5476" w:type="dxa"/>
            <w:tcBorders>
              <w:left w:val="single" w:color="auto" w:sz="4" w:space="0"/>
            </w:tcBorders>
            <w:vAlign w:val="center"/>
          </w:tcPr>
          <w:p w14:paraId="24BC059F">
            <w:pPr>
              <w:pStyle w:val="37"/>
              <w:rPr>
                <w:highlight w:val="none"/>
              </w:rPr>
            </w:pPr>
            <w:r>
              <w:rPr>
                <w:rFonts w:hint="eastAsia"/>
                <w:highlight w:val="none"/>
              </w:rPr>
              <w:t>符合第六章“响应文件格式”的要求</w:t>
            </w:r>
          </w:p>
        </w:tc>
      </w:tr>
      <w:tr w14:paraId="5E95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9716041"/>
        </w:tc>
        <w:tc>
          <w:tcPr>
            <w:tcW w:w="1482" w:type="dxa"/>
            <w:vMerge w:val="continue"/>
            <w:tcBorders>
              <w:left w:val="single" w:color="auto" w:sz="4" w:space="0"/>
            </w:tcBorders>
            <w:textDirection w:val="tbRlV"/>
            <w:vAlign w:val="center"/>
          </w:tcPr>
          <w:p w14:paraId="7E38C488"/>
        </w:tc>
        <w:tc>
          <w:tcPr>
            <w:tcW w:w="1686" w:type="dxa"/>
            <w:gridSpan w:val="2"/>
            <w:tcBorders>
              <w:left w:val="single" w:color="auto" w:sz="4" w:space="0"/>
            </w:tcBorders>
            <w:vAlign w:val="center"/>
          </w:tcPr>
          <w:p w14:paraId="1B72ECD2">
            <w:pPr>
              <w:pStyle w:val="37"/>
              <w:rPr>
                <w:highlight w:val="none"/>
              </w:rPr>
            </w:pPr>
            <w:r>
              <w:rPr>
                <w:rFonts w:hint="eastAsia"/>
                <w:highlight w:val="none"/>
              </w:rPr>
              <w:t>响应文件组成</w:t>
            </w:r>
          </w:p>
        </w:tc>
        <w:tc>
          <w:tcPr>
            <w:tcW w:w="5476" w:type="dxa"/>
            <w:tcBorders>
              <w:left w:val="single" w:color="auto" w:sz="4" w:space="0"/>
            </w:tcBorders>
            <w:vAlign w:val="center"/>
          </w:tcPr>
          <w:p w14:paraId="49222951">
            <w:pPr>
              <w:pStyle w:val="37"/>
              <w:rPr>
                <w:highlight w:val="none"/>
              </w:rPr>
            </w:pPr>
            <w:r>
              <w:rPr>
                <w:rFonts w:hint="eastAsia"/>
                <w:highlight w:val="none"/>
              </w:rPr>
              <w:t>符合第二章“响应人须知”4.2 条规定，内容齐全、无遗漏</w:t>
            </w:r>
          </w:p>
        </w:tc>
      </w:tr>
      <w:tr w14:paraId="5AE2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5AAA2D2"/>
        </w:tc>
        <w:tc>
          <w:tcPr>
            <w:tcW w:w="1482" w:type="dxa"/>
            <w:vMerge w:val="continue"/>
            <w:tcBorders>
              <w:left w:val="single" w:color="auto" w:sz="4" w:space="0"/>
            </w:tcBorders>
            <w:textDirection w:val="tbRlV"/>
            <w:vAlign w:val="center"/>
          </w:tcPr>
          <w:p w14:paraId="04029993"/>
        </w:tc>
        <w:tc>
          <w:tcPr>
            <w:tcW w:w="1686" w:type="dxa"/>
            <w:gridSpan w:val="2"/>
            <w:tcBorders>
              <w:left w:val="single" w:color="auto" w:sz="4" w:space="0"/>
            </w:tcBorders>
            <w:vAlign w:val="center"/>
          </w:tcPr>
          <w:p w14:paraId="41AF8245">
            <w:pPr>
              <w:pStyle w:val="37"/>
              <w:rPr>
                <w:highlight w:val="none"/>
              </w:rPr>
            </w:pPr>
            <w:r>
              <w:rPr>
                <w:rFonts w:hint="eastAsia"/>
                <w:highlight w:val="none"/>
              </w:rPr>
              <w:t>联合体响应</w:t>
            </w:r>
          </w:p>
        </w:tc>
        <w:tc>
          <w:tcPr>
            <w:tcW w:w="5476" w:type="dxa"/>
            <w:tcBorders>
              <w:left w:val="single" w:color="auto" w:sz="4" w:space="0"/>
            </w:tcBorders>
            <w:vAlign w:val="center"/>
          </w:tcPr>
          <w:p w14:paraId="53474C10">
            <w:pPr>
              <w:pStyle w:val="37"/>
              <w:rPr>
                <w:highlight w:val="none"/>
              </w:rPr>
            </w:pPr>
            <w:r>
              <w:rPr>
                <w:rFonts w:hint="eastAsia"/>
                <w:highlight w:val="none"/>
              </w:rPr>
              <w:t>符合第一章“2. 响应人资格要求”2.5 条的要求</w:t>
            </w:r>
          </w:p>
        </w:tc>
      </w:tr>
      <w:tr w14:paraId="3627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2731D79">
            <w:pPr>
              <w:pStyle w:val="37"/>
              <w:rPr>
                <w:highlight w:val="none"/>
              </w:rPr>
            </w:pPr>
            <w:r>
              <w:rPr>
                <w:rFonts w:hint="eastAsia"/>
                <w:highlight w:val="none"/>
              </w:rPr>
              <w:t>2.1.3</w:t>
            </w:r>
          </w:p>
        </w:tc>
        <w:tc>
          <w:tcPr>
            <w:tcW w:w="1482" w:type="dxa"/>
            <w:vMerge w:val="restart"/>
            <w:tcBorders>
              <w:left w:val="single" w:color="auto" w:sz="4" w:space="0"/>
            </w:tcBorders>
            <w:vAlign w:val="center"/>
          </w:tcPr>
          <w:p w14:paraId="43432487">
            <w:pPr>
              <w:pStyle w:val="37"/>
              <w:rPr>
                <w:highlight w:val="none"/>
              </w:rPr>
            </w:pPr>
            <w:r>
              <w:rPr>
                <w:rFonts w:hint="eastAsia"/>
                <w:highlight w:val="none"/>
              </w:rPr>
              <w:t>响应性评审标准</w:t>
            </w:r>
          </w:p>
        </w:tc>
        <w:tc>
          <w:tcPr>
            <w:tcW w:w="1686" w:type="dxa"/>
            <w:gridSpan w:val="2"/>
            <w:tcBorders>
              <w:left w:val="single" w:color="auto" w:sz="4" w:space="0"/>
            </w:tcBorders>
            <w:vAlign w:val="center"/>
          </w:tcPr>
          <w:p w14:paraId="6E9D93B6">
            <w:pPr>
              <w:pStyle w:val="37"/>
              <w:rPr>
                <w:highlight w:val="none"/>
              </w:rPr>
            </w:pPr>
            <w:r>
              <w:rPr>
                <w:rFonts w:hint="eastAsia"/>
                <w:highlight w:val="none"/>
              </w:rPr>
              <w:t>响应内容</w:t>
            </w:r>
          </w:p>
        </w:tc>
        <w:tc>
          <w:tcPr>
            <w:tcW w:w="5476" w:type="dxa"/>
            <w:tcBorders>
              <w:left w:val="single" w:color="auto" w:sz="4" w:space="0"/>
            </w:tcBorders>
            <w:vAlign w:val="center"/>
          </w:tcPr>
          <w:p w14:paraId="4F8B7985">
            <w:pPr>
              <w:pStyle w:val="37"/>
              <w:rPr>
                <w:highlight w:val="none"/>
              </w:rPr>
            </w:pPr>
            <w:r>
              <w:rPr>
                <w:rFonts w:hint="eastAsia"/>
                <w:highlight w:val="none"/>
              </w:rPr>
              <w:t>1. 在响应承诺函中对第三章“项目要求”内容做出整体承诺；</w:t>
            </w:r>
          </w:p>
          <w:p w14:paraId="21FF6A66">
            <w:pPr>
              <w:pStyle w:val="37"/>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3488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33C29C5"/>
        </w:tc>
        <w:tc>
          <w:tcPr>
            <w:tcW w:w="1482" w:type="dxa"/>
            <w:vMerge w:val="continue"/>
            <w:tcBorders>
              <w:left w:val="single" w:color="auto" w:sz="4" w:space="0"/>
            </w:tcBorders>
          </w:tcPr>
          <w:p w14:paraId="061C4427"/>
        </w:tc>
        <w:tc>
          <w:tcPr>
            <w:tcW w:w="1686" w:type="dxa"/>
            <w:gridSpan w:val="2"/>
            <w:tcBorders>
              <w:left w:val="single" w:color="auto" w:sz="4" w:space="0"/>
            </w:tcBorders>
            <w:vAlign w:val="center"/>
          </w:tcPr>
          <w:p w14:paraId="6E417584">
            <w:pPr>
              <w:pStyle w:val="37"/>
              <w:rPr>
                <w:highlight w:val="none"/>
              </w:rPr>
            </w:pPr>
            <w:r>
              <w:rPr>
                <w:rFonts w:hint="eastAsia"/>
                <w:highlight w:val="none"/>
              </w:rPr>
              <w:t>响应文件份数</w:t>
            </w:r>
          </w:p>
        </w:tc>
        <w:tc>
          <w:tcPr>
            <w:tcW w:w="5476" w:type="dxa"/>
            <w:tcBorders>
              <w:left w:val="single" w:color="auto" w:sz="4" w:space="0"/>
            </w:tcBorders>
            <w:vAlign w:val="center"/>
          </w:tcPr>
          <w:p w14:paraId="38922771">
            <w:pPr>
              <w:pStyle w:val="37"/>
              <w:rPr>
                <w:highlight w:val="none"/>
              </w:rPr>
            </w:pPr>
            <w:r>
              <w:rPr>
                <w:rFonts w:hint="eastAsia"/>
                <w:highlight w:val="none"/>
              </w:rPr>
              <w:t>符合第二章“响应人须知”4.6 条规定</w:t>
            </w:r>
          </w:p>
        </w:tc>
      </w:tr>
      <w:tr w14:paraId="66D5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4723D07"/>
        </w:tc>
        <w:tc>
          <w:tcPr>
            <w:tcW w:w="1482" w:type="dxa"/>
            <w:vMerge w:val="continue"/>
            <w:tcBorders>
              <w:left w:val="single" w:color="auto" w:sz="4" w:space="0"/>
            </w:tcBorders>
          </w:tcPr>
          <w:p w14:paraId="75CB43AB"/>
        </w:tc>
        <w:tc>
          <w:tcPr>
            <w:tcW w:w="1686" w:type="dxa"/>
            <w:gridSpan w:val="2"/>
            <w:tcBorders>
              <w:left w:val="single" w:color="auto" w:sz="4" w:space="0"/>
            </w:tcBorders>
            <w:vAlign w:val="center"/>
          </w:tcPr>
          <w:p w14:paraId="292E1021">
            <w:pPr>
              <w:pStyle w:val="37"/>
              <w:rPr>
                <w:highlight w:val="none"/>
              </w:rPr>
            </w:pPr>
            <w:r>
              <w:rPr>
                <w:rFonts w:hint="eastAsia"/>
                <w:highlight w:val="none"/>
              </w:rPr>
              <w:t>响应方案唯一</w:t>
            </w:r>
          </w:p>
        </w:tc>
        <w:tc>
          <w:tcPr>
            <w:tcW w:w="5476" w:type="dxa"/>
            <w:tcBorders>
              <w:left w:val="single" w:color="auto" w:sz="4" w:space="0"/>
            </w:tcBorders>
            <w:vAlign w:val="center"/>
          </w:tcPr>
          <w:p w14:paraId="71975FD4">
            <w:pPr>
              <w:pStyle w:val="37"/>
              <w:rPr>
                <w:highlight w:val="none"/>
              </w:rPr>
            </w:pPr>
            <w:r>
              <w:rPr>
                <w:rFonts w:hint="eastAsia"/>
                <w:highlight w:val="none"/>
              </w:rPr>
              <w:t>只能有一个方案响应。</w:t>
            </w:r>
          </w:p>
        </w:tc>
      </w:tr>
      <w:tr w14:paraId="18DD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F305E6"/>
        </w:tc>
        <w:tc>
          <w:tcPr>
            <w:tcW w:w="1482" w:type="dxa"/>
            <w:vMerge w:val="continue"/>
            <w:tcBorders>
              <w:left w:val="single" w:color="auto" w:sz="4" w:space="0"/>
            </w:tcBorders>
          </w:tcPr>
          <w:p w14:paraId="66A34B2D"/>
        </w:tc>
        <w:tc>
          <w:tcPr>
            <w:tcW w:w="1686" w:type="dxa"/>
            <w:gridSpan w:val="2"/>
            <w:tcBorders>
              <w:left w:val="single" w:color="auto" w:sz="4" w:space="0"/>
            </w:tcBorders>
            <w:vAlign w:val="center"/>
          </w:tcPr>
          <w:p w14:paraId="1434B2E4">
            <w:pPr>
              <w:pStyle w:val="37"/>
              <w:rPr>
                <w:highlight w:val="none"/>
              </w:rPr>
            </w:pPr>
            <w:r>
              <w:rPr>
                <w:rFonts w:hint="eastAsia"/>
                <w:highlight w:val="none"/>
              </w:rPr>
              <w:t>响应报价</w:t>
            </w:r>
          </w:p>
        </w:tc>
        <w:tc>
          <w:tcPr>
            <w:tcW w:w="5476" w:type="dxa"/>
            <w:tcBorders>
              <w:left w:val="single" w:color="auto" w:sz="4" w:space="0"/>
            </w:tcBorders>
            <w:vAlign w:val="center"/>
          </w:tcPr>
          <w:p w14:paraId="386C3A1F">
            <w:pPr>
              <w:pStyle w:val="37"/>
              <w:rPr>
                <w:highlight w:val="none"/>
              </w:rPr>
            </w:pPr>
            <w:r>
              <w:rPr>
                <w:rFonts w:hint="eastAsia"/>
                <w:highlight w:val="none"/>
              </w:rPr>
              <w:t>符合第二章“响应人须知”4.8 条规定</w:t>
            </w:r>
          </w:p>
        </w:tc>
      </w:tr>
      <w:tr w14:paraId="42EA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A8B518A"/>
        </w:tc>
        <w:tc>
          <w:tcPr>
            <w:tcW w:w="1482" w:type="dxa"/>
            <w:vMerge w:val="continue"/>
            <w:tcBorders>
              <w:left w:val="single" w:color="auto" w:sz="4" w:space="0"/>
            </w:tcBorders>
          </w:tcPr>
          <w:p w14:paraId="15751A5F"/>
        </w:tc>
        <w:tc>
          <w:tcPr>
            <w:tcW w:w="1686" w:type="dxa"/>
            <w:gridSpan w:val="2"/>
            <w:tcBorders>
              <w:left w:val="single" w:color="auto" w:sz="4" w:space="0"/>
            </w:tcBorders>
            <w:vAlign w:val="center"/>
          </w:tcPr>
          <w:p w14:paraId="2868881B">
            <w:pPr>
              <w:pStyle w:val="37"/>
              <w:rPr>
                <w:highlight w:val="none"/>
              </w:rPr>
            </w:pPr>
            <w:r>
              <w:rPr>
                <w:rFonts w:hint="eastAsia"/>
                <w:highlight w:val="none"/>
              </w:rPr>
              <w:t>响应有效期</w:t>
            </w:r>
          </w:p>
        </w:tc>
        <w:tc>
          <w:tcPr>
            <w:tcW w:w="5476" w:type="dxa"/>
            <w:tcBorders>
              <w:left w:val="single" w:color="auto" w:sz="4" w:space="0"/>
            </w:tcBorders>
          </w:tcPr>
          <w:p w14:paraId="2872DFF1">
            <w:pPr>
              <w:pStyle w:val="37"/>
              <w:rPr>
                <w:highlight w:val="none"/>
              </w:rPr>
            </w:pPr>
            <w:r>
              <w:rPr>
                <w:rFonts w:hint="eastAsia"/>
                <w:highlight w:val="none"/>
              </w:rPr>
              <w:t>符合第二章“响应人须知”4.4 条规定</w:t>
            </w:r>
          </w:p>
        </w:tc>
      </w:tr>
      <w:tr w14:paraId="4C5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3E07FB3"/>
        </w:tc>
        <w:tc>
          <w:tcPr>
            <w:tcW w:w="1482" w:type="dxa"/>
            <w:vMerge w:val="continue"/>
            <w:tcBorders>
              <w:left w:val="single" w:color="auto" w:sz="4" w:space="0"/>
            </w:tcBorders>
          </w:tcPr>
          <w:p w14:paraId="50953DE5"/>
        </w:tc>
        <w:tc>
          <w:tcPr>
            <w:tcW w:w="1686" w:type="dxa"/>
            <w:gridSpan w:val="2"/>
            <w:tcBorders>
              <w:left w:val="single" w:color="auto" w:sz="4" w:space="0"/>
            </w:tcBorders>
            <w:vAlign w:val="center"/>
          </w:tcPr>
          <w:p w14:paraId="4D9FC719">
            <w:pPr>
              <w:pStyle w:val="37"/>
              <w:rPr>
                <w:highlight w:val="none"/>
              </w:rPr>
            </w:pPr>
            <w:r>
              <w:rPr>
                <w:rFonts w:hint="eastAsia"/>
                <w:highlight w:val="none"/>
              </w:rPr>
              <w:t>响应保证金</w:t>
            </w:r>
          </w:p>
        </w:tc>
        <w:tc>
          <w:tcPr>
            <w:tcW w:w="5476" w:type="dxa"/>
            <w:tcBorders>
              <w:left w:val="single" w:color="auto" w:sz="4" w:space="0"/>
            </w:tcBorders>
          </w:tcPr>
          <w:p w14:paraId="3A02C2E6">
            <w:pPr>
              <w:pStyle w:val="37"/>
              <w:rPr>
                <w:highlight w:val="none"/>
              </w:rPr>
            </w:pPr>
            <w:r>
              <w:rPr>
                <w:rFonts w:hint="eastAsia"/>
                <w:highlight w:val="none"/>
              </w:rPr>
              <w:t>符合第二章“响应人须知”4.5 条规定</w:t>
            </w:r>
          </w:p>
        </w:tc>
      </w:tr>
      <w:tr w14:paraId="4357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atLeast"/>
          <w:jc w:val="center"/>
        </w:trPr>
        <w:tc>
          <w:tcPr>
            <w:tcW w:w="820" w:type="dxa"/>
            <w:vMerge w:val="restart"/>
            <w:vAlign w:val="center"/>
          </w:tcPr>
          <w:p w14:paraId="43C456F8">
            <w:pPr>
              <w:pStyle w:val="37"/>
              <w:rPr>
                <w:highlight w:val="none"/>
              </w:rPr>
            </w:pPr>
            <w:r>
              <w:rPr>
                <w:rFonts w:hint="eastAsia"/>
                <w:highlight w:val="none"/>
              </w:rPr>
              <w:t>2.2</w:t>
            </w:r>
          </w:p>
        </w:tc>
        <w:tc>
          <w:tcPr>
            <w:tcW w:w="1482" w:type="dxa"/>
            <w:vMerge w:val="restart"/>
            <w:tcBorders>
              <w:left w:val="single" w:color="auto" w:sz="4" w:space="0"/>
            </w:tcBorders>
            <w:vAlign w:val="center"/>
          </w:tcPr>
          <w:p w14:paraId="31C28CEF">
            <w:pPr>
              <w:pStyle w:val="37"/>
              <w:rPr>
                <w:highlight w:val="none"/>
              </w:rPr>
            </w:pPr>
            <w:r>
              <w:rPr>
                <w:rFonts w:hint="eastAsia"/>
                <w:highlight w:val="none"/>
              </w:rPr>
              <w:t>详细评审</w:t>
            </w:r>
          </w:p>
        </w:tc>
        <w:tc>
          <w:tcPr>
            <w:tcW w:w="1686" w:type="dxa"/>
            <w:gridSpan w:val="2"/>
            <w:vMerge w:val="restart"/>
            <w:tcBorders>
              <w:left w:val="single" w:color="auto" w:sz="4" w:space="0"/>
            </w:tcBorders>
            <w:vAlign w:val="center"/>
          </w:tcPr>
          <w:p w14:paraId="340A4948">
            <w:pPr>
              <w:pStyle w:val="37"/>
              <w:rPr>
                <w:highlight w:val="none"/>
              </w:rPr>
            </w:pPr>
            <w:r>
              <w:rPr>
                <w:rFonts w:hint="eastAsia"/>
                <w:highlight w:val="none"/>
              </w:rPr>
              <w:t>分值构成与评分标准</w:t>
            </w:r>
          </w:p>
          <w:p w14:paraId="70A00B08">
            <w:pPr>
              <w:pStyle w:val="37"/>
              <w:rPr>
                <w:highlight w:val="none"/>
              </w:rPr>
            </w:pPr>
            <w:r>
              <w:rPr>
                <w:rFonts w:hint="eastAsia"/>
                <w:highlight w:val="none"/>
              </w:rPr>
              <w:t>(总分1OO分)</w:t>
            </w:r>
          </w:p>
        </w:tc>
        <w:tc>
          <w:tcPr>
            <w:tcW w:w="5476" w:type="dxa"/>
            <w:tcBorders>
              <w:left w:val="single" w:color="auto" w:sz="4" w:space="0"/>
            </w:tcBorders>
            <w:vAlign w:val="center"/>
          </w:tcPr>
          <w:p w14:paraId="3AAD5115">
            <w:pPr>
              <w:pStyle w:val="37"/>
              <w:rPr>
                <w:highlight w:val="none"/>
              </w:rPr>
            </w:pPr>
            <w:r>
              <w:rPr>
                <w:rFonts w:hint="eastAsia"/>
                <w:highlight w:val="none"/>
              </w:rPr>
              <w:t>响应报价评分规则</w:t>
            </w:r>
            <w:r>
              <w:rPr>
                <w:highlight w:val="none"/>
              </w:rPr>
              <w:t>（分值：60分）</w:t>
            </w:r>
          </w:p>
          <w:p w14:paraId="2FC74EC0">
            <w:pPr>
              <w:pStyle w:val="37"/>
              <w:rPr>
                <w:highlight w:val="none"/>
              </w:rPr>
            </w:pPr>
            <w:r>
              <w:rPr>
                <w:highlight w:val="none"/>
              </w:rPr>
              <w:t>1.以</w:t>
            </w:r>
            <w:r>
              <w:rPr>
                <w:rFonts w:hint="eastAsia"/>
                <w:highlight w:val="none"/>
              </w:rPr>
              <w:t>报价之和的平均价格</w:t>
            </w:r>
            <w:r>
              <w:rPr>
                <w:highlight w:val="none"/>
              </w:rPr>
              <w:t>作为</w:t>
            </w:r>
            <w:r>
              <w:rPr>
                <w:rFonts w:hint="eastAsia"/>
                <w:highlight w:val="none"/>
              </w:rPr>
              <w:t>评审</w:t>
            </w:r>
            <w:r>
              <w:rPr>
                <w:highlight w:val="none"/>
              </w:rPr>
              <w:t>基准价，基准分为60分；</w:t>
            </w:r>
          </w:p>
          <w:p w14:paraId="7F97C326">
            <w:pPr>
              <w:pStyle w:val="37"/>
              <w:rPr>
                <w:highlight w:val="none"/>
              </w:rPr>
            </w:pPr>
            <w:r>
              <w:rPr>
                <w:highlight w:val="none"/>
              </w:rPr>
              <w:t>2.计算各有效报价与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0A4A0A21">
            <w:pPr>
              <w:pStyle w:val="37"/>
              <w:rPr>
                <w:highlight w:val="none"/>
              </w:rPr>
            </w:pPr>
            <w:r>
              <w:rPr>
                <w:highlight w:val="none"/>
              </w:rPr>
              <w:t>3.报价向上每偏离基准价的1%扣1分；扣完为止，不足1%的不予扣减；</w:t>
            </w:r>
          </w:p>
          <w:p w14:paraId="7D1E2152">
            <w:pPr>
              <w:pStyle w:val="37"/>
              <w:rPr>
                <w:highlight w:val="none"/>
              </w:rPr>
            </w:pPr>
            <w:r>
              <w:rPr>
                <w:rFonts w:hint="eastAsia"/>
                <w:highlight w:val="none"/>
              </w:rPr>
              <w:t>4.</w:t>
            </w:r>
            <w:r>
              <w:rPr>
                <w:highlight w:val="none"/>
              </w:rPr>
              <w:t>向下偏离基准价10%以内的，不扣分；向下偏离基准价超过10%的，在向下偏离基准价10%的基础上，向下偏离每多超过1%扣0.5分，扣完为止，不足1%的不予扣减。</w:t>
            </w:r>
          </w:p>
          <w:p w14:paraId="19632844">
            <w:pPr>
              <w:pStyle w:val="37"/>
              <w:rPr>
                <w:highlight w:val="none"/>
              </w:rPr>
            </w:pPr>
          </w:p>
        </w:tc>
      </w:tr>
      <w:tr w14:paraId="3E51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7C0060B6"/>
        </w:tc>
        <w:tc>
          <w:tcPr>
            <w:tcW w:w="1482" w:type="dxa"/>
            <w:vMerge w:val="continue"/>
            <w:tcBorders>
              <w:left w:val="single" w:color="auto" w:sz="4" w:space="0"/>
            </w:tcBorders>
            <w:vAlign w:val="center"/>
          </w:tcPr>
          <w:p w14:paraId="7C6773B4"/>
        </w:tc>
        <w:tc>
          <w:tcPr>
            <w:tcW w:w="1686" w:type="dxa"/>
            <w:gridSpan w:val="2"/>
            <w:vMerge w:val="continue"/>
            <w:tcBorders>
              <w:left w:val="single" w:color="auto" w:sz="4" w:space="0"/>
            </w:tcBorders>
            <w:vAlign w:val="center"/>
          </w:tcPr>
          <w:p w14:paraId="6A7906B2"/>
        </w:tc>
        <w:tc>
          <w:tcPr>
            <w:tcW w:w="5476" w:type="dxa"/>
            <w:tcBorders>
              <w:left w:val="single" w:color="auto" w:sz="4" w:space="0"/>
            </w:tcBorders>
            <w:vAlign w:val="center"/>
          </w:tcPr>
          <w:p w14:paraId="69E1D1C5">
            <w:pPr>
              <w:pStyle w:val="37"/>
              <w:rPr>
                <w:highlight w:val="none"/>
              </w:rPr>
            </w:pPr>
            <w:r>
              <w:rPr>
                <w:rFonts w:hint="eastAsia"/>
                <w:highlight w:val="none"/>
              </w:rPr>
              <w:t>商务部分评分规则</w:t>
            </w:r>
            <w:r>
              <w:rPr>
                <w:highlight w:val="none"/>
              </w:rPr>
              <w:t>（分值：40分）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092"/>
            </w:tblGrid>
            <w:tr w14:paraId="480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69A04B8">
                  <w:pPr>
                    <w:pStyle w:val="37"/>
                    <w:rPr>
                      <w:highlight w:val="none"/>
                    </w:rPr>
                  </w:pPr>
                  <w:r>
                    <w:rPr>
                      <w:rFonts w:hint="eastAsia"/>
                      <w:highlight w:val="none"/>
                    </w:rPr>
                    <w:t>分项指标</w:t>
                  </w:r>
                </w:p>
              </w:tc>
              <w:tc>
                <w:tcPr>
                  <w:tcW w:w="4092" w:type="dxa"/>
                  <w:noWrap/>
                </w:tcPr>
                <w:p w14:paraId="7A3A2E5F">
                  <w:pPr>
                    <w:pStyle w:val="37"/>
                    <w:rPr>
                      <w:rFonts w:hint="eastAsia"/>
                      <w:highlight w:val="none"/>
                    </w:rPr>
                  </w:pPr>
                </w:p>
                <w:p w14:paraId="4A06C1AD">
                  <w:pPr>
                    <w:pStyle w:val="37"/>
                    <w:rPr>
                      <w:rFonts w:hint="eastAsia"/>
                      <w:highlight w:val="none"/>
                    </w:rPr>
                  </w:pPr>
                  <w:r>
                    <w:rPr>
                      <w:rFonts w:hint="eastAsia"/>
                      <w:highlight w:val="none"/>
                    </w:rPr>
                    <w:t>评分标准</w:t>
                  </w:r>
                </w:p>
              </w:tc>
            </w:tr>
            <w:tr w14:paraId="7A7F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tcPr>
                <w:p w14:paraId="511761CC">
                  <w:pPr>
                    <w:pStyle w:val="37"/>
                    <w:pBdr>
                      <w:top w:val="none" w:color="auto" w:sz="0" w:space="0"/>
                      <w:left w:val="none" w:color="auto" w:sz="0" w:space="0"/>
                      <w:bottom w:val="none" w:color="auto" w:sz="0" w:space="0"/>
                      <w:right w:val="none" w:color="auto" w:sz="0" w:space="0"/>
                    </w:pBdr>
                    <w:jc w:val="center"/>
                    <w:rPr>
                      <w:highlight w:val="none"/>
                    </w:rPr>
                  </w:pPr>
                  <w:r>
                    <w:rPr>
                      <w:rFonts w:hint="eastAsia" w:ascii="宋体" w:cs="宋体"/>
                      <w:sz w:val="20"/>
                      <w:highlight w:val="none"/>
                      <w:lang w:val="en-US" w:eastAsia="zh-CN"/>
                    </w:rPr>
                    <w:t>服务团队能力（11分）</w:t>
                  </w:r>
                </w:p>
              </w:tc>
              <w:tc>
                <w:tcPr>
                  <w:tcW w:w="4092" w:type="dxa"/>
                  <w:tcBorders>
                    <w:left w:val="single" w:color="auto" w:sz="4" w:space="0"/>
                  </w:tcBorders>
                  <w:noWrap/>
                </w:tcPr>
                <w:p w14:paraId="6CB63C04">
                  <w:pPr>
                    <w:pStyle w:val="37"/>
                    <w:rPr>
                      <w:highlight w:val="none"/>
                    </w:rPr>
                  </w:pPr>
                </w:p>
                <w:p w14:paraId="4DE5B766">
                  <w:pPr>
                    <w:pStyle w:val="37"/>
                    <w:rPr>
                      <w:rFonts w:hint="eastAsia"/>
                      <w:highlight w:val="none"/>
                      <w:lang w:val="en-US" w:eastAsia="zh-CN"/>
                    </w:rPr>
                  </w:pPr>
                  <w:r>
                    <w:rPr>
                      <w:highlight w:val="none"/>
                      <w:lang w:val="en-US" w:eastAsia="zh-CN"/>
                    </w:rPr>
                    <w:t>1.在满足人员具备5年及以上工作经验基础上，响应人</w:t>
                  </w:r>
                  <w:r>
                    <w:rPr>
                      <w:rFonts w:hint="eastAsia"/>
                      <w:highlight w:val="none"/>
                      <w:lang w:val="en-US" w:eastAsia="zh-CN"/>
                    </w:rPr>
                    <w:t>提供的项目经理具备</w:t>
                  </w:r>
                  <w:r>
                    <w:rPr>
                      <w:rFonts w:hint="eastAsia"/>
                      <w:highlight w:val="none"/>
                    </w:rPr>
                    <w:t>10年及以上工作经验</w:t>
                  </w:r>
                  <w:r>
                    <w:rPr>
                      <w:rFonts w:hint="eastAsia"/>
                      <w:highlight w:val="none"/>
                      <w:lang w:val="en-US" w:eastAsia="zh-CN"/>
                    </w:rPr>
                    <w:t>的得</w:t>
                  </w:r>
                  <w:r>
                    <w:rPr>
                      <w:highlight w:val="none"/>
                      <w:lang w:val="en-US" w:eastAsia="zh-CN"/>
                    </w:rPr>
                    <w:t>2</w:t>
                  </w:r>
                  <w:r>
                    <w:rPr>
                      <w:rFonts w:hint="eastAsia"/>
                      <w:highlight w:val="none"/>
                      <w:lang w:val="en-US" w:eastAsia="zh-CN"/>
                    </w:rPr>
                    <w:t>分，</w:t>
                  </w:r>
                  <w:r>
                    <w:rPr>
                      <w:highlight w:val="none"/>
                      <w:lang w:val="en-US" w:eastAsia="zh-CN"/>
                    </w:rPr>
                    <w:t>否则得0分</w:t>
                  </w:r>
                  <w:r>
                    <w:rPr>
                      <w:rFonts w:hint="eastAsia"/>
                      <w:highlight w:val="none"/>
                      <w:lang w:val="en-US" w:eastAsia="zh-CN"/>
                    </w:rPr>
                    <w:t>。（以响应截止时间为准）；</w:t>
                  </w:r>
                </w:p>
                <w:p w14:paraId="355D6C73">
                  <w:pPr>
                    <w:pStyle w:val="37"/>
                    <w:rPr>
                      <w:rFonts w:hint="eastAsia"/>
                      <w:highlight w:val="none"/>
                      <w:lang w:val="en-US" w:eastAsia="zh-CN"/>
                    </w:rPr>
                  </w:pPr>
                  <w:r>
                    <w:rPr>
                      <w:highlight w:val="none"/>
                      <w:lang w:val="en-US" w:eastAsia="zh-CN"/>
                    </w:rPr>
                    <w:t>2.响应人提供的</w:t>
                  </w:r>
                  <w:r>
                    <w:rPr>
                      <w:rFonts w:hint="eastAsia"/>
                      <w:highlight w:val="none"/>
                      <w:lang w:val="en-US" w:eastAsia="zh-CN"/>
                    </w:rPr>
                    <w:t>项目经理具备</w:t>
                  </w:r>
                  <w:r>
                    <w:rPr>
                      <w:highlight w:val="none"/>
                      <w:lang w:val="en-US" w:eastAsia="zh-CN"/>
                    </w:rPr>
                    <w:t>中国计算机技术职业资格中项目管理类资格认证：</w:t>
                  </w:r>
                  <w:r>
                    <w:rPr>
                      <w:rFonts w:hint="eastAsia"/>
                      <w:highlight w:val="none"/>
                      <w:lang w:val="en-US" w:eastAsia="zh-CN"/>
                    </w:rPr>
                    <w:t>系统集成项目管理工程师（中级）资格认证</w:t>
                  </w:r>
                  <w:r>
                    <w:rPr>
                      <w:highlight w:val="none"/>
                      <w:lang w:val="en-US" w:eastAsia="zh-CN"/>
                    </w:rPr>
                    <w:t>或以上</w:t>
                  </w:r>
                  <w:r>
                    <w:rPr>
                      <w:rFonts w:hint="eastAsia"/>
                      <w:highlight w:val="none"/>
                      <w:lang w:val="en-US" w:eastAsia="zh-CN"/>
                    </w:rPr>
                    <w:t>的得</w:t>
                  </w:r>
                  <w:r>
                    <w:rPr>
                      <w:highlight w:val="none"/>
                      <w:lang w:val="en-US" w:eastAsia="zh-CN"/>
                    </w:rPr>
                    <w:t>3</w:t>
                  </w:r>
                  <w:r>
                    <w:rPr>
                      <w:rFonts w:hint="eastAsia"/>
                      <w:highlight w:val="none"/>
                      <w:lang w:val="en-US" w:eastAsia="zh-CN"/>
                    </w:rPr>
                    <w:t>分，不具备以上资格认证的得</w:t>
                  </w:r>
                  <w:r>
                    <w:rPr>
                      <w:highlight w:val="none"/>
                      <w:lang w:val="en-US" w:eastAsia="zh-CN"/>
                    </w:rPr>
                    <w:t>0</w:t>
                  </w:r>
                  <w:r>
                    <w:rPr>
                      <w:rFonts w:hint="eastAsia"/>
                      <w:highlight w:val="none"/>
                      <w:lang w:val="en-US" w:eastAsia="zh-CN"/>
                    </w:rPr>
                    <w:t>分；</w:t>
                  </w:r>
                </w:p>
                <w:p w14:paraId="75892767">
                  <w:pPr>
                    <w:pStyle w:val="37"/>
                    <w:rPr>
                      <w:rFonts w:hint="eastAsia"/>
                      <w:highlight w:val="none"/>
                      <w:lang w:val="en-US" w:eastAsia="zh-CN"/>
                    </w:rPr>
                  </w:pPr>
                  <w:r>
                    <w:rPr>
                      <w:highlight w:val="none"/>
                      <w:lang w:val="en-US" w:eastAsia="zh-CN"/>
                    </w:rPr>
                    <w:t>3.在满足人员具备5年及以上工作经验基础上，响应人</w:t>
                  </w:r>
                  <w:r>
                    <w:rPr>
                      <w:rFonts w:hint="eastAsia"/>
                      <w:highlight w:val="none"/>
                      <w:lang w:val="en-US" w:eastAsia="zh-CN"/>
                    </w:rPr>
                    <w:t>提供的2名服务工程师均具备10年及以上工作经验的得6分，有1名具备10年及以上工作经验的得3分，否则得0分。（以响应截止时间为准）。</w:t>
                  </w:r>
                </w:p>
                <w:p w14:paraId="743EDB53">
                  <w:pPr>
                    <w:pStyle w:val="37"/>
                    <w:rPr>
                      <w:rFonts w:hint="eastAsia"/>
                      <w:highlight w:val="none"/>
                    </w:rPr>
                  </w:pPr>
                  <w:r>
                    <w:rPr>
                      <w:highlight w:val="none"/>
                    </w:rPr>
                    <w:t>【提供：</w:t>
                  </w:r>
                  <w:r>
                    <w:rPr>
                      <w:rFonts w:hint="eastAsia"/>
                      <w:highlight w:val="none"/>
                      <w:lang w:val="en-US" w:eastAsia="zh-CN"/>
                    </w:rPr>
                    <w:t>①</w:t>
                  </w:r>
                  <w:r>
                    <w:rPr>
                      <w:highlight w:val="none"/>
                      <w:lang w:val="en-US" w:eastAsia="zh-CN"/>
                    </w:rPr>
                    <w:t>项目经理及服务工程师社保缴纳证明材料</w:t>
                  </w:r>
                  <w:r>
                    <w:rPr>
                      <w:highlight w:val="none"/>
                      <w:lang w:val="zh-CN"/>
                    </w:rPr>
                    <w:t>及身份证正反面复印件（</w:t>
                  </w:r>
                  <w:r>
                    <w:rPr>
                      <w:highlight w:val="none"/>
                      <w:lang w:val="zh-CN" w:eastAsia="zh-CN"/>
                    </w:rPr>
                    <w:t>社保缴纳证明材料包括</w:t>
                  </w:r>
                  <w:r>
                    <w:rPr>
                      <w:highlight w:val="none"/>
                    </w:rPr>
                    <w:t>证明以上人员</w:t>
                  </w:r>
                  <w:r>
                    <w:rPr>
                      <w:highlight w:val="none"/>
                      <w:lang w:val="en-US" w:eastAsia="zh-CN"/>
                    </w:rPr>
                    <w:t>具有5年及以上</w:t>
                  </w:r>
                  <w:r>
                    <w:rPr>
                      <w:highlight w:val="none"/>
                    </w:rPr>
                    <w:t>工作经验</w:t>
                  </w:r>
                  <w:r>
                    <w:rPr>
                      <w:rFonts w:hint="eastAsia"/>
                      <w:highlight w:val="none"/>
                      <w:lang w:val="en-US" w:eastAsia="zh-CN"/>
                    </w:rPr>
                    <w:t>烦人社保缴纳证明材料</w:t>
                  </w:r>
                  <w:r>
                    <w:rPr>
                      <w:highlight w:val="none"/>
                      <w:lang w:val="zh-CN"/>
                    </w:rPr>
                    <w:t>和</w:t>
                  </w:r>
                  <w:r>
                    <w:rPr>
                      <w:highlight w:val="none"/>
                      <w:lang w:val="zh-CN" w:eastAsia="zh-CN"/>
                    </w:rPr>
                    <w:t>2024年8月1日至</w:t>
                  </w:r>
                  <w:r>
                    <w:rPr>
                      <w:rFonts w:hint="eastAsia"/>
                      <w:highlight w:val="none"/>
                      <w:lang w:val="en-US" w:eastAsia="zh-CN"/>
                    </w:rPr>
                    <w:t>响应</w:t>
                  </w:r>
                  <w:r>
                    <w:rPr>
                      <w:highlight w:val="none"/>
                      <w:lang w:val="zh-CN" w:eastAsia="zh-CN"/>
                    </w:rPr>
                    <w:t>截止日期间以上人员任意连续6个月的</w:t>
                  </w:r>
                  <w:r>
                    <w:rPr>
                      <w:highlight w:val="none"/>
                      <w:lang w:val="zh-CN"/>
                    </w:rPr>
                    <w:t>社保</w:t>
                  </w:r>
                  <w:r>
                    <w:rPr>
                      <w:highlight w:val="none"/>
                      <w:lang w:val="en-US" w:eastAsia="zh-CN"/>
                    </w:rPr>
                    <w:t>缴纳</w:t>
                  </w:r>
                  <w:r>
                    <w:rPr>
                      <w:highlight w:val="none"/>
                      <w:lang w:val="zh-CN"/>
                    </w:rPr>
                    <w:t>证明</w:t>
                  </w:r>
                  <w:r>
                    <w:rPr>
                      <w:highlight w:val="none"/>
                      <w:lang w:val="en-US" w:eastAsia="zh-CN"/>
                    </w:rPr>
                    <w:t>材料</w:t>
                  </w:r>
                  <w:r>
                    <w:rPr>
                      <w:highlight w:val="none"/>
                      <w:lang w:val="zh-CN"/>
                    </w:rPr>
                    <w:t>，加盖响应人公章。</w:t>
                  </w:r>
                  <w:r>
                    <w:rPr>
                      <w:highlight w:val="none"/>
                      <w:lang w:val="en-US" w:eastAsia="zh-CN"/>
                    </w:rPr>
                    <w:t>任意连续6个月的社保缴纳证明</w:t>
                  </w:r>
                  <w:r>
                    <w:rPr>
                      <w:highlight w:val="none"/>
                      <w:lang w:val="zh-CN"/>
                    </w:rPr>
                    <w:t>参保单位</w:t>
                  </w:r>
                  <w:r>
                    <w:rPr>
                      <w:highlight w:val="none"/>
                      <w:lang w:val="en-US" w:eastAsia="zh-CN"/>
                    </w:rPr>
                    <w:t>必须为</w:t>
                  </w:r>
                  <w:r>
                    <w:rPr>
                      <w:highlight w:val="none"/>
                      <w:lang w:val="zh-CN"/>
                    </w:rPr>
                    <w:t>响应人，委托第三方公司代缴的不予认定，社保</w:t>
                  </w:r>
                  <w:r>
                    <w:rPr>
                      <w:highlight w:val="none"/>
                    </w:rPr>
                    <w:t>证明内容应清晰可见，否则无效</w:t>
                  </w:r>
                  <w:r>
                    <w:rPr>
                      <w:highlight w:val="none"/>
                      <w:lang w:eastAsia="zh-CN"/>
                    </w:rPr>
                    <w:t>）</w:t>
                  </w:r>
                  <w:r>
                    <w:rPr>
                      <w:rFonts w:hint="eastAsia"/>
                      <w:highlight w:val="none"/>
                    </w:rPr>
                    <w:t>。</w:t>
                  </w:r>
                  <w:r>
                    <w:rPr>
                      <w:rFonts w:hint="eastAsia"/>
                      <w:highlight w:val="none"/>
                    </w:rPr>
                    <w:br w:type="textWrapping"/>
                  </w:r>
                  <w:r>
                    <w:rPr>
                      <w:rFonts w:hint="eastAsia"/>
                      <w:highlight w:val="none"/>
                      <w:lang w:val="en-US" w:eastAsia="zh-CN"/>
                    </w:rPr>
                    <w:t>②</w:t>
                  </w:r>
                  <w:r>
                    <w:rPr>
                      <w:rFonts w:hint="eastAsia"/>
                      <w:highlight w:val="none"/>
                    </w:rPr>
                    <w:t>上述人员取得的证书复印件</w:t>
                  </w:r>
                  <w:r>
                    <w:rPr>
                      <w:highlight w:val="none"/>
                    </w:rPr>
                    <w:t>（若有）</w:t>
                  </w:r>
                  <w:r>
                    <w:rPr>
                      <w:rFonts w:hint="eastAsia"/>
                      <w:highlight w:val="none"/>
                    </w:rPr>
                    <w:t>，同时登录中国计算机技术职业资格网，https://www.ruankao.org.cn/提供证书查询网页截图</w:t>
                  </w:r>
                  <w:r>
                    <w:rPr>
                      <w:rFonts w:hint="eastAsia"/>
                      <w:highlight w:val="none"/>
                      <w:lang w:eastAsia="zh-CN"/>
                    </w:rPr>
                    <w:t>（</w:t>
                  </w:r>
                  <w:r>
                    <w:rPr>
                      <w:rFonts w:hint="eastAsia"/>
                      <w:highlight w:val="none"/>
                      <w:lang w:val="en-US" w:eastAsia="zh-CN"/>
                    </w:rPr>
                    <w:t>截图应清晰可见，</w:t>
                  </w:r>
                  <w:r>
                    <w:rPr>
                      <w:rFonts w:hint="eastAsia"/>
                      <w:highlight w:val="none"/>
                    </w:rPr>
                    <w:t>否则无效</w:t>
                  </w:r>
                  <w:r>
                    <w:rPr>
                      <w:rFonts w:hint="eastAsia"/>
                      <w:highlight w:val="none"/>
                      <w:lang w:eastAsia="zh-CN"/>
                    </w:rPr>
                    <w:t>）</w:t>
                  </w:r>
                  <w:r>
                    <w:rPr>
                      <w:rFonts w:hint="eastAsia"/>
                      <w:highlight w:val="none"/>
                    </w:rPr>
                    <w:t>。</w:t>
                  </w:r>
                  <w:r>
                    <w:rPr>
                      <w:highlight w:val="none"/>
                    </w:rPr>
                    <w:t>】</w:t>
                  </w:r>
                </w:p>
              </w:tc>
            </w:tr>
            <w:tr w14:paraId="619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tcPr>
                <w:p w14:paraId="6647B8A0">
                  <w:pPr>
                    <w:pStyle w:val="37"/>
                    <w:rPr>
                      <w:rFonts w:hint="eastAsia" w:eastAsia="宋体"/>
                      <w:highlight w:val="none"/>
                      <w:lang w:eastAsia="zh-CN"/>
                    </w:rPr>
                  </w:pPr>
                  <w:r>
                    <w:rPr>
                      <w:rFonts w:hint="eastAsia" w:ascii="宋体" w:cs="宋体"/>
                      <w:sz w:val="20"/>
                      <w:highlight w:val="none"/>
                    </w:rPr>
                    <w:t>重庆区域类同类型实施案例</w:t>
                  </w:r>
                  <w:r>
                    <w:rPr>
                      <w:rFonts w:hint="eastAsia" w:ascii="宋体" w:cs="宋体"/>
                      <w:sz w:val="20"/>
                      <w:highlight w:val="none"/>
                      <w:lang w:eastAsia="zh-CN"/>
                    </w:rPr>
                    <w:t>（</w:t>
                  </w:r>
                  <w:r>
                    <w:rPr>
                      <w:rFonts w:hint="eastAsia" w:ascii="宋体" w:cs="宋体"/>
                      <w:sz w:val="20"/>
                      <w:highlight w:val="none"/>
                      <w:lang w:val="en-US" w:eastAsia="zh-CN"/>
                    </w:rPr>
                    <w:t>29分</w:t>
                  </w:r>
                  <w:r>
                    <w:rPr>
                      <w:rFonts w:hint="eastAsia" w:ascii="宋体" w:cs="宋体"/>
                      <w:sz w:val="20"/>
                      <w:highlight w:val="none"/>
                      <w:lang w:eastAsia="zh-CN"/>
                    </w:rPr>
                    <w:t>）</w:t>
                  </w:r>
                </w:p>
              </w:tc>
              <w:tc>
                <w:tcPr>
                  <w:tcW w:w="4092" w:type="dxa"/>
                  <w:tcBorders>
                    <w:left w:val="single" w:color="auto" w:sz="4" w:space="0"/>
                  </w:tcBorders>
                  <w:noWrap/>
                </w:tcPr>
                <w:p w14:paraId="1DBB8282">
                  <w:pPr>
                    <w:pStyle w:val="37"/>
                    <w:rPr>
                      <w:rFonts w:hint="eastAsia"/>
                      <w:highlight w:val="none"/>
                      <w:lang w:val="en-US" w:eastAsia="zh-CN"/>
                    </w:rPr>
                  </w:pPr>
                  <w:r>
                    <w:rPr>
                      <w:highlight w:val="none"/>
                    </w:rPr>
                    <w:t>1.在满足</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以来重庆区域内银行业PC服务器维保技术服务案例</w:t>
                  </w:r>
                  <w:r>
                    <w:rPr>
                      <w:highlight w:val="none"/>
                    </w:rPr>
                    <w:t>至少一个的资格条件基础上</w:t>
                  </w:r>
                  <w:r>
                    <w:rPr>
                      <w:rFonts w:hint="eastAsia"/>
                      <w:highlight w:val="none"/>
                      <w:lang w:val="en-US" w:eastAsia="zh-CN"/>
                    </w:rPr>
                    <w:t>，</w:t>
                  </w:r>
                  <w:r>
                    <w:rPr>
                      <w:highlight w:val="none"/>
                      <w:lang w:val="en-US" w:eastAsia="zh-CN"/>
                    </w:rPr>
                    <w:t>响应人</w:t>
                  </w:r>
                  <w:r>
                    <w:rPr>
                      <w:rFonts w:hint="eastAsia"/>
                      <w:highlight w:val="none"/>
                    </w:rPr>
                    <w:t>每多提供一个202</w:t>
                  </w:r>
                  <w:r>
                    <w:rPr>
                      <w:highlight w:val="none"/>
                    </w:rPr>
                    <w:t>3</w:t>
                  </w:r>
                  <w:r>
                    <w:rPr>
                      <w:rFonts w:hint="eastAsia"/>
                      <w:highlight w:val="none"/>
                    </w:rPr>
                    <w:t>年1月1日</w:t>
                  </w:r>
                  <w:r>
                    <w:rPr>
                      <w:highlight w:val="none"/>
                    </w:rPr>
                    <w:t>（含）</w:t>
                  </w:r>
                  <w:r>
                    <w:rPr>
                      <w:rFonts w:hint="eastAsia"/>
                      <w:highlight w:val="none"/>
                    </w:rPr>
                    <w:t>以来重庆区域内</w:t>
                  </w:r>
                  <w:r>
                    <w:rPr>
                      <w:rFonts w:hint="eastAsia"/>
                      <w:highlight w:val="none"/>
                      <w:lang w:val="en-US" w:eastAsia="zh-CN"/>
                    </w:rPr>
                    <w:t>(不限行业)</w:t>
                  </w:r>
                  <w:r>
                    <w:rPr>
                      <w:rFonts w:hint="eastAsia"/>
                      <w:highlight w:val="none"/>
                    </w:rPr>
                    <w:t>PC服务器维保技术服务案例得</w:t>
                  </w:r>
                  <w:r>
                    <w:rPr>
                      <w:rFonts w:hint="eastAsia"/>
                      <w:highlight w:val="none"/>
                      <w:lang w:val="en-US" w:eastAsia="zh-CN"/>
                    </w:rPr>
                    <w:t>2</w:t>
                  </w:r>
                  <w:r>
                    <w:rPr>
                      <w:rFonts w:hint="eastAsia"/>
                      <w:highlight w:val="none"/>
                    </w:rPr>
                    <w:t>分，最高</w:t>
                  </w:r>
                  <w:r>
                    <w:rPr>
                      <w:rFonts w:hint="eastAsia"/>
                      <w:highlight w:val="none"/>
                      <w:lang w:val="en-US" w:eastAsia="zh-CN"/>
                    </w:rPr>
                    <w:t>10</w:t>
                  </w:r>
                  <w:r>
                    <w:rPr>
                      <w:rFonts w:hint="eastAsia"/>
                      <w:highlight w:val="none"/>
                    </w:rPr>
                    <w:t>分</w:t>
                  </w:r>
                  <w:r>
                    <w:rPr>
                      <w:rFonts w:hint="eastAsia"/>
                      <w:highlight w:val="none"/>
                      <w:lang w:eastAsia="zh-CN"/>
                    </w:rPr>
                    <w:t>；</w:t>
                  </w:r>
                </w:p>
                <w:p w14:paraId="7D70EBFA">
                  <w:pPr>
                    <w:pStyle w:val="37"/>
                    <w:rPr>
                      <w:rFonts w:hint="eastAsia"/>
                      <w:highlight w:val="none"/>
                      <w:lang w:val="en-US" w:eastAsia="zh-CN"/>
                    </w:rPr>
                  </w:pPr>
                  <w:r>
                    <w:rPr>
                      <w:highlight w:val="none"/>
                      <w:lang w:val="en-US" w:eastAsia="zh-CN"/>
                    </w:rPr>
                    <w:t>2.响应</w:t>
                  </w:r>
                  <w:r>
                    <w:rPr>
                      <w:rFonts w:hint="eastAsia"/>
                      <w:highlight w:val="none"/>
                      <w:lang w:val="en-US" w:eastAsia="zh-CN"/>
                    </w:rPr>
                    <w:t>人所提供的</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w:t>
                  </w:r>
                  <w:r>
                    <w:rPr>
                      <w:rFonts w:hint="eastAsia"/>
                      <w:highlight w:val="none"/>
                      <w:lang w:val="en-US" w:eastAsia="zh-CN"/>
                    </w:rPr>
                    <w:t>重庆区域内(不限行业)所有</w:t>
                  </w:r>
                  <w:r>
                    <w:rPr>
                      <w:highlight w:val="none"/>
                      <w:lang w:val="en-US" w:eastAsia="zh-CN"/>
                    </w:rPr>
                    <w:t>有效</w:t>
                  </w:r>
                  <w:r>
                    <w:rPr>
                      <w:rFonts w:hint="eastAsia"/>
                      <w:highlight w:val="none"/>
                      <w:lang w:val="en-US" w:eastAsia="zh-CN"/>
                    </w:rPr>
                    <w:t>PC服务器维保技术服务案例中</w:t>
                  </w:r>
                  <w:r>
                    <w:rPr>
                      <w:highlight w:val="none"/>
                      <w:lang w:val="en-US" w:eastAsia="zh-CN"/>
                    </w:rPr>
                    <w:t>（含资格条件中的案例），</w:t>
                  </w:r>
                  <w:r>
                    <w:rPr>
                      <w:rFonts w:hint="eastAsia"/>
                      <w:highlight w:val="none"/>
                      <w:lang w:val="en-US" w:eastAsia="zh-CN"/>
                    </w:rPr>
                    <w:t>PC服务器数量大于等于200台的，每个案例得</w:t>
                  </w:r>
                  <w:r>
                    <w:rPr>
                      <w:highlight w:val="none"/>
                      <w:lang w:val="en-US" w:eastAsia="zh-CN"/>
                    </w:rPr>
                    <w:t>6</w:t>
                  </w:r>
                  <w:r>
                    <w:rPr>
                      <w:rFonts w:hint="eastAsia"/>
                      <w:highlight w:val="none"/>
                      <w:lang w:val="en-US" w:eastAsia="zh-CN"/>
                    </w:rPr>
                    <w:t>分，PC服务器数量大于等于1</w:t>
                  </w:r>
                  <w:r>
                    <w:rPr>
                      <w:highlight w:val="none"/>
                      <w:lang w:val="en-US" w:eastAsia="zh-CN"/>
                    </w:rPr>
                    <w:t>5</w:t>
                  </w:r>
                  <w:r>
                    <w:rPr>
                      <w:rFonts w:hint="eastAsia"/>
                      <w:highlight w:val="none"/>
                      <w:lang w:val="en-US" w:eastAsia="zh-CN"/>
                    </w:rPr>
                    <w:t>0台且小于200台的，每个案例得</w:t>
                  </w:r>
                  <w:r>
                    <w:rPr>
                      <w:highlight w:val="none"/>
                      <w:lang w:val="en-US" w:eastAsia="zh-CN"/>
                    </w:rPr>
                    <w:t>5</w:t>
                  </w:r>
                  <w:r>
                    <w:rPr>
                      <w:rFonts w:hint="eastAsia"/>
                      <w:highlight w:val="none"/>
                      <w:lang w:val="en-US" w:eastAsia="zh-CN"/>
                    </w:rPr>
                    <w:t>分，PC服务器数量大于等于1</w:t>
                  </w:r>
                  <w:r>
                    <w:rPr>
                      <w:highlight w:val="none"/>
                      <w:lang w:val="en-US" w:eastAsia="zh-CN"/>
                    </w:rPr>
                    <w:t>0</w:t>
                  </w:r>
                  <w:r>
                    <w:rPr>
                      <w:rFonts w:hint="eastAsia"/>
                      <w:highlight w:val="none"/>
                      <w:lang w:val="en-US" w:eastAsia="zh-CN"/>
                    </w:rPr>
                    <w:t>0台且小于</w:t>
                  </w:r>
                  <w:r>
                    <w:rPr>
                      <w:highlight w:val="none"/>
                      <w:lang w:val="en-US" w:eastAsia="zh-CN"/>
                    </w:rPr>
                    <w:t>15</w:t>
                  </w:r>
                  <w:r>
                    <w:rPr>
                      <w:rFonts w:hint="eastAsia"/>
                      <w:highlight w:val="none"/>
                      <w:lang w:val="en-US" w:eastAsia="zh-CN"/>
                    </w:rPr>
                    <w:t>0台的，每个案例得</w:t>
                  </w:r>
                  <w:r>
                    <w:rPr>
                      <w:highlight w:val="none"/>
                      <w:lang w:val="en-US" w:eastAsia="zh-CN"/>
                    </w:rPr>
                    <w:t>4</w:t>
                  </w:r>
                  <w:r>
                    <w:rPr>
                      <w:rFonts w:hint="eastAsia"/>
                      <w:highlight w:val="none"/>
                      <w:lang w:val="en-US" w:eastAsia="zh-CN"/>
                    </w:rPr>
                    <w:t>分，PC服务器数量大于等于50台</w:t>
                  </w:r>
                  <w:r>
                    <w:rPr>
                      <w:highlight w:val="none"/>
                      <w:lang w:val="en-US" w:eastAsia="zh-CN"/>
                    </w:rPr>
                    <w:t>且</w:t>
                  </w:r>
                  <w:r>
                    <w:rPr>
                      <w:rFonts w:hint="eastAsia"/>
                      <w:highlight w:val="none"/>
                      <w:lang w:val="en-US" w:eastAsia="zh-CN"/>
                    </w:rPr>
                    <w:t>小于100台的，每个案例得</w:t>
                  </w:r>
                  <w:r>
                    <w:rPr>
                      <w:highlight w:val="none"/>
                      <w:lang w:val="en-US" w:eastAsia="zh-CN"/>
                    </w:rPr>
                    <w:t>3</w:t>
                  </w:r>
                  <w:r>
                    <w:rPr>
                      <w:rFonts w:hint="eastAsia"/>
                      <w:highlight w:val="none"/>
                      <w:lang w:val="en-US" w:eastAsia="zh-CN"/>
                    </w:rPr>
                    <w:t>分，PC服务器数量大于等于</w:t>
                  </w:r>
                  <w:r>
                    <w:rPr>
                      <w:highlight w:val="none"/>
                      <w:lang w:val="en-US" w:eastAsia="zh-CN"/>
                    </w:rPr>
                    <w:t>10台且小于50台的，每个案例得2分，PC服务器数量低于10台的得0分，</w:t>
                  </w:r>
                  <w:r>
                    <w:rPr>
                      <w:rFonts w:hint="eastAsia"/>
                      <w:highlight w:val="none"/>
                      <w:lang w:val="en-US" w:eastAsia="zh-CN"/>
                    </w:rPr>
                    <w:t>最高1</w:t>
                  </w:r>
                  <w:r>
                    <w:rPr>
                      <w:highlight w:val="none"/>
                      <w:lang w:val="en-US" w:eastAsia="zh-CN"/>
                    </w:rPr>
                    <w:t>4</w:t>
                  </w:r>
                  <w:r>
                    <w:rPr>
                      <w:rFonts w:hint="eastAsia"/>
                      <w:highlight w:val="none"/>
                      <w:lang w:val="en-US" w:eastAsia="zh-CN"/>
                    </w:rPr>
                    <w:t>分；</w:t>
                  </w:r>
                </w:p>
                <w:p w14:paraId="29E783B6">
                  <w:pPr>
                    <w:pStyle w:val="37"/>
                    <w:rPr>
                      <w:rFonts w:hint="eastAsia"/>
                      <w:highlight w:val="none"/>
                      <w:lang w:val="en-US" w:eastAsia="zh-CN"/>
                    </w:rPr>
                  </w:pPr>
                  <w:r>
                    <w:rPr>
                      <w:highlight w:val="none"/>
                      <w:lang w:val="en-US" w:eastAsia="zh-CN"/>
                    </w:rPr>
                    <w:t>3.响应人</w:t>
                  </w:r>
                  <w:r>
                    <w:rPr>
                      <w:rFonts w:hint="eastAsia"/>
                      <w:highlight w:val="none"/>
                      <w:lang w:val="en-US" w:eastAsia="zh-CN"/>
                    </w:rPr>
                    <w:t>所提供的</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w:t>
                  </w:r>
                  <w:r>
                    <w:rPr>
                      <w:rFonts w:hint="eastAsia"/>
                      <w:highlight w:val="none"/>
                      <w:lang w:val="en-US" w:eastAsia="zh-CN"/>
                    </w:rPr>
                    <w:t>重庆区域内(不限行业)所有有效PC服务器维保技术服务案例中</w:t>
                  </w:r>
                  <w:r>
                    <w:rPr>
                      <w:highlight w:val="none"/>
                      <w:lang w:val="en-US" w:eastAsia="zh-CN"/>
                    </w:rPr>
                    <w:t>（含资格条件中的案例）</w:t>
                  </w:r>
                  <w:r>
                    <w:rPr>
                      <w:rFonts w:hint="eastAsia"/>
                      <w:highlight w:val="none"/>
                      <w:lang w:val="en-US" w:eastAsia="zh-CN"/>
                    </w:rPr>
                    <w:t>，</w:t>
                  </w:r>
                  <w:r>
                    <w:rPr>
                      <w:highlight w:val="none"/>
                      <w:lang w:val="en-US" w:eastAsia="zh-CN"/>
                    </w:rPr>
                    <w:t>所涉及的全部</w:t>
                  </w:r>
                  <w:r>
                    <w:rPr>
                      <w:rFonts w:hint="eastAsia"/>
                      <w:highlight w:val="none"/>
                      <w:lang w:val="en-US" w:eastAsia="zh-CN"/>
                    </w:rPr>
                    <w:t>PC服务器品牌包含惠普、华为、同方、浪潮及联想中5个品牌的得5分，包含其中4个品牌的得4分，包含其中3个品牌的得3分，包含其中2个品牌的得2分，包含其中1个品牌的得1分，包含0个品牌的不得分。</w:t>
                  </w:r>
                </w:p>
                <w:p w14:paraId="67E351B5">
                  <w:pPr>
                    <w:pStyle w:val="37"/>
                    <w:rPr>
                      <w:highlight w:val="none"/>
                    </w:rPr>
                  </w:pPr>
                  <w:r>
                    <w:rPr>
                      <w:rFonts w:hint="eastAsia"/>
                      <w:highlight w:val="none"/>
                      <w:lang w:val="en-US" w:eastAsia="zh-CN"/>
                    </w:rPr>
                    <w:t>注：</w:t>
                  </w:r>
                  <w:r>
                    <w:rPr>
                      <w:rFonts w:hint="eastAsia"/>
                      <w:highlight w:val="none"/>
                    </w:rPr>
                    <w:t>案例以</w:t>
                  </w:r>
                  <w:r>
                    <w:rPr>
                      <w:highlight w:val="none"/>
                    </w:rPr>
                    <w:t>维保截止</w:t>
                  </w:r>
                  <w:r>
                    <w:rPr>
                      <w:rFonts w:hint="eastAsia"/>
                      <w:highlight w:val="none"/>
                    </w:rPr>
                    <w:t>时间为准，</w:t>
                  </w:r>
                  <w:r>
                    <w:rPr>
                      <w:highlight w:val="none"/>
                    </w:rPr>
                    <w:t>截止时间须在2023年1月1日（含）之后</w:t>
                  </w:r>
                  <w:r>
                    <w:rPr>
                      <w:rFonts w:hint="eastAsia"/>
                      <w:highlight w:val="none"/>
                    </w:rPr>
                    <w:t>，最终用户为同一个的只算一个案例，非维保类</w:t>
                  </w:r>
                  <w:r>
                    <w:rPr>
                      <w:highlight w:val="none"/>
                    </w:rPr>
                    <w:t>（如服务器采购类）</w:t>
                  </w:r>
                  <w:r>
                    <w:rPr>
                      <w:rFonts w:hint="eastAsia"/>
                      <w:highlight w:val="none"/>
                    </w:rPr>
                    <w:t>案例无效，维保类案例中不包含PC服务器的无效</w:t>
                  </w:r>
                  <w:r>
                    <w:rPr>
                      <w:highlight w:val="none"/>
                    </w:rPr>
                    <w:t>，响应人须为实际服务提供方，代理类案例无效（如通过响应人购买原厂服务器维保的案例）。</w:t>
                  </w:r>
                </w:p>
                <w:p w14:paraId="5CF45864">
                  <w:pPr>
                    <w:pStyle w:val="37"/>
                    <w:rPr>
                      <w:rFonts w:hint="eastAsia"/>
                      <w:highlight w:val="none"/>
                    </w:rPr>
                  </w:pPr>
                  <w:r>
                    <w:rPr>
                      <w:rFonts w:hint="eastAsia"/>
                      <w:highlight w:val="none"/>
                      <w:lang w:eastAsia="zh-CN"/>
                    </w:rPr>
                    <w:t>【</w:t>
                  </w:r>
                  <w:r>
                    <w:rPr>
                      <w:rFonts w:hint="eastAsia"/>
                      <w:highlight w:val="none"/>
                    </w:rPr>
                    <w:t>提供：①项目简介（格式自拟</w:t>
                  </w:r>
                  <w:r>
                    <w:rPr>
                      <w:highlight w:val="none"/>
                    </w:rPr>
                    <w:t>，需包括合同买方</w:t>
                  </w:r>
                  <w:r>
                    <w:rPr>
                      <w:rFonts w:hint="eastAsia"/>
                      <w:highlight w:val="none"/>
                    </w:rPr>
                    <w:t>联系人和联系电话</w:t>
                  </w:r>
                  <w:r>
                    <w:rPr>
                      <w:highlight w:val="none"/>
                    </w:rPr>
                    <w:t>，维保起止时间，以及</w:t>
                  </w:r>
                  <w:r>
                    <w:rPr>
                      <w:rFonts w:hint="eastAsia"/>
                      <w:highlight w:val="none"/>
                      <w:lang w:val="en-US" w:eastAsia="zh-CN"/>
                    </w:rPr>
                    <w:t>案例中的PC服务器总数和所涉及的</w:t>
                  </w:r>
                  <w:r>
                    <w:rPr>
                      <w:highlight w:val="none"/>
                      <w:lang w:val="en-US" w:eastAsia="zh-CN"/>
                    </w:rPr>
                    <w:t>PC</w:t>
                  </w:r>
                  <w:r>
                    <w:rPr>
                      <w:rFonts w:hint="eastAsia"/>
                      <w:highlight w:val="none"/>
                      <w:lang w:val="en-US" w:eastAsia="zh-CN"/>
                    </w:rPr>
                    <w:t>服务器品牌</w:t>
                  </w:r>
                  <w:r>
                    <w:rPr>
                      <w:rFonts w:hint="eastAsia"/>
                      <w:highlight w:val="none"/>
                    </w:rPr>
                    <w:t>）；②合同关键页（合同关键页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；③合同对应的发票</w:t>
                  </w:r>
                  <w:r>
                    <w:rPr>
                      <w:highlight w:val="none"/>
                    </w:rPr>
                    <w:t>复印件</w:t>
                  </w:r>
                  <w:r>
                    <w:rPr>
                      <w:rFonts w:hint="eastAsia"/>
                      <w:highlight w:val="none"/>
                    </w:rPr>
                    <w:t>（发票累计金额不低于合同金额</w:t>
                  </w:r>
                  <w:r>
                    <w:rPr>
                      <w:rFonts w:hint="eastAsia"/>
                      <w:highlight w:val="none"/>
                      <w:lang w:val="en-US" w:eastAsia="zh-CN"/>
                    </w:rPr>
                    <w:t>的</w:t>
                  </w:r>
                  <w:r>
                    <w:rPr>
                      <w:rFonts w:hint="eastAsia"/>
                      <w:highlight w:val="none"/>
                    </w:rPr>
                    <w:t>10%</w:t>
                  </w:r>
                  <w:r>
                    <w:rPr>
                      <w:highlight w:val="none"/>
                    </w:rPr>
                    <w:t>）及对应</w:t>
                  </w:r>
                  <w:r>
                    <w:rPr>
                      <w:rFonts w:hint="eastAsia"/>
                      <w:highlight w:val="none"/>
                    </w:rPr>
                    <w:t>发票的</w:t>
                  </w:r>
                  <w:r>
                    <w:rPr>
                      <w:highlight w:val="none"/>
                    </w:rPr>
                    <w:t>验证文件（</w:t>
                  </w:r>
                  <w:r>
                    <w:rPr>
                      <w:rFonts w:hint="eastAsia"/>
                      <w:highlight w:val="none"/>
                    </w:rPr>
                    <w:t>发票验证文件为“国家税务总局全国增值税发票查验平台https://inv-veri.chinatax.gov.cn/”查验结果截图</w:t>
                  </w:r>
                  <w:r>
                    <w:rPr>
                      <w:rFonts w:hint="eastAsia"/>
                      <w:highlight w:val="none"/>
                      <w:lang w:eastAsia="zh-CN"/>
                    </w:rPr>
                    <w:t>，</w:t>
                  </w:r>
                  <w:r>
                    <w:rPr>
                      <w:rFonts w:hint="eastAsia"/>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highlight w:val="none"/>
                      <w:lang w:val="en-US" w:eastAsia="zh-CN"/>
                    </w:rPr>
                    <w:t>】</w:t>
                  </w:r>
                </w:p>
              </w:tc>
            </w:tr>
          </w:tbl>
          <w:p w14:paraId="14246D64">
            <w:pPr>
              <w:pStyle w:val="37"/>
              <w:rPr>
                <w:highlight w:val="none"/>
              </w:rPr>
            </w:pPr>
          </w:p>
        </w:tc>
      </w:tr>
      <w:tr w14:paraId="216E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1692CAC1">
            <w:pPr>
              <w:pStyle w:val="37"/>
              <w:rPr>
                <w:highlight w:val="none"/>
              </w:rPr>
            </w:pPr>
            <w:r>
              <w:rPr>
                <w:rFonts w:hint="eastAsia"/>
                <w:highlight w:val="none"/>
              </w:rPr>
              <w:t>3</w:t>
            </w:r>
          </w:p>
        </w:tc>
        <w:tc>
          <w:tcPr>
            <w:tcW w:w="1482" w:type="dxa"/>
            <w:tcBorders>
              <w:left w:val="single" w:color="auto" w:sz="4" w:space="0"/>
            </w:tcBorders>
            <w:vAlign w:val="center"/>
          </w:tcPr>
          <w:p w14:paraId="671203D5">
            <w:pPr>
              <w:pStyle w:val="37"/>
              <w:rPr>
                <w:highlight w:val="none"/>
              </w:rPr>
            </w:pPr>
            <w:r>
              <w:rPr>
                <w:rFonts w:hint="eastAsia"/>
                <w:highlight w:val="none"/>
              </w:rPr>
              <w:t>评审程序</w:t>
            </w:r>
          </w:p>
        </w:tc>
        <w:tc>
          <w:tcPr>
            <w:tcW w:w="7162" w:type="dxa"/>
            <w:gridSpan w:val="3"/>
            <w:tcBorders>
              <w:left w:val="single" w:color="auto" w:sz="4" w:space="0"/>
            </w:tcBorders>
          </w:tcPr>
          <w:p w14:paraId="0AFAF77B">
            <w:pPr>
              <w:pStyle w:val="37"/>
              <w:rPr>
                <w:highlight w:val="none"/>
              </w:rPr>
            </w:pPr>
            <w:r>
              <w:rPr>
                <w:rFonts w:hint="eastAsia"/>
                <w:highlight w:val="none"/>
              </w:rPr>
              <w:t>1.初步评审前，按本章第3.1.3项的规定对响应报价有算术性错误的进行算术性错误修正。</w:t>
            </w:r>
          </w:p>
          <w:p w14:paraId="2516FFF0">
            <w:pPr>
              <w:pStyle w:val="37"/>
              <w:rPr>
                <w:highlight w:val="none"/>
              </w:rPr>
            </w:pPr>
            <w:r>
              <w:rPr>
                <w:rFonts w:hint="eastAsia"/>
                <w:highlight w:val="none"/>
              </w:rPr>
              <w:t>2.评审委员会对响应文件进行初步评审。</w:t>
            </w:r>
          </w:p>
          <w:p w14:paraId="21B12104">
            <w:pPr>
              <w:pStyle w:val="37"/>
              <w:rPr>
                <w:highlight w:val="none"/>
              </w:rPr>
            </w:pPr>
            <w:r>
              <w:rPr>
                <w:rFonts w:hint="eastAsia"/>
                <w:highlight w:val="none"/>
              </w:rPr>
              <w:t>3.初步评审合格的响应文件进行详细评审。主观评审部分由各专家独立评审打分，最后取平均得分，保留2位小数。</w:t>
            </w:r>
          </w:p>
          <w:p w14:paraId="1B53DFB0">
            <w:pPr>
              <w:pStyle w:val="37"/>
              <w:rPr>
                <w:highlight w:val="none"/>
              </w:rPr>
            </w:pPr>
            <w:r>
              <w:rPr>
                <w:rFonts w:hint="eastAsia"/>
                <w:highlight w:val="none"/>
              </w:rPr>
              <w:t>4.根据综合得分由高至低进行排序，推荐1-3家合格的成交候选人。并依次为第一、二、三成交候选人。</w:t>
            </w:r>
          </w:p>
        </w:tc>
      </w:tr>
      <w:tr w14:paraId="4B16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4F2A1FA3">
            <w:pPr>
              <w:pStyle w:val="37"/>
              <w:rPr>
                <w:highlight w:val="none"/>
              </w:rPr>
            </w:pPr>
            <w:r>
              <w:rPr>
                <w:rFonts w:hint="eastAsia"/>
                <w:highlight w:val="none"/>
              </w:rPr>
              <w:t>3.2.3</w:t>
            </w:r>
          </w:p>
        </w:tc>
        <w:tc>
          <w:tcPr>
            <w:tcW w:w="1511" w:type="dxa"/>
            <w:tcBorders>
              <w:left w:val="single" w:color="auto" w:sz="4" w:space="0"/>
            </w:tcBorders>
            <w:vAlign w:val="center"/>
          </w:tcPr>
          <w:p w14:paraId="4E86CDFF">
            <w:pPr>
              <w:pStyle w:val="37"/>
              <w:rPr>
                <w:highlight w:val="none"/>
              </w:rPr>
            </w:pPr>
            <w:r>
              <w:rPr>
                <w:rFonts w:hint="eastAsia"/>
                <w:highlight w:val="none"/>
              </w:rPr>
              <w:t>响应人得分</w:t>
            </w:r>
          </w:p>
        </w:tc>
        <w:tc>
          <w:tcPr>
            <w:tcW w:w="5651" w:type="dxa"/>
            <w:gridSpan w:val="2"/>
            <w:tcBorders>
              <w:left w:val="single" w:color="auto" w:sz="4" w:space="0"/>
            </w:tcBorders>
            <w:vAlign w:val="center"/>
          </w:tcPr>
          <w:p w14:paraId="2A35D42F">
            <w:pPr>
              <w:pStyle w:val="37"/>
              <w:rPr>
                <w:highlight w:val="none"/>
              </w:rPr>
            </w:pPr>
            <w:r>
              <w:rPr>
                <w:rFonts w:hint="eastAsia"/>
                <w:highlight w:val="none"/>
              </w:rPr>
              <w:t>响应人得分=响应报价得分+商务部分得分+技术部分得分</w:t>
            </w:r>
          </w:p>
        </w:tc>
      </w:tr>
      <w:bookmarkEnd w:id="70"/>
    </w:tbl>
    <w:p w14:paraId="2EAAEB96">
      <w:pPr>
        <w:ind w:firstLine="0" w:firstLineChars="0"/>
        <w:rPr>
          <w:rFonts w:ascii="宋体" w:hAnsi="宋体" w:cs="宋体"/>
          <w:snapToGrid w:val="0"/>
          <w:szCs w:val="21"/>
          <w:highlight w:val="none"/>
        </w:rPr>
      </w:pPr>
      <w:bookmarkStart w:id="71" w:name="_Toc636"/>
      <w:bookmarkStart w:id="72" w:name="_Toc21111"/>
    </w:p>
    <w:p w14:paraId="6C6E80E7">
      <w:pPr>
        <w:ind w:firstLine="0" w:firstLineChars="0"/>
        <w:rPr>
          <w:rFonts w:ascii="宋体" w:hAnsi="宋体" w:cs="宋体"/>
          <w:snapToGrid w:val="0"/>
          <w:szCs w:val="21"/>
          <w:highlight w:val="none"/>
        </w:rPr>
      </w:pPr>
    </w:p>
    <w:p w14:paraId="6B55AA4E">
      <w:pPr>
        <w:ind w:firstLine="0" w:firstLineChars="0"/>
        <w:rPr>
          <w:rFonts w:ascii="宋体" w:hAnsi="宋体" w:cs="宋体"/>
          <w:snapToGrid w:val="0"/>
          <w:szCs w:val="21"/>
          <w:highlight w:val="none"/>
        </w:rPr>
        <w:sectPr>
          <w:pgSz w:w="11906" w:h="16838"/>
          <w:pgMar w:top="1440" w:right="1800" w:bottom="1440" w:left="1800" w:header="851" w:footer="992" w:gutter="0"/>
          <w:cols w:space="720" w:num="1"/>
          <w:docGrid w:type="lines" w:linePitch="312" w:charSpace="0"/>
        </w:sectPr>
      </w:pPr>
    </w:p>
    <w:p w14:paraId="437486DA">
      <w:pPr>
        <w:pStyle w:val="3"/>
        <w:rPr>
          <w:highlight w:val="none"/>
        </w:rPr>
      </w:pPr>
      <w:bookmarkStart w:id="73" w:name="_Toc18283"/>
      <w:bookmarkStart w:id="74" w:name="_Toc28684"/>
      <w:bookmarkStart w:id="75" w:name="_Toc27234"/>
      <w:r>
        <w:rPr>
          <w:rFonts w:hint="eastAsia"/>
          <w:highlight w:val="none"/>
        </w:rPr>
        <w:t>1. 评审方法</w:t>
      </w:r>
      <w:bookmarkEnd w:id="71"/>
      <w:bookmarkEnd w:id="72"/>
      <w:bookmarkEnd w:id="73"/>
      <w:bookmarkEnd w:id="74"/>
      <w:bookmarkEnd w:id="75"/>
    </w:p>
    <w:p w14:paraId="0EC52863">
      <w:pPr>
        <w:rPr>
          <w:highlight w:val="none"/>
        </w:rPr>
      </w:pPr>
      <w:bookmarkStart w:id="76" w:name="_Toc407195379"/>
      <w:bookmarkStart w:id="77" w:name="_Toc377067339"/>
      <w:bookmarkStart w:id="78" w:name="_Toc200513199"/>
      <w:bookmarkStart w:id="79" w:name="_Toc287607813"/>
      <w:bookmarkStart w:id="80" w:name="_Toc440022827"/>
      <w:bookmarkStart w:id="81" w:name="_Toc330569206"/>
      <w:bookmarkStart w:id="82" w:name="_Toc224103385"/>
      <w:bookmarkStart w:id="83" w:name="_Toc287620752"/>
      <w:bookmarkStart w:id="84" w:name="_Toc376114120"/>
      <w:bookmarkStart w:id="85" w:name="_Toc277082619"/>
      <w:bookmarkStart w:id="86" w:name="_Toc377115419"/>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2695EB76">
      <w:pPr>
        <w:pStyle w:val="3"/>
        <w:rPr>
          <w:highlight w:val="none"/>
        </w:rPr>
      </w:pPr>
      <w:bookmarkStart w:id="87" w:name="_Toc31615"/>
      <w:bookmarkStart w:id="88" w:name="_Toc2274"/>
      <w:bookmarkStart w:id="89" w:name="_Toc27931"/>
      <w:bookmarkStart w:id="90" w:name="_Toc16716"/>
      <w:bookmarkStart w:id="91" w:name="_Toc23969"/>
      <w:bookmarkStart w:id="92" w:name="_Toc765"/>
      <w:bookmarkStart w:id="93" w:name="_Toc444155968"/>
      <w:bookmarkStart w:id="94" w:name="_Toc27406"/>
      <w:bookmarkStart w:id="95" w:name="_Toc5950"/>
      <w:r>
        <w:rPr>
          <w:rFonts w:hint="eastAsia"/>
          <w:highlight w:val="none"/>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20EE4AA">
      <w:pPr>
        <w:pStyle w:val="4"/>
        <w:rPr>
          <w:highlight w:val="none"/>
        </w:rPr>
      </w:pPr>
      <w:bookmarkStart w:id="96" w:name="_Toc277082620"/>
      <w:bookmarkStart w:id="97" w:name="_Toc11839"/>
      <w:bookmarkStart w:id="98" w:name="_Toc224103386"/>
      <w:bookmarkStart w:id="99" w:name="_Toc376114121"/>
      <w:bookmarkStart w:id="100" w:name="_Toc407195380"/>
      <w:bookmarkStart w:id="101" w:name="_Toc23425"/>
      <w:bookmarkStart w:id="102" w:name="_Toc330569207"/>
      <w:bookmarkStart w:id="103" w:name="_Toc377067340"/>
      <w:bookmarkStart w:id="104" w:name="_Toc444155969"/>
      <w:bookmarkStart w:id="105" w:name="_Toc10533"/>
      <w:bookmarkStart w:id="106" w:name="_Toc7584"/>
      <w:bookmarkStart w:id="107" w:name="_Toc200513200"/>
      <w:bookmarkStart w:id="108" w:name="_Toc440022828"/>
      <w:bookmarkStart w:id="109" w:name="_Toc16537"/>
      <w:bookmarkStart w:id="110" w:name="_Toc287607814"/>
      <w:bookmarkStart w:id="111" w:name="_Toc377115420"/>
      <w:bookmarkStart w:id="112" w:name="_Toc1358"/>
      <w:bookmarkStart w:id="113" w:name="_Toc287620753"/>
      <w:bookmarkStart w:id="114" w:name="_Toc21593"/>
      <w:r>
        <w:rPr>
          <w:rFonts w:hint="eastAsia"/>
          <w:highlight w:val="none"/>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E1A7FAF">
      <w:pPr>
        <w:rPr>
          <w:highlight w:val="none"/>
        </w:rPr>
      </w:pPr>
      <w:r>
        <w:rPr>
          <w:rFonts w:hint="eastAsia"/>
          <w:highlight w:val="none"/>
        </w:rPr>
        <w:t>2.1.1 资格评审标准：见评审办法前附表。</w:t>
      </w:r>
    </w:p>
    <w:p w14:paraId="0FE90E93">
      <w:pPr>
        <w:rPr>
          <w:highlight w:val="none"/>
        </w:rPr>
      </w:pPr>
      <w:r>
        <w:rPr>
          <w:rFonts w:hint="eastAsia"/>
          <w:highlight w:val="none"/>
        </w:rPr>
        <w:t>2.1.2 形式评审标准：见评审办法前附表。</w:t>
      </w:r>
    </w:p>
    <w:p w14:paraId="1C953E25">
      <w:pPr>
        <w:rPr>
          <w:highlight w:val="none"/>
        </w:rPr>
      </w:pPr>
      <w:r>
        <w:rPr>
          <w:rFonts w:hint="eastAsia"/>
          <w:highlight w:val="none"/>
        </w:rPr>
        <w:t>2.1.3 响应性评审标准：见评审办法前附表。</w:t>
      </w:r>
    </w:p>
    <w:p w14:paraId="3BE9BFB5">
      <w:pPr>
        <w:pStyle w:val="4"/>
        <w:rPr>
          <w:highlight w:val="none"/>
        </w:rPr>
      </w:pPr>
      <w:bookmarkStart w:id="115" w:name="_Toc277082621"/>
      <w:bookmarkStart w:id="116" w:name="_Toc377067341"/>
      <w:bookmarkStart w:id="117" w:name="_Toc287607815"/>
      <w:bookmarkStart w:id="118" w:name="_Toc287620754"/>
      <w:bookmarkStart w:id="119" w:name="_Toc20840"/>
      <w:bookmarkStart w:id="120" w:name="_Toc200513201"/>
      <w:bookmarkStart w:id="121" w:name="_Toc1387"/>
      <w:bookmarkStart w:id="122" w:name="_Toc2340"/>
      <w:bookmarkStart w:id="123" w:name="_Toc6503"/>
      <w:bookmarkStart w:id="124" w:name="_Toc224103387"/>
      <w:bookmarkStart w:id="125" w:name="_Toc23296"/>
      <w:bookmarkStart w:id="126" w:name="_Toc25129"/>
      <w:bookmarkStart w:id="127" w:name="_Toc444155970"/>
      <w:bookmarkStart w:id="128" w:name="_Toc407195381"/>
      <w:bookmarkStart w:id="129" w:name="_Toc376114122"/>
      <w:bookmarkStart w:id="130" w:name="_Toc377115421"/>
      <w:bookmarkStart w:id="131" w:name="_Toc440022829"/>
      <w:bookmarkStart w:id="132" w:name="_Toc9090"/>
      <w:bookmarkStart w:id="133" w:name="_Toc330569208"/>
      <w:r>
        <w:rPr>
          <w:rFonts w:hint="eastAsia"/>
          <w:highlight w:val="none"/>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AB5DE35">
      <w:pPr>
        <w:rPr>
          <w:highlight w:val="none"/>
        </w:rPr>
      </w:pPr>
      <w:r>
        <w:rPr>
          <w:rFonts w:hint="eastAsia"/>
          <w:highlight w:val="none"/>
        </w:rPr>
        <w:t xml:space="preserve">2.2.1 分值构成：见评审办法前附表。 </w:t>
      </w:r>
    </w:p>
    <w:p w14:paraId="0B4089A0">
      <w:pPr>
        <w:rPr>
          <w:highlight w:val="none"/>
        </w:rPr>
      </w:pPr>
      <w:r>
        <w:rPr>
          <w:rFonts w:hint="eastAsia"/>
          <w:highlight w:val="none"/>
        </w:rPr>
        <w:t>2.2.2 评审基准价计算方法：见评审办法前附表。</w:t>
      </w:r>
    </w:p>
    <w:p w14:paraId="7E905307">
      <w:pPr>
        <w:rPr>
          <w:highlight w:val="none"/>
        </w:rPr>
      </w:pPr>
      <w:r>
        <w:rPr>
          <w:rFonts w:hint="eastAsia"/>
          <w:highlight w:val="none"/>
        </w:rPr>
        <w:t>2.2.3 评分标准： （1）响应报价评分标准：见评审办法前附表；</w:t>
      </w:r>
    </w:p>
    <w:p w14:paraId="66800222">
      <w:pPr>
        <w:ind w:left="1680"/>
        <w:rPr>
          <w:highlight w:val="none"/>
        </w:rPr>
      </w:pPr>
      <w:r>
        <w:rPr>
          <w:rFonts w:hint="eastAsia"/>
          <w:highlight w:val="none"/>
        </w:rPr>
        <w:t>（2）商务部分评分标准：见评审办法前附表；</w:t>
      </w:r>
    </w:p>
    <w:p w14:paraId="13D78226">
      <w:pPr>
        <w:ind w:left="1680"/>
        <w:rPr>
          <w:highlight w:val="none"/>
        </w:rPr>
      </w:pPr>
      <w:r>
        <w:rPr>
          <w:rFonts w:hint="eastAsia"/>
          <w:highlight w:val="none"/>
        </w:rPr>
        <w:t>（3）技术部分评分标准：见评审办法前附表。</w:t>
      </w:r>
    </w:p>
    <w:p w14:paraId="79431A0B">
      <w:pPr>
        <w:pStyle w:val="3"/>
        <w:rPr>
          <w:highlight w:val="none"/>
        </w:rPr>
      </w:pPr>
      <w:bookmarkStart w:id="134" w:name="_Toc224103388"/>
      <w:bookmarkStart w:id="135" w:name="_Toc330569209"/>
      <w:bookmarkStart w:id="136" w:name="_Toc9488"/>
      <w:bookmarkStart w:id="137" w:name="_Toc200513202"/>
      <w:bookmarkStart w:id="138" w:name="_Toc12538"/>
      <w:bookmarkStart w:id="139" w:name="_Toc376114123"/>
      <w:bookmarkStart w:id="140" w:name="_Toc5546"/>
      <w:bookmarkStart w:id="141" w:name="_Toc377067342"/>
      <w:bookmarkStart w:id="142" w:name="_Toc287620755"/>
      <w:bookmarkStart w:id="143" w:name="_Toc2982"/>
      <w:bookmarkStart w:id="144" w:name="_Toc23633"/>
      <w:bookmarkStart w:id="145" w:name="_Toc8004"/>
      <w:bookmarkStart w:id="146" w:name="_Toc14353"/>
      <w:bookmarkStart w:id="147" w:name="_Toc287607816"/>
      <w:bookmarkStart w:id="148" w:name="_Toc440022830"/>
      <w:bookmarkStart w:id="149" w:name="_Toc407195382"/>
      <w:bookmarkStart w:id="150" w:name="_Toc377115422"/>
      <w:bookmarkStart w:id="151" w:name="_Toc277082622"/>
      <w:bookmarkStart w:id="152" w:name="_Toc15132"/>
      <w:bookmarkStart w:id="153" w:name="_Toc444155971"/>
      <w:r>
        <w:rPr>
          <w:rFonts w:hint="eastAsia"/>
          <w:highlight w:val="none"/>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E70C7DF">
      <w:pPr>
        <w:pStyle w:val="4"/>
        <w:rPr>
          <w:highlight w:val="none"/>
        </w:rPr>
      </w:pPr>
      <w:bookmarkStart w:id="154" w:name="_Toc277082623"/>
      <w:bookmarkStart w:id="155" w:name="_Toc330569210"/>
      <w:bookmarkStart w:id="156" w:name="_Toc6448"/>
      <w:bookmarkStart w:id="157" w:name="_Toc407195383"/>
      <w:bookmarkStart w:id="158" w:name="_Toc287607817"/>
      <w:bookmarkStart w:id="159" w:name="_Toc32002"/>
      <w:bookmarkStart w:id="160" w:name="_Toc377115423"/>
      <w:bookmarkStart w:id="161" w:name="_Toc22279"/>
      <w:bookmarkStart w:id="162" w:name="_Toc444155972"/>
      <w:bookmarkStart w:id="163" w:name="_Toc5462"/>
      <w:bookmarkStart w:id="164" w:name="_Toc287620756"/>
      <w:bookmarkStart w:id="165" w:name="_Toc13851"/>
      <w:bookmarkStart w:id="166" w:name="_Toc376114124"/>
      <w:bookmarkStart w:id="167" w:name="_Toc19840"/>
      <w:bookmarkStart w:id="168" w:name="_Toc377067343"/>
      <w:bookmarkStart w:id="169" w:name="_Toc440022831"/>
      <w:bookmarkStart w:id="170" w:name="_Toc224103389"/>
      <w:bookmarkStart w:id="171" w:name="_Toc200513203"/>
      <w:bookmarkStart w:id="172" w:name="_Toc9683"/>
      <w:r>
        <w:rPr>
          <w:rFonts w:hint="eastAsia"/>
          <w:highlight w:val="none"/>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6CC8530">
      <w:pPr>
        <w:rPr>
          <w:highlight w:val="none"/>
        </w:rPr>
      </w:pPr>
      <w:bookmarkStart w:id="173" w:name="_Toc354387014"/>
      <w:bookmarkStart w:id="174" w:name="_Toc332015984"/>
      <w:bookmarkStart w:id="175" w:name="_Toc373264792"/>
      <w:bookmarkStart w:id="176" w:name="_Toc440022832"/>
      <w:bookmarkStart w:id="177" w:name="_Toc356484119"/>
      <w:bookmarkStart w:id="178" w:name="_Toc373172234"/>
      <w:bookmarkStart w:id="179" w:name="_Toc377115424"/>
      <w:bookmarkStart w:id="180" w:name="_Toc356243677"/>
      <w:bookmarkStart w:id="181" w:name="_Toc332380970"/>
      <w:bookmarkStart w:id="182" w:name="_Toc407195384"/>
      <w:bookmarkStart w:id="183" w:name="_Toc377067344"/>
      <w:bookmarkStart w:id="184" w:name="_Toc330569211"/>
      <w:bookmarkStart w:id="185" w:name="_Toc444155973"/>
      <w:bookmarkStart w:id="186" w:name="_Toc27164"/>
      <w:bookmarkStart w:id="187" w:name="_Toc332028970"/>
      <w:bookmarkStart w:id="188" w:name="_Toc331232649"/>
      <w:bookmarkStart w:id="189" w:name="_Toc376114125"/>
      <w:bookmarkStart w:id="190" w:name="_Toc331232467"/>
      <w:bookmarkStart w:id="191" w:name="_Toc334002333"/>
      <w:r>
        <w:rPr>
          <w:rFonts w:hint="eastAsia"/>
          <w:highlight w:val="none"/>
        </w:rPr>
        <w:t>3.1.1 评审委员会依据本章第2.1 条规定的标准对响应文件进行初步评审。有一项不符合评审标准的，作否决响应处理。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7A8A329">
      <w:pPr>
        <w:rPr>
          <w:highlight w:val="none"/>
        </w:rPr>
      </w:pPr>
      <w:r>
        <w:rPr>
          <w:rFonts w:hint="eastAsia"/>
          <w:highlight w:val="none"/>
        </w:rPr>
        <w:t>3.1.2 响应人有以下情形之一的，其响应作否决响应处理：</w:t>
      </w:r>
    </w:p>
    <w:p w14:paraId="3BE29572">
      <w:pPr>
        <w:rPr>
          <w:highlight w:val="none"/>
        </w:rPr>
      </w:pPr>
      <w:r>
        <w:rPr>
          <w:rFonts w:hint="eastAsia"/>
          <w:highlight w:val="none"/>
        </w:rPr>
        <w:t>3.1.2.1 有第二章“响应人须知”第9.条以及第11. 条规定的任何一种情形的；</w:t>
      </w:r>
    </w:p>
    <w:p w14:paraId="309F6EA6">
      <w:pPr>
        <w:rPr>
          <w:highlight w:val="none"/>
        </w:rPr>
      </w:pPr>
      <w:r>
        <w:rPr>
          <w:rFonts w:hint="eastAsia"/>
          <w:highlight w:val="none"/>
        </w:rPr>
        <w:t>3.1.2.2 有串通响应、弄虚作假等其他违反相关法律、法规行为的；</w:t>
      </w:r>
    </w:p>
    <w:p w14:paraId="64D68A66">
      <w:pPr>
        <w:rPr>
          <w:highlight w:val="none"/>
        </w:rPr>
      </w:pPr>
      <w:r>
        <w:rPr>
          <w:rFonts w:hint="eastAsia"/>
          <w:highlight w:val="none"/>
        </w:rPr>
        <w:t>3.1.2.3 不按评审委员会要求澄清、说明或补正的。</w:t>
      </w:r>
    </w:p>
    <w:p w14:paraId="78243A27">
      <w:pPr>
        <w:rPr>
          <w:highlight w:val="none"/>
        </w:rPr>
      </w:pPr>
      <w:r>
        <w:rPr>
          <w:rFonts w:hint="eastAsia"/>
          <w:highlight w:val="none"/>
        </w:rPr>
        <w:t>3.1.2.4 本响应文件约定的其它情形。</w:t>
      </w:r>
    </w:p>
    <w:p w14:paraId="0640A10F">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20202E35">
      <w:pPr>
        <w:pStyle w:val="4"/>
        <w:rPr>
          <w:highlight w:val="none"/>
        </w:rPr>
      </w:pPr>
      <w:bookmarkStart w:id="192" w:name="_Toc287620757"/>
      <w:bookmarkStart w:id="193" w:name="_Toc440022833"/>
      <w:bookmarkStart w:id="194" w:name="_Toc330569212"/>
      <w:bookmarkStart w:id="195" w:name="_Toc444155974"/>
      <w:bookmarkStart w:id="196" w:name="_Toc407195385"/>
      <w:bookmarkStart w:id="197" w:name="_Toc29925"/>
      <w:bookmarkStart w:id="198" w:name="_Toc7832"/>
      <w:bookmarkStart w:id="199" w:name="_Toc11246"/>
      <w:bookmarkStart w:id="200" w:name="_Toc10847"/>
      <w:bookmarkStart w:id="201" w:name="_Toc22246"/>
      <w:bookmarkStart w:id="202" w:name="_Toc277082624"/>
      <w:bookmarkStart w:id="203" w:name="_Toc22848"/>
      <w:bookmarkStart w:id="204" w:name="_Toc377115425"/>
      <w:bookmarkStart w:id="205" w:name="_Toc287607818"/>
      <w:bookmarkStart w:id="206" w:name="_Toc377067345"/>
      <w:bookmarkStart w:id="207" w:name="_Toc376114126"/>
      <w:bookmarkStart w:id="208" w:name="_Toc200513204"/>
      <w:bookmarkStart w:id="209" w:name="_Toc19604"/>
      <w:bookmarkStart w:id="210" w:name="_Toc224103390"/>
      <w:r>
        <w:rPr>
          <w:rFonts w:hint="eastAsia"/>
          <w:highlight w:val="none"/>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BD3A782">
      <w:pPr>
        <w:rPr>
          <w:highlight w:val="none"/>
        </w:rPr>
      </w:pPr>
      <w:r>
        <w:rPr>
          <w:rFonts w:hint="eastAsia"/>
          <w:highlight w:val="none"/>
        </w:rPr>
        <w:t>3.2.1 评审委员会按本章第2.2 条规定的量化因素和分值进行打分，并计算出综合评估得分。</w:t>
      </w:r>
    </w:p>
    <w:p w14:paraId="2A979F58">
      <w:pPr>
        <w:rPr>
          <w:highlight w:val="none"/>
        </w:rPr>
      </w:pPr>
      <w:r>
        <w:rPr>
          <w:rFonts w:hint="eastAsia"/>
          <w:highlight w:val="none"/>
        </w:rPr>
        <w:t>3.2.1.1 按本章第2.2 条规定的评审因素和分值对响应报价计算出得分；</w:t>
      </w:r>
    </w:p>
    <w:p w14:paraId="4310AE24">
      <w:pPr>
        <w:rPr>
          <w:highlight w:val="none"/>
        </w:rPr>
      </w:pPr>
      <w:r>
        <w:rPr>
          <w:rFonts w:hint="eastAsia"/>
          <w:highlight w:val="none"/>
        </w:rPr>
        <w:t>3.2.1.2 按本章第2.2 条规定的评审因素和分值对商务部分计算出得分（评审委员会统一打分）；</w:t>
      </w:r>
    </w:p>
    <w:p w14:paraId="6B21CB74">
      <w:pPr>
        <w:rPr>
          <w:highlight w:val="none"/>
        </w:rPr>
      </w:pPr>
      <w:r>
        <w:rPr>
          <w:rFonts w:hint="eastAsia"/>
          <w:highlight w:val="none"/>
        </w:rPr>
        <w:t>3.2.2 评分分值计算保留小数点后两位，小数点后第三位“四舍五入”。</w:t>
      </w:r>
    </w:p>
    <w:p w14:paraId="5D1407B2">
      <w:pPr>
        <w:rPr>
          <w:highlight w:val="none"/>
        </w:rPr>
      </w:pPr>
      <w:r>
        <w:rPr>
          <w:rFonts w:hint="eastAsia"/>
          <w:highlight w:val="none"/>
        </w:rPr>
        <w:t>3.2.3 响应人得分=响应报价得分+商务部分得分+技术部分得分。</w:t>
      </w:r>
    </w:p>
    <w:p w14:paraId="74B42FFD">
      <w:pPr>
        <w:pStyle w:val="4"/>
        <w:rPr>
          <w:highlight w:val="none"/>
        </w:rPr>
      </w:pPr>
      <w:bookmarkStart w:id="211" w:name="_Toc7176"/>
      <w:bookmarkStart w:id="212" w:name="_Toc287607819"/>
      <w:bookmarkStart w:id="213" w:name="_Toc200513205"/>
      <w:bookmarkStart w:id="214" w:name="_Toc32039"/>
      <w:bookmarkStart w:id="215" w:name="_Toc18708"/>
      <w:bookmarkStart w:id="216" w:name="_Toc376114127"/>
      <w:bookmarkStart w:id="217" w:name="_Toc20948"/>
      <w:bookmarkStart w:id="218" w:name="_Toc2542"/>
      <w:bookmarkStart w:id="219" w:name="_Toc330569213"/>
      <w:bookmarkStart w:id="220" w:name="_Toc29261"/>
      <w:bookmarkStart w:id="221" w:name="_Toc377067346"/>
      <w:bookmarkStart w:id="222" w:name="_Toc444155975"/>
      <w:bookmarkStart w:id="223" w:name="_Toc407195386"/>
      <w:bookmarkStart w:id="224" w:name="_Toc277082625"/>
      <w:bookmarkStart w:id="225" w:name="_Toc377115426"/>
      <w:bookmarkStart w:id="226" w:name="_Toc287620758"/>
      <w:bookmarkStart w:id="227" w:name="_Toc440022834"/>
      <w:bookmarkStart w:id="228" w:name="_Toc1080"/>
      <w:bookmarkStart w:id="229" w:name="_Toc224103391"/>
      <w:r>
        <w:rPr>
          <w:rFonts w:hint="eastAsia"/>
          <w:highlight w:val="none"/>
        </w:rPr>
        <w:t>3.3 响应文件的澄清和补正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8D6EF93">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59557F1A">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3B70D83B">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F1585E4">
      <w:pPr>
        <w:pStyle w:val="4"/>
        <w:rPr>
          <w:highlight w:val="none"/>
        </w:rPr>
      </w:pPr>
      <w:bookmarkStart w:id="230" w:name="_Toc330569214"/>
      <w:bookmarkStart w:id="231" w:name="_Toc376114128"/>
      <w:bookmarkStart w:id="232" w:name="_Toc277082626"/>
      <w:bookmarkStart w:id="233" w:name="_Toc407195387"/>
      <w:bookmarkStart w:id="234" w:name="_Toc287607820"/>
      <w:bookmarkStart w:id="235" w:name="_Toc200513206"/>
      <w:bookmarkStart w:id="236" w:name="_Toc4814"/>
      <w:bookmarkStart w:id="237" w:name="_Toc377067347"/>
      <w:bookmarkStart w:id="238" w:name="_Toc6310"/>
      <w:bookmarkStart w:id="239" w:name="_Toc31270"/>
      <w:bookmarkStart w:id="240" w:name="_Toc377115427"/>
      <w:bookmarkStart w:id="241" w:name="_Toc287620759"/>
      <w:bookmarkStart w:id="242" w:name="_Toc21450"/>
      <w:bookmarkStart w:id="243" w:name="_Toc19054"/>
      <w:bookmarkStart w:id="244" w:name="_Toc224103392"/>
      <w:bookmarkStart w:id="245" w:name="_Toc30672"/>
      <w:bookmarkStart w:id="246" w:name="_Toc14840"/>
      <w:bookmarkStart w:id="247" w:name="_Toc440022835"/>
      <w:bookmarkStart w:id="248" w:name="_Toc444155976"/>
      <w:r>
        <w:rPr>
          <w:rFonts w:hint="eastAsia"/>
          <w:highlight w:val="none"/>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F50989">
      <w:pPr>
        <w:rPr>
          <w:highlight w:val="none"/>
        </w:rPr>
      </w:pPr>
      <w:r>
        <w:rPr>
          <w:rFonts w:hint="eastAsia"/>
          <w:highlight w:val="none"/>
        </w:rPr>
        <w:t>3.4.1 评审委员会按照得分由高到低的顺序推荐成交候选人。</w:t>
      </w:r>
    </w:p>
    <w:p w14:paraId="44ADCBE4">
      <w:pPr>
        <w:rPr>
          <w:highlight w:val="none"/>
        </w:rPr>
      </w:pPr>
      <w:r>
        <w:rPr>
          <w:rFonts w:hint="eastAsia"/>
          <w:highlight w:val="none"/>
        </w:rPr>
        <w:t>3.4.2 评审委员会完成评审后，应当向采购人提交书面评审报告。</w:t>
      </w:r>
    </w:p>
    <w:p w14:paraId="7CB742A8">
      <w:pPr>
        <w:rPr>
          <w:highlight w:val="none"/>
        </w:rPr>
      </w:pPr>
      <w:r>
        <w:rPr>
          <w:rFonts w:hint="eastAsia"/>
          <w:highlight w:val="none"/>
        </w:rPr>
        <w:t>3.4.3 有效响应不足三个的，经评审委员会判定，响应人具有相对行业竞争力的，可继续进行评审并确定成交候选人。</w:t>
      </w:r>
    </w:p>
    <w:p w14:paraId="1C942162">
      <w:pPr>
        <w:pStyle w:val="4"/>
        <w:rPr>
          <w:highlight w:val="none"/>
        </w:rPr>
      </w:pPr>
      <w:r>
        <w:rPr>
          <w:rFonts w:hint="eastAsia"/>
          <w:highlight w:val="none"/>
        </w:rPr>
        <w:t>3.5 对评审委员会成员的纪律要求</w:t>
      </w:r>
    </w:p>
    <w:p w14:paraId="307EC992">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63463059">
      <w:pPr>
        <w:pStyle w:val="4"/>
        <w:rPr>
          <w:highlight w:val="none"/>
        </w:rPr>
      </w:pPr>
      <w:r>
        <w:rPr>
          <w:rFonts w:hint="eastAsia"/>
          <w:highlight w:val="none"/>
        </w:rPr>
        <w:t>3.6 对与评审活动有关的工作人员的纪律要求</w:t>
      </w:r>
    </w:p>
    <w:p w14:paraId="42DBB626">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70110E58">
      <w:pPr>
        <w:rPr>
          <w:highlight w:val="none"/>
        </w:rPr>
      </w:pPr>
    </w:p>
    <w:p w14:paraId="5963B192">
      <w:pPr>
        <w:rPr>
          <w:highlight w:val="none"/>
        </w:rPr>
        <w:sectPr>
          <w:pgSz w:w="11906" w:h="16838"/>
          <w:pgMar w:top="1440" w:right="1800" w:bottom="1440" w:left="1800" w:header="851" w:footer="992" w:gutter="0"/>
          <w:cols w:space="720" w:num="1"/>
          <w:docGrid w:type="lines" w:linePitch="312" w:charSpace="0"/>
        </w:sectPr>
      </w:pPr>
    </w:p>
    <w:p w14:paraId="15CF45DD">
      <w:pPr>
        <w:pStyle w:val="2"/>
        <w:rPr>
          <w:highlight w:val="none"/>
        </w:rPr>
      </w:pPr>
      <w:bookmarkStart w:id="249" w:name="_Toc27908"/>
      <w:bookmarkStart w:id="250" w:name="_Toc150953074"/>
      <w:bookmarkStart w:id="251" w:name="_Toc27619"/>
      <w:bookmarkStart w:id="252" w:name="_Toc89675170"/>
      <w:bookmarkStart w:id="253" w:name="_Toc303066034"/>
      <w:r>
        <w:rPr>
          <w:rFonts w:hint="eastAsia"/>
          <w:highlight w:val="none"/>
        </w:rPr>
        <w:t>第五章 合同</w:t>
      </w:r>
      <w:r>
        <w:rPr>
          <w:highlight w:val="none"/>
        </w:rPr>
        <w:t>模板</w:t>
      </w:r>
      <w:bookmarkEnd w:id="249"/>
      <w:bookmarkEnd w:id="250"/>
      <w:bookmarkEnd w:id="251"/>
    </w:p>
    <w:p w14:paraId="0394ED12">
      <w:pPr>
        <w:ind w:firstLine="0" w:firstLineChars="0"/>
        <w:jc w:val="center"/>
        <w:rPr>
          <w:highlight w:val="none"/>
        </w:rPr>
      </w:pPr>
      <w:r>
        <w:rPr>
          <w:rFonts w:hint="eastAsia"/>
          <w:highlight w:val="none"/>
        </w:rPr>
        <w:t>（本章节的合同条款及格式仅供参考，具体以合同签订时为准）</w:t>
      </w:r>
    </w:p>
    <w:p w14:paraId="10663CFD">
      <w:pPr>
        <w:rPr>
          <w:bCs/>
          <w:sz w:val="24"/>
          <w:szCs w:val="40"/>
          <w:highlight w:val="none"/>
        </w:rPr>
      </w:pPr>
      <w:r>
        <w:rPr>
          <w:rFonts w:hint="eastAsia"/>
          <w:highlight w:val="none"/>
        </w:rPr>
        <w:br w:type="page"/>
      </w:r>
      <w:r>
        <w:rPr>
          <w:rFonts w:hint="eastAsia"/>
          <w:bCs/>
          <w:sz w:val="24"/>
          <w:szCs w:val="40"/>
          <w:highlight w:val="none"/>
        </w:rPr>
        <w:t>编号：SXYH</w:t>
      </w:r>
      <w:r>
        <w:rPr>
          <w:bCs/>
          <w:sz w:val="24"/>
          <w:szCs w:val="40"/>
          <w:highlight w:val="none"/>
        </w:rPr>
        <w:t>XXKJ2025</w:t>
      </w:r>
      <w:r>
        <w:rPr>
          <w:rFonts w:hint="eastAsia"/>
          <w:bCs/>
          <w:sz w:val="24"/>
          <w:szCs w:val="40"/>
          <w:highlight w:val="none"/>
        </w:rPr>
        <w:t>_____</w:t>
      </w:r>
    </w:p>
    <w:p w14:paraId="65A974C4">
      <w:pPr>
        <w:pStyle w:val="9"/>
        <w:jc w:val="center"/>
        <w:rPr>
          <w:b/>
          <w:bCs/>
          <w:sz w:val="40"/>
          <w:szCs w:val="40"/>
          <w:highlight w:val="none"/>
        </w:rPr>
      </w:pPr>
      <w:r>
        <w:rPr>
          <w:b/>
          <w:bCs/>
          <w:sz w:val="40"/>
          <w:szCs w:val="40"/>
          <w:highlight w:val="none"/>
        </w:rPr>
        <w:t>重庆三峡银行</w:t>
      </w:r>
    </w:p>
    <w:p w14:paraId="70B39D83">
      <w:pPr>
        <w:pStyle w:val="9"/>
        <w:jc w:val="center"/>
        <w:rPr>
          <w:b/>
          <w:bCs/>
          <w:sz w:val="40"/>
          <w:szCs w:val="40"/>
          <w:highlight w:val="none"/>
        </w:rPr>
      </w:pPr>
      <w:r>
        <w:rPr>
          <w:b/>
          <w:bCs/>
          <w:sz w:val="40"/>
          <w:szCs w:val="40"/>
          <w:highlight w:val="none"/>
        </w:rPr>
        <w:t>技 术 服 务 合 同</w:t>
      </w:r>
    </w:p>
    <w:p w14:paraId="3F1889B0">
      <w:pPr>
        <w:pStyle w:val="9"/>
        <w:jc w:val="center"/>
        <w:rPr>
          <w:bCs/>
          <w:sz w:val="28"/>
          <w:szCs w:val="28"/>
          <w:highlight w:val="none"/>
        </w:rPr>
      </w:pPr>
      <w:r>
        <w:rPr>
          <w:bCs/>
          <w:sz w:val="28"/>
          <w:szCs w:val="28"/>
          <w:highlight w:val="none"/>
        </w:rPr>
        <w:t>（2025-2026年度服务器硬件第三方维保项目）</w:t>
      </w:r>
    </w:p>
    <w:p w14:paraId="3388125B">
      <w:pPr>
        <w:pStyle w:val="9"/>
        <w:ind w:firstLine="420" w:firstLineChars="200"/>
        <w:jc w:val="center"/>
        <w:rPr>
          <w:highlight w:val="none"/>
        </w:rPr>
      </w:pPr>
      <w:r>
        <w:rPr>
          <w:highlight w:val="none"/>
        </w:rPr>
        <w:t xml:space="preserve">                                               </w:t>
      </w:r>
    </w:p>
    <w:p w14:paraId="3691F49C">
      <w:pPr>
        <w:ind w:right="-31" w:rightChars="-15"/>
        <w:outlineLvl w:val="0"/>
        <w:rPr>
          <w:rFonts w:hint="eastAsia" w:ascii="宋体"/>
          <w:b/>
          <w:bCs/>
          <w:sz w:val="24"/>
          <w:highlight w:val="none"/>
        </w:rPr>
      </w:pPr>
      <w:bookmarkStart w:id="254" w:name="_Toc18208"/>
      <w:r>
        <w:rPr>
          <w:rFonts w:hint="eastAsia" w:ascii="宋体"/>
          <w:b/>
          <w:bCs/>
          <w:sz w:val="24"/>
          <w:highlight w:val="none"/>
        </w:rPr>
        <w:t>甲  方：</w:t>
      </w:r>
      <w:r>
        <w:rPr>
          <w:rFonts w:hint="eastAsia" w:ascii="宋体"/>
          <w:sz w:val="24"/>
          <w:highlight w:val="none"/>
          <w:u w:val="single"/>
        </w:rPr>
        <w:t>重庆三峡银行股份有限公司</w:t>
      </w:r>
      <w:bookmarkEnd w:id="254"/>
    </w:p>
    <w:p w14:paraId="675569D0">
      <w:pPr>
        <w:ind w:right="-31" w:rightChars="-15"/>
        <w:rPr>
          <w:rFonts w:hint="eastAsia" w:ascii="宋体"/>
          <w:sz w:val="24"/>
          <w:highlight w:val="none"/>
        </w:rPr>
      </w:pPr>
      <w:r>
        <w:rPr>
          <w:rFonts w:hint="eastAsia" w:ascii="宋体"/>
          <w:b/>
          <w:bCs/>
          <w:sz w:val="24"/>
          <w:highlight w:val="none"/>
        </w:rPr>
        <w:t>地  址：</w:t>
      </w:r>
      <w:r>
        <w:rPr>
          <w:rFonts w:ascii="宋体"/>
          <w:sz w:val="24"/>
          <w:highlight w:val="none"/>
          <w:u w:val="single"/>
        </w:rPr>
        <w:t>重庆市渝北区嘉州路88号中渝国际都会4号写字楼</w:t>
      </w:r>
    </w:p>
    <w:p w14:paraId="0D5196DF">
      <w:pPr>
        <w:ind w:right="-31" w:rightChars="-15"/>
        <w:rPr>
          <w:rFonts w:hint="eastAsia" w:ascii="宋体"/>
          <w:sz w:val="24"/>
          <w:highlight w:val="none"/>
          <w:u w:val="single"/>
        </w:rPr>
      </w:pPr>
      <w:r>
        <w:rPr>
          <w:rFonts w:hint="eastAsia" w:ascii="宋体"/>
          <w:b/>
          <w:bCs/>
          <w:sz w:val="24"/>
          <w:highlight w:val="none"/>
        </w:rPr>
        <w:t>法定代表人：</w:t>
      </w:r>
      <w:r>
        <w:rPr>
          <w:rFonts w:hint="eastAsia" w:ascii="宋体"/>
          <w:sz w:val="24"/>
          <w:highlight w:val="none"/>
          <w:u w:val="single"/>
        </w:rPr>
        <w:t>刘江桥</w:t>
      </w:r>
    </w:p>
    <w:p w14:paraId="47189EBD">
      <w:pPr>
        <w:ind w:right="-31" w:rightChars="-15"/>
        <w:rPr>
          <w:rFonts w:hint="eastAsia" w:ascii="宋体"/>
          <w:bCs/>
          <w:sz w:val="24"/>
          <w:highlight w:val="none"/>
          <w:u w:val="single"/>
        </w:rPr>
      </w:pPr>
      <w:r>
        <w:rPr>
          <w:rFonts w:hint="eastAsia" w:ascii="宋体"/>
          <w:b/>
          <w:bCs/>
          <w:sz w:val="24"/>
          <w:highlight w:val="none"/>
        </w:rPr>
        <w:t>邮  编：</w:t>
      </w:r>
      <w:r>
        <w:rPr>
          <w:rFonts w:hint="eastAsia" w:ascii="宋体"/>
          <w:sz w:val="24"/>
          <w:highlight w:val="none"/>
          <w:u w:val="single"/>
        </w:rPr>
        <w:t xml:space="preserve"> </w:t>
      </w:r>
      <w:r>
        <w:rPr>
          <w:rFonts w:hint="eastAsia" w:ascii="宋体"/>
          <w:sz w:val="24"/>
          <w:highlight w:val="none"/>
          <w:u w:val="single"/>
          <w:lang w:val="en-US" w:eastAsia="zh-CN"/>
        </w:rPr>
        <w:t>400010</w:t>
      </w:r>
      <w:r>
        <w:rPr>
          <w:rFonts w:hint="eastAsia" w:ascii="宋体"/>
          <w:sz w:val="24"/>
          <w:highlight w:val="none"/>
          <w:u w:val="single"/>
        </w:rPr>
        <w:t xml:space="preserve">  </w:t>
      </w:r>
    </w:p>
    <w:p w14:paraId="0507CBBA">
      <w:pPr>
        <w:ind w:right="-31" w:rightChars="-15"/>
        <w:rPr>
          <w:rFonts w:hint="eastAsia" w:ascii="宋体"/>
          <w:bCs/>
          <w:sz w:val="24"/>
          <w:highlight w:val="none"/>
          <w:u w:val="single"/>
        </w:rPr>
      </w:pPr>
      <w:r>
        <w:rPr>
          <w:rFonts w:hint="eastAsia" w:ascii="宋体"/>
          <w:b/>
          <w:bCs/>
          <w:sz w:val="24"/>
          <w:highlight w:val="none"/>
        </w:rPr>
        <w:t>联系人：</w:t>
      </w:r>
      <w:r>
        <w:rPr>
          <w:rFonts w:hint="eastAsia" w:ascii="宋体"/>
          <w:sz w:val="24"/>
          <w:highlight w:val="none"/>
          <w:u w:val="single"/>
        </w:rPr>
        <w:t xml:space="preserve"> 魏恩  </w:t>
      </w:r>
    </w:p>
    <w:p w14:paraId="6FE4432C">
      <w:pPr>
        <w:ind w:right="-31" w:rightChars="-15"/>
        <w:rPr>
          <w:rFonts w:hint="eastAsia" w:ascii="宋体"/>
          <w:bCs/>
          <w:sz w:val="24"/>
          <w:highlight w:val="none"/>
          <w:u w:val="single"/>
        </w:rPr>
      </w:pPr>
      <w:r>
        <w:rPr>
          <w:rFonts w:hint="eastAsia" w:ascii="宋体"/>
          <w:b/>
          <w:bCs/>
          <w:sz w:val="24"/>
          <w:highlight w:val="none"/>
        </w:rPr>
        <w:t>电  话：</w:t>
      </w:r>
      <w:r>
        <w:rPr>
          <w:rFonts w:hint="eastAsia" w:ascii="宋体"/>
          <w:bCs/>
          <w:sz w:val="24"/>
          <w:highlight w:val="none"/>
          <w:u w:val="single"/>
        </w:rPr>
        <w:t>17783826559</w:t>
      </w:r>
    </w:p>
    <w:p w14:paraId="322B7ED3">
      <w:pPr>
        <w:ind w:right="-31" w:rightChars="-15"/>
        <w:rPr>
          <w:rFonts w:hint="eastAsia" w:ascii="宋体"/>
          <w:bCs/>
          <w:sz w:val="24"/>
          <w:highlight w:val="none"/>
          <w:u w:val="single"/>
        </w:rPr>
      </w:pPr>
      <w:r>
        <w:rPr>
          <w:rFonts w:hint="eastAsia" w:ascii="宋体"/>
          <w:b/>
          <w:bCs/>
          <w:sz w:val="24"/>
          <w:highlight w:val="none"/>
        </w:rPr>
        <w:t>电子邮箱：</w:t>
      </w:r>
      <w:r>
        <w:rPr>
          <w:rFonts w:hint="eastAsia" w:ascii="宋体"/>
          <w:sz w:val="24"/>
          <w:highlight w:val="none"/>
          <w:u w:val="single"/>
        </w:rPr>
        <w:t>befg@ccqtgb.com</w:t>
      </w:r>
    </w:p>
    <w:p w14:paraId="539C85B6">
      <w:pPr>
        <w:ind w:right="-31" w:rightChars="-15"/>
        <w:rPr>
          <w:rFonts w:hint="eastAsia" w:ascii="宋体"/>
          <w:b/>
          <w:bCs/>
          <w:sz w:val="24"/>
          <w:highlight w:val="none"/>
        </w:rPr>
      </w:pPr>
    </w:p>
    <w:p w14:paraId="643742DC">
      <w:pPr>
        <w:ind w:right="-31" w:rightChars="-15"/>
        <w:outlineLvl w:val="0"/>
        <w:rPr>
          <w:rFonts w:hint="eastAsia" w:ascii="宋体"/>
          <w:b/>
          <w:bCs/>
          <w:sz w:val="24"/>
          <w:highlight w:val="none"/>
        </w:rPr>
      </w:pPr>
      <w:bookmarkStart w:id="255" w:name="_Toc18150"/>
      <w:r>
        <w:rPr>
          <w:rFonts w:hint="eastAsia" w:ascii="宋体"/>
          <w:b/>
          <w:bCs/>
          <w:sz w:val="24"/>
          <w:highlight w:val="none"/>
        </w:rPr>
        <w:t>乙  方：</w:t>
      </w:r>
      <w:bookmarkEnd w:id="255"/>
      <w:r>
        <w:rPr>
          <w:rFonts w:hint="eastAsia" w:ascii="宋体"/>
          <w:sz w:val="24"/>
          <w:highlight w:val="none"/>
          <w:u w:val="single"/>
        </w:rPr>
        <w:t xml:space="preserve">               </w:t>
      </w:r>
    </w:p>
    <w:p w14:paraId="6A78984D">
      <w:pPr>
        <w:ind w:right="-31" w:rightChars="-15"/>
        <w:rPr>
          <w:rFonts w:hint="eastAsia" w:ascii="宋体"/>
          <w:sz w:val="24"/>
          <w:highlight w:val="none"/>
          <w:u w:val="single"/>
        </w:rPr>
      </w:pPr>
      <w:r>
        <w:rPr>
          <w:rFonts w:hint="eastAsia" w:ascii="宋体"/>
          <w:b/>
          <w:bCs/>
          <w:sz w:val="24"/>
          <w:highlight w:val="none"/>
        </w:rPr>
        <w:t>地  址：</w:t>
      </w:r>
      <w:r>
        <w:rPr>
          <w:rFonts w:hint="eastAsia" w:ascii="宋体"/>
          <w:sz w:val="24"/>
          <w:highlight w:val="none"/>
          <w:u w:val="single"/>
        </w:rPr>
        <w:t xml:space="preserve">               </w:t>
      </w:r>
    </w:p>
    <w:p w14:paraId="6F52CCEA">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 xml:space="preserve">       </w:t>
      </w:r>
    </w:p>
    <w:p w14:paraId="2BF33483">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p>
    <w:p w14:paraId="53A7096D">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7BB0D1E4">
      <w:pPr>
        <w:ind w:right="-31" w:rightChars="-15"/>
        <w:rPr>
          <w:rFonts w:hint="eastAsia" w:ascii="宋体"/>
          <w:sz w:val="24"/>
          <w:highlight w:val="none"/>
          <w:u w:val="single"/>
        </w:rPr>
      </w:pPr>
      <w:r>
        <w:rPr>
          <w:rFonts w:hint="eastAsia" w:ascii="宋体"/>
          <w:b/>
          <w:bCs/>
          <w:sz w:val="24"/>
          <w:highlight w:val="none"/>
        </w:rPr>
        <w:t>电  话：</w:t>
      </w:r>
      <w:r>
        <w:rPr>
          <w:rFonts w:hint="eastAsia" w:ascii="宋体"/>
          <w:sz w:val="24"/>
          <w:highlight w:val="none"/>
          <w:u w:val="single"/>
        </w:rPr>
        <w:t xml:space="preserve">         </w:t>
      </w:r>
    </w:p>
    <w:p w14:paraId="40B07289">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7DF77BE1">
      <w:pPr>
        <w:ind w:right="-31" w:rightChars="-15"/>
        <w:rPr>
          <w:rFonts w:hint="eastAsia" w:ascii="宋体"/>
          <w:sz w:val="24"/>
          <w:highlight w:val="none"/>
          <w:u w:val="single"/>
        </w:rPr>
      </w:pPr>
    </w:p>
    <w:p w14:paraId="32EF5143">
      <w:pPr>
        <w:ind w:right="-31" w:rightChars="-15"/>
        <w:rPr>
          <w:rFonts w:ascii="宋体"/>
          <w:b/>
          <w:bCs/>
          <w:sz w:val="24"/>
          <w:highlight w:val="none"/>
        </w:rPr>
      </w:pPr>
    </w:p>
    <w:p w14:paraId="25F24ADC">
      <w:pPr>
        <w:ind w:right="-31" w:rightChars="-15"/>
        <w:rPr>
          <w:rFonts w:hint="eastAsia" w:ascii="宋体"/>
          <w:b/>
          <w:bCs/>
          <w:sz w:val="24"/>
          <w:highlight w:val="none"/>
        </w:rPr>
      </w:pPr>
    </w:p>
    <w:p w14:paraId="09724CBF">
      <w:pPr>
        <w:ind w:right="-31" w:rightChars="-15"/>
        <w:rPr>
          <w:rFonts w:hint="eastAsia" w:ascii="宋体"/>
          <w:b/>
          <w:bCs/>
          <w:sz w:val="24"/>
          <w:highlight w:val="none"/>
        </w:rPr>
      </w:pPr>
      <w:r>
        <w:rPr>
          <w:rFonts w:hint="eastAsia" w:ascii="宋体"/>
          <w:b/>
          <w:bCs/>
          <w:sz w:val="24"/>
          <w:highlight w:val="none"/>
        </w:rPr>
        <w:t>签订地点：重庆</w:t>
      </w:r>
    </w:p>
    <w:p w14:paraId="10F87605">
      <w:pPr>
        <w:ind w:right="-31" w:rightChars="-15"/>
        <w:rPr>
          <w:rFonts w:hint="eastAsia" w:ascii="宋体"/>
          <w:sz w:val="24"/>
          <w:highlight w:val="none"/>
          <w:u w:val="single"/>
        </w:rPr>
      </w:pPr>
    </w:p>
    <w:p w14:paraId="0695C7AA">
      <w:pPr>
        <w:pStyle w:val="9"/>
        <w:ind w:left="76" w:leftChars="36" w:firstLine="480" w:firstLineChars="200"/>
        <w:rPr>
          <w:sz w:val="24"/>
          <w:szCs w:val="24"/>
          <w:highlight w:val="none"/>
        </w:rPr>
      </w:pPr>
      <w:r>
        <w:rPr>
          <w:sz w:val="24"/>
          <w:szCs w:val="24"/>
          <w:highlight w:val="none"/>
        </w:rPr>
        <w:t>根据</w:t>
      </w:r>
      <w:r>
        <w:rPr>
          <w:rFonts w:hint="eastAsia"/>
          <w:sz w:val="24"/>
          <w:szCs w:val="24"/>
          <w:highlight w:val="none"/>
        </w:rPr>
        <w:t>相关法律法规</w:t>
      </w:r>
      <w:r>
        <w:rPr>
          <w:sz w:val="24"/>
          <w:szCs w:val="24"/>
          <w:highlight w:val="none"/>
        </w:rPr>
        <w:t>，经甲、乙双方共同协商，签订本合同，并共同遵守。</w:t>
      </w:r>
    </w:p>
    <w:p w14:paraId="0B1F7B90">
      <w:pPr>
        <w:pStyle w:val="9"/>
        <w:numPr>
          <w:ilvl w:val="0"/>
          <w:numId w:val="2"/>
        </w:numPr>
        <w:ind w:firstLineChars="0"/>
        <w:rPr>
          <w:sz w:val="24"/>
          <w:highlight w:val="none"/>
        </w:rPr>
      </w:pPr>
      <w:bookmarkStart w:id="256" w:name="_Hlt524939677"/>
      <w:bookmarkEnd w:id="256"/>
      <w:bookmarkStart w:id="257" w:name="_Hlt524940855"/>
      <w:bookmarkEnd w:id="257"/>
      <w:bookmarkStart w:id="258" w:name="_合同款的支付"/>
      <w:bookmarkEnd w:id="258"/>
      <w:r>
        <w:rPr>
          <w:b/>
          <w:sz w:val="24"/>
          <w:szCs w:val="24"/>
          <w:highlight w:val="none"/>
        </w:rPr>
        <w:t>合同标的</w:t>
      </w:r>
    </w:p>
    <w:p w14:paraId="7F05164F">
      <w:pPr>
        <w:pStyle w:val="9"/>
        <w:numPr>
          <w:ilvl w:val="1"/>
          <w:numId w:val="2"/>
        </w:numPr>
        <w:tabs>
          <w:tab w:val="left" w:pos="567"/>
          <w:tab w:val="left" w:pos="993"/>
        </w:tabs>
        <w:ind w:left="0" w:firstLine="426" w:firstLineChars="0"/>
        <w:rPr>
          <w:sz w:val="24"/>
          <w:highlight w:val="none"/>
        </w:rPr>
      </w:pPr>
      <w:r>
        <w:rPr>
          <w:rFonts w:cs="Arial"/>
          <w:sz w:val="24"/>
          <w:szCs w:val="24"/>
          <w:highlight w:val="none"/>
          <w:lang w:bidi="ar-SA"/>
        </w:rPr>
        <w:t>甲方委托乙方提供</w:t>
      </w:r>
      <w:r>
        <w:rPr>
          <w:rFonts w:cs="Arial"/>
          <w:sz w:val="24"/>
          <w:szCs w:val="24"/>
          <w:highlight w:val="none"/>
          <w:u w:val="single"/>
          <w:lang w:bidi="ar-SA"/>
        </w:rPr>
        <w:t xml:space="preserve">   服务器硬件第三方维保服务 </w:t>
      </w:r>
      <w:r>
        <w:rPr>
          <w:rFonts w:cs="Arial"/>
          <w:sz w:val="24"/>
          <w:szCs w:val="24"/>
          <w:highlight w:val="none"/>
          <w:lang w:bidi="ar-SA"/>
        </w:rPr>
        <w:t>，</w:t>
      </w:r>
      <w:r>
        <w:rPr>
          <w:sz w:val="24"/>
          <w:szCs w:val="24"/>
          <w:highlight w:val="none"/>
        </w:rPr>
        <w:t>保障甲方系统稳定运行，避免系统故障发生和对业务产生影响。</w:t>
      </w:r>
    </w:p>
    <w:p w14:paraId="5760E3E5">
      <w:pPr>
        <w:pStyle w:val="9"/>
        <w:numPr>
          <w:ilvl w:val="0"/>
          <w:numId w:val="2"/>
        </w:numPr>
        <w:ind w:firstLineChars="0"/>
        <w:rPr>
          <w:b/>
          <w:sz w:val="24"/>
          <w:szCs w:val="24"/>
          <w:highlight w:val="none"/>
        </w:rPr>
      </w:pPr>
      <w:r>
        <w:rPr>
          <w:b/>
          <w:bCs/>
          <w:sz w:val="24"/>
          <w:highlight w:val="none"/>
        </w:rPr>
        <w:t>合同金额</w:t>
      </w:r>
    </w:p>
    <w:p w14:paraId="4B46B7C0">
      <w:pPr>
        <w:pStyle w:val="9"/>
        <w:numPr>
          <w:ilvl w:val="1"/>
          <w:numId w:val="2"/>
        </w:numPr>
        <w:tabs>
          <w:tab w:val="left" w:pos="567"/>
          <w:tab w:val="left" w:pos="993"/>
        </w:tabs>
        <w:ind w:left="0" w:firstLine="426" w:firstLineChars="0"/>
        <w:rPr>
          <w:bCs/>
          <w:sz w:val="24"/>
          <w:highlight w:val="none"/>
        </w:rPr>
      </w:pPr>
      <w:r>
        <w:rPr>
          <w:sz w:val="24"/>
          <w:highlight w:val="none"/>
        </w:rPr>
        <w:t>本合同约定系统年</w:t>
      </w:r>
      <w:r>
        <w:rPr>
          <w:rFonts w:hint="eastAsia" w:cs="Arial"/>
          <w:sz w:val="24"/>
          <w:highlight w:val="none"/>
        </w:rPr>
        <w:t>维保服务</w:t>
      </w:r>
      <w:r>
        <w:rPr>
          <w:rFonts w:cs="Arial"/>
          <w:sz w:val="24"/>
          <w:highlight w:val="none"/>
        </w:rPr>
        <w:t>费用</w:t>
      </w:r>
      <w:r>
        <w:rPr>
          <w:rFonts w:hint="eastAsia" w:cs="Arial"/>
          <w:sz w:val="24"/>
          <w:highlight w:val="none"/>
        </w:rPr>
        <w:t>含税</w:t>
      </w:r>
      <w:r>
        <w:rPr>
          <w:rFonts w:cs="Arial"/>
          <w:sz w:val="24"/>
          <w:highlight w:val="none"/>
        </w:rPr>
        <w:t>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p>
    <w:p w14:paraId="7B4EB2CE">
      <w:pPr>
        <w:pStyle w:val="9"/>
        <w:numPr>
          <w:ilvl w:val="1"/>
          <w:numId w:val="2"/>
        </w:numPr>
        <w:tabs>
          <w:tab w:val="left" w:pos="567"/>
          <w:tab w:val="left" w:pos="993"/>
        </w:tabs>
        <w:ind w:left="0" w:firstLine="426" w:firstLineChars="0"/>
        <w:rPr>
          <w:bCs/>
          <w:sz w:val="24"/>
          <w:highlight w:val="none"/>
        </w:rPr>
      </w:pPr>
      <w:r>
        <w:rPr>
          <w:rFonts w:cs="Arial"/>
          <w:sz w:val="24"/>
          <w:highlight w:val="none"/>
        </w:rPr>
        <w:t>合同总金额（</w:t>
      </w:r>
      <w:r>
        <w:rPr>
          <w:sz w:val="24"/>
          <w:highlight w:val="none"/>
        </w:rPr>
        <w:t>服务期内总费用价税合计）为：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r>
        <w:rPr>
          <w:rFonts w:hint="eastAsia"/>
          <w:sz w:val="24"/>
          <w:szCs w:val="24"/>
          <w:highlight w:val="none"/>
        </w:rPr>
        <w:t>其中不含税价为：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,税额为：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；不含税价格不因国家税率变化而变化，若在合同履行期间，如遇国家的税率调整，则价税合计应相应调整，以开具发票的时间为准。</w:t>
      </w:r>
    </w:p>
    <w:p w14:paraId="4D862101">
      <w:pPr>
        <w:pStyle w:val="9"/>
        <w:numPr>
          <w:ilvl w:val="1"/>
          <w:numId w:val="2"/>
        </w:numPr>
        <w:tabs>
          <w:tab w:val="left" w:pos="567"/>
          <w:tab w:val="left" w:pos="993"/>
        </w:tabs>
        <w:ind w:left="0" w:firstLine="426" w:firstLineChars="0"/>
        <w:rPr>
          <w:bCs/>
          <w:sz w:val="24"/>
          <w:highlight w:val="none"/>
        </w:rPr>
      </w:pPr>
      <w:r>
        <w:rPr>
          <w:bCs/>
          <w:sz w:val="24"/>
          <w:highlight w:val="none"/>
        </w:rPr>
        <w:t>若甲方提前终止合同，则根据实际服务天数折算服务费用</w:t>
      </w:r>
      <w:r>
        <w:rPr>
          <w:rFonts w:hint="eastAsia"/>
          <w:bCs/>
          <w:sz w:val="24"/>
          <w:highlight w:val="none"/>
        </w:rPr>
        <w:t>，一年按365天计算</w:t>
      </w:r>
      <w:r>
        <w:rPr>
          <w:bCs/>
          <w:sz w:val="24"/>
          <w:highlight w:val="none"/>
        </w:rPr>
        <w:t>。</w:t>
      </w:r>
    </w:p>
    <w:p w14:paraId="76FDFC88">
      <w:pPr>
        <w:pStyle w:val="9"/>
        <w:numPr>
          <w:ilvl w:val="0"/>
          <w:numId w:val="2"/>
        </w:numPr>
        <w:ind w:firstLineChars="0"/>
        <w:rPr>
          <w:rFonts w:cs="Arial"/>
          <w:sz w:val="24"/>
          <w:highlight w:val="none"/>
        </w:rPr>
      </w:pPr>
      <w:r>
        <w:rPr>
          <w:b/>
          <w:bCs/>
          <w:sz w:val="24"/>
          <w:highlight w:val="none"/>
        </w:rPr>
        <w:t>服务期限</w:t>
      </w:r>
    </w:p>
    <w:p w14:paraId="1CF77366">
      <w:pPr>
        <w:pStyle w:val="9"/>
        <w:numPr>
          <w:ilvl w:val="1"/>
          <w:numId w:val="2"/>
        </w:numPr>
        <w:tabs>
          <w:tab w:val="left" w:pos="567"/>
          <w:tab w:val="left" w:pos="993"/>
        </w:tabs>
        <w:ind w:left="0" w:firstLine="426" w:firstLineChars="0"/>
        <w:rPr>
          <w:rFonts w:hint="eastAsia"/>
          <w:bCs/>
          <w:sz w:val="24"/>
          <w:highlight w:val="none"/>
        </w:rPr>
      </w:pPr>
      <w:r>
        <w:rPr>
          <w:rFonts w:hint="eastAsia"/>
          <w:bCs/>
          <w:sz w:val="24"/>
          <w:highlight w:val="none"/>
        </w:rPr>
        <w:t>维保服务期：</w:t>
      </w:r>
      <w:r>
        <w:rPr>
          <w:rFonts w:hint="eastAsia"/>
          <w:bCs/>
          <w:sz w:val="24"/>
          <w:highlight w:val="none"/>
          <w:lang w:val="en-US" w:eastAsia="zh-CN" w:bidi="ar-SA"/>
        </w:rPr>
        <w:t>以附件一：技术服务内容中维保服务清单</w:t>
      </w:r>
      <w:r>
        <w:rPr>
          <w:bCs/>
          <w:sz w:val="24"/>
          <w:highlight w:val="none"/>
          <w:lang w:val="en-US" w:eastAsia="zh-CN" w:bidi="ar-SA"/>
        </w:rPr>
        <w:t>的</w:t>
      </w:r>
      <w:r>
        <w:rPr>
          <w:rFonts w:hint="eastAsia"/>
          <w:bCs/>
          <w:sz w:val="24"/>
          <w:highlight w:val="none"/>
          <w:lang w:val="en-US" w:eastAsia="zh-CN" w:bidi="ar-SA"/>
        </w:rPr>
        <w:t>起止时间为准。</w:t>
      </w:r>
    </w:p>
    <w:p w14:paraId="312BFF46">
      <w:pPr>
        <w:pStyle w:val="9"/>
        <w:numPr>
          <w:ilvl w:val="1"/>
          <w:numId w:val="2"/>
        </w:numPr>
        <w:tabs>
          <w:tab w:val="left" w:pos="567"/>
          <w:tab w:val="left" w:pos="993"/>
        </w:tabs>
        <w:ind w:left="0" w:firstLine="426" w:firstLineChars="0"/>
        <w:rPr>
          <w:rFonts w:hint="eastAsia"/>
          <w:bCs/>
          <w:sz w:val="24"/>
          <w:highlight w:val="none"/>
        </w:rPr>
      </w:pPr>
      <w:r>
        <w:rPr>
          <w:rFonts w:hint="eastAsia"/>
          <w:bCs/>
          <w:snapToGrid w:val="0"/>
          <w:sz w:val="24"/>
          <w:highlight w:val="none"/>
        </w:rPr>
        <w:t>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71EDBBE5">
      <w:pPr>
        <w:pStyle w:val="9"/>
        <w:numPr>
          <w:ilvl w:val="0"/>
          <w:numId w:val="2"/>
        </w:numPr>
        <w:ind w:firstLineChars="0"/>
        <w:rPr>
          <w:b/>
          <w:bCs/>
          <w:sz w:val="24"/>
          <w:highlight w:val="none"/>
        </w:rPr>
      </w:pPr>
      <w:r>
        <w:rPr>
          <w:b/>
          <w:bCs/>
          <w:sz w:val="24"/>
          <w:highlight w:val="none"/>
        </w:rPr>
        <w:t>付款方式</w:t>
      </w:r>
    </w:p>
    <w:p w14:paraId="6C23E5BF">
      <w:pPr>
        <w:pStyle w:val="9"/>
        <w:tabs>
          <w:tab w:val="left" w:pos="993"/>
        </w:tabs>
        <w:ind w:firstLine="480" w:firstLineChars="200"/>
        <w:rPr>
          <w:rFonts w:cs="Arial"/>
          <w:sz w:val="24"/>
          <w:szCs w:val="24"/>
          <w:highlight w:val="none"/>
        </w:rPr>
      </w:pPr>
      <w:r>
        <w:rPr>
          <w:rFonts w:cs="Arial"/>
          <w:sz w:val="24"/>
          <w:szCs w:val="24"/>
          <w:highlight w:val="none"/>
        </w:rPr>
        <w:t xml:space="preserve">4.1  </w:t>
      </w:r>
      <w:r>
        <w:rPr>
          <w:rFonts w:hint="eastAsia" w:cs="Arial"/>
          <w:snapToGrid w:val="0"/>
          <w:sz w:val="24"/>
          <w:szCs w:val="24"/>
          <w:highlight w:val="none"/>
        </w:rPr>
        <w:t>在服务满半年后，由乙方提出申请，经过甲方服务评审，服务质量达到合同约定的要求后，乙方出具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合法足额的增值税专用发票给甲方，甲方于收到发票30个工作日内，将维保服务费用的3</w:t>
      </w:r>
      <w:r>
        <w:rPr>
          <w:rFonts w:hint="eastAsia" w:cs="Arial"/>
          <w:snapToGrid w:val="0"/>
          <w:sz w:val="24"/>
          <w:szCs w:val="24"/>
          <w:highlight w:val="none"/>
          <w:lang w:val="en-US" w:eastAsia="zh-CN"/>
        </w:rPr>
        <w:t>0</w:t>
      </w:r>
      <w:r>
        <w:rPr>
          <w:rFonts w:hint="eastAsia" w:cs="Arial"/>
          <w:snapToGrid w:val="0"/>
          <w:sz w:val="24"/>
          <w:szCs w:val="24"/>
          <w:highlight w:val="none"/>
        </w:rPr>
        <w:t>%支付给乙方。</w:t>
      </w:r>
    </w:p>
    <w:p w14:paraId="0FE280A8">
      <w:pPr>
        <w:pStyle w:val="9"/>
        <w:tabs>
          <w:tab w:val="left" w:pos="993"/>
        </w:tabs>
        <w:ind w:firstLine="480" w:firstLineChars="200"/>
        <w:rPr>
          <w:rFonts w:cs="Arial"/>
          <w:sz w:val="24"/>
          <w:szCs w:val="24"/>
          <w:highlight w:val="none"/>
        </w:rPr>
      </w:pPr>
      <w:r>
        <w:rPr>
          <w:rFonts w:cs="Arial"/>
          <w:sz w:val="24"/>
          <w:szCs w:val="24"/>
          <w:highlight w:val="none"/>
        </w:rPr>
        <w:t xml:space="preserve">4.2  </w:t>
      </w:r>
      <w:r>
        <w:rPr>
          <w:rFonts w:hint="eastAsia" w:cs="Arial"/>
          <w:snapToGrid w:val="0"/>
          <w:sz w:val="24"/>
          <w:szCs w:val="24"/>
          <w:highlight w:val="none"/>
        </w:rPr>
        <w:t>在服务满一年后，由乙方提出申请，经过甲方服务评审，服务质量达到合同约定的要求后，乙方出具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合法足额的增值税专用发票给甲方，甲方于收到发票30个工作日内将维保服务费用的3</w:t>
      </w:r>
      <w:r>
        <w:rPr>
          <w:rFonts w:hint="eastAsia" w:cs="Arial"/>
          <w:snapToGrid w:val="0"/>
          <w:sz w:val="24"/>
          <w:szCs w:val="24"/>
          <w:highlight w:val="none"/>
          <w:lang w:val="en-US" w:eastAsia="zh-CN"/>
        </w:rPr>
        <w:t>0</w:t>
      </w:r>
      <w:r>
        <w:rPr>
          <w:rFonts w:hint="eastAsia" w:cs="Arial"/>
          <w:snapToGrid w:val="0"/>
          <w:sz w:val="24"/>
          <w:szCs w:val="24"/>
          <w:highlight w:val="none"/>
        </w:rPr>
        <w:t>%支付给乙方。</w:t>
      </w:r>
    </w:p>
    <w:p w14:paraId="1FF8315E">
      <w:pPr>
        <w:pStyle w:val="9"/>
        <w:tabs>
          <w:tab w:val="left" w:pos="993"/>
        </w:tabs>
        <w:ind w:firstLine="480" w:firstLineChars="200"/>
        <w:rPr>
          <w:rFonts w:cs="Arial"/>
          <w:sz w:val="24"/>
          <w:szCs w:val="24"/>
          <w:highlight w:val="none"/>
        </w:rPr>
      </w:pPr>
      <w:r>
        <w:rPr>
          <w:rFonts w:cs="Arial"/>
          <w:sz w:val="24"/>
          <w:szCs w:val="24"/>
          <w:highlight w:val="none"/>
        </w:rPr>
        <w:t xml:space="preserve">4.3  </w:t>
      </w:r>
      <w:r>
        <w:rPr>
          <w:rFonts w:hint="eastAsia" w:cs="Arial"/>
          <w:snapToGrid w:val="0"/>
          <w:sz w:val="24"/>
          <w:szCs w:val="24"/>
          <w:highlight w:val="none"/>
        </w:rPr>
        <w:t>在维保服务期结束后，由乙方提出申请，经过甲方服务评审，服务质量达到合同约定的要求后，乙方出具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w:t>
      </w:r>
      <w:r>
        <w:rPr>
          <w:rFonts w:hint="eastAsia" w:cs="Arial"/>
          <w:snapToGrid w:val="0"/>
          <w:sz w:val="24"/>
          <w:szCs w:val="24"/>
          <w:highlight w:val="none"/>
          <w:lang w:val="en-US" w:eastAsia="zh-CN"/>
        </w:rPr>
        <w:t>4</w:t>
      </w:r>
      <w:r>
        <w:rPr>
          <w:rFonts w:hint="eastAsia" w:cs="Arial"/>
          <w:snapToGrid w:val="0"/>
          <w:sz w:val="24"/>
          <w:szCs w:val="24"/>
          <w:highlight w:val="none"/>
        </w:rPr>
        <w:t>0%支付给乙方。</w:t>
      </w:r>
    </w:p>
    <w:p w14:paraId="310F289B">
      <w:pPr>
        <w:pStyle w:val="9"/>
        <w:numPr>
          <w:ilvl w:val="0"/>
          <w:numId w:val="2"/>
        </w:numPr>
        <w:ind w:firstLineChars="0"/>
        <w:rPr>
          <w:b/>
          <w:bCs/>
          <w:sz w:val="24"/>
          <w:szCs w:val="24"/>
          <w:highlight w:val="none"/>
        </w:rPr>
      </w:pPr>
      <w:r>
        <w:rPr>
          <w:rFonts w:hint="eastAsia"/>
          <w:b/>
          <w:bCs/>
          <w:sz w:val="24"/>
          <w:szCs w:val="24"/>
          <w:highlight w:val="none"/>
        </w:rPr>
        <w:t>维保</w:t>
      </w:r>
      <w:r>
        <w:rPr>
          <w:b/>
          <w:bCs/>
          <w:sz w:val="24"/>
          <w:szCs w:val="24"/>
          <w:highlight w:val="none"/>
        </w:rPr>
        <w:t>方式</w:t>
      </w:r>
    </w:p>
    <w:p w14:paraId="24D6240F">
      <w:pPr>
        <w:adjustRightInd w:val="0"/>
        <w:snapToGrid w:val="0"/>
        <w:ind w:left="480"/>
        <w:rPr>
          <w:rFonts w:hint="eastAsia" w:ascii="宋体"/>
          <w:sz w:val="24"/>
          <w:highlight w:val="none"/>
          <w:u w:val="single"/>
        </w:rPr>
      </w:pPr>
      <w:r>
        <w:rPr>
          <w:rFonts w:hint="eastAsia" w:ascii="宋体"/>
          <w:sz w:val="24"/>
          <w:highlight w:val="none"/>
        </w:rPr>
        <w:t>5.1</w:t>
      </w:r>
      <w:r>
        <w:rPr>
          <w:rFonts w:cs="Arial"/>
          <w:sz w:val="24"/>
          <w:highlight w:val="none"/>
        </w:rPr>
        <w:t xml:space="preserve">  </w:t>
      </w:r>
      <w:r>
        <w:rPr>
          <w:rFonts w:hint="eastAsia" w:ascii="宋体"/>
          <w:sz w:val="24"/>
          <w:highlight w:val="none"/>
        </w:rPr>
        <w:t>维保地点：重庆市</w:t>
      </w:r>
    </w:p>
    <w:p w14:paraId="3A996F86">
      <w:pPr>
        <w:adjustRightInd w:val="0"/>
        <w:snapToGrid w:val="0"/>
        <w:ind w:left="480"/>
        <w:rPr>
          <w:rFonts w:hint="eastAsia" w:ascii="宋体"/>
          <w:sz w:val="24"/>
          <w:highlight w:val="none"/>
        </w:rPr>
      </w:pPr>
      <w:r>
        <w:rPr>
          <w:rFonts w:hint="eastAsia" w:ascii="宋体"/>
          <w:sz w:val="24"/>
          <w:highlight w:val="none"/>
        </w:rPr>
        <w:t>5.2</w:t>
      </w:r>
      <w:r>
        <w:rPr>
          <w:rFonts w:cs="Arial"/>
          <w:sz w:val="24"/>
          <w:highlight w:val="none"/>
        </w:rPr>
        <w:t xml:space="preserve">  </w:t>
      </w:r>
      <w:r>
        <w:rPr>
          <w:rFonts w:hint="eastAsia" w:ascii="宋体"/>
          <w:sz w:val="24"/>
          <w:highlight w:val="none"/>
        </w:rPr>
        <w:t>维保服务内容：详见附件一。</w:t>
      </w:r>
    </w:p>
    <w:p w14:paraId="5A3D05D4">
      <w:pPr>
        <w:pStyle w:val="9"/>
        <w:numPr>
          <w:ilvl w:val="0"/>
          <w:numId w:val="2"/>
        </w:numPr>
        <w:ind w:firstLineChars="0"/>
        <w:rPr>
          <w:b/>
          <w:bCs/>
          <w:sz w:val="24"/>
          <w:highlight w:val="none"/>
        </w:rPr>
      </w:pPr>
      <w:r>
        <w:rPr>
          <w:b/>
          <w:bCs/>
          <w:sz w:val="24"/>
          <w:highlight w:val="none"/>
        </w:rPr>
        <w:t>服务要求</w:t>
      </w:r>
    </w:p>
    <w:p w14:paraId="7F2A0E8E">
      <w:pPr>
        <w:pStyle w:val="9"/>
        <w:numPr>
          <w:ilvl w:val="1"/>
          <w:numId w:val="2"/>
        </w:numPr>
        <w:ind w:left="0" w:firstLine="567" w:firstLineChars="0"/>
        <w:rPr>
          <w:sz w:val="24"/>
          <w:highlight w:val="none"/>
        </w:rPr>
      </w:pPr>
      <w:r>
        <w:rPr>
          <w:sz w:val="24"/>
          <w:highlight w:val="none"/>
        </w:rPr>
        <w:t>乙方须遵守法律法规及银行业金融机构内部管理制度、贯彻执行相关监管政策。</w:t>
      </w:r>
    </w:p>
    <w:p w14:paraId="24CE95A5">
      <w:pPr>
        <w:pStyle w:val="9"/>
        <w:numPr>
          <w:ilvl w:val="1"/>
          <w:numId w:val="2"/>
        </w:numPr>
        <w:ind w:left="0" w:firstLine="567" w:firstLineChars="0"/>
        <w:rPr>
          <w:rFonts w:hint="eastAsia"/>
          <w:sz w:val="24"/>
          <w:highlight w:val="none"/>
        </w:rPr>
      </w:pPr>
      <w:r>
        <w:rPr>
          <w:rFonts w:hint="eastAsia"/>
          <w:sz w:val="24"/>
          <w:highlight w:val="none"/>
        </w:rPr>
        <w:t>乙方需为甲方提供持续的项目风险识别和控制措施，并按甲方要求提供公司财务分析报告、项目进度报告以及重大事项报告等。</w:t>
      </w:r>
    </w:p>
    <w:p w14:paraId="2E86779B">
      <w:pPr>
        <w:pStyle w:val="9"/>
        <w:numPr>
          <w:ilvl w:val="1"/>
          <w:numId w:val="2"/>
        </w:numPr>
        <w:ind w:left="0" w:firstLine="567" w:firstLineChars="0"/>
        <w:rPr>
          <w:rFonts w:hint="eastAsia"/>
          <w:sz w:val="24"/>
          <w:highlight w:val="none"/>
        </w:rPr>
      </w:pPr>
      <w:r>
        <w:rPr>
          <w:sz w:val="24"/>
          <w:highlight w:val="none"/>
        </w:rPr>
        <w:t>乙方应该适时开展风险管理评估和第三方审计工作，应该接受甲方的审核</w:t>
      </w:r>
      <w:r>
        <w:rPr>
          <w:rFonts w:hint="eastAsia"/>
          <w:sz w:val="24"/>
          <w:highlight w:val="none"/>
        </w:rPr>
        <w:t>、</w:t>
      </w:r>
      <w:r>
        <w:rPr>
          <w:sz w:val="24"/>
          <w:highlight w:val="none"/>
        </w:rPr>
        <w:t>评估以及外包检查，并配合接受来自监管机构的各项检查，配合对监管意见做出相应的管理、服务、基础设施、软硬件等整改。</w:t>
      </w:r>
    </w:p>
    <w:p w14:paraId="2E505C26">
      <w:pPr>
        <w:pStyle w:val="9"/>
        <w:numPr>
          <w:ilvl w:val="1"/>
          <w:numId w:val="2"/>
        </w:numPr>
        <w:ind w:left="0" w:firstLine="567" w:firstLineChars="0"/>
        <w:rPr>
          <w:sz w:val="24"/>
          <w:highlight w:val="none"/>
        </w:rPr>
      </w:pPr>
      <w:r>
        <w:rPr>
          <w:sz w:val="24"/>
          <w:highlight w:val="none"/>
        </w:rPr>
        <w:t>乙方应针对服务内容为甲方制定业务连续性计划和应急计划并维护好相关资源</w:t>
      </w:r>
      <w:r>
        <w:rPr>
          <w:rFonts w:hint="eastAsia"/>
          <w:sz w:val="24"/>
          <w:highlight w:val="none"/>
        </w:rPr>
        <w:t>，</w:t>
      </w:r>
      <w:r>
        <w:rPr>
          <w:sz w:val="24"/>
          <w:highlight w:val="none"/>
        </w:rPr>
        <w:t>在服务质量不能满足合同要求时</w:t>
      </w:r>
      <w:r>
        <w:rPr>
          <w:rFonts w:hint="eastAsia"/>
          <w:sz w:val="24"/>
          <w:highlight w:val="none"/>
        </w:rPr>
        <w:t>，甲方具有</w:t>
      </w:r>
      <w:r>
        <w:rPr>
          <w:sz w:val="24"/>
          <w:highlight w:val="none"/>
        </w:rPr>
        <w:t>优先获取服务资源的权利</w:t>
      </w:r>
      <w:r>
        <w:rPr>
          <w:rFonts w:hint="eastAsia"/>
          <w:sz w:val="24"/>
          <w:highlight w:val="none"/>
        </w:rPr>
        <w:t>。</w:t>
      </w:r>
    </w:p>
    <w:p w14:paraId="2BE2D460">
      <w:pPr>
        <w:pStyle w:val="9"/>
        <w:numPr>
          <w:ilvl w:val="1"/>
          <w:numId w:val="2"/>
        </w:numPr>
        <w:tabs>
          <w:tab w:val="left" w:pos="1134"/>
        </w:tabs>
        <w:ind w:left="0" w:firstLine="567" w:firstLineChars="0"/>
        <w:rPr>
          <w:sz w:val="24"/>
          <w:highlight w:val="none"/>
        </w:rPr>
      </w:pPr>
      <w:r>
        <w:rPr>
          <w:sz w:val="24"/>
          <w:highlight w:val="none"/>
        </w:rPr>
        <w:t>为更好地为甲方提供优质可靠的</w:t>
      </w:r>
      <w:r>
        <w:rPr>
          <w:rFonts w:hint="eastAsia"/>
          <w:sz w:val="24"/>
          <w:highlight w:val="none"/>
        </w:rPr>
        <w:t>维保</w:t>
      </w:r>
      <w:r>
        <w:rPr>
          <w:sz w:val="24"/>
          <w:highlight w:val="none"/>
        </w:rPr>
        <w:t>服务，乙方负责派遣具有相应资质、经验丰富、有能力独立处理与甲方</w:t>
      </w:r>
      <w:r>
        <w:rPr>
          <w:rFonts w:hint="eastAsia"/>
          <w:sz w:val="24"/>
          <w:highlight w:val="none"/>
        </w:rPr>
        <w:t>维保</w:t>
      </w:r>
      <w:r>
        <w:rPr>
          <w:sz w:val="24"/>
          <w:highlight w:val="none"/>
        </w:rPr>
        <w:t>服务有关技术问题的</w:t>
      </w:r>
      <w:r>
        <w:rPr>
          <w:sz w:val="24"/>
          <w:highlight w:val="none"/>
          <w:u w:val="single"/>
        </w:rPr>
        <w:t xml:space="preserve">  1   </w:t>
      </w:r>
      <w:r>
        <w:rPr>
          <w:sz w:val="24"/>
          <w:highlight w:val="none"/>
        </w:rPr>
        <w:t>名项目经理和</w:t>
      </w:r>
      <w:r>
        <w:rPr>
          <w:sz w:val="24"/>
          <w:highlight w:val="none"/>
          <w:u w:val="single"/>
        </w:rPr>
        <w:t xml:space="preserve">  2   </w:t>
      </w:r>
      <w:r>
        <w:rPr>
          <w:sz w:val="24"/>
          <w:highlight w:val="none"/>
        </w:rPr>
        <w:t>名服务工程师，并于合同签订后五日内，书面将项目经理和工程师的身份证明、联系方式、资质情况（若有）等文件交甲方审核，甲方审核通过后备案。</w:t>
      </w:r>
    </w:p>
    <w:p w14:paraId="26152CAC">
      <w:pPr>
        <w:pStyle w:val="9"/>
        <w:numPr>
          <w:ilvl w:val="1"/>
          <w:numId w:val="2"/>
        </w:numPr>
        <w:tabs>
          <w:tab w:val="left" w:pos="1134"/>
        </w:tabs>
        <w:ind w:left="0" w:firstLine="567" w:firstLineChars="0"/>
        <w:rPr>
          <w:sz w:val="24"/>
          <w:highlight w:val="none"/>
        </w:rPr>
      </w:pPr>
      <w:r>
        <w:rPr>
          <w:sz w:val="24"/>
          <w:highlight w:val="none"/>
        </w:rPr>
        <w:t>乙方承诺在合同服务期间，不得擅自调换或撤回已备案项目经理和工程师，确需对已备案项目经理和工程师进行调整，乙方应提前10天书面来函协调，在取得甲方许可的前提下方可更换相同资质和经验的工程师。</w:t>
      </w:r>
    </w:p>
    <w:p w14:paraId="59601846">
      <w:pPr>
        <w:pStyle w:val="9"/>
        <w:numPr>
          <w:ilvl w:val="1"/>
          <w:numId w:val="2"/>
        </w:numPr>
        <w:ind w:left="0" w:firstLine="567" w:firstLineChars="0"/>
        <w:rPr>
          <w:rFonts w:hint="eastAsia"/>
          <w:sz w:val="24"/>
          <w:highlight w:val="none"/>
        </w:rPr>
      </w:pPr>
      <w:r>
        <w:rPr>
          <w:rFonts w:hint="eastAsia"/>
          <w:sz w:val="24"/>
          <w:highlight w:val="none"/>
        </w:rPr>
        <w:t>合同变更或终止、解除条件触发时，乙方应将本合同项下的过程文档、资料等全部交付给甲方，配合甲方完成知识转移，保证甲方能够继续开展工作；并应立即停止使用并删除</w:t>
      </w:r>
      <w:r>
        <w:rPr>
          <w:sz w:val="24"/>
          <w:highlight w:val="none"/>
        </w:rPr>
        <w:t>或</w:t>
      </w:r>
      <w:r>
        <w:rPr>
          <w:rFonts w:hint="eastAsia"/>
          <w:sz w:val="24"/>
          <w:highlight w:val="none"/>
        </w:rPr>
        <w:t>销毁包含甲方机密信息的所有物件，并证明该销毁情况；或者将这些物件归还甲方。</w:t>
      </w:r>
    </w:p>
    <w:p w14:paraId="56F9FDFB">
      <w:pPr>
        <w:pStyle w:val="9"/>
        <w:numPr>
          <w:ilvl w:val="1"/>
          <w:numId w:val="2"/>
        </w:numPr>
        <w:ind w:left="0" w:firstLine="567" w:firstLineChars="0"/>
        <w:rPr>
          <w:rFonts w:hint="eastAsia"/>
          <w:sz w:val="24"/>
          <w:highlight w:val="none"/>
        </w:rPr>
      </w:pPr>
      <w:r>
        <w:rPr>
          <w:rFonts w:hint="eastAsia"/>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13FA158A">
      <w:pPr>
        <w:pStyle w:val="9"/>
        <w:numPr>
          <w:ilvl w:val="1"/>
          <w:numId w:val="2"/>
        </w:numPr>
        <w:ind w:left="0" w:firstLine="567" w:firstLineChars="0"/>
        <w:rPr>
          <w:rFonts w:hint="eastAsia"/>
          <w:sz w:val="24"/>
          <w:highlight w:val="none"/>
        </w:rPr>
      </w:pPr>
      <w:r>
        <w:rPr>
          <w:rFonts w:hint="eastAsia"/>
          <w:sz w:val="24"/>
          <w:highlight w:val="none"/>
        </w:rPr>
        <w:t>乙方保证其人员无不良记录，服务商与其建立合法的雇佣关系，依法履行用工管理职责。</w:t>
      </w:r>
    </w:p>
    <w:p w14:paraId="0849FB8C">
      <w:pPr>
        <w:pStyle w:val="9"/>
        <w:numPr>
          <w:ilvl w:val="1"/>
          <w:numId w:val="2"/>
        </w:numPr>
        <w:tabs>
          <w:tab w:val="left" w:pos="1134"/>
        </w:tabs>
        <w:ind w:left="0" w:firstLine="567" w:firstLineChars="0"/>
        <w:rPr>
          <w:rFonts w:hint="eastAsia"/>
          <w:color w:val="000000"/>
          <w:sz w:val="24"/>
          <w:szCs w:val="24"/>
          <w:highlight w:val="none"/>
        </w:rPr>
      </w:pPr>
      <w:r>
        <w:rPr>
          <w:rFonts w:hint="eastAsia"/>
          <w:color w:val="000000"/>
          <w:sz w:val="24"/>
          <w:szCs w:val="24"/>
          <w:highlight w:val="none"/>
        </w:rPr>
        <w:t>乙方定期通报外包事项，及时通报外包突发性事件及解决情况。</w:t>
      </w:r>
    </w:p>
    <w:p w14:paraId="1B009804">
      <w:pPr>
        <w:pStyle w:val="9"/>
        <w:numPr>
          <w:ilvl w:val="1"/>
          <w:numId w:val="2"/>
        </w:numPr>
        <w:ind w:left="0" w:firstLine="567" w:firstLineChars="0"/>
        <w:rPr>
          <w:sz w:val="24"/>
          <w:highlight w:val="none"/>
        </w:rPr>
      </w:pPr>
      <w:r>
        <w:rPr>
          <w:rFonts w:hint="eastAsia"/>
          <w:sz w:val="24"/>
          <w:highlight w:val="none"/>
        </w:rPr>
        <w:t>乙方应当自己完成本合同项下的工作，而不得转包或变相转包给任何第三方。</w:t>
      </w:r>
    </w:p>
    <w:p w14:paraId="408A116C">
      <w:pPr>
        <w:pStyle w:val="9"/>
        <w:numPr>
          <w:ilvl w:val="0"/>
          <w:numId w:val="2"/>
        </w:numPr>
        <w:ind w:firstLineChars="0"/>
        <w:rPr>
          <w:b/>
          <w:bCs/>
          <w:sz w:val="24"/>
          <w:highlight w:val="none"/>
        </w:rPr>
      </w:pPr>
      <w:r>
        <w:rPr>
          <w:b/>
          <w:bCs/>
          <w:sz w:val="24"/>
          <w:highlight w:val="none"/>
        </w:rPr>
        <w:t>保密条款</w:t>
      </w:r>
    </w:p>
    <w:p w14:paraId="1F10FE6E">
      <w:pPr>
        <w:pStyle w:val="9"/>
        <w:numPr>
          <w:ilvl w:val="1"/>
          <w:numId w:val="2"/>
        </w:numPr>
        <w:tabs>
          <w:tab w:val="left" w:pos="1134"/>
        </w:tabs>
        <w:ind w:left="0" w:firstLine="567" w:firstLineChars="0"/>
        <w:rPr>
          <w:bCs/>
          <w:sz w:val="24"/>
          <w:highlight w:val="none"/>
        </w:rPr>
      </w:pPr>
      <w:r>
        <w:rPr>
          <w:bCs/>
          <w:sz w:val="24"/>
          <w:highlight w:val="none"/>
        </w:rPr>
        <w:t>保密范围：</w:t>
      </w:r>
    </w:p>
    <w:p w14:paraId="6933AF9D">
      <w:pPr>
        <w:ind w:firstLine="840" w:firstLineChars="350"/>
        <w:rPr>
          <w:rFonts w:hint="eastAsia" w:ascii="宋体"/>
          <w:bCs/>
          <w:sz w:val="24"/>
          <w:szCs w:val="21"/>
          <w:highlight w:val="none"/>
        </w:rPr>
      </w:pPr>
      <w:r>
        <w:rPr>
          <w:rFonts w:hint="eastAsia" w:ascii="宋体"/>
          <w:bCs/>
          <w:sz w:val="24"/>
          <w:szCs w:val="21"/>
          <w:highlight w:val="none"/>
        </w:rPr>
        <w:t xml:space="preserve">7.1.1  </w:t>
      </w:r>
      <w:r>
        <w:rPr>
          <w:rFonts w:hint="eastAsia" w:ascii="宋体"/>
          <w:bCs/>
          <w:vanish/>
          <w:sz w:val="24"/>
          <w:szCs w:val="21"/>
          <w:highlight w:val="none"/>
        </w:rPr>
        <w:t xml:space="preserve">7.1.1  </w:t>
      </w:r>
      <w:r>
        <w:rPr>
          <w:rFonts w:hint="eastAsia" w:ascii="宋体"/>
          <w:bCs/>
          <w:sz w:val="24"/>
          <w:szCs w:val="21"/>
          <w:highlight w:val="none"/>
        </w:rPr>
        <w:t>本合同项下的所有条款。</w:t>
      </w:r>
    </w:p>
    <w:p w14:paraId="4DD2293C">
      <w:pPr>
        <w:ind w:firstLine="840" w:firstLineChars="350"/>
        <w:rPr>
          <w:rFonts w:hint="eastAsia" w:ascii="宋体"/>
          <w:bCs/>
          <w:sz w:val="24"/>
          <w:szCs w:val="21"/>
          <w:highlight w:val="none"/>
        </w:rPr>
      </w:pPr>
      <w:r>
        <w:rPr>
          <w:rFonts w:hint="eastAsia" w:ascii="宋体"/>
          <w:bCs/>
          <w:sz w:val="24"/>
          <w:szCs w:val="21"/>
          <w:highlight w:val="none"/>
        </w:rPr>
        <w:t>7.1.2  乙方工程师在维保过程中接触到的甲方系统软件的相关信息及甲方其他经营管理信息（包括客户金融信息），甲乙双方为履行本合同向对方提供的一切资料。</w:t>
      </w:r>
    </w:p>
    <w:p w14:paraId="3C848CF9">
      <w:pPr>
        <w:pStyle w:val="9"/>
        <w:numPr>
          <w:ilvl w:val="1"/>
          <w:numId w:val="2"/>
        </w:numPr>
        <w:tabs>
          <w:tab w:val="left" w:pos="1134"/>
        </w:tabs>
        <w:ind w:left="0" w:firstLine="567" w:firstLineChars="0"/>
        <w:rPr>
          <w:rFonts w:hint="eastAsia"/>
          <w:bCs/>
          <w:sz w:val="24"/>
          <w:highlight w:val="none"/>
        </w:rPr>
      </w:pPr>
      <w:r>
        <w:rPr>
          <w:bCs/>
          <w:sz w:val="24"/>
          <w:highlight w:val="none"/>
        </w:rPr>
        <w:t>保密责任：</w:t>
      </w:r>
    </w:p>
    <w:p w14:paraId="0BCBAC7D">
      <w:pPr>
        <w:ind w:firstLine="840" w:firstLineChars="350"/>
        <w:rPr>
          <w:rFonts w:hint="eastAsia" w:ascii="宋体"/>
          <w:bCs/>
          <w:sz w:val="24"/>
          <w:szCs w:val="21"/>
          <w:highlight w:val="none"/>
        </w:rPr>
      </w:pPr>
      <w:r>
        <w:rPr>
          <w:rFonts w:hint="eastAsia" w:ascii="宋体"/>
          <w:bCs/>
          <w:sz w:val="24"/>
          <w:szCs w:val="21"/>
          <w:highlight w:val="none"/>
        </w:rPr>
        <w:t>7.2.1 乙方应对本合同所述的客户信息、技术资料、业务流程、数据等</w:t>
      </w:r>
      <w:r>
        <w:rPr>
          <w:rFonts w:ascii="宋体"/>
          <w:bCs/>
          <w:sz w:val="24"/>
          <w:szCs w:val="21"/>
          <w:highlight w:val="none"/>
        </w:rPr>
        <w:t>重要</w:t>
      </w:r>
      <w:r>
        <w:rPr>
          <w:rFonts w:hint="eastAsia" w:ascii="宋体"/>
          <w:bCs/>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099D8F47">
      <w:pPr>
        <w:ind w:firstLine="840" w:firstLineChars="350"/>
        <w:rPr>
          <w:rFonts w:hint="eastAsia" w:ascii="宋体"/>
          <w:bCs/>
          <w:sz w:val="24"/>
          <w:szCs w:val="21"/>
          <w:highlight w:val="none"/>
        </w:rPr>
      </w:pPr>
      <w:r>
        <w:rPr>
          <w:rFonts w:hint="eastAsia" w:ascii="宋体"/>
          <w:bCs/>
          <w:sz w:val="24"/>
          <w:szCs w:val="21"/>
          <w:highlight w:val="none"/>
        </w:rPr>
        <w:t>7.2.2 乙方不得以甲方名义开展活动，不得将甲方数据、信息以任何形式转移、挪用或谋取合同约定以外的利益。</w:t>
      </w:r>
    </w:p>
    <w:p w14:paraId="1ED22803">
      <w:pPr>
        <w:ind w:firstLine="840" w:firstLineChars="350"/>
        <w:rPr>
          <w:rFonts w:hint="eastAsia" w:ascii="宋体"/>
          <w:bCs/>
          <w:sz w:val="24"/>
          <w:szCs w:val="21"/>
          <w:highlight w:val="none"/>
        </w:rPr>
      </w:pPr>
      <w:r>
        <w:rPr>
          <w:rFonts w:hint="eastAsia" w:ascii="宋体"/>
          <w:bCs/>
          <w:sz w:val="24"/>
          <w:szCs w:val="21"/>
          <w:highlight w:val="none"/>
        </w:rPr>
        <w:t>7.2.3 乙方知道违反本条规定将给甲方客户权利以及甲方造成难以弥补的损失，为此同意承担由此产生的经济上和法律上的责任和损失。</w:t>
      </w:r>
    </w:p>
    <w:p w14:paraId="09AA123B">
      <w:pPr>
        <w:ind w:firstLine="840" w:firstLineChars="350"/>
        <w:rPr>
          <w:rFonts w:hint="eastAsia" w:ascii="宋体"/>
          <w:bCs/>
          <w:sz w:val="24"/>
          <w:szCs w:val="21"/>
          <w:highlight w:val="none"/>
        </w:rPr>
      </w:pPr>
      <w:r>
        <w:rPr>
          <w:rFonts w:hint="eastAsia" w:ascii="宋体"/>
          <w:bCs/>
          <w:sz w:val="24"/>
          <w:szCs w:val="21"/>
          <w:highlight w:val="none"/>
        </w:rPr>
        <w:t>7.2.4 乙方承认本合同中的技术资料和技术秘密为甲方所专有，将其对乙方进行披露并不意味着任何所有权、专利权的转让。</w:t>
      </w:r>
    </w:p>
    <w:p w14:paraId="0BE61C21">
      <w:pPr>
        <w:ind w:firstLine="840" w:firstLineChars="350"/>
        <w:rPr>
          <w:rFonts w:hint="eastAsia" w:ascii="宋体"/>
          <w:bCs/>
          <w:sz w:val="24"/>
          <w:szCs w:val="21"/>
          <w:highlight w:val="none"/>
        </w:rPr>
      </w:pPr>
      <w:r>
        <w:rPr>
          <w:rFonts w:hint="eastAsia" w:ascii="宋体"/>
          <w:bCs/>
          <w:sz w:val="24"/>
          <w:szCs w:val="21"/>
          <w:highlight w:val="none"/>
        </w:rPr>
        <w:t>7.2.5 除非甲方特别声明，乙方对于保密信息的保密义务为无限期保密，直至甲方宣布解密或者保密信息实际上已经公开。</w:t>
      </w:r>
    </w:p>
    <w:p w14:paraId="1C3A27B5">
      <w:pPr>
        <w:ind w:firstLine="840" w:firstLineChars="350"/>
        <w:rPr>
          <w:rFonts w:hint="eastAsia" w:ascii="宋体"/>
          <w:bCs/>
          <w:sz w:val="24"/>
          <w:szCs w:val="21"/>
          <w:highlight w:val="none"/>
        </w:rPr>
      </w:pPr>
      <w:r>
        <w:rPr>
          <w:rFonts w:hint="eastAsia" w:ascii="宋体"/>
          <w:bCs/>
          <w:sz w:val="24"/>
          <w:szCs w:val="21"/>
          <w:highlight w:val="none"/>
        </w:rPr>
        <w:t>7.2.6 本合同项下乙方人员行为视为乙方行为，乙方应承担全部责任及损失。当客户信息不安全或客户权利受到重大不利影响时，甲方有权随时终止合同。</w:t>
      </w:r>
    </w:p>
    <w:p w14:paraId="5C128FEF">
      <w:pPr>
        <w:pStyle w:val="9"/>
        <w:numPr>
          <w:ilvl w:val="0"/>
          <w:numId w:val="2"/>
        </w:numPr>
        <w:ind w:firstLineChars="0"/>
        <w:rPr>
          <w:b/>
          <w:sz w:val="24"/>
          <w:szCs w:val="24"/>
          <w:highlight w:val="none"/>
        </w:rPr>
      </w:pPr>
      <w:r>
        <w:rPr>
          <w:b/>
          <w:sz w:val="24"/>
          <w:szCs w:val="24"/>
          <w:highlight w:val="none"/>
        </w:rPr>
        <w:t>知识产权</w:t>
      </w:r>
    </w:p>
    <w:p w14:paraId="2DA91451">
      <w:pPr>
        <w:pStyle w:val="9"/>
        <w:ind w:firstLine="480" w:firstLineChars="200"/>
        <w:rPr>
          <w:sz w:val="24"/>
          <w:szCs w:val="24"/>
          <w:highlight w:val="none"/>
        </w:rPr>
      </w:pPr>
      <w:r>
        <w:rPr>
          <w:sz w:val="24"/>
          <w:szCs w:val="24"/>
          <w:highlight w:val="none"/>
        </w:rPr>
        <w:t>乙方所提供的设备</w:t>
      </w:r>
      <w:r>
        <w:rPr>
          <w:rFonts w:hint="eastAsia"/>
          <w:sz w:val="24"/>
          <w:szCs w:val="24"/>
          <w:highlight w:val="none"/>
        </w:rPr>
        <w:t>、软件</w:t>
      </w:r>
      <w:r>
        <w:rPr>
          <w:sz w:val="24"/>
          <w:szCs w:val="24"/>
          <w:highlight w:val="none"/>
        </w:rPr>
        <w:t>及服务不得侵犯任何第三方的工业产权或知识产权，否则乙方将承担由此引起的法律责任和相关经济损失。</w:t>
      </w:r>
    </w:p>
    <w:p w14:paraId="05CFDF83">
      <w:pPr>
        <w:pStyle w:val="9"/>
        <w:numPr>
          <w:ilvl w:val="0"/>
          <w:numId w:val="2"/>
        </w:numPr>
        <w:ind w:firstLineChars="0"/>
        <w:rPr>
          <w:b/>
          <w:bCs/>
          <w:sz w:val="24"/>
          <w:szCs w:val="24"/>
          <w:highlight w:val="none"/>
        </w:rPr>
      </w:pPr>
      <w:r>
        <w:rPr>
          <w:b/>
          <w:bCs/>
          <w:sz w:val="24"/>
          <w:szCs w:val="24"/>
          <w:highlight w:val="none"/>
        </w:rPr>
        <w:t>违约责任</w:t>
      </w:r>
    </w:p>
    <w:p w14:paraId="7680C3CE">
      <w:pPr>
        <w:adjustRightInd w:val="0"/>
        <w:snapToGrid w:val="0"/>
        <w:ind w:firstLine="480" w:firstLineChars="200"/>
        <w:rPr>
          <w:rFonts w:hint="eastAsia" w:ascii="宋体"/>
          <w:sz w:val="24"/>
          <w:highlight w:val="none"/>
        </w:rPr>
      </w:pPr>
      <w:r>
        <w:rPr>
          <w:rFonts w:hint="eastAsia" w:ascii="宋体"/>
          <w:sz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27C931BC">
      <w:pPr>
        <w:adjustRightInd w:val="0"/>
        <w:snapToGrid w:val="0"/>
        <w:ind w:firstLine="480" w:firstLineChars="200"/>
        <w:rPr>
          <w:rFonts w:hint="eastAsia" w:ascii="宋体"/>
          <w:sz w:val="24"/>
          <w:highlight w:val="none"/>
        </w:rPr>
      </w:pPr>
      <w:r>
        <w:rPr>
          <w:rFonts w:hint="eastAsia" w:ascii="宋体"/>
          <w:sz w:val="24"/>
          <w:highlight w:val="none"/>
        </w:rPr>
        <w:t>9.2 如由于可归因于乙方自身的原因，致使乙方逾期提供服务的，乙方则应向甲方偿付逾期服务的违约金。计算办法为每逾期1天以合同总金额为基数，按每日万分之五计算。</w:t>
      </w:r>
    </w:p>
    <w:p w14:paraId="0B207576">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9.3 乙方未按合同规定履行服务项目，甲方有权解除或终止合同，并有权要求乙方承担因此给甲方造成的损失。</w:t>
      </w:r>
    </w:p>
    <w:p w14:paraId="23D457F4">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1E70AD50">
      <w:pPr>
        <w:adjustRightInd w:val="0"/>
        <w:snapToGrid w:val="0"/>
        <w:ind w:firstLine="480" w:firstLineChars="200"/>
        <w:rPr>
          <w:rFonts w:hint="eastAsia" w:ascii="宋体"/>
          <w:sz w:val="24"/>
          <w:highlight w:val="none"/>
        </w:rPr>
      </w:pPr>
      <w:r>
        <w:rPr>
          <w:rFonts w:hint="eastAsia" w:ascii="宋体"/>
          <w:sz w:val="24"/>
          <w:highlight w:val="none"/>
        </w:rPr>
        <w:t>9.5 因乙方服务质量问题使甲方遭受损失的，乙方应赔偿甲方的全部损失。</w:t>
      </w:r>
    </w:p>
    <w:p w14:paraId="35EC40C4">
      <w:pPr>
        <w:adjustRightInd w:val="0"/>
        <w:snapToGrid w:val="0"/>
        <w:ind w:firstLine="480" w:firstLineChars="200"/>
        <w:rPr>
          <w:rFonts w:hint="eastAsia" w:ascii="宋体"/>
          <w:sz w:val="24"/>
          <w:highlight w:val="none"/>
        </w:rPr>
      </w:pPr>
      <w:r>
        <w:rPr>
          <w:rFonts w:hint="eastAsia" w:ascii="宋体"/>
          <w:sz w:val="24"/>
          <w:highlight w:val="none"/>
        </w:rPr>
        <w:t>9.6 任何一方违反“本合同保密条款”的约定，违约方应向守约方承担合同总金额10％的违约金，并赔偿由此造成的对方的损失。</w:t>
      </w:r>
    </w:p>
    <w:p w14:paraId="256DAAC8">
      <w:pPr>
        <w:adjustRightInd w:val="0"/>
        <w:snapToGrid w:val="0"/>
        <w:ind w:firstLine="480" w:firstLineChars="200"/>
        <w:rPr>
          <w:rFonts w:hint="eastAsia" w:ascii="宋体"/>
          <w:sz w:val="24"/>
          <w:highlight w:val="none"/>
        </w:rPr>
      </w:pPr>
      <w:r>
        <w:rPr>
          <w:rFonts w:hint="eastAsia" w:ascii="宋体"/>
          <w:sz w:val="24"/>
          <w:highlight w:val="none"/>
        </w:rPr>
        <w:t>9.7 未经甲方同意乙方擅自更换服务人员的，甲方有权解除合同，不再支付剩余费用，有权要求乙方承担因此给甲方造成的损失。</w:t>
      </w:r>
    </w:p>
    <w:p w14:paraId="5E5F3575">
      <w:pPr>
        <w:adjustRightInd w:val="0"/>
        <w:snapToGrid w:val="0"/>
        <w:ind w:firstLine="480" w:firstLineChars="200"/>
        <w:rPr>
          <w:rFonts w:hint="eastAsia" w:ascii="宋体"/>
          <w:sz w:val="24"/>
          <w:highlight w:val="none"/>
        </w:rPr>
      </w:pPr>
      <w:r>
        <w:rPr>
          <w:rFonts w:hint="eastAsia" w:ascii="宋体"/>
          <w:sz w:val="24"/>
          <w:highlight w:val="none"/>
        </w:rPr>
        <w:t>9.8 任何一方有破产、解散、重整、停止营业或其它严重影响债信之情事发生时，他方可终止本合同，但终止时已发生之债权债务关系不受影响。</w:t>
      </w:r>
    </w:p>
    <w:p w14:paraId="5A6E837A">
      <w:pPr>
        <w:adjustRightInd w:val="0"/>
        <w:snapToGrid w:val="0"/>
        <w:ind w:firstLine="480" w:firstLineChars="200"/>
        <w:rPr>
          <w:rFonts w:hint="eastAsia" w:ascii="宋体"/>
          <w:sz w:val="24"/>
          <w:highlight w:val="none"/>
        </w:rPr>
      </w:pPr>
      <w:r>
        <w:rPr>
          <w:rFonts w:hint="eastAsia" w:ascii="宋体"/>
          <w:sz w:val="24"/>
          <w:highlight w:val="none"/>
        </w:rPr>
        <w:t>9.9 甲方有经提前书面通知乙方后单方解除本合同的权利，合同解除之日为解除通知到达乙方之日。本合同因此解除的，甲方据实结算费用，无需承担额外的违约责任或赔偿责任。</w:t>
      </w:r>
    </w:p>
    <w:p w14:paraId="29BCC273">
      <w:pPr>
        <w:adjustRightInd w:val="0"/>
        <w:snapToGrid w:val="0"/>
        <w:ind w:firstLine="480" w:firstLineChars="200"/>
        <w:rPr>
          <w:rFonts w:hint="eastAsia" w:ascii="宋体"/>
          <w:sz w:val="24"/>
          <w:highlight w:val="none"/>
        </w:rPr>
      </w:pPr>
      <w:r>
        <w:rPr>
          <w:rFonts w:hint="eastAsia" w:ascii="宋体"/>
          <w:sz w:val="24"/>
          <w:highlight w:val="none"/>
        </w:rPr>
        <w:t>9.10 除</w:t>
      </w:r>
      <w:r>
        <w:rPr>
          <w:rFonts w:ascii="宋体"/>
          <w:sz w:val="24"/>
          <w:highlight w:val="none"/>
        </w:rPr>
        <w:t>本条及本合同另有约定外，乙方违反本合同任意一条的</w:t>
      </w:r>
      <w:r>
        <w:rPr>
          <w:rFonts w:hint="eastAsia" w:ascii="宋体"/>
          <w:sz w:val="24"/>
          <w:highlight w:val="none"/>
        </w:rPr>
        <w:t>，应</w:t>
      </w:r>
      <w:r>
        <w:rPr>
          <w:rFonts w:ascii="宋体"/>
          <w:sz w:val="24"/>
          <w:highlight w:val="none"/>
        </w:rPr>
        <w:t>向甲方支付本合同总额5%</w:t>
      </w:r>
      <w:r>
        <w:rPr>
          <w:rFonts w:hint="eastAsia" w:ascii="宋体"/>
          <w:sz w:val="24"/>
          <w:highlight w:val="none"/>
        </w:rPr>
        <w:t>的</w:t>
      </w:r>
      <w:r>
        <w:rPr>
          <w:rFonts w:ascii="宋体"/>
          <w:sz w:val="24"/>
          <w:highlight w:val="none"/>
        </w:rPr>
        <w:t>违约金。</w:t>
      </w:r>
    </w:p>
    <w:p w14:paraId="4DCB09B5">
      <w:pPr>
        <w:adjustRightInd w:val="0"/>
        <w:snapToGrid w:val="0"/>
        <w:ind w:firstLine="480" w:firstLineChars="200"/>
        <w:rPr>
          <w:rFonts w:hint="eastAsia" w:ascii="宋体"/>
          <w:sz w:val="24"/>
          <w:highlight w:val="none"/>
        </w:rPr>
      </w:pPr>
      <w:r>
        <w:rPr>
          <w:rFonts w:ascii="宋体"/>
          <w:sz w:val="24"/>
          <w:highlight w:val="none"/>
        </w:rPr>
        <w:t>9.11</w:t>
      </w:r>
      <w:r>
        <w:rPr>
          <w:rFonts w:hint="eastAsia" w:ascii="宋体"/>
          <w:sz w:val="24"/>
          <w:highlight w:val="none"/>
        </w:rPr>
        <w:t>本合同</w:t>
      </w:r>
      <w:r>
        <w:rPr>
          <w:rFonts w:ascii="宋体"/>
          <w:sz w:val="24"/>
          <w:highlight w:val="none"/>
        </w:rPr>
        <w:t>项下乙方应支付的赔偿、</w:t>
      </w:r>
      <w:r>
        <w:rPr>
          <w:rFonts w:hint="eastAsia" w:ascii="宋体"/>
          <w:sz w:val="24"/>
          <w:highlight w:val="none"/>
        </w:rPr>
        <w:t>违约金</w:t>
      </w:r>
      <w:r>
        <w:rPr>
          <w:rFonts w:ascii="宋体"/>
          <w:sz w:val="24"/>
          <w:highlight w:val="none"/>
        </w:rPr>
        <w:t>、损失等，甲方均有权从</w:t>
      </w:r>
      <w:r>
        <w:rPr>
          <w:rFonts w:hint="eastAsia" w:ascii="宋体"/>
          <w:sz w:val="24"/>
          <w:highlight w:val="none"/>
        </w:rPr>
        <w:t>任意</w:t>
      </w:r>
      <w:r>
        <w:rPr>
          <w:rFonts w:ascii="宋体"/>
          <w:sz w:val="24"/>
          <w:highlight w:val="none"/>
        </w:rPr>
        <w:t>一</w:t>
      </w:r>
      <w:r>
        <w:rPr>
          <w:rFonts w:hint="eastAsia" w:ascii="宋体"/>
          <w:sz w:val="24"/>
          <w:highlight w:val="none"/>
        </w:rPr>
        <w:t>笔</w:t>
      </w:r>
      <w:r>
        <w:rPr>
          <w:rFonts w:ascii="宋体"/>
          <w:sz w:val="24"/>
          <w:highlight w:val="none"/>
        </w:rPr>
        <w:t>应支付给乙方的费用中优先扣除，如有不足</w:t>
      </w:r>
      <w:r>
        <w:rPr>
          <w:rFonts w:hint="eastAsia" w:ascii="宋体"/>
          <w:sz w:val="24"/>
          <w:highlight w:val="none"/>
        </w:rPr>
        <w:t>，乙方</w:t>
      </w:r>
      <w:r>
        <w:rPr>
          <w:rFonts w:ascii="宋体"/>
          <w:sz w:val="24"/>
          <w:highlight w:val="none"/>
        </w:rPr>
        <w:t>应另行筹措资金补足</w:t>
      </w:r>
      <w:r>
        <w:rPr>
          <w:rFonts w:hint="eastAsia" w:ascii="宋体"/>
          <w:sz w:val="24"/>
          <w:highlight w:val="none"/>
        </w:rPr>
        <w:t>。</w:t>
      </w:r>
    </w:p>
    <w:p w14:paraId="679271E7">
      <w:pPr>
        <w:pStyle w:val="9"/>
        <w:numPr>
          <w:ilvl w:val="0"/>
          <w:numId w:val="2"/>
        </w:numPr>
        <w:ind w:firstLineChars="0"/>
        <w:rPr>
          <w:b/>
          <w:bCs/>
          <w:sz w:val="24"/>
          <w:szCs w:val="24"/>
          <w:highlight w:val="none"/>
        </w:rPr>
      </w:pPr>
      <w:r>
        <w:rPr>
          <w:b/>
          <w:bCs/>
          <w:sz w:val="24"/>
          <w:szCs w:val="24"/>
          <w:highlight w:val="none"/>
        </w:rPr>
        <w:t>移转之限制</w:t>
      </w:r>
    </w:p>
    <w:p w14:paraId="02B414F0">
      <w:pPr>
        <w:pStyle w:val="9"/>
        <w:ind w:firstLine="480" w:firstLineChars="200"/>
        <w:rPr>
          <w:rFonts w:hint="eastAsia"/>
          <w:sz w:val="24"/>
          <w:szCs w:val="24"/>
          <w:highlight w:val="none"/>
        </w:rPr>
      </w:pPr>
      <w:r>
        <w:rPr>
          <w:sz w:val="24"/>
          <w:szCs w:val="24"/>
          <w:highlight w:val="none"/>
        </w:rPr>
        <w:t>任何一方非经他方书面同意，不得将本合同项下之任何权利、义务移转或让与第三人，否则本合同权利、义务不及于第三人，违约之一方并应</w:t>
      </w:r>
      <w:r>
        <w:rPr>
          <w:rFonts w:hint="eastAsia"/>
          <w:sz w:val="24"/>
          <w:szCs w:val="24"/>
          <w:highlight w:val="none"/>
        </w:rPr>
        <w:t>按合同总金额的10%向守约方支付违约金，并承担因此造成的损失的赔偿责任。</w:t>
      </w:r>
    </w:p>
    <w:p w14:paraId="24D47DE9">
      <w:pPr>
        <w:pStyle w:val="9"/>
        <w:numPr>
          <w:ilvl w:val="0"/>
          <w:numId w:val="2"/>
        </w:numPr>
        <w:ind w:firstLineChars="0"/>
        <w:rPr>
          <w:rFonts w:hint="eastAsia"/>
          <w:b/>
          <w:bCs/>
          <w:sz w:val="24"/>
          <w:szCs w:val="24"/>
          <w:highlight w:val="none"/>
        </w:rPr>
      </w:pPr>
      <w:r>
        <w:rPr>
          <w:b/>
          <w:bCs/>
          <w:sz w:val="24"/>
          <w:szCs w:val="24"/>
          <w:highlight w:val="none"/>
        </w:rPr>
        <w:t>不可抗力事由</w:t>
      </w:r>
    </w:p>
    <w:p w14:paraId="7614F6BA">
      <w:pPr>
        <w:pStyle w:val="9"/>
        <w:ind w:firstLine="480" w:firstLineChars="200"/>
        <w:rPr>
          <w:rFonts w:hint="eastAsia"/>
          <w:sz w:val="24"/>
          <w:szCs w:val="24"/>
          <w:highlight w:val="none"/>
        </w:rPr>
      </w:pPr>
      <w:r>
        <w:rPr>
          <w:rFonts w:hint="eastAsia"/>
          <w:sz w:val="24"/>
          <w:highlight w:val="none"/>
        </w:rPr>
        <w:t xml:space="preserve">11.1 </w:t>
      </w:r>
      <w:r>
        <w:rPr>
          <w:rFonts w:hint="eastAsia"/>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73C30731">
      <w:pPr>
        <w:pStyle w:val="9"/>
        <w:ind w:firstLine="480" w:firstLineChars="200"/>
        <w:rPr>
          <w:rFonts w:hint="eastAsia"/>
          <w:sz w:val="24"/>
          <w:szCs w:val="24"/>
          <w:highlight w:val="none"/>
        </w:rPr>
      </w:pPr>
      <w:r>
        <w:rPr>
          <w:rFonts w:hint="eastAsia"/>
          <w:sz w:val="24"/>
          <w:highlight w:val="none"/>
        </w:rPr>
        <w:t xml:space="preserve">11.2 </w:t>
      </w:r>
      <w:r>
        <w:rPr>
          <w:rFonts w:hint="eastAsia"/>
          <w:sz w:val="24"/>
          <w:szCs w:val="24"/>
          <w:highlight w:val="none"/>
        </w:rPr>
        <w:t>发生不可抗力的一方应立即通知对方，并在十五天内提供不可抗力的详情及将有关证明文件送交对方。</w:t>
      </w:r>
    </w:p>
    <w:p w14:paraId="6436C131">
      <w:pPr>
        <w:pStyle w:val="9"/>
        <w:ind w:firstLine="480" w:firstLineChars="200"/>
        <w:rPr>
          <w:rFonts w:hint="eastAsia"/>
          <w:sz w:val="24"/>
          <w:szCs w:val="24"/>
          <w:highlight w:val="none"/>
        </w:rPr>
      </w:pPr>
      <w:r>
        <w:rPr>
          <w:rFonts w:hint="eastAsia"/>
          <w:sz w:val="24"/>
          <w:highlight w:val="none"/>
        </w:rPr>
        <w:t xml:space="preserve">11.3 </w:t>
      </w:r>
      <w:r>
        <w:rPr>
          <w:rFonts w:hint="eastAsia"/>
          <w:sz w:val="24"/>
          <w:szCs w:val="24"/>
          <w:highlight w:val="none"/>
        </w:rPr>
        <w:t>发生不可抗力事件时，甲乙双方应协商以寻找一个合理的解决方法，并尽一切努力减轻不可抗力产生的后果。</w:t>
      </w:r>
    </w:p>
    <w:p w14:paraId="2196052B">
      <w:pPr>
        <w:pStyle w:val="9"/>
        <w:ind w:firstLine="480" w:firstLineChars="200"/>
        <w:rPr>
          <w:sz w:val="24"/>
          <w:szCs w:val="24"/>
          <w:highlight w:val="none"/>
        </w:rPr>
      </w:pPr>
      <w:r>
        <w:rPr>
          <w:rFonts w:hint="eastAsia"/>
          <w:sz w:val="24"/>
          <w:highlight w:val="none"/>
        </w:rPr>
        <w:t xml:space="preserve">11.4 </w:t>
      </w:r>
      <w:r>
        <w:rPr>
          <w:rFonts w:hint="eastAsia"/>
          <w:sz w:val="24"/>
          <w:szCs w:val="24"/>
          <w:highlight w:val="none"/>
        </w:rPr>
        <w:t>如不可抗力事件持续三十天时，甲乙双方应友好协商解决本合同是否继续履行或终止的问题。</w:t>
      </w:r>
    </w:p>
    <w:p w14:paraId="7BE53E7E">
      <w:pPr>
        <w:pStyle w:val="9"/>
        <w:numPr>
          <w:ilvl w:val="0"/>
          <w:numId w:val="2"/>
        </w:numPr>
        <w:ind w:firstLineChars="0"/>
        <w:rPr>
          <w:b/>
          <w:bCs/>
          <w:sz w:val="24"/>
          <w:szCs w:val="24"/>
          <w:highlight w:val="none"/>
        </w:rPr>
      </w:pPr>
      <w:r>
        <w:rPr>
          <w:b/>
          <w:bCs/>
          <w:sz w:val="24"/>
          <w:szCs w:val="24"/>
          <w:highlight w:val="none"/>
        </w:rPr>
        <w:t>解决争议的方法</w:t>
      </w:r>
    </w:p>
    <w:p w14:paraId="33B3FE4F">
      <w:pPr>
        <w:pStyle w:val="9"/>
        <w:snapToGrid w:val="0"/>
        <w:ind w:firstLine="480" w:firstLineChars="200"/>
        <w:rPr>
          <w:rFonts w:hint="eastAsia"/>
          <w:sz w:val="24"/>
          <w:highlight w:val="none"/>
          <w:lang w:val="zh-CN" w:eastAsia="zh-CN"/>
        </w:rPr>
      </w:pPr>
      <w:r>
        <w:rPr>
          <w:rFonts w:hint="eastAsia"/>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lang w:val="zh-CN" w:eastAsia="zh-CN"/>
        </w:rPr>
        <w:t>重庆仲裁委员会按照该会届时有效的仲裁规则申请仲裁</w:t>
      </w:r>
      <w:r>
        <w:rPr>
          <w:rFonts w:hint="eastAsia"/>
          <w:sz w:val="24"/>
          <w:highlight w:val="none"/>
          <w:lang w:val="zh-CN" w:eastAsia="zh-CN"/>
        </w:rPr>
        <w:t>。</w:t>
      </w:r>
    </w:p>
    <w:p w14:paraId="65C54E34">
      <w:pPr>
        <w:pStyle w:val="9"/>
        <w:numPr>
          <w:ilvl w:val="0"/>
          <w:numId w:val="2"/>
        </w:numPr>
        <w:ind w:firstLineChars="0"/>
        <w:rPr>
          <w:rFonts w:hint="eastAsia"/>
          <w:b/>
          <w:bCs/>
          <w:sz w:val="24"/>
          <w:szCs w:val="24"/>
          <w:highlight w:val="none"/>
        </w:rPr>
      </w:pPr>
      <w:r>
        <w:rPr>
          <w:rFonts w:hint="eastAsia"/>
          <w:b/>
          <w:bCs/>
          <w:sz w:val="24"/>
          <w:szCs w:val="24"/>
          <w:highlight w:val="none"/>
        </w:rPr>
        <w:t>通知与送达</w:t>
      </w:r>
    </w:p>
    <w:p w14:paraId="75AB1DF4">
      <w:pPr>
        <w:pStyle w:val="9"/>
        <w:snapToGrid w:val="0"/>
        <w:ind w:firstLine="480" w:firstLineChars="200"/>
        <w:rPr>
          <w:sz w:val="24"/>
          <w:szCs w:val="24"/>
          <w:highlight w:val="none"/>
        </w:rPr>
      </w:pPr>
      <w:r>
        <w:rPr>
          <w:rFonts w:hint="eastAsia"/>
          <w:sz w:val="24"/>
          <w:szCs w:val="24"/>
          <w:highlight w:val="none"/>
        </w:rPr>
        <w:t>除双方另有约定，本合同项下的所有书面通知，按本合同首部载明的地址及联系方式进行，乙方地址、联系方式如有变动，应于</w:t>
      </w:r>
      <w:r>
        <w:rPr>
          <w:sz w:val="24"/>
          <w:szCs w:val="24"/>
          <w:highlight w:val="none"/>
        </w:rPr>
        <w:t>10</w:t>
      </w:r>
      <w:r>
        <w:rPr>
          <w:rFonts w:hint="eastAsia"/>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142A5038">
      <w:pPr>
        <w:pStyle w:val="9"/>
        <w:snapToGrid w:val="0"/>
        <w:ind w:firstLine="480" w:firstLineChars="200"/>
        <w:rPr>
          <w:sz w:val="24"/>
          <w:szCs w:val="24"/>
          <w:highlight w:val="none"/>
        </w:rPr>
      </w:pPr>
      <w:r>
        <w:rPr>
          <w:rFonts w:hint="eastAsia"/>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356AB76">
      <w:pPr>
        <w:pStyle w:val="9"/>
        <w:numPr>
          <w:ilvl w:val="0"/>
          <w:numId w:val="2"/>
        </w:numPr>
        <w:ind w:firstLineChars="0"/>
        <w:rPr>
          <w:b/>
          <w:sz w:val="24"/>
          <w:szCs w:val="24"/>
          <w:highlight w:val="none"/>
        </w:rPr>
      </w:pPr>
      <w:r>
        <w:rPr>
          <w:b/>
          <w:bCs/>
          <w:sz w:val="24"/>
          <w:szCs w:val="24"/>
          <w:highlight w:val="none"/>
        </w:rPr>
        <w:t xml:space="preserve">其它 </w:t>
      </w:r>
    </w:p>
    <w:p w14:paraId="5819BCEF">
      <w:pPr>
        <w:pStyle w:val="45"/>
        <w:adjustRightInd w:val="0"/>
        <w:snapToGrid w:val="0"/>
        <w:rPr>
          <w:rFonts w:hint="eastAsia" w:ascii="宋体"/>
          <w:sz w:val="24"/>
          <w:highlight w:val="none"/>
        </w:rPr>
      </w:pPr>
      <w:r>
        <w:rPr>
          <w:rFonts w:hint="eastAsia" w:ascii="宋体"/>
          <w:sz w:val="24"/>
          <w:highlight w:val="none"/>
        </w:rPr>
        <w:t>14.1 本合同自甲乙双方盖公章或合同章后生效。</w:t>
      </w:r>
    </w:p>
    <w:p w14:paraId="117B7486">
      <w:pPr>
        <w:adjustRightInd w:val="0"/>
        <w:snapToGrid w:val="0"/>
        <w:ind w:firstLine="480" w:firstLineChars="200"/>
        <w:rPr>
          <w:rFonts w:hint="eastAsia" w:ascii="宋体"/>
          <w:sz w:val="24"/>
          <w:highlight w:val="none"/>
        </w:rPr>
      </w:pPr>
      <w:r>
        <w:rPr>
          <w:rFonts w:hint="eastAsia" w:ascii="宋体"/>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63FFD8FA">
      <w:pPr>
        <w:adjustRightInd w:val="0"/>
        <w:snapToGrid w:val="0"/>
        <w:ind w:firstLine="480" w:firstLineChars="200"/>
        <w:rPr>
          <w:rFonts w:hint="eastAsia" w:ascii="宋体"/>
          <w:sz w:val="24"/>
          <w:highlight w:val="none"/>
        </w:rPr>
      </w:pPr>
      <w:r>
        <w:rPr>
          <w:rFonts w:hint="eastAsia" w:ascii="宋体"/>
          <w:sz w:val="24"/>
          <w:highlight w:val="none"/>
        </w:rPr>
        <w:t>14.3本合同及其附件一式肆份，甲、乙双方各持贰份，具有同等法律效力。</w:t>
      </w:r>
    </w:p>
    <w:p w14:paraId="5687FB98">
      <w:pPr>
        <w:pStyle w:val="9"/>
        <w:rPr>
          <w:b/>
          <w:bCs/>
          <w:sz w:val="24"/>
          <w:szCs w:val="24"/>
          <w:highlight w:val="none"/>
        </w:rPr>
      </w:pPr>
      <w:r>
        <w:rPr>
          <w:b/>
          <w:bCs/>
          <w:sz w:val="24"/>
          <w:szCs w:val="24"/>
          <w:highlight w:val="none"/>
        </w:rPr>
        <w:t>1</w:t>
      </w:r>
      <w:r>
        <w:rPr>
          <w:rFonts w:hint="eastAsia"/>
          <w:b/>
          <w:bCs/>
          <w:sz w:val="24"/>
          <w:szCs w:val="24"/>
          <w:highlight w:val="none"/>
        </w:rPr>
        <w:t>5</w:t>
      </w:r>
      <w:r>
        <w:rPr>
          <w:b/>
          <w:bCs/>
          <w:sz w:val="24"/>
          <w:szCs w:val="24"/>
          <w:highlight w:val="none"/>
        </w:rPr>
        <w:t xml:space="preserve"> 附件</w:t>
      </w:r>
    </w:p>
    <w:p w14:paraId="5E8640F6">
      <w:pPr>
        <w:ind w:firstLine="559" w:firstLineChars="233"/>
        <w:rPr>
          <w:rFonts w:hint="eastAsia" w:ascii="宋体"/>
          <w:sz w:val="24"/>
          <w:highlight w:val="none"/>
        </w:rPr>
      </w:pPr>
      <w:r>
        <w:rPr>
          <w:rFonts w:hint="eastAsia" w:ascii="宋体"/>
          <w:sz w:val="24"/>
          <w:highlight w:val="none"/>
        </w:rPr>
        <w:t>本合同的附件与合同正本具有同等法律效力，主合同与附件如有冲突，以主合同为准。本合同附件如下：</w:t>
      </w:r>
    </w:p>
    <w:p w14:paraId="76EB5191">
      <w:pPr>
        <w:ind w:left="560"/>
        <w:rPr>
          <w:rFonts w:hint="eastAsia" w:ascii="宋体"/>
          <w:sz w:val="24"/>
          <w:highlight w:val="none"/>
        </w:rPr>
      </w:pPr>
      <w:r>
        <w:rPr>
          <w:rFonts w:hint="eastAsia" w:ascii="宋体"/>
          <w:sz w:val="24"/>
          <w:highlight w:val="none"/>
        </w:rPr>
        <w:t>附件一：技术服务内容</w:t>
      </w:r>
    </w:p>
    <w:p w14:paraId="54049F61">
      <w:pPr>
        <w:ind w:left="560"/>
        <w:rPr>
          <w:rFonts w:hint="eastAsia" w:ascii="宋体"/>
          <w:sz w:val="24"/>
          <w:highlight w:val="none"/>
        </w:rPr>
      </w:pPr>
      <w:r>
        <w:rPr>
          <w:rFonts w:hint="eastAsia" w:ascii="宋体"/>
          <w:sz w:val="24"/>
          <w:highlight w:val="none"/>
        </w:rPr>
        <w:t>附件二：服务水平协议（SLA）</w:t>
      </w:r>
    </w:p>
    <w:p w14:paraId="16FF71BB">
      <w:pPr>
        <w:ind w:left="560"/>
        <w:rPr>
          <w:rFonts w:hint="eastAsia" w:ascii="宋体"/>
          <w:sz w:val="24"/>
          <w:highlight w:val="none"/>
        </w:rPr>
      </w:pPr>
      <w:r>
        <w:rPr>
          <w:rFonts w:hint="eastAsia" w:ascii="宋体"/>
          <w:sz w:val="24"/>
          <w:highlight w:val="none"/>
        </w:rPr>
        <w:t>附件三：巡检报告</w:t>
      </w:r>
    </w:p>
    <w:p w14:paraId="19500410">
      <w:pPr>
        <w:ind w:left="560"/>
        <w:rPr>
          <w:rFonts w:hint="eastAsia" w:ascii="宋体"/>
          <w:sz w:val="24"/>
          <w:highlight w:val="none"/>
        </w:rPr>
      </w:pPr>
      <w:r>
        <w:rPr>
          <w:rFonts w:hint="eastAsia" w:ascii="宋体"/>
          <w:sz w:val="24"/>
          <w:highlight w:val="none"/>
        </w:rPr>
        <w:t>附件四：服务连续性预案</w:t>
      </w:r>
    </w:p>
    <w:p w14:paraId="3010B3FD">
      <w:pPr>
        <w:pStyle w:val="9"/>
        <w:ind w:firstLine="480" w:firstLineChars="200"/>
        <w:rPr>
          <w:sz w:val="24"/>
          <w:szCs w:val="24"/>
          <w:highlight w:val="none"/>
        </w:rPr>
      </w:pPr>
      <w:r>
        <w:rPr>
          <w:rFonts w:hint="eastAsia"/>
          <w:sz w:val="24"/>
          <w:szCs w:val="24"/>
          <w:highlight w:val="none"/>
        </w:rPr>
        <w:t>（以下无正文）</w:t>
      </w:r>
    </w:p>
    <w:p w14:paraId="3107F88E">
      <w:pPr>
        <w:pStyle w:val="9"/>
        <w:ind w:firstLine="480" w:firstLineChars="200"/>
        <w:rPr>
          <w:sz w:val="24"/>
          <w:szCs w:val="24"/>
          <w:highlight w:val="none"/>
        </w:rPr>
      </w:pPr>
    </w:p>
    <w:p w14:paraId="1F0A6330">
      <w:pPr>
        <w:pStyle w:val="9"/>
        <w:ind w:firstLine="420" w:firstLineChars="0"/>
        <w:rPr>
          <w:sz w:val="24"/>
          <w:szCs w:val="24"/>
          <w:highlight w:val="none"/>
        </w:rPr>
      </w:pPr>
      <w:r>
        <w:rPr>
          <w:rFonts w:hint="eastAsia"/>
          <w:sz w:val="24"/>
          <w:szCs w:val="24"/>
          <w:highlight w:val="none"/>
        </w:rPr>
        <w:t>（本页</w:t>
      </w:r>
      <w:r>
        <w:rPr>
          <w:sz w:val="24"/>
          <w:szCs w:val="24"/>
          <w:highlight w:val="none"/>
        </w:rPr>
        <w:t>无正文，为</w:t>
      </w:r>
      <w:r>
        <w:rPr>
          <w:rFonts w:hint="eastAsia"/>
          <w:sz w:val="24"/>
          <w:szCs w:val="24"/>
          <w:highlight w:val="none"/>
        </w:rPr>
        <w:t>编号</w:t>
      </w:r>
      <w:r>
        <w:rPr>
          <w:rFonts w:hint="eastAsia"/>
          <w:bCs/>
          <w:sz w:val="24"/>
          <w:szCs w:val="40"/>
          <w:highlight w:val="none"/>
        </w:rPr>
        <w:t>SXYH</w:t>
      </w:r>
      <w:r>
        <w:rPr>
          <w:bCs/>
          <w:sz w:val="24"/>
          <w:szCs w:val="40"/>
          <w:highlight w:val="none"/>
        </w:rPr>
        <w:t xml:space="preserve">20200101018XXX </w:t>
      </w:r>
      <w:r>
        <w:rPr>
          <w:sz w:val="24"/>
          <w:szCs w:val="24"/>
          <w:highlight w:val="none"/>
        </w:rPr>
        <w:t>《</w:t>
      </w:r>
      <w:r>
        <w:rPr>
          <w:rFonts w:hint="eastAsia"/>
          <w:sz w:val="24"/>
          <w:szCs w:val="24"/>
          <w:highlight w:val="none"/>
        </w:rPr>
        <w:t>X</w:t>
      </w:r>
      <w:r>
        <w:rPr>
          <w:sz w:val="24"/>
          <w:szCs w:val="24"/>
          <w:highlight w:val="none"/>
        </w:rPr>
        <w:t>XXXX》</w:t>
      </w:r>
      <w:r>
        <w:rPr>
          <w:rFonts w:hint="eastAsia"/>
          <w:sz w:val="24"/>
          <w:szCs w:val="24"/>
          <w:highlight w:val="none"/>
        </w:rPr>
        <w:t>签署页）</w:t>
      </w:r>
    </w:p>
    <w:tbl>
      <w:tblPr>
        <w:tblStyle w:val="17"/>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3969"/>
      </w:tblGrid>
      <w:tr w14:paraId="5A47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064BBA6A">
            <w:pPr>
              <w:pStyle w:val="10"/>
              <w:snapToGrid w:val="0"/>
              <w:spacing w:after="0" w:line="360" w:lineRule="auto"/>
              <w:ind w:left="0"/>
              <w:rPr>
                <w:rFonts w:hint="eastAsia" w:ascii="宋体"/>
                <w:sz w:val="24"/>
                <w:highlight w:val="none"/>
              </w:rPr>
            </w:pPr>
            <w:r>
              <w:rPr>
                <w:rFonts w:hint="eastAsia" w:ascii="宋体"/>
                <w:sz w:val="24"/>
                <w:highlight w:val="none"/>
              </w:rPr>
              <w:t>甲方（签章）</w:t>
            </w:r>
          </w:p>
          <w:p w14:paraId="40345FD1">
            <w:pPr>
              <w:pStyle w:val="10"/>
              <w:snapToGrid w:val="0"/>
              <w:spacing w:after="0" w:line="360" w:lineRule="auto"/>
              <w:ind w:left="0"/>
              <w:rPr>
                <w:rFonts w:hint="eastAsia" w:ascii="宋体"/>
                <w:sz w:val="24"/>
                <w:highlight w:val="none"/>
              </w:rPr>
            </w:pPr>
          </w:p>
        </w:tc>
        <w:tc>
          <w:tcPr>
            <w:tcW w:w="3969" w:type="dxa"/>
            <w:tcBorders>
              <w:tl2br w:val="nil"/>
              <w:tr2bl w:val="nil"/>
            </w:tcBorders>
            <w:vAlign w:val="center"/>
          </w:tcPr>
          <w:p w14:paraId="161ED8C4">
            <w:pPr>
              <w:pStyle w:val="10"/>
              <w:snapToGrid w:val="0"/>
              <w:spacing w:after="0" w:line="360" w:lineRule="auto"/>
              <w:ind w:left="0"/>
              <w:rPr>
                <w:rFonts w:hint="eastAsia" w:ascii="宋体"/>
                <w:sz w:val="24"/>
                <w:highlight w:val="none"/>
              </w:rPr>
            </w:pPr>
            <w:r>
              <w:rPr>
                <w:rFonts w:hint="eastAsia" w:ascii="宋体"/>
                <w:sz w:val="24"/>
                <w:highlight w:val="none"/>
              </w:rPr>
              <w:t>乙方（签章）</w:t>
            </w:r>
          </w:p>
          <w:p w14:paraId="71E9D4CB">
            <w:pPr>
              <w:pStyle w:val="10"/>
              <w:snapToGrid w:val="0"/>
              <w:spacing w:after="0" w:line="360" w:lineRule="auto"/>
              <w:ind w:left="0"/>
              <w:rPr>
                <w:rFonts w:hint="eastAsia" w:ascii="宋体"/>
                <w:sz w:val="24"/>
                <w:highlight w:val="none"/>
              </w:rPr>
            </w:pPr>
          </w:p>
        </w:tc>
      </w:tr>
      <w:tr w14:paraId="67B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6461C4EA">
            <w:pPr>
              <w:pStyle w:val="10"/>
              <w:snapToGrid w:val="0"/>
              <w:spacing w:after="0" w:line="360" w:lineRule="auto"/>
              <w:ind w:left="0"/>
              <w:rPr>
                <w:rFonts w:hint="eastAsia" w:ascii="宋体"/>
                <w:sz w:val="24"/>
                <w:highlight w:val="none"/>
              </w:rPr>
            </w:pPr>
            <w:r>
              <w:rPr>
                <w:rFonts w:hint="eastAsia" w:ascii="宋体"/>
                <w:sz w:val="24"/>
                <w:highlight w:val="none"/>
              </w:rPr>
              <w:t>单位名称：重庆三峡银行股份有限公司</w:t>
            </w:r>
          </w:p>
        </w:tc>
        <w:tc>
          <w:tcPr>
            <w:tcW w:w="3969" w:type="dxa"/>
            <w:tcBorders>
              <w:tl2br w:val="nil"/>
              <w:tr2bl w:val="nil"/>
            </w:tcBorders>
            <w:vAlign w:val="center"/>
          </w:tcPr>
          <w:p w14:paraId="06A1AFBB">
            <w:pPr>
              <w:pStyle w:val="10"/>
              <w:snapToGrid w:val="0"/>
              <w:spacing w:after="0" w:line="360" w:lineRule="auto"/>
              <w:ind w:left="0"/>
              <w:rPr>
                <w:rFonts w:hint="eastAsia" w:ascii="宋体"/>
                <w:sz w:val="24"/>
                <w:highlight w:val="none"/>
              </w:rPr>
            </w:pPr>
            <w:r>
              <w:rPr>
                <w:rFonts w:hint="eastAsia" w:ascii="宋体"/>
                <w:sz w:val="24"/>
                <w:highlight w:val="none"/>
              </w:rPr>
              <w:t xml:space="preserve">单位名称： </w:t>
            </w:r>
          </w:p>
        </w:tc>
      </w:tr>
      <w:tr w14:paraId="2333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59F8B8DF">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c>
          <w:tcPr>
            <w:tcW w:w="3969" w:type="dxa"/>
            <w:tcBorders>
              <w:tl2br w:val="nil"/>
              <w:tr2bl w:val="nil"/>
            </w:tcBorders>
            <w:vAlign w:val="center"/>
          </w:tcPr>
          <w:p w14:paraId="641CA475">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r>
      <w:tr w14:paraId="7E6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CE8C2DD">
            <w:pPr>
              <w:pStyle w:val="10"/>
              <w:snapToGrid w:val="0"/>
              <w:spacing w:after="0" w:line="360" w:lineRule="auto"/>
              <w:ind w:left="0"/>
              <w:rPr>
                <w:rFonts w:hint="eastAsia" w:ascii="宋体"/>
                <w:sz w:val="24"/>
                <w:highlight w:val="none"/>
              </w:rPr>
            </w:pPr>
            <w:r>
              <w:rPr>
                <w:rFonts w:hint="eastAsia" w:ascii="宋体"/>
                <w:sz w:val="24"/>
                <w:highlight w:val="none"/>
              </w:rPr>
              <w:t>电话：</w:t>
            </w:r>
          </w:p>
        </w:tc>
        <w:tc>
          <w:tcPr>
            <w:tcW w:w="3969" w:type="dxa"/>
            <w:tcBorders>
              <w:tl2br w:val="nil"/>
              <w:tr2bl w:val="nil"/>
            </w:tcBorders>
            <w:vAlign w:val="center"/>
          </w:tcPr>
          <w:p w14:paraId="5F3A5959">
            <w:pPr>
              <w:pStyle w:val="10"/>
              <w:snapToGrid w:val="0"/>
              <w:spacing w:after="0" w:line="360" w:lineRule="auto"/>
              <w:ind w:left="0"/>
              <w:rPr>
                <w:rFonts w:hint="eastAsia" w:ascii="宋体"/>
                <w:sz w:val="24"/>
                <w:highlight w:val="none"/>
              </w:rPr>
            </w:pPr>
            <w:r>
              <w:rPr>
                <w:rFonts w:hint="eastAsia" w:ascii="宋体"/>
                <w:sz w:val="24"/>
                <w:highlight w:val="none"/>
              </w:rPr>
              <w:t>电话：</w:t>
            </w:r>
          </w:p>
        </w:tc>
      </w:tr>
      <w:tr w14:paraId="79F4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372AD736">
            <w:pPr>
              <w:pStyle w:val="10"/>
              <w:snapToGrid w:val="0"/>
              <w:spacing w:after="0" w:line="360" w:lineRule="auto"/>
              <w:ind w:left="0"/>
              <w:rPr>
                <w:rFonts w:hint="eastAsia" w:ascii="宋体"/>
                <w:sz w:val="24"/>
                <w:highlight w:val="none"/>
              </w:rPr>
            </w:pPr>
            <w:r>
              <w:rPr>
                <w:rFonts w:hint="eastAsia" w:ascii="宋体"/>
                <w:sz w:val="24"/>
                <w:highlight w:val="none"/>
              </w:rPr>
              <w:t>传真：023－86126011</w:t>
            </w:r>
          </w:p>
        </w:tc>
        <w:tc>
          <w:tcPr>
            <w:tcW w:w="3969" w:type="dxa"/>
            <w:tcBorders>
              <w:tl2br w:val="nil"/>
              <w:tr2bl w:val="nil"/>
            </w:tcBorders>
            <w:vAlign w:val="center"/>
          </w:tcPr>
          <w:p w14:paraId="5548374F">
            <w:pPr>
              <w:pStyle w:val="10"/>
              <w:snapToGrid w:val="0"/>
              <w:spacing w:after="0" w:line="360" w:lineRule="auto"/>
              <w:ind w:left="0"/>
              <w:rPr>
                <w:rFonts w:hint="eastAsia" w:ascii="宋体"/>
                <w:sz w:val="24"/>
                <w:highlight w:val="none"/>
              </w:rPr>
            </w:pPr>
            <w:r>
              <w:rPr>
                <w:rFonts w:hint="eastAsia" w:ascii="宋体"/>
                <w:sz w:val="24"/>
                <w:highlight w:val="none"/>
              </w:rPr>
              <w:t>传真：</w:t>
            </w:r>
          </w:p>
        </w:tc>
      </w:tr>
      <w:tr w14:paraId="71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8A28EBE">
            <w:pPr>
              <w:pStyle w:val="10"/>
              <w:snapToGrid w:val="0"/>
              <w:spacing w:after="0" w:line="360" w:lineRule="auto"/>
              <w:ind w:left="0"/>
              <w:rPr>
                <w:rFonts w:hint="eastAsia" w:ascii="宋体"/>
                <w:sz w:val="24"/>
                <w:highlight w:val="none"/>
              </w:rPr>
            </w:pPr>
            <w:r>
              <w:rPr>
                <w:rFonts w:hint="eastAsia" w:ascii="宋体"/>
                <w:sz w:val="24"/>
                <w:highlight w:val="none"/>
              </w:rPr>
              <w:t>开户银行：</w:t>
            </w:r>
          </w:p>
        </w:tc>
        <w:tc>
          <w:tcPr>
            <w:tcW w:w="3969" w:type="dxa"/>
            <w:tcBorders>
              <w:tl2br w:val="nil"/>
              <w:tr2bl w:val="nil"/>
            </w:tcBorders>
            <w:vAlign w:val="center"/>
          </w:tcPr>
          <w:p w14:paraId="7B6AE77A">
            <w:pPr>
              <w:pStyle w:val="10"/>
              <w:snapToGrid w:val="0"/>
              <w:spacing w:after="0" w:line="360" w:lineRule="auto"/>
              <w:ind w:left="0"/>
              <w:rPr>
                <w:rFonts w:hint="eastAsia" w:ascii="宋体"/>
                <w:sz w:val="24"/>
                <w:highlight w:val="none"/>
              </w:rPr>
            </w:pPr>
            <w:r>
              <w:rPr>
                <w:rFonts w:hint="eastAsia" w:ascii="宋体"/>
                <w:sz w:val="24"/>
                <w:highlight w:val="none"/>
              </w:rPr>
              <w:t xml:space="preserve">开户银行： </w:t>
            </w:r>
          </w:p>
        </w:tc>
      </w:tr>
      <w:tr w14:paraId="4C66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7509B152">
            <w:pPr>
              <w:pStyle w:val="10"/>
              <w:snapToGrid w:val="0"/>
              <w:spacing w:after="0" w:line="360" w:lineRule="auto"/>
              <w:ind w:left="0"/>
              <w:rPr>
                <w:rFonts w:hint="eastAsia" w:ascii="宋体"/>
                <w:sz w:val="24"/>
                <w:highlight w:val="none"/>
              </w:rPr>
            </w:pPr>
            <w:r>
              <w:rPr>
                <w:rFonts w:hint="eastAsia" w:ascii="宋体"/>
                <w:sz w:val="24"/>
                <w:highlight w:val="none"/>
              </w:rPr>
              <w:t>账号：</w:t>
            </w:r>
          </w:p>
        </w:tc>
        <w:tc>
          <w:tcPr>
            <w:tcW w:w="3969" w:type="dxa"/>
            <w:tcBorders>
              <w:tl2br w:val="nil"/>
              <w:tr2bl w:val="nil"/>
            </w:tcBorders>
            <w:vAlign w:val="center"/>
          </w:tcPr>
          <w:p w14:paraId="688B216F">
            <w:pPr>
              <w:pStyle w:val="10"/>
              <w:snapToGrid w:val="0"/>
              <w:spacing w:after="0" w:line="360" w:lineRule="auto"/>
              <w:ind w:left="0"/>
              <w:rPr>
                <w:rFonts w:hint="eastAsia" w:ascii="宋体"/>
                <w:sz w:val="24"/>
                <w:highlight w:val="none"/>
              </w:rPr>
            </w:pPr>
            <w:r>
              <w:rPr>
                <w:rFonts w:hint="eastAsia" w:ascii="宋体"/>
                <w:sz w:val="24"/>
                <w:highlight w:val="none"/>
              </w:rPr>
              <w:t>账号：</w:t>
            </w:r>
          </w:p>
        </w:tc>
      </w:tr>
      <w:tr w14:paraId="58E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7CDCFD3">
            <w:pPr>
              <w:pStyle w:val="10"/>
              <w:snapToGrid w:val="0"/>
              <w:spacing w:after="0" w:line="360" w:lineRule="auto"/>
              <w:ind w:left="0"/>
              <w:rPr>
                <w:rFonts w:hint="eastAsia" w:ascii="宋体"/>
                <w:sz w:val="24"/>
                <w:highlight w:val="none"/>
              </w:rPr>
            </w:pPr>
            <w:r>
              <w:rPr>
                <w:rFonts w:hint="eastAsia" w:ascii="宋体"/>
                <w:sz w:val="24"/>
                <w:highlight w:val="none"/>
              </w:rPr>
              <w:t>税号：</w:t>
            </w:r>
          </w:p>
        </w:tc>
        <w:tc>
          <w:tcPr>
            <w:tcW w:w="3969" w:type="dxa"/>
            <w:tcBorders>
              <w:tl2br w:val="nil"/>
              <w:tr2bl w:val="nil"/>
            </w:tcBorders>
            <w:vAlign w:val="center"/>
          </w:tcPr>
          <w:p w14:paraId="5E7F73BD">
            <w:pPr>
              <w:pStyle w:val="10"/>
              <w:snapToGrid w:val="0"/>
              <w:spacing w:after="0" w:line="360" w:lineRule="auto"/>
              <w:ind w:left="0"/>
              <w:rPr>
                <w:rFonts w:hint="eastAsia" w:ascii="宋体"/>
                <w:sz w:val="24"/>
                <w:highlight w:val="none"/>
              </w:rPr>
            </w:pPr>
            <w:r>
              <w:rPr>
                <w:rFonts w:hint="eastAsia" w:ascii="宋体"/>
                <w:sz w:val="24"/>
                <w:highlight w:val="none"/>
              </w:rPr>
              <w:t>税号：</w:t>
            </w:r>
          </w:p>
        </w:tc>
      </w:tr>
      <w:tr w14:paraId="785C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11929CDA">
            <w:pPr>
              <w:pStyle w:val="10"/>
              <w:snapToGrid w:val="0"/>
              <w:spacing w:after="0" w:line="360" w:lineRule="auto"/>
              <w:ind w:left="0"/>
              <w:rPr>
                <w:rFonts w:hint="eastAsia" w:ascii="宋体"/>
                <w:sz w:val="24"/>
                <w:highlight w:val="none"/>
              </w:rPr>
            </w:pPr>
            <w:r>
              <w:rPr>
                <w:rFonts w:hint="eastAsia" w:ascii="宋体"/>
                <w:sz w:val="24"/>
                <w:highlight w:val="none"/>
              </w:rPr>
              <w:t>日期：</w:t>
            </w:r>
          </w:p>
        </w:tc>
      </w:tr>
    </w:tbl>
    <w:p w14:paraId="7CD98DAE">
      <w:pPr>
        <w:rPr>
          <w:rFonts w:hint="eastAsia" w:ascii="宋体"/>
          <w:b/>
          <w:sz w:val="24"/>
          <w:highlight w:val="none"/>
        </w:rPr>
      </w:pPr>
    </w:p>
    <w:p w14:paraId="2028504B">
      <w:pPr>
        <w:pStyle w:val="2"/>
        <w:ind w:firstLine="883" w:firstLineChars="200"/>
        <w:rPr>
          <w:rFonts w:hint="eastAsia"/>
          <w:highlight w:val="none"/>
        </w:rPr>
      </w:pPr>
      <w:r>
        <w:rPr>
          <w:rFonts w:hint="eastAsia"/>
          <w:highlight w:val="none"/>
        </w:rPr>
        <w:br w:type="page"/>
      </w:r>
      <w:bookmarkStart w:id="259" w:name="_Toc26745"/>
      <w:r>
        <w:rPr>
          <w:rFonts w:hint="eastAsia"/>
          <w:highlight w:val="none"/>
        </w:rPr>
        <w:t>附件一： 技术服务内容</w:t>
      </w:r>
      <w:bookmarkEnd w:id="259"/>
    </w:p>
    <w:p w14:paraId="754A9CB1">
      <w:pPr>
        <w:ind w:firstLine="480" w:firstLineChars="200"/>
        <w:rPr>
          <w:rFonts w:ascii="宋体"/>
          <w:sz w:val="24"/>
          <w:highlight w:val="none"/>
        </w:rPr>
      </w:pPr>
      <w:r>
        <w:rPr>
          <w:rFonts w:hint="eastAsia" w:ascii="宋体"/>
          <w:sz w:val="24"/>
          <w:highlight w:val="none"/>
        </w:rPr>
        <w:t>本工作清单系由重庆三峡银行股份有限公司（下称“甲方”）和×××××公司（下称“乙方”）签署的技术服务合同所附的技术服务内容。</w:t>
      </w:r>
    </w:p>
    <w:p w14:paraId="38A66B8F">
      <w:pPr>
        <w:numPr>
          <w:ilvl w:val="0"/>
          <w:numId w:val="3"/>
        </w:numPr>
        <w:ind w:firstLineChars="0"/>
        <w:rPr>
          <w:rFonts w:hint="eastAsia" w:ascii="宋体"/>
          <w:sz w:val="24"/>
          <w:highlight w:val="none"/>
        </w:rPr>
      </w:pPr>
      <w:r>
        <w:rPr>
          <w:rFonts w:hint="eastAsia" w:ascii="宋体" w:cs="宋体"/>
          <w:snapToGrid w:val="0"/>
          <w:sz w:val="24"/>
          <w:highlight w:val="none"/>
          <w:lang w:bidi="ar-SA"/>
        </w:rPr>
        <w:t>维保设备清单</w:t>
      </w:r>
    </w:p>
    <w:tbl>
      <w:tblPr>
        <w:tblStyle w:val="17"/>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1"/>
        <w:gridCol w:w="1625"/>
      </w:tblGrid>
      <w:tr w14:paraId="5C9D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14:paraId="53B05391">
            <w:pPr>
              <w:widowControl/>
              <w:rPr>
                <w:rFonts w:eastAsia="方正仿宋_GBK" w:cs="宋体"/>
                <w:b/>
                <w:bCs/>
                <w:color w:val="000000"/>
                <w:kern w:val="0"/>
                <w:szCs w:val="21"/>
                <w:highlight w:val="none"/>
              </w:rPr>
            </w:pPr>
            <w:r>
              <w:rPr>
                <w:rFonts w:hint="eastAsia" w:eastAsia="方正仿宋_GBK" w:cs="宋体"/>
                <w:b/>
                <w:bCs/>
                <w:color w:val="000000"/>
                <w:kern w:val="0"/>
                <w:szCs w:val="21"/>
                <w:highlight w:val="none"/>
              </w:rPr>
              <w:t>服务器品牌、型号、序列号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298F7C4">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三方维保</w:t>
            </w:r>
          </w:p>
          <w:p w14:paraId="2F722951">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开始时间</w:t>
            </w:r>
          </w:p>
        </w:tc>
      </w:tr>
      <w:tr w14:paraId="7684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1697387">
            <w:pPr>
              <w:widowControl/>
              <w:ind w:left="0" w:firstLine="0" w:firstLineChars="0"/>
              <w:rPr>
                <w:rFonts w:eastAsia="方正仿宋_GBK" w:cs="宋体"/>
                <w:color w:val="000000"/>
                <w:kern w:val="0"/>
                <w:sz w:val="18"/>
                <w:szCs w:val="18"/>
                <w:highlight w:val="none"/>
              </w:rPr>
            </w:pPr>
            <w:r>
              <w:rPr>
                <w:rFonts w:hint="eastAsia" w:eastAsia="方正仿宋_GBK" w:cs="宋体"/>
                <w:color w:val="000000"/>
                <w:kern w:val="0"/>
                <w:sz w:val="18"/>
                <w:szCs w:val="18"/>
                <w:highlight w:val="none"/>
              </w:rPr>
              <w:t>惠普DL380 G5：</w:t>
            </w:r>
            <w:r>
              <w:rPr>
                <w:rFonts w:eastAsia="方正仿宋_GBK" w:cs="宋体"/>
                <w:color w:val="000000"/>
                <w:kern w:val="0"/>
                <w:sz w:val="18"/>
                <w:szCs w:val="18"/>
                <w:highlight w:val="none"/>
              </w:rPr>
              <w:t>CNG834S0CN CNG902S68Y CNG902S68Z</w:t>
            </w:r>
            <w:r>
              <w:rPr>
                <w:rFonts w:hint="eastAsia" w:eastAsia="方正仿宋_GBK" w:cs="宋体"/>
                <w:color w:val="000000"/>
                <w:kern w:val="0"/>
                <w:sz w:val="18"/>
                <w:szCs w:val="18"/>
                <w:highlight w:val="none"/>
              </w:rPr>
              <w:br w:type="textWrapping"/>
            </w:r>
            <w:r>
              <w:rPr>
                <w:rFonts w:eastAsia="方正仿宋_GBK" w:cs="宋体"/>
                <w:color w:val="000000"/>
                <w:kern w:val="0"/>
                <w:sz w:val="18"/>
                <w:szCs w:val="18"/>
                <w:highlight w:val="none"/>
              </w:rPr>
              <w:t>惠普DL380 G6：CNG004S2Z1</w:t>
            </w:r>
          </w:p>
          <w:p w14:paraId="275B125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惠普DL380 G9：6CU724SBC3 6CU724SBCJ 6CU724SBAN 6CU715A0D3 6CU724SBA7 6CU724SBBL 6CU724SB9R 6CU724SBB5 6CU715A0CN 6CU703R827 6CU601YL9S 6CU735E4KD 6CU747EH2J 6CU834M3FG 6CU73279NM 6CU703R817 6CU703R800 6CU719K1CH 6CU611XAKJ 6CU611XAK3 6CU703R807 6CU724SAWD 6CU735E4K7 6CU834M3F3 6CU73279P1 6CU703R80E 6CU724SAWT </w:t>
            </w:r>
          </w:p>
          <w:p w14:paraId="15D17A9C">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G7: CNG141SF1M CNG141SF03</w:t>
            </w:r>
          </w:p>
          <w:p w14:paraId="189239C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惠普DL388 G8: 6CU3383FVF CNG212S2RB 6CU304WM9D CNG212S6ND CNG212S2S3 6CU34346G2 6CU35162H7 6CU34346DC 6CU311XVNB 6CU35162FB </w:t>
            </w:r>
          </w:p>
          <w:p w14:paraId="6296EE52">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G9: CN75380C3Y CN75380C4J CN744306VF CN744306VP CN75160DZN CN75350BNH CN75360084 CN75160DZV CN75380HKT CN745103XY CN75170B4R CN7517099H 6CU611XAJL CN74510DDH CN744306VR CN744306XK CN75170B4P CN75390393 CN75380CJN CN753909GL</w:t>
            </w:r>
          </w:p>
          <w:p w14:paraId="41E5008F">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惠普DL580 G7: 6CU50265DR 6CU430GB4P CN71290LJ2 6CU430GB3J CN733301Y6 CN7313061B CN73130637 6CU4080859</w:t>
            </w:r>
          </w:p>
          <w:p w14:paraId="638EF3C8">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惠普DL580 G9: 6CU611XAHE 6CU611XAF2 CNG941S0HC 6CU6434P9R </w:t>
            </w:r>
          </w:p>
          <w:p w14:paraId="3802D3E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V3: 2102310YJA10H8003018 2102310YJW10H4000181 2102310YJW10H4000180</w:t>
            </w:r>
          </w:p>
          <w:p w14:paraId="43894186">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V5: 2102310YJA10H8003023 2102311TXHN0K8000042 2102311TXHN0K8000035 2102311TXHN0K8000038</w:t>
            </w:r>
          </w:p>
          <w:p w14:paraId="3A8E539E">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 V3: 2102310YJV10H8002554 2102310YJV10GB005006 2102310YJV10GB005007 2102310YJV10GB005002 2102310YJV10GB005003 2102310YJV10GB005004 2102310YJV10GB005008 2102310YJV10GB005005 2102310YJV10GB005001 2102310YJW10H4000182 2102310YJA10H8003021 2102310YJA10H8003017 2102310YJA10H8003019 2102310YJA10H8003020 2102310YJA10H8003016 </w:t>
            </w:r>
          </w:p>
          <w:p w14:paraId="1A630535">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华为RH2288H V5: 2102311TXHN0K8000044 2102311TXHN0K8000045 2102311TXHN0K8000048 2102311TXHN0K8000039 2102311TXHN0K8000032 2102311TXHN0K8000031 2102311TXHN0K8000043 2102311TYBN0KC001401 2102311TYBN0KC001400 2102311TXHN0K8000041 2102311TXHN0K8000046 2102311TXHN0K8000036 2102311TXHN0K8000037 2102311TXHN0K8000047 2102311TXHN0K8000049 2102311TXHN0K8000033 2102311TXHN0K8000040 2102311TYBN0KC001402 2102311TYBN0KC001403 2102311TXH10LC000132 2102311TXHN0K8000030 2102311TXHN0K8000034 </w:t>
            </w:r>
          </w:p>
          <w:p w14:paraId="712B06F6">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V2: 2102310QPB10E7001621</w:t>
            </w:r>
          </w:p>
          <w:p w14:paraId="53E58CE2">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华为RH5885 V3: 2102311JWG10GB000615 2102311JWG10GB000610 2102311JWG10GB000614 2102311JWG10GB000611 2102311JWG10G8000407 2102311JWG10G8000412 2102311JWG10G8000411 2102311JWG10G8000410 2102311JWG10G8000409 2102311JWG10G8000408</w:t>
            </w:r>
          </w:p>
          <w:p w14:paraId="7886726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富士康 R2-1218R-TH: 7CE838P68K 7CE838P68L 7CE838P68P 7CE838P68R 7CE838P68N 7CE838P68T 7CE838P68S 7CE838P68U</w:t>
            </w:r>
          </w:p>
          <w:p w14:paraId="62CC2BD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浪潮SA5212M4: 818472109 818472108 818472112 818472111 818472110 818472107 818472106</w:t>
            </w:r>
          </w:p>
          <w:p w14:paraId="7939355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同方R628: 3190880100037300050 3190880100037300012 3190880100037300064 3190880100037300045 3190880100037300026 3190780000415700010 3190780000415700024 3190880100037300083 3190880100037300097 3190880100037300031 3190880100037300078 3190880000553500052 3190880000553500071 3190880000553500028 3190880000553500033 3190880000553500014 3190880000553500066 3190880000553500047</w:t>
            </w:r>
          </w:p>
          <w:p w14:paraId="5A2E2A3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J301693F J301693G J301693V J301693P J3016ME0 J3016MDG J3016MDF J3016MDC J3016MDV J3016MDX J3016MD9 J3016MDH J3016MDW J3016ME2 J3016MDP J3016MD7 J3016MDY J301694M J30200V2 J3016MDM J3016MDA J3016MDL J30200V3 J3016MD8 J3016MEF J3016MDB J301693L J301693E J301693H J301693B J301693K J301693T J3016MDE J301693W J3016MDN J301694K J301693R J301693N J3016AX9 J30200TW J30200V0 J3016AX7 J30200V1 J3016MDZ J3016MDR J3016MDD J301694H J30200V6 J3016AX8 J3016MDT J301694L J30200TN J3016ME1 J3016MDK J30200TG J30200V5 J30200TT J30200TX J30200V4 J30200TY J30200TR J30200TM J30200TH J30200TF J30200TE J301694N J30200TP J3016AXA J30200TV J301693D J301693C J301693M J30200TZ</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FF37FAA">
            <w:pPr>
              <w:widowControl/>
              <w:ind w:left="0" w:firstLine="0" w:firstLineChars="0"/>
              <w:rPr>
                <w:rFonts w:eastAsia="方正仿宋_GBK" w:cs="宋体"/>
                <w:color w:val="000000"/>
                <w:kern w:val="0"/>
                <w:szCs w:val="21"/>
                <w:highlight w:val="none"/>
              </w:rPr>
            </w:pPr>
            <w:r>
              <w:rPr>
                <w:rFonts w:eastAsia="方正仿宋_GBK" w:cs="宋体"/>
                <w:color w:val="000000"/>
                <w:kern w:val="0"/>
                <w:szCs w:val="21"/>
                <w:highlight w:val="none"/>
              </w:rPr>
              <w:t>合同签订之日</w:t>
            </w:r>
          </w:p>
        </w:tc>
      </w:tr>
      <w:tr w14:paraId="5487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083F14DD">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V5: 2102311TYK6TL5000005 2102311TYK6TL5000008 2102311TYK6TL5000007 2102311TYK6TL5000009 2102311TYK6TL5000006 2102311TYK6TL5000015 2102311TYK6TL5000018 2102311TYK6TL5000004 2102311TYK6TL5000017 2102311TYK6TL5000010 2102311TYK6TL5000016 2102311TYK6TL5000013 2102311TYK6TL5000011 2102311TYK6TL5000014 2102311TYK6TL5000019 2102311TYK6TL5000012</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7815E22">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2025/8/4</w:t>
            </w:r>
          </w:p>
          <w:p w14:paraId="39611C0A">
            <w:pPr>
              <w:widowControl/>
              <w:jc w:val="center"/>
              <w:rPr>
                <w:rFonts w:eastAsia="方正仿宋_GBK" w:cs="宋体"/>
                <w:color w:val="000000"/>
                <w:kern w:val="0"/>
                <w:szCs w:val="21"/>
                <w:highlight w:val="none"/>
              </w:rPr>
            </w:pPr>
          </w:p>
        </w:tc>
      </w:tr>
      <w:tr w14:paraId="16EC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A4B980B">
            <w:pPr>
              <w:ind w:left="0" w:firstLine="0" w:firstLineChars="0"/>
              <w:rPr>
                <w:rFonts w:eastAsia="方正仿宋_GBK" w:cs="宋体"/>
                <w:sz w:val="18"/>
                <w:szCs w:val="18"/>
                <w:highlight w:val="none"/>
              </w:rPr>
            </w:pPr>
            <w:r>
              <w:rPr>
                <w:rFonts w:eastAsia="方正仿宋_GBK" w:cs="宋体"/>
                <w:sz w:val="18"/>
                <w:szCs w:val="18"/>
                <w:highlight w:val="none"/>
              </w:rPr>
              <w:t>华为RH2288 V5：2102311TYB6TL6003828 2102311TYB6TL6003830 2102311TYB6TL6003834 2102311TYB6TL6003826 2102311TYB6TL6003840 2102311TYB6TL6003831 2102311TYB6TL6003835 2102311TYB6TL6003832 2102311TYB6TL6003837 2102311TYB6TL6003838 2102311TYB6TL6003827 2102311TYB6TL6003833 2102311TYB6TL6003836 2102311TXH6TL6005504 2102311TYB6TL6003825 2102311TXH6TL6005492 2102311TXH6TL6005490 2102311TXH6TL6005502 2102311TXH6TL6005507 2102311TXH6TL6005506 2102311TXH6TL6005497 2102311TXH6TL6005498 2102311TXH6TL6005511 2102311TXH6TL6005501 2102311TXH6TL6005495 2102311TXH6TL6005496 2102311TXH6TL6005491 2102311TXH6TL6005499 2102311TXH6TL6005510 2102311TXH6TL6005489 2102311TXH6TL6005488 2102311TXH6TL6005493 2102311TXH6TL6005494 2102311TXH6TL6005500 2102311TXH6TL6005508 2102311TXH6TL6005509 2102311TXH6TL6005503 2102311TYB6TL6003824 2102311TYB6TL6003839 2102311TXH6TL6005505 2102311TYB6TL6003829</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03C6BF7">
            <w:pPr>
              <w:widowControl/>
              <w:ind w:left="0" w:firstLine="0" w:firstLineChars="0"/>
              <w:jc w:val="both"/>
              <w:rPr>
                <w:rFonts w:hint="eastAsia" w:eastAsia="方正仿宋_GBK" w:cs="宋体"/>
                <w:color w:val="000000"/>
                <w:kern w:val="0"/>
                <w:szCs w:val="21"/>
                <w:highlight w:val="none"/>
                <w:lang w:eastAsia="zh-CN"/>
              </w:rPr>
            </w:pPr>
            <w:r>
              <w:rPr>
                <w:rFonts w:eastAsia="方正仿宋_GBK" w:cs="宋体"/>
                <w:color w:val="000000"/>
                <w:kern w:val="0"/>
                <w:szCs w:val="21"/>
                <w:highlight w:val="none"/>
                <w:lang w:eastAsia="zh-CN"/>
              </w:rPr>
              <w:t>2025/8/19</w:t>
            </w:r>
          </w:p>
        </w:tc>
      </w:tr>
      <w:tr w14:paraId="2609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0A2529C1">
            <w:pPr>
              <w:ind w:left="0" w:firstLine="0" w:firstLineChars="0"/>
              <w:rPr>
                <w:rFonts w:eastAsia="方正仿宋_GBK" w:cs="宋体"/>
                <w:sz w:val="18"/>
                <w:szCs w:val="18"/>
                <w:highlight w:val="none"/>
              </w:rPr>
            </w:pPr>
            <w:r>
              <w:rPr>
                <w:rFonts w:eastAsia="方正仿宋_GBK" w:cs="宋体"/>
                <w:sz w:val="18"/>
                <w:szCs w:val="18"/>
                <w:highlight w:val="none"/>
              </w:rPr>
              <w:t>华为RH2288H V5: 2102311TXH10LC000138 2102311TXH10LC000136 2102311TXH10LC000130 2102311TXH10LC000133 2102311TXH10LC000141 2102311TXH10LC000135 2102311TXH10LC000139 2102311TXH10LC000137 2102311TXH10LC000140 2102311TXH10LC000131 2102311TXH10LC000134</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AFA6AA">
            <w:pPr>
              <w:widowControl/>
              <w:ind w:left="0" w:firstLine="0" w:firstLineChars="0"/>
              <w:jc w:val="both"/>
              <w:rPr>
                <w:rFonts w:eastAsia="方正仿宋_GBK" w:cs="宋体"/>
                <w:color w:val="000000"/>
                <w:kern w:val="0"/>
                <w:szCs w:val="21"/>
                <w:highlight w:val="none"/>
                <w:lang w:eastAsia="zh-CN"/>
              </w:rPr>
            </w:pPr>
            <w:r>
              <w:rPr>
                <w:rFonts w:eastAsia="方正仿宋_GBK" w:cs="宋体"/>
                <w:color w:val="000000"/>
                <w:kern w:val="0"/>
                <w:szCs w:val="21"/>
                <w:highlight w:val="none"/>
                <w:lang w:eastAsia="zh-CN"/>
              </w:rPr>
              <w:t>2026/3/15</w:t>
            </w:r>
          </w:p>
        </w:tc>
      </w:tr>
      <w:tr w14:paraId="73B6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CF88F08">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J30200TL J30200TK</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F09C206">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2026/6/15</w:t>
            </w:r>
          </w:p>
        </w:tc>
      </w:tr>
    </w:tbl>
    <w:p w14:paraId="1898C970">
      <w:pPr>
        <w:ind w:left="0"/>
        <w:rPr>
          <w:rFonts w:hint="eastAsia" w:ascii="宋体"/>
          <w:sz w:val="24"/>
          <w:highlight w:val="none"/>
        </w:rPr>
      </w:pPr>
      <w:r>
        <w:rPr>
          <w:rFonts w:ascii="宋体" w:cs="宋体"/>
          <w:snapToGrid w:val="0"/>
          <w:sz w:val="24"/>
          <w:highlight w:val="none"/>
          <w:lang w:bidi="ar-SA"/>
        </w:rPr>
        <w:t>以上清单中所有设备的维保截止时间为2026年12月31日。</w:t>
      </w:r>
    </w:p>
    <w:p w14:paraId="233F4422">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技术支持</w:t>
      </w:r>
    </w:p>
    <w:p w14:paraId="47D9D091">
      <w:pPr>
        <w:ind w:left="0" w:firstLine="480" w:firstLineChars="200"/>
        <w:rPr>
          <w:rFonts w:ascii="宋体" w:cs="宋体"/>
          <w:snapToGrid w:val="0"/>
          <w:sz w:val="24"/>
          <w:highlight w:val="none"/>
        </w:rPr>
      </w:pPr>
      <w:r>
        <w:rPr>
          <w:rFonts w:hint="eastAsia" w:ascii="宋体" w:cs="宋体"/>
          <w:snapToGrid w:val="0"/>
          <w:sz w:val="24"/>
          <w:highlight w:val="none"/>
        </w:rPr>
        <w:t>按照</w:t>
      </w:r>
      <w:r>
        <w:rPr>
          <w:rFonts w:ascii="宋体" w:cs="宋体"/>
          <w:snapToGrid w:val="0"/>
          <w:sz w:val="24"/>
          <w:highlight w:val="none"/>
        </w:rPr>
        <w:t>甲方</w:t>
      </w:r>
      <w:r>
        <w:rPr>
          <w:rFonts w:hint="eastAsia" w:ascii="宋体" w:cs="宋体"/>
          <w:snapToGrid w:val="0"/>
          <w:sz w:val="24"/>
          <w:highlight w:val="none"/>
        </w:rPr>
        <w:t>要求，为以上维保设备清单中的设备提供7*24级别的技术支持服务，</w:t>
      </w:r>
      <w:r>
        <w:rPr>
          <w:rFonts w:ascii="宋体" w:cs="宋体"/>
          <w:snapToGrid w:val="0"/>
          <w:sz w:val="24"/>
          <w:highlight w:val="none"/>
        </w:rPr>
        <w:t>乙方需根据甲方</w:t>
      </w:r>
      <w:r>
        <w:rPr>
          <w:rFonts w:hint="eastAsia" w:ascii="宋体" w:cs="宋体"/>
          <w:snapToGrid w:val="0"/>
          <w:sz w:val="24"/>
          <w:highlight w:val="none"/>
        </w:rPr>
        <w:t>实际需求，配合完成如设备搬迁、设备配置调试等工作</w:t>
      </w:r>
      <w:r>
        <w:rPr>
          <w:rFonts w:ascii="宋体" w:cs="宋体"/>
          <w:snapToGrid w:val="0"/>
          <w:sz w:val="24"/>
          <w:highlight w:val="none"/>
        </w:rPr>
        <w:t>。</w:t>
      </w:r>
    </w:p>
    <w:p w14:paraId="62715175">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应急管理</w:t>
      </w:r>
    </w:p>
    <w:p w14:paraId="7534A43A">
      <w:pPr>
        <w:ind w:left="0" w:firstLine="480" w:firstLineChars="200"/>
        <w:rPr>
          <w:rFonts w:hint="eastAsia" w:ascii="宋体" w:cs="宋体"/>
          <w:snapToGrid w:val="0"/>
          <w:sz w:val="24"/>
          <w:highlight w:val="none"/>
        </w:rPr>
      </w:pPr>
      <w:r>
        <w:rPr>
          <w:rFonts w:ascii="宋体" w:cs="宋体"/>
          <w:snapToGrid w:val="0"/>
          <w:sz w:val="24"/>
          <w:highlight w:val="none"/>
        </w:rPr>
        <w:t>乙方</w:t>
      </w:r>
      <w:r>
        <w:rPr>
          <w:rFonts w:hint="eastAsia" w:ascii="宋体" w:cs="宋体"/>
          <w:snapToGrid w:val="0"/>
          <w:sz w:val="24"/>
          <w:highlight w:val="none"/>
        </w:rPr>
        <w:t>接到技术服务请求后，应10分钟内做出电话响应，安排具有相关</w:t>
      </w:r>
      <w:r>
        <w:rPr>
          <w:rFonts w:ascii="宋体" w:cs="宋体"/>
          <w:snapToGrid w:val="0"/>
          <w:sz w:val="24"/>
          <w:highlight w:val="none"/>
        </w:rPr>
        <w:t>技术能力</w:t>
      </w:r>
      <w:r>
        <w:rPr>
          <w:rFonts w:hint="eastAsia" w:ascii="宋体" w:cs="宋体"/>
          <w:snapToGrid w:val="0"/>
          <w:sz w:val="24"/>
          <w:highlight w:val="none"/>
        </w:rPr>
        <w:t>的工程师立即赶赴现场进行故障处理，工程师到达现场时间不超过4小时，并根据实际硬件故障情况，对故障设备、部件进行维修或更换，确保清单内的设备恢复正常运行，常规备件（包含硬盘、内存条、风扇、电源）要求在报修后4小时内送达现场进行更换，非常规备件（包含主板、硬盘背板、CPU、HBA接口卡等）要求在报修后24小时内送达</w:t>
      </w:r>
      <w:r>
        <w:rPr>
          <w:rFonts w:ascii="宋体" w:cs="宋体"/>
          <w:snapToGrid w:val="0"/>
          <w:sz w:val="24"/>
          <w:highlight w:val="none"/>
        </w:rPr>
        <w:t>甲方</w:t>
      </w:r>
      <w:r>
        <w:rPr>
          <w:rFonts w:hint="eastAsia" w:ascii="宋体" w:cs="宋体"/>
          <w:snapToGrid w:val="0"/>
          <w:sz w:val="24"/>
          <w:highlight w:val="none"/>
        </w:rPr>
        <w:t>现场进行更换。</w:t>
      </w:r>
    </w:p>
    <w:p w14:paraId="5322FF21">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定期巡检</w:t>
      </w:r>
    </w:p>
    <w:p w14:paraId="1EFC3318">
      <w:pPr>
        <w:ind w:left="0" w:firstLine="480" w:firstLineChars="200"/>
        <w:rPr>
          <w:rFonts w:hint="eastAsia" w:ascii="宋体" w:cs="宋体"/>
          <w:snapToGrid w:val="0"/>
          <w:sz w:val="24"/>
          <w:highlight w:val="none"/>
          <w:lang w:bidi="ar-SA"/>
        </w:rPr>
      </w:pPr>
      <w:r>
        <w:rPr>
          <w:rFonts w:hint="eastAsia" w:ascii="宋体" w:cs="宋体"/>
          <w:snapToGrid w:val="0"/>
          <w:sz w:val="24"/>
          <w:highlight w:val="none"/>
          <w:lang w:bidi="ar-SA"/>
        </w:rPr>
        <w:t>对维保期内的设备提供每季度1次的现场巡检服务，并提交巡检报告。</w:t>
      </w:r>
    </w:p>
    <w:p w14:paraId="4B815855">
      <w:pPr>
        <w:numPr>
          <w:ilvl w:val="0"/>
          <w:numId w:val="3"/>
        </w:numPr>
        <w:ind w:firstLineChars="0"/>
        <w:rPr>
          <w:rFonts w:hint="eastAsia" w:ascii="宋体" w:cs="宋体"/>
          <w:snapToGrid w:val="0"/>
          <w:sz w:val="24"/>
          <w:highlight w:val="none"/>
          <w:lang w:bidi="ar-SA"/>
        </w:rPr>
      </w:pPr>
      <w:r>
        <w:rPr>
          <w:rFonts w:hint="eastAsia" w:ascii="宋体" w:cs="宋体"/>
          <w:snapToGrid w:val="0"/>
          <w:sz w:val="24"/>
          <w:highlight w:val="none"/>
          <w:lang w:bidi="ar-SA"/>
        </w:rPr>
        <w:t>硬盘不返还</w:t>
      </w:r>
    </w:p>
    <w:p w14:paraId="34CEC2A3">
      <w:pPr>
        <w:ind w:left="0" w:firstLine="480" w:firstLineChars="200"/>
        <w:rPr>
          <w:rFonts w:hint="eastAsia" w:ascii="宋体" w:cs="宋体"/>
          <w:snapToGrid w:val="0"/>
          <w:sz w:val="24"/>
          <w:highlight w:val="none"/>
        </w:rPr>
      </w:pPr>
      <w:r>
        <w:rPr>
          <w:rFonts w:hint="eastAsia" w:ascii="宋体" w:cs="宋体"/>
          <w:snapToGrid w:val="0"/>
          <w:sz w:val="24"/>
          <w:highlight w:val="none"/>
        </w:rPr>
        <w:t>需提供维保清单内所有设备的硬盘不返还服务。</w:t>
      </w:r>
    </w:p>
    <w:p w14:paraId="25AC3672">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备件放置</w:t>
      </w:r>
    </w:p>
    <w:p w14:paraId="34130B07">
      <w:pPr>
        <w:ind w:left="0" w:firstLine="480" w:firstLineChars="200"/>
        <w:rPr>
          <w:rFonts w:hint="eastAsia" w:ascii="宋体" w:cs="宋体"/>
          <w:snapToGrid w:val="0"/>
          <w:sz w:val="24"/>
          <w:highlight w:val="none"/>
          <w:lang w:bidi="ar-SA"/>
        </w:rPr>
      </w:pPr>
      <w:r>
        <w:rPr>
          <w:rFonts w:hint="eastAsia" w:ascii="宋体" w:cs="宋体"/>
          <w:snapToGrid w:val="0"/>
          <w:sz w:val="24"/>
          <w:highlight w:val="none"/>
          <w:lang w:bidi="ar-SA"/>
        </w:rPr>
        <w:t>乙方在完成合同签订后5个工作日内将如下常用备件放置到甲方西永数据中心，数量均为1个，在项目期间不得将备件调走，且因设备故障进行相关备件更换后需在24小时内进行补齐。</w:t>
      </w:r>
    </w:p>
    <w:tbl>
      <w:tblPr>
        <w:tblStyle w:val="17"/>
        <w:tblW w:w="6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661"/>
        <w:gridCol w:w="2590"/>
      </w:tblGrid>
      <w:tr w14:paraId="04CA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14:paraId="2274CB06">
            <w:pPr>
              <w:ind w:left="0" w:firstLine="0" w:firstLineChars="0"/>
              <w:jc w:val="both"/>
              <w:rPr>
                <w:sz w:val="18"/>
                <w:szCs w:val="18"/>
                <w:highlight w:val="none"/>
              </w:rPr>
            </w:pPr>
            <w:r>
              <w:rPr>
                <w:rFonts w:hint="eastAsia" w:ascii="宋体" w:eastAsia="宋体" w:cs="Lucida Sans"/>
                <w:color w:val="auto"/>
                <w:sz w:val="18"/>
                <w:szCs w:val="18"/>
                <w:highlight w:val="none"/>
                <w:lang w:bidi="ar-SA"/>
              </w:rPr>
              <w:t>服务器品牌</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83A7EAA">
            <w:pPr>
              <w:ind w:left="0" w:firstLine="0" w:firstLineChars="0"/>
              <w:rPr>
                <w:sz w:val="18"/>
                <w:szCs w:val="18"/>
                <w:highlight w:val="none"/>
              </w:rPr>
            </w:pPr>
            <w:r>
              <w:rPr>
                <w:rFonts w:hint="eastAsia" w:ascii="宋体" w:eastAsia="宋体" w:cs="Lucida Sans"/>
                <w:color w:val="auto"/>
                <w:sz w:val="18"/>
                <w:szCs w:val="18"/>
                <w:highlight w:val="none"/>
                <w:lang w:bidi="ar-SA"/>
              </w:rPr>
              <w:t>备件描述</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305BE8">
            <w:pPr>
              <w:ind w:left="0" w:firstLine="0" w:firstLineChars="0"/>
              <w:rPr>
                <w:sz w:val="18"/>
                <w:szCs w:val="18"/>
                <w:highlight w:val="none"/>
              </w:rPr>
            </w:pPr>
            <w:r>
              <w:rPr>
                <w:rFonts w:hint="eastAsia" w:ascii="宋体" w:eastAsia="宋体" w:cs="Lucida Sans"/>
                <w:color w:val="auto"/>
                <w:sz w:val="18"/>
                <w:szCs w:val="18"/>
                <w:highlight w:val="none"/>
                <w:lang w:bidi="ar-SA"/>
              </w:rPr>
              <w:t>备件号</w:t>
            </w:r>
          </w:p>
        </w:tc>
      </w:tr>
      <w:tr w14:paraId="1FE0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6C52CDE2">
            <w:pPr>
              <w:jc w:val="center"/>
              <w:rPr>
                <w:sz w:val="18"/>
                <w:szCs w:val="18"/>
                <w:highlight w:val="none"/>
              </w:rPr>
            </w:pPr>
            <w:r>
              <w:rPr>
                <w:rFonts w:hint="eastAsia" w:ascii="宋体" w:eastAsia="宋体" w:cs="Lucida Sans"/>
                <w:color w:val="auto"/>
                <w:sz w:val="18"/>
                <w:szCs w:val="18"/>
                <w:highlight w:val="none"/>
                <w:lang w:bidi="ar-SA"/>
              </w:rPr>
              <w:t>惠普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CE780">
            <w:pPr>
              <w:ind w:left="0" w:firstLine="0" w:firstLineChars="0"/>
              <w:rPr>
                <w:sz w:val="18"/>
                <w:szCs w:val="18"/>
                <w:highlight w:val="none"/>
              </w:rPr>
            </w:pPr>
            <w:r>
              <w:rPr>
                <w:rFonts w:hint="eastAsia" w:ascii="宋体" w:eastAsia="宋体" w:cs="Lucida Sans"/>
                <w:color w:val="auto"/>
                <w:sz w:val="18"/>
                <w:szCs w:val="18"/>
                <w:highlight w:val="none"/>
                <w:lang w:bidi="ar-SA"/>
              </w:rPr>
              <w:t>500W电源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2A3905E">
            <w:pPr>
              <w:ind w:left="0" w:firstLine="0" w:firstLineChars="0"/>
              <w:rPr>
                <w:sz w:val="18"/>
                <w:szCs w:val="18"/>
                <w:highlight w:val="none"/>
              </w:rPr>
            </w:pPr>
            <w:r>
              <w:rPr>
                <w:rFonts w:hint="eastAsia" w:ascii="宋体" w:eastAsia="宋体" w:cs="Lucida Sans"/>
                <w:color w:val="auto"/>
                <w:sz w:val="18"/>
                <w:szCs w:val="18"/>
                <w:highlight w:val="none"/>
                <w:lang w:bidi="ar-SA"/>
              </w:rPr>
              <w:t>754377-001</w:t>
            </w:r>
          </w:p>
        </w:tc>
      </w:tr>
      <w:tr w14:paraId="3D29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75E8C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5C6BC34">
            <w:pPr>
              <w:ind w:left="0" w:firstLine="0" w:firstLineChars="0"/>
              <w:rPr>
                <w:sz w:val="18"/>
                <w:szCs w:val="18"/>
                <w:highlight w:val="none"/>
              </w:rPr>
            </w:pPr>
            <w:r>
              <w:rPr>
                <w:rFonts w:hint="eastAsia" w:ascii="宋体" w:eastAsia="宋体" w:cs="Lucida Sans"/>
                <w:color w:val="auto"/>
                <w:sz w:val="18"/>
                <w:szCs w:val="18"/>
                <w:highlight w:val="none"/>
                <w:lang w:bidi="ar-SA"/>
              </w:rPr>
              <w:t>800W电源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9C8BA9F">
            <w:pPr>
              <w:ind w:left="0" w:firstLine="0" w:firstLineChars="0"/>
              <w:rPr>
                <w:sz w:val="18"/>
                <w:szCs w:val="18"/>
                <w:highlight w:val="none"/>
              </w:rPr>
            </w:pPr>
            <w:r>
              <w:rPr>
                <w:rFonts w:hint="eastAsia" w:ascii="宋体" w:eastAsia="宋体" w:cs="Lucida Sans"/>
                <w:color w:val="auto"/>
                <w:sz w:val="18"/>
                <w:szCs w:val="18"/>
                <w:highlight w:val="none"/>
                <w:lang w:bidi="ar-SA"/>
              </w:rPr>
              <w:t>754381-001</w:t>
            </w:r>
          </w:p>
        </w:tc>
      </w:tr>
      <w:tr w14:paraId="40DD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F21C3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0E74E2">
            <w:pPr>
              <w:ind w:left="0" w:firstLine="0" w:firstLineChars="0"/>
              <w:rPr>
                <w:sz w:val="18"/>
                <w:szCs w:val="18"/>
                <w:highlight w:val="none"/>
              </w:rPr>
            </w:pPr>
            <w:r>
              <w:rPr>
                <w:rFonts w:hint="eastAsia" w:ascii="宋体" w:eastAsia="宋体" w:cs="Lucida Sans"/>
                <w:color w:val="auto"/>
                <w:sz w:val="18"/>
                <w:szCs w:val="18"/>
                <w:highlight w:val="none"/>
                <w:lang w:bidi="ar-SA"/>
              </w:rPr>
              <w:t>1200W电源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D117A80">
            <w:pPr>
              <w:ind w:left="0" w:firstLine="0" w:firstLineChars="0"/>
              <w:rPr>
                <w:sz w:val="18"/>
                <w:szCs w:val="18"/>
                <w:highlight w:val="none"/>
              </w:rPr>
            </w:pPr>
            <w:r>
              <w:rPr>
                <w:rFonts w:hint="eastAsia" w:ascii="宋体" w:eastAsia="宋体" w:cs="Lucida Sans"/>
                <w:color w:val="auto"/>
                <w:sz w:val="18"/>
                <w:szCs w:val="18"/>
                <w:highlight w:val="none"/>
                <w:lang w:bidi="ar-SA"/>
              </w:rPr>
              <w:t>498152-001</w:t>
            </w:r>
          </w:p>
        </w:tc>
      </w:tr>
      <w:tr w14:paraId="36C6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60508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5DAE547">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87225F6">
            <w:pPr>
              <w:ind w:left="0" w:firstLine="0" w:firstLineChars="0"/>
              <w:rPr>
                <w:sz w:val="18"/>
                <w:szCs w:val="18"/>
                <w:highlight w:val="none"/>
              </w:rPr>
            </w:pPr>
            <w:r>
              <w:rPr>
                <w:rFonts w:hint="eastAsia" w:ascii="宋体" w:eastAsia="宋体" w:cs="Lucida Sans"/>
                <w:color w:val="auto"/>
                <w:sz w:val="18"/>
                <w:szCs w:val="18"/>
                <w:highlight w:val="none"/>
                <w:lang w:bidi="ar-SA"/>
              </w:rPr>
              <w:t>752369-081</w:t>
            </w:r>
          </w:p>
        </w:tc>
      </w:tr>
      <w:tr w14:paraId="26B5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B57F1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8966A35">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F67E8D">
            <w:pPr>
              <w:ind w:left="0" w:firstLine="0" w:firstLineChars="0"/>
              <w:rPr>
                <w:sz w:val="18"/>
                <w:szCs w:val="18"/>
                <w:highlight w:val="none"/>
              </w:rPr>
            </w:pPr>
            <w:r>
              <w:rPr>
                <w:rFonts w:hint="eastAsia" w:ascii="宋体" w:eastAsia="宋体" w:cs="Lucida Sans"/>
                <w:color w:val="auto"/>
                <w:sz w:val="18"/>
                <w:szCs w:val="18"/>
                <w:highlight w:val="none"/>
                <w:lang w:bidi="ar-SA"/>
              </w:rPr>
              <w:t>809081-081</w:t>
            </w:r>
          </w:p>
        </w:tc>
      </w:tr>
      <w:tr w14:paraId="64D1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2CFA0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E863D75">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DDR3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135F1B5">
            <w:pPr>
              <w:ind w:left="0" w:firstLine="0" w:firstLineChars="0"/>
              <w:rPr>
                <w:sz w:val="18"/>
                <w:szCs w:val="18"/>
                <w:highlight w:val="none"/>
              </w:rPr>
            </w:pPr>
            <w:r>
              <w:rPr>
                <w:rFonts w:hint="eastAsia" w:ascii="宋体" w:eastAsia="宋体" w:cs="Lucida Sans"/>
                <w:color w:val="auto"/>
                <w:sz w:val="18"/>
                <w:szCs w:val="18"/>
                <w:highlight w:val="none"/>
                <w:lang w:bidi="ar-SA"/>
              </w:rPr>
              <w:t>632204-001</w:t>
            </w:r>
          </w:p>
        </w:tc>
      </w:tr>
      <w:tr w14:paraId="470A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87D24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B953779">
            <w:pPr>
              <w:ind w:left="0" w:firstLine="0" w:firstLineChars="0"/>
              <w:rPr>
                <w:sz w:val="18"/>
                <w:szCs w:val="18"/>
                <w:highlight w:val="none"/>
              </w:rPr>
            </w:pPr>
            <w:r>
              <w:rPr>
                <w:rFonts w:hint="eastAsia" w:ascii="宋体" w:eastAsia="宋体" w:cs="Lucida Sans"/>
                <w:color w:val="auto"/>
                <w:sz w:val="18"/>
                <w:szCs w:val="18"/>
                <w:highlight w:val="none"/>
                <w:lang w:bidi="ar-SA"/>
              </w:rPr>
              <w:t>146G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052D264">
            <w:pPr>
              <w:ind w:left="0" w:firstLine="0" w:firstLineChars="0"/>
              <w:rPr>
                <w:sz w:val="18"/>
                <w:szCs w:val="18"/>
                <w:highlight w:val="none"/>
              </w:rPr>
            </w:pPr>
            <w:r>
              <w:rPr>
                <w:rFonts w:hint="eastAsia" w:ascii="宋体" w:eastAsia="宋体" w:cs="Lucida Sans"/>
                <w:color w:val="auto"/>
                <w:sz w:val="18"/>
                <w:szCs w:val="18"/>
                <w:highlight w:val="none"/>
                <w:lang w:bidi="ar-SA"/>
              </w:rPr>
              <w:t>507283-001</w:t>
            </w:r>
          </w:p>
        </w:tc>
      </w:tr>
      <w:tr w14:paraId="3D18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AE61A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DB7974B">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8291CB2">
            <w:pPr>
              <w:ind w:left="0" w:firstLine="0" w:firstLineChars="0"/>
              <w:rPr>
                <w:sz w:val="18"/>
                <w:szCs w:val="18"/>
                <w:highlight w:val="none"/>
              </w:rPr>
            </w:pPr>
            <w:r>
              <w:rPr>
                <w:rFonts w:hint="eastAsia" w:ascii="宋体" w:eastAsia="宋体" w:cs="Lucida Sans"/>
                <w:color w:val="auto"/>
                <w:sz w:val="18"/>
                <w:szCs w:val="18"/>
                <w:highlight w:val="none"/>
                <w:lang w:bidi="ar-SA"/>
              </w:rPr>
              <w:t>653955</w:t>
            </w:r>
          </w:p>
        </w:tc>
      </w:tr>
      <w:tr w14:paraId="4A65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A06CE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AC1B441">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7D5BB8">
            <w:pPr>
              <w:ind w:left="0" w:firstLine="0" w:firstLineChars="0"/>
              <w:rPr>
                <w:sz w:val="18"/>
                <w:szCs w:val="18"/>
                <w:highlight w:val="none"/>
              </w:rPr>
            </w:pPr>
            <w:r>
              <w:rPr>
                <w:rFonts w:hint="eastAsia" w:ascii="宋体" w:eastAsia="宋体" w:cs="Lucida Sans"/>
                <w:color w:val="auto"/>
                <w:sz w:val="18"/>
                <w:szCs w:val="18"/>
                <w:highlight w:val="none"/>
                <w:lang w:bidi="ar-SA"/>
              </w:rPr>
              <w:t>785410</w:t>
            </w:r>
          </w:p>
        </w:tc>
      </w:tr>
      <w:tr w14:paraId="2210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047B9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879FD4B">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6D1250D">
            <w:pPr>
              <w:ind w:left="0" w:firstLine="0" w:firstLineChars="0"/>
              <w:rPr>
                <w:sz w:val="18"/>
                <w:szCs w:val="18"/>
                <w:highlight w:val="none"/>
              </w:rPr>
            </w:pPr>
            <w:r>
              <w:rPr>
                <w:rFonts w:hint="eastAsia" w:ascii="宋体" w:eastAsia="宋体" w:cs="Lucida Sans"/>
                <w:color w:val="auto"/>
                <w:sz w:val="18"/>
                <w:szCs w:val="18"/>
                <w:highlight w:val="none"/>
                <w:lang w:bidi="ar-SA"/>
              </w:rPr>
              <w:t>782735</w:t>
            </w:r>
          </w:p>
        </w:tc>
      </w:tr>
      <w:tr w14:paraId="582B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1BC4F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42C2935">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B5074A1">
            <w:pPr>
              <w:ind w:left="0" w:firstLine="0" w:firstLineChars="0"/>
              <w:rPr>
                <w:sz w:val="18"/>
                <w:szCs w:val="18"/>
                <w:highlight w:val="none"/>
              </w:rPr>
            </w:pPr>
            <w:r>
              <w:rPr>
                <w:rFonts w:hint="eastAsia" w:ascii="宋体" w:eastAsia="宋体" w:cs="Lucida Sans"/>
                <w:color w:val="auto"/>
                <w:sz w:val="18"/>
                <w:szCs w:val="18"/>
                <w:highlight w:val="none"/>
                <w:lang w:bidi="ar-SA"/>
              </w:rPr>
              <w:t>627195</w:t>
            </w:r>
          </w:p>
        </w:tc>
      </w:tr>
      <w:tr w14:paraId="4B2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5734B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4AA566A">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B8221B4">
            <w:pPr>
              <w:ind w:left="0" w:firstLine="0" w:firstLineChars="0"/>
              <w:rPr>
                <w:sz w:val="18"/>
                <w:szCs w:val="18"/>
                <w:highlight w:val="none"/>
              </w:rPr>
            </w:pPr>
            <w:r>
              <w:rPr>
                <w:rFonts w:hint="eastAsia" w:ascii="宋体" w:eastAsia="宋体" w:cs="Lucida Sans"/>
                <w:color w:val="auto"/>
                <w:sz w:val="18"/>
                <w:szCs w:val="18"/>
                <w:highlight w:val="none"/>
                <w:lang w:bidi="ar-SA"/>
              </w:rPr>
              <w:t>759546</w:t>
            </w:r>
          </w:p>
        </w:tc>
      </w:tr>
      <w:tr w14:paraId="20D9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71B7B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34090">
            <w:pPr>
              <w:ind w:left="0" w:firstLine="0" w:firstLineChars="0"/>
              <w:rPr>
                <w:sz w:val="18"/>
                <w:szCs w:val="18"/>
                <w:highlight w:val="none"/>
              </w:rPr>
            </w:pPr>
            <w:r>
              <w:rPr>
                <w:rFonts w:hint="eastAsia" w:ascii="宋体" w:eastAsia="宋体" w:cs="Lucida Sans"/>
                <w:color w:val="auto"/>
                <w:sz w:val="18"/>
                <w:szCs w:val="18"/>
                <w:highlight w:val="none"/>
                <w:lang w:bidi="ar-SA"/>
              </w:rPr>
              <w:t>600G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752BB6C">
            <w:pPr>
              <w:ind w:left="0" w:firstLine="0" w:firstLineChars="0"/>
              <w:rPr>
                <w:sz w:val="18"/>
                <w:szCs w:val="18"/>
                <w:highlight w:val="none"/>
              </w:rPr>
            </w:pPr>
            <w:r>
              <w:rPr>
                <w:rFonts w:hint="eastAsia" w:ascii="宋体" w:eastAsia="宋体" w:cs="Lucida Sans"/>
                <w:color w:val="auto"/>
                <w:sz w:val="18"/>
                <w:szCs w:val="18"/>
                <w:highlight w:val="none"/>
                <w:lang w:bidi="ar-SA"/>
              </w:rPr>
              <w:t>781577</w:t>
            </w:r>
          </w:p>
        </w:tc>
      </w:tr>
      <w:tr w14:paraId="3B3E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C85BC3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B098462">
            <w:pPr>
              <w:ind w:left="0" w:firstLine="0" w:firstLineChars="0"/>
              <w:rPr>
                <w:sz w:val="18"/>
                <w:szCs w:val="18"/>
                <w:highlight w:val="none"/>
              </w:rPr>
            </w:pPr>
            <w:r>
              <w:rPr>
                <w:rFonts w:hint="eastAsia" w:ascii="宋体" w:eastAsia="宋体" w:cs="Lucida Sans"/>
                <w:color w:val="auto"/>
                <w:sz w:val="18"/>
                <w:szCs w:val="18"/>
                <w:highlight w:val="none"/>
                <w:lang w:bidi="ar-SA"/>
              </w:rPr>
              <w:t>2TB 7.2K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4FEE9E1">
            <w:pPr>
              <w:ind w:left="0" w:firstLine="0" w:firstLineChars="0"/>
              <w:rPr>
                <w:sz w:val="18"/>
                <w:szCs w:val="18"/>
                <w:highlight w:val="none"/>
              </w:rPr>
            </w:pPr>
            <w:r>
              <w:rPr>
                <w:rFonts w:hint="eastAsia" w:ascii="宋体" w:eastAsia="宋体" w:cs="Lucida Sans"/>
                <w:color w:val="auto"/>
                <w:sz w:val="18"/>
                <w:szCs w:val="18"/>
                <w:highlight w:val="none"/>
                <w:lang w:bidi="ar-SA"/>
              </w:rPr>
              <w:t>819078</w:t>
            </w:r>
          </w:p>
        </w:tc>
      </w:tr>
      <w:tr w14:paraId="4569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6A7587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2A2DEE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897D52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591208-001</w:t>
            </w:r>
          </w:p>
        </w:tc>
      </w:tr>
      <w:tr w14:paraId="1031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ED89A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2E2430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B8F6A3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496066-001</w:t>
            </w:r>
          </w:p>
        </w:tc>
      </w:tr>
      <w:tr w14:paraId="3E14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98F8C2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80537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E99EBB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662520-001</w:t>
            </w:r>
          </w:p>
        </w:tc>
      </w:tr>
      <w:tr w14:paraId="5C86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46F07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DE892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DF4A2D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735513-001</w:t>
            </w:r>
          </w:p>
        </w:tc>
      </w:tr>
      <w:tr w14:paraId="258A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CCE41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07DCC1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8F59DE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777286-001</w:t>
            </w:r>
          </w:p>
        </w:tc>
      </w:tr>
      <w:tr w14:paraId="314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3D043AE6">
            <w:pPr>
              <w:jc w:val="center"/>
              <w:rPr>
                <w:sz w:val="18"/>
                <w:szCs w:val="18"/>
                <w:highlight w:val="none"/>
              </w:rPr>
            </w:pPr>
            <w:r>
              <w:rPr>
                <w:rFonts w:hint="eastAsia" w:ascii="宋体" w:eastAsia="宋体" w:cs="Lucida Sans"/>
                <w:color w:val="auto"/>
                <w:sz w:val="18"/>
                <w:szCs w:val="18"/>
                <w:highlight w:val="none"/>
                <w:lang w:bidi="ar-SA"/>
              </w:rPr>
              <w:t>华为</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47F1582">
            <w:pPr>
              <w:ind w:left="0" w:firstLine="0" w:firstLineChars="0"/>
              <w:rPr>
                <w:sz w:val="18"/>
                <w:szCs w:val="18"/>
                <w:highlight w:val="none"/>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E9264A3">
            <w:pPr>
              <w:ind w:left="0" w:firstLine="0" w:firstLineChars="0"/>
              <w:rPr>
                <w:sz w:val="18"/>
                <w:szCs w:val="18"/>
                <w:highlight w:val="none"/>
              </w:rPr>
            </w:pPr>
            <w:r>
              <w:rPr>
                <w:rFonts w:hint="eastAsia" w:ascii="宋体" w:eastAsia="宋体" w:cs="Lucida Sans"/>
                <w:color w:val="auto"/>
                <w:sz w:val="18"/>
                <w:szCs w:val="18"/>
                <w:highlight w:val="none"/>
                <w:lang w:bidi="ar-SA"/>
              </w:rPr>
              <w:t>0231</w:t>
            </w:r>
            <w:r>
              <w:rPr>
                <w:rFonts w:ascii="宋体" w:eastAsia="宋体" w:cs="Lucida Sans"/>
                <w:color w:val="auto"/>
                <w:sz w:val="18"/>
                <w:szCs w:val="18"/>
                <w:highlight w:val="none"/>
                <w:lang w:bidi="ar-SA"/>
              </w:rPr>
              <w:t>2XGP</w:t>
            </w:r>
          </w:p>
        </w:tc>
      </w:tr>
      <w:tr w14:paraId="762B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7E0F04E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1A7705">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6AB3CC">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02312ACW</w:t>
            </w:r>
          </w:p>
        </w:tc>
      </w:tr>
      <w:tr w14:paraId="1200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4ADED01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09FEC92">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C037766">
            <w:pPr>
              <w:ind w:left="0" w:firstLine="0" w:firstLineChars="0"/>
              <w:rPr>
                <w:sz w:val="18"/>
                <w:szCs w:val="18"/>
                <w:highlight w:val="none"/>
              </w:rPr>
            </w:pPr>
            <w:r>
              <w:rPr>
                <w:rFonts w:hint="eastAsia" w:ascii="宋体" w:eastAsia="宋体" w:cs="Lucida Sans"/>
                <w:color w:val="auto"/>
                <w:sz w:val="18"/>
                <w:szCs w:val="18"/>
                <w:highlight w:val="none"/>
                <w:lang w:bidi="ar-SA"/>
              </w:rPr>
              <w:t>02311TJX</w:t>
            </w:r>
          </w:p>
        </w:tc>
      </w:tr>
      <w:tr w14:paraId="6FDD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4FB7911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627810E">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026D49D">
            <w:pPr>
              <w:ind w:left="0" w:firstLine="0" w:firstLineChars="0"/>
              <w:rPr>
                <w:sz w:val="18"/>
                <w:szCs w:val="18"/>
                <w:highlight w:val="none"/>
              </w:rPr>
            </w:pPr>
            <w:r>
              <w:rPr>
                <w:rFonts w:hint="eastAsia" w:ascii="宋体" w:eastAsia="宋体" w:cs="Lucida Sans"/>
                <w:color w:val="auto"/>
                <w:sz w:val="18"/>
                <w:szCs w:val="18"/>
                <w:highlight w:val="none"/>
                <w:lang w:bidi="ar-SA"/>
              </w:rPr>
              <w:t>02310YDA</w:t>
            </w:r>
          </w:p>
        </w:tc>
      </w:tr>
      <w:tr w14:paraId="36A5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AFCE1C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221A8C8">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4BA153E">
            <w:pPr>
              <w:ind w:left="0" w:firstLine="0" w:firstLineChars="0"/>
              <w:rPr>
                <w:sz w:val="18"/>
                <w:szCs w:val="18"/>
                <w:highlight w:val="none"/>
              </w:rPr>
            </w:pPr>
            <w:r>
              <w:rPr>
                <w:rFonts w:hint="eastAsia" w:ascii="宋体" w:eastAsia="宋体" w:cs="Lucida Sans"/>
                <w:color w:val="auto"/>
                <w:sz w:val="18"/>
                <w:szCs w:val="18"/>
                <w:highlight w:val="none"/>
                <w:lang w:bidi="ar-SA"/>
              </w:rPr>
              <w:t>02312GNR</w:t>
            </w:r>
          </w:p>
        </w:tc>
      </w:tr>
      <w:tr w14:paraId="57EB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20AFA4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04C2B0D">
            <w:pPr>
              <w:ind w:left="0" w:firstLine="0" w:firstLineChars="0"/>
              <w:rPr>
                <w:sz w:val="18"/>
                <w:szCs w:val="18"/>
                <w:highlight w:val="none"/>
              </w:rPr>
            </w:pPr>
            <w:r>
              <w:rPr>
                <w:rFonts w:hint="eastAsia" w:ascii="宋体" w:eastAsia="宋体" w:cs="Lucida Sans"/>
                <w:color w:val="auto"/>
                <w:sz w:val="18"/>
                <w:szCs w:val="18"/>
                <w:highlight w:val="none"/>
                <w:lang w:bidi="ar-SA"/>
              </w:rPr>
              <w:t>1.2TB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8A30AFA">
            <w:pPr>
              <w:ind w:left="0" w:firstLine="0" w:firstLineChars="0"/>
              <w:rPr>
                <w:sz w:val="18"/>
                <w:szCs w:val="18"/>
                <w:highlight w:val="none"/>
              </w:rPr>
            </w:pPr>
            <w:r>
              <w:rPr>
                <w:rFonts w:hint="eastAsia" w:ascii="宋体" w:eastAsia="宋体" w:cs="Lucida Sans"/>
                <w:color w:val="auto"/>
                <w:sz w:val="18"/>
                <w:szCs w:val="18"/>
                <w:highlight w:val="none"/>
                <w:lang w:bidi="ar-SA"/>
              </w:rPr>
              <w:t>02312RBV</w:t>
            </w:r>
          </w:p>
        </w:tc>
      </w:tr>
      <w:tr w14:paraId="56E9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70BBE31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E9862E0">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51F7A77">
            <w:pPr>
              <w:ind w:left="0" w:firstLine="0" w:firstLineChars="0"/>
              <w:rPr>
                <w:sz w:val="18"/>
                <w:szCs w:val="18"/>
                <w:highlight w:val="none"/>
              </w:rPr>
            </w:pPr>
            <w:r>
              <w:rPr>
                <w:rFonts w:hint="eastAsia" w:ascii="宋体" w:eastAsia="宋体" w:cs="Lucida Sans"/>
                <w:color w:val="auto"/>
                <w:sz w:val="18"/>
                <w:szCs w:val="18"/>
                <w:highlight w:val="none"/>
                <w:lang w:bidi="ar-SA"/>
              </w:rPr>
              <w:t>02311HAK</w:t>
            </w:r>
          </w:p>
        </w:tc>
      </w:tr>
      <w:tr w14:paraId="5CD3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A4462C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1563140">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1B8FC5C">
            <w:pPr>
              <w:ind w:left="0" w:firstLine="0" w:firstLineChars="0"/>
              <w:rPr>
                <w:sz w:val="18"/>
                <w:szCs w:val="18"/>
                <w:highlight w:val="none"/>
              </w:rPr>
            </w:pPr>
            <w:r>
              <w:rPr>
                <w:rFonts w:hint="eastAsia" w:ascii="宋体" w:eastAsia="宋体" w:cs="Lucida Sans"/>
                <w:color w:val="auto"/>
                <w:sz w:val="18"/>
                <w:szCs w:val="18"/>
                <w:highlight w:val="none"/>
                <w:lang w:bidi="ar-SA"/>
              </w:rPr>
              <w:t>02311EXX</w:t>
            </w:r>
          </w:p>
        </w:tc>
      </w:tr>
      <w:tr w14:paraId="6320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10D6E92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D46AB7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w:t>
            </w:r>
            <w:r>
              <w:rPr>
                <w:rFonts w:hint="eastAsia" w:ascii="宋体" w:eastAsia="宋体" w:cs="Lucida Sans"/>
                <w:color w:val="auto"/>
                <w:sz w:val="18"/>
                <w:szCs w:val="18"/>
                <w:highlight w:val="none"/>
                <w:lang w:bidi="ar-SA"/>
              </w:rPr>
              <w:t>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8680782">
            <w:pPr>
              <w:ind w:left="0" w:firstLine="0" w:firstLineChars="0"/>
              <w:rPr>
                <w:sz w:val="18"/>
                <w:szCs w:val="18"/>
                <w:highlight w:val="none"/>
              </w:rPr>
            </w:pPr>
            <w:r>
              <w:rPr>
                <w:rFonts w:hint="eastAsia" w:ascii="宋体" w:eastAsia="宋体" w:cs="Lucida Sans"/>
                <w:color w:val="auto"/>
                <w:sz w:val="18"/>
                <w:szCs w:val="18"/>
                <w:highlight w:val="none"/>
                <w:lang w:bidi="ar-SA"/>
              </w:rPr>
              <w:t>02311AY</w:t>
            </w:r>
            <w:r>
              <w:rPr>
                <w:rFonts w:ascii="宋体" w:eastAsia="宋体" w:cs="Lucida Sans"/>
                <w:color w:val="auto"/>
                <w:sz w:val="18"/>
                <w:szCs w:val="18"/>
                <w:highlight w:val="none"/>
                <w:lang w:bidi="ar-SA"/>
              </w:rPr>
              <w:t>T</w:t>
            </w:r>
          </w:p>
        </w:tc>
      </w:tr>
      <w:tr w14:paraId="78C5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291967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80C47E2">
            <w:pPr>
              <w:ind w:left="0" w:firstLine="0" w:firstLineChars="0"/>
              <w:rPr>
                <w:sz w:val="18"/>
                <w:szCs w:val="18"/>
                <w:highlight w:val="none"/>
              </w:rPr>
            </w:pPr>
            <w:r>
              <w:rPr>
                <w:rFonts w:hint="eastAsia" w:ascii="宋体" w:eastAsia="宋体" w:cs="Lucida Sans"/>
                <w:color w:val="auto"/>
                <w:sz w:val="18"/>
                <w:szCs w:val="18"/>
                <w:highlight w:val="none"/>
                <w:lang w:bidi="ar-SA"/>
              </w:rPr>
              <w:t>4TB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0B2D94">
            <w:pPr>
              <w:ind w:left="0" w:firstLine="0" w:firstLineChars="0"/>
              <w:rPr>
                <w:sz w:val="18"/>
                <w:szCs w:val="18"/>
                <w:highlight w:val="none"/>
              </w:rPr>
            </w:pPr>
            <w:r>
              <w:rPr>
                <w:rFonts w:hint="eastAsia" w:ascii="宋体" w:eastAsia="宋体" w:cs="Lucida Sans"/>
                <w:color w:val="auto"/>
                <w:sz w:val="18"/>
                <w:szCs w:val="18"/>
                <w:highlight w:val="none"/>
                <w:lang w:bidi="ar-SA"/>
              </w:rPr>
              <w:t>02311AYV</w:t>
            </w:r>
          </w:p>
        </w:tc>
      </w:tr>
      <w:tr w14:paraId="72C4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DF72E9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5182B61">
            <w:pPr>
              <w:ind w:left="0" w:firstLine="0" w:firstLineChars="0"/>
              <w:rPr>
                <w:sz w:val="18"/>
                <w:szCs w:val="18"/>
                <w:highlight w:val="none"/>
              </w:rPr>
            </w:pPr>
            <w:r>
              <w:rPr>
                <w:rFonts w:hint="eastAsia" w:ascii="宋体" w:eastAsia="宋体" w:cs="Lucida Sans"/>
                <w:color w:val="auto"/>
                <w:sz w:val="18"/>
                <w:szCs w:val="18"/>
                <w:highlight w:val="none"/>
                <w:lang w:bidi="ar-SA"/>
              </w:rPr>
              <w:t>8TB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EE96AA2">
            <w:pPr>
              <w:ind w:left="0" w:firstLine="0" w:firstLineChars="0"/>
              <w:rPr>
                <w:sz w:val="18"/>
                <w:szCs w:val="18"/>
                <w:highlight w:val="none"/>
              </w:rPr>
            </w:pPr>
            <w:r>
              <w:rPr>
                <w:rFonts w:hint="eastAsia" w:ascii="宋体" w:eastAsia="宋体" w:cs="Lucida Sans"/>
                <w:color w:val="auto"/>
                <w:sz w:val="18"/>
                <w:szCs w:val="18"/>
                <w:highlight w:val="none"/>
                <w:lang w:bidi="ar-SA"/>
              </w:rPr>
              <w:t>02311JRE</w:t>
            </w:r>
          </w:p>
        </w:tc>
      </w:tr>
      <w:tr w14:paraId="75B5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64C4E3E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0C63DB3">
            <w:pPr>
              <w:ind w:left="0" w:firstLine="0" w:firstLineChars="0"/>
              <w:rPr>
                <w:rFonts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32GB DDR4 RDIMM 2</w:t>
            </w:r>
            <w:r>
              <w:rPr>
                <w:rFonts w:ascii="宋体" w:eastAsia="宋体" w:cs="Lucida Sans"/>
                <w:color w:val="auto"/>
                <w:sz w:val="18"/>
                <w:szCs w:val="18"/>
                <w:highlight w:val="none"/>
                <w:lang w:bidi="ar-SA"/>
              </w:rPr>
              <w:t>933</w:t>
            </w:r>
            <w:r>
              <w:rPr>
                <w:rFonts w:hint="eastAsia" w:ascii="宋体" w:eastAsia="宋体" w:cs="Lucida Sans"/>
                <w:color w:val="auto"/>
                <w:sz w:val="18"/>
                <w:szCs w:val="18"/>
                <w:highlight w:val="none"/>
                <w:lang w:bidi="ar-SA"/>
              </w:rPr>
              <w:t xml:space="preserve">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9653016">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06200317</w:t>
            </w:r>
          </w:p>
        </w:tc>
      </w:tr>
      <w:tr w14:paraId="0591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439DC0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ED35D7">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2666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989867A">
            <w:pPr>
              <w:ind w:left="0" w:firstLine="0" w:firstLineChars="0"/>
              <w:rPr>
                <w:sz w:val="18"/>
                <w:szCs w:val="18"/>
                <w:highlight w:val="none"/>
              </w:rPr>
            </w:pPr>
            <w:r>
              <w:rPr>
                <w:rFonts w:hint="eastAsia" w:ascii="宋体" w:eastAsia="宋体" w:cs="Lucida Sans"/>
                <w:color w:val="auto"/>
                <w:sz w:val="18"/>
                <w:szCs w:val="18"/>
                <w:highlight w:val="none"/>
                <w:lang w:bidi="ar-SA"/>
              </w:rPr>
              <w:t>06200241</w:t>
            </w:r>
          </w:p>
        </w:tc>
      </w:tr>
      <w:tr w14:paraId="3D4E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1BD13E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4F30437">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2133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4D039E4">
            <w:pPr>
              <w:ind w:left="0" w:firstLine="0" w:firstLineChars="0"/>
              <w:rPr>
                <w:sz w:val="18"/>
                <w:szCs w:val="18"/>
                <w:highlight w:val="none"/>
              </w:rPr>
            </w:pPr>
            <w:r>
              <w:rPr>
                <w:rFonts w:hint="eastAsia" w:ascii="宋体" w:eastAsia="宋体" w:cs="Lucida Sans"/>
                <w:color w:val="auto"/>
                <w:sz w:val="18"/>
                <w:szCs w:val="18"/>
                <w:highlight w:val="none"/>
                <w:lang w:bidi="ar-SA"/>
              </w:rPr>
              <w:t>06200201</w:t>
            </w:r>
          </w:p>
        </w:tc>
      </w:tr>
      <w:tr w14:paraId="40C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F587A2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1F92A2E">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E43F039">
            <w:pPr>
              <w:ind w:left="0" w:firstLine="0" w:firstLineChars="0"/>
              <w:rPr>
                <w:sz w:val="18"/>
                <w:szCs w:val="18"/>
                <w:highlight w:val="none"/>
              </w:rPr>
            </w:pPr>
            <w:r>
              <w:rPr>
                <w:rFonts w:hint="eastAsia" w:ascii="宋体" w:eastAsia="宋体" w:cs="Lucida Sans"/>
                <w:color w:val="auto"/>
                <w:sz w:val="18"/>
                <w:szCs w:val="18"/>
                <w:highlight w:val="none"/>
                <w:lang w:bidi="ar-SA"/>
              </w:rPr>
              <w:t>06200213</w:t>
            </w:r>
          </w:p>
        </w:tc>
      </w:tr>
      <w:tr w14:paraId="6A4B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09E86A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38A749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25DED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02311VSF</w:t>
            </w:r>
          </w:p>
        </w:tc>
      </w:tr>
      <w:tr w14:paraId="2F40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1C6AB8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E0BA8A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6A7A60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02310YKN</w:t>
            </w:r>
          </w:p>
        </w:tc>
      </w:tr>
      <w:tr w14:paraId="72CA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DCBAB5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6F1A69">
            <w:pPr>
              <w:ind w:left="0" w:firstLine="0" w:firstLineChars="0"/>
              <w:rPr>
                <w:sz w:val="18"/>
                <w:szCs w:val="18"/>
                <w:highlight w:val="none"/>
              </w:rPr>
            </w:pPr>
            <w:r>
              <w:rPr>
                <w:rFonts w:hint="eastAsia" w:ascii="宋体" w:eastAsia="宋体" w:cs="Lucida Sans"/>
                <w:color w:val="auto"/>
                <w:sz w:val="18"/>
                <w:szCs w:val="18"/>
                <w:highlight w:val="none"/>
                <w:u w:val="none" w:color="auto"/>
                <w:lang w:bidi="ar-SA"/>
              </w:rPr>
              <w:t>900W交流电源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058007">
            <w:pPr>
              <w:ind w:left="0" w:firstLine="0" w:firstLineChars="0"/>
              <w:rPr>
                <w:sz w:val="18"/>
                <w:szCs w:val="18"/>
                <w:highlight w:val="none"/>
              </w:rPr>
            </w:pPr>
            <w:r>
              <w:rPr>
                <w:rFonts w:hint="eastAsia" w:ascii="宋体" w:eastAsia="宋体" w:cs="Lucida Sans"/>
                <w:color w:val="auto"/>
                <w:sz w:val="18"/>
                <w:szCs w:val="18"/>
                <w:highlight w:val="none"/>
                <w:lang w:bidi="ar-SA"/>
              </w:rPr>
              <w:t>02311TLF</w:t>
            </w:r>
          </w:p>
        </w:tc>
      </w:tr>
      <w:tr w14:paraId="29B4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42C8CBD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6CD8E37">
            <w:pPr>
              <w:ind w:left="0" w:firstLine="0" w:firstLineChars="0"/>
              <w:rPr>
                <w:sz w:val="18"/>
                <w:szCs w:val="18"/>
                <w:highlight w:val="none"/>
              </w:rPr>
            </w:pPr>
            <w:r>
              <w:rPr>
                <w:rFonts w:hint="eastAsia" w:ascii="宋体" w:eastAsia="宋体" w:cs="Lucida Sans"/>
                <w:color w:val="auto"/>
                <w:sz w:val="18"/>
                <w:szCs w:val="18"/>
                <w:highlight w:val="none"/>
                <w:u w:val="none"/>
                <w:vertAlign w:val="baseline"/>
                <w:lang w:bidi="ar-SA"/>
              </w:rPr>
              <w:t>750W交流电源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9F82BE5">
            <w:pPr>
              <w:ind w:left="0" w:firstLine="0" w:firstLineChars="0"/>
              <w:rPr>
                <w:sz w:val="18"/>
                <w:szCs w:val="18"/>
                <w:highlight w:val="none"/>
              </w:rPr>
            </w:pPr>
            <w:r>
              <w:rPr>
                <w:rFonts w:hint="eastAsia" w:ascii="宋体" w:eastAsia="宋体" w:cs="Lucida Sans"/>
                <w:color w:val="auto"/>
                <w:sz w:val="18"/>
                <w:szCs w:val="18"/>
                <w:highlight w:val="none"/>
                <w:lang w:bidi="ar-SA"/>
              </w:rPr>
              <w:t>02310QWX</w:t>
            </w:r>
          </w:p>
        </w:tc>
      </w:tr>
      <w:tr w14:paraId="72CD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14:paraId="53D0B830">
            <w:pPr>
              <w:jc w:val="center"/>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同方</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A5E147A">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966F9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M393A4K40BB2-CTD</w:t>
            </w:r>
          </w:p>
        </w:tc>
      </w:tr>
      <w:tr w14:paraId="2A19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7A24F92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A74B5A1">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 xml:space="preserve">SEAGATE </w:t>
            </w: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BBF383">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ST1200MM0129</w:t>
            </w:r>
          </w:p>
        </w:tc>
      </w:tr>
      <w:tr w14:paraId="5536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2955B71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CB70279">
            <w:pPr>
              <w:ind w:left="0" w:firstLine="0" w:firstLineChars="0"/>
              <w:rPr>
                <w:rFonts w:hint="eastAsia" w:ascii="宋体" w:eastAsia="宋体" w:cs="Lucida Sans"/>
                <w:color w:val="auto"/>
                <w:sz w:val="18"/>
                <w:szCs w:val="18"/>
                <w:highlight w:val="none"/>
                <w:u w:val="none"/>
                <w:vertAlign w:val="baseline"/>
                <w:lang w:bidi="ar-SA"/>
              </w:rPr>
            </w:pPr>
            <w:r>
              <w:rPr>
                <w:rFonts w:hint="eastAsia" w:ascii="宋体" w:eastAsia="宋体"/>
                <w:sz w:val="18"/>
                <w:szCs w:val="18"/>
                <w:highlight w:val="none"/>
              </w:rPr>
              <w:t>Great Wall  800W电源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7933F92">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CRPS800</w:t>
            </w:r>
          </w:p>
        </w:tc>
      </w:tr>
      <w:tr w14:paraId="08BE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0A3264C5">
            <w:pPr>
              <w:jc w:val="center"/>
              <w:rPr>
                <w:sz w:val="18"/>
                <w:szCs w:val="18"/>
                <w:highlight w:val="none"/>
              </w:rPr>
            </w:pPr>
            <w:r>
              <w:rPr>
                <w:rFonts w:hint="eastAsia" w:ascii="宋体" w:eastAsia="宋体" w:cs="Lucida Sans"/>
                <w:color w:val="auto"/>
                <w:sz w:val="18"/>
                <w:szCs w:val="18"/>
                <w:highlight w:val="none"/>
                <w:lang w:bidi="ar-SA"/>
              </w:rPr>
              <w:t>联想</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726B507">
            <w:pPr>
              <w:ind w:left="0" w:firstLine="0" w:firstLineChars="0"/>
              <w:rPr>
                <w:sz w:val="18"/>
                <w:szCs w:val="18"/>
                <w:highlight w:val="none"/>
              </w:rPr>
            </w:pP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02C3397">
            <w:pPr>
              <w:ind w:left="0" w:firstLine="0" w:firstLineChars="0"/>
              <w:rPr>
                <w:sz w:val="18"/>
                <w:szCs w:val="18"/>
                <w:highlight w:val="none"/>
              </w:rPr>
            </w:pPr>
            <w:r>
              <w:rPr>
                <w:rFonts w:hint="eastAsia" w:ascii="宋体" w:eastAsia="宋体" w:cs="Lucida Sans"/>
                <w:color w:val="auto"/>
                <w:sz w:val="18"/>
                <w:szCs w:val="18"/>
                <w:highlight w:val="none"/>
                <w:lang w:bidi="ar-SA"/>
              </w:rPr>
              <w:t>00YK016</w:t>
            </w:r>
          </w:p>
        </w:tc>
      </w:tr>
      <w:tr w14:paraId="096B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979D0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C1CE6A0">
            <w:pPr>
              <w:ind w:left="0" w:firstLine="0" w:firstLineChars="0"/>
              <w:rPr>
                <w:sz w:val="18"/>
                <w:szCs w:val="18"/>
                <w:highlight w:val="none"/>
              </w:rPr>
            </w:pPr>
            <w:r>
              <w:rPr>
                <w:rFonts w:hint="eastAsia" w:ascii="宋体" w:eastAsia="宋体" w:cs="Lucida Sans"/>
                <w:color w:val="auto"/>
                <w:sz w:val="18"/>
                <w:szCs w:val="18"/>
                <w:highlight w:val="none"/>
                <w:lang w:bidi="ar-SA"/>
              </w:rPr>
              <w:t>1.8TB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FB45CDF">
            <w:pPr>
              <w:ind w:left="0" w:firstLine="0" w:firstLineChars="0"/>
              <w:rPr>
                <w:sz w:val="18"/>
                <w:szCs w:val="18"/>
                <w:highlight w:val="none"/>
              </w:rPr>
            </w:pPr>
            <w:r>
              <w:rPr>
                <w:rFonts w:hint="eastAsia" w:ascii="宋体" w:eastAsia="宋体" w:cs="Lucida Sans"/>
                <w:color w:val="auto"/>
                <w:sz w:val="18"/>
                <w:szCs w:val="18"/>
                <w:highlight w:val="none"/>
                <w:lang w:bidi="ar-SA"/>
              </w:rPr>
              <w:t>00YK017</w:t>
            </w:r>
          </w:p>
        </w:tc>
      </w:tr>
      <w:tr w14:paraId="1DB0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A75C7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45B6921">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2933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D094340">
            <w:pPr>
              <w:ind w:left="0" w:firstLine="0" w:firstLineChars="0"/>
              <w:rPr>
                <w:sz w:val="18"/>
                <w:szCs w:val="18"/>
                <w:highlight w:val="none"/>
              </w:rPr>
            </w:pPr>
            <w:r>
              <w:rPr>
                <w:rFonts w:hint="eastAsia" w:ascii="宋体" w:eastAsia="宋体" w:cs="Lucida Sans"/>
                <w:color w:val="auto"/>
                <w:sz w:val="18"/>
                <w:szCs w:val="18"/>
                <w:highlight w:val="none"/>
                <w:lang w:bidi="ar-SA"/>
              </w:rPr>
              <w:t>01KR355</w:t>
            </w:r>
          </w:p>
        </w:tc>
      </w:tr>
      <w:tr w14:paraId="2041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98139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80B20DF">
            <w:pPr>
              <w:ind w:left="0" w:firstLine="0" w:firstLineChars="0"/>
              <w:rPr>
                <w:sz w:val="18"/>
                <w:szCs w:val="18"/>
                <w:highlight w:val="none"/>
              </w:rPr>
            </w:pPr>
            <w:r>
              <w:rPr>
                <w:rFonts w:hint="eastAsia" w:ascii="宋体" w:eastAsia="宋体" w:cs="Lucida Sans"/>
                <w:color w:val="auto"/>
                <w:sz w:val="18"/>
                <w:szCs w:val="18"/>
                <w:highlight w:val="none"/>
                <w:lang w:bidi="ar-SA"/>
              </w:rPr>
              <w:t>1100W电源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E12DE32">
            <w:pPr>
              <w:ind w:left="0" w:firstLine="0" w:firstLineChars="0"/>
              <w:rPr>
                <w:sz w:val="18"/>
                <w:szCs w:val="18"/>
                <w:highlight w:val="none"/>
              </w:rPr>
            </w:pPr>
            <w:r>
              <w:rPr>
                <w:rFonts w:hint="eastAsia" w:ascii="宋体" w:eastAsia="宋体" w:cs="Lucida Sans"/>
                <w:color w:val="auto"/>
                <w:sz w:val="18"/>
                <w:szCs w:val="18"/>
                <w:highlight w:val="none"/>
                <w:lang w:bidi="ar-SA"/>
              </w:rPr>
              <w:t>01PF096</w:t>
            </w:r>
          </w:p>
        </w:tc>
      </w:tr>
      <w:tr w14:paraId="45AC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89C3B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2D40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DBD6FB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01KP692</w:t>
            </w:r>
          </w:p>
        </w:tc>
      </w:tr>
      <w:tr w14:paraId="5B2D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BA46C4">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富士康</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6357F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Micron M500DC 800GB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F5B3C8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MTFDDAK800MBB</w:t>
            </w:r>
          </w:p>
        </w:tc>
      </w:tr>
      <w:tr w14:paraId="7355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47A43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A8F9CD5">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Skhynix 32GB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F733B1C">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HMA84GR7AFR4N-UH</w:t>
            </w:r>
          </w:p>
        </w:tc>
      </w:tr>
      <w:tr w14:paraId="1178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C48DD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687D74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A03E9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V60E12BS2CB5-07</w:t>
            </w:r>
          </w:p>
        </w:tc>
      </w:tr>
      <w:tr w14:paraId="57BF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B1EE0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04E52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8E5D20B">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D</w:t>
            </w:r>
          </w:p>
        </w:tc>
      </w:tr>
      <w:tr w14:paraId="4150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B6B7492">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浪潮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B79EA12">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SEAGATE 600GB SAS</w:t>
            </w:r>
            <w:r>
              <w:rPr>
                <w:rFonts w:hint="eastAsia" w:ascii="宋体" w:eastAsia="宋体" w:cs="Lucida Sans"/>
                <w:color w:val="auto"/>
                <w:sz w:val="18"/>
                <w:szCs w:val="18"/>
                <w:highlight w:val="none"/>
                <w:lang w:bidi="ar-SA"/>
              </w:rPr>
              <w:t>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DFE4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w:t>
            </w:r>
            <w:r>
              <w:rPr>
                <w:rFonts w:ascii="宋体" w:eastAsia="宋体" w:cs="Lucida Sans"/>
                <w:color w:val="auto"/>
                <w:sz w:val="18"/>
                <w:szCs w:val="18"/>
                <w:highlight w:val="none"/>
                <w:lang w:bidi="ar-SA"/>
              </w:rPr>
              <w:t>600</w:t>
            </w:r>
            <w:r>
              <w:rPr>
                <w:rFonts w:hint="eastAsia" w:ascii="宋体" w:eastAsia="宋体" w:cs="Lucida Sans"/>
                <w:color w:val="auto"/>
                <w:sz w:val="18"/>
                <w:szCs w:val="18"/>
                <w:highlight w:val="none"/>
                <w:lang w:bidi="ar-SA"/>
              </w:rPr>
              <w:t>MM0</w:t>
            </w:r>
            <w:r>
              <w:rPr>
                <w:rFonts w:ascii="宋体" w:eastAsia="宋体" w:cs="Lucida Sans"/>
                <w:color w:val="auto"/>
                <w:sz w:val="18"/>
                <w:szCs w:val="18"/>
                <w:highlight w:val="none"/>
                <w:lang w:bidi="ar-SA"/>
              </w:rPr>
              <w:t>00</w:t>
            </w:r>
            <w:r>
              <w:rPr>
                <w:rFonts w:hint="eastAsia" w:ascii="宋体" w:eastAsia="宋体" w:cs="Lucida Sans"/>
                <w:color w:val="auto"/>
                <w:sz w:val="18"/>
                <w:szCs w:val="18"/>
                <w:highlight w:val="none"/>
                <w:lang w:bidi="ar-SA"/>
              </w:rPr>
              <w:t>9</w:t>
            </w:r>
          </w:p>
        </w:tc>
      </w:tr>
      <w:tr w14:paraId="2599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A6AAF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75791B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Micron 16GB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6E0AAF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MTA18ASF2G72PZ-2G3B1IG</w:t>
            </w:r>
          </w:p>
        </w:tc>
      </w:tr>
      <w:tr w14:paraId="71AB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3EB6D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14B84A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32441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V80E12BUA7-07</w:t>
            </w:r>
          </w:p>
        </w:tc>
      </w:tr>
      <w:tr w14:paraId="0747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8714B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8506581">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6F1DEB4">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A</w:t>
            </w:r>
          </w:p>
        </w:tc>
      </w:tr>
    </w:tbl>
    <w:p w14:paraId="29262BE9">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交付物</w:t>
      </w:r>
    </w:p>
    <w:p w14:paraId="1D383B20">
      <w:pPr>
        <w:ind w:firstLine="480" w:firstLineChars="200"/>
        <w:rPr>
          <w:rFonts w:hint="eastAsia" w:ascii="宋体"/>
          <w:sz w:val="24"/>
          <w:highlight w:val="none"/>
        </w:rPr>
      </w:pPr>
      <w:r>
        <w:rPr>
          <w:rFonts w:hint="eastAsia" w:ascii="宋体"/>
          <w:sz w:val="24"/>
          <w:highlight w:val="none"/>
        </w:rPr>
        <w:t>乙方为甲方提交如下规格之工作成果：</w:t>
      </w:r>
    </w:p>
    <w:tbl>
      <w:tblPr>
        <w:tblStyle w:val="1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7636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Borders>
              <w:tl2br w:val="nil"/>
              <w:tr2bl w:val="nil"/>
            </w:tcBorders>
          </w:tcPr>
          <w:p w14:paraId="0BD68BE7">
            <w:pPr>
              <w:spacing w:line="360" w:lineRule="auto"/>
              <w:ind w:left="0" w:firstLine="0" w:firstLineChars="0"/>
              <w:jc w:val="both"/>
              <w:rPr>
                <w:rFonts w:hint="eastAsia" w:ascii="宋体"/>
                <w:highlight w:val="none"/>
              </w:rPr>
            </w:pPr>
            <w:r>
              <w:rPr>
                <w:rFonts w:hint="eastAsia" w:ascii="宋体"/>
                <w:highlight w:val="none"/>
              </w:rPr>
              <w:t>编号</w:t>
            </w:r>
          </w:p>
        </w:tc>
        <w:tc>
          <w:tcPr>
            <w:tcW w:w="3500" w:type="dxa"/>
            <w:tcBorders>
              <w:tl2br w:val="nil"/>
              <w:tr2bl w:val="nil"/>
            </w:tcBorders>
          </w:tcPr>
          <w:p w14:paraId="2EC6C296">
            <w:pPr>
              <w:spacing w:line="360" w:lineRule="auto"/>
              <w:ind w:left="0" w:firstLine="0" w:firstLineChars="0"/>
              <w:rPr>
                <w:rFonts w:hint="eastAsia" w:ascii="宋体"/>
                <w:highlight w:val="none"/>
              </w:rPr>
            </w:pPr>
            <w:r>
              <w:rPr>
                <w:rFonts w:hint="eastAsia" w:ascii="宋体"/>
                <w:highlight w:val="none"/>
              </w:rPr>
              <w:t>名  称</w:t>
            </w:r>
          </w:p>
        </w:tc>
        <w:tc>
          <w:tcPr>
            <w:tcW w:w="4362" w:type="dxa"/>
            <w:tcBorders>
              <w:tl2br w:val="nil"/>
              <w:tr2bl w:val="nil"/>
            </w:tcBorders>
          </w:tcPr>
          <w:p w14:paraId="2FA77C7E">
            <w:pPr>
              <w:spacing w:line="360" w:lineRule="auto"/>
              <w:jc w:val="center"/>
              <w:rPr>
                <w:rFonts w:hint="eastAsia" w:ascii="宋体"/>
                <w:highlight w:val="none"/>
              </w:rPr>
            </w:pPr>
            <w:r>
              <w:rPr>
                <w:rFonts w:hint="eastAsia" w:ascii="宋体"/>
                <w:highlight w:val="none"/>
              </w:rPr>
              <w:t>规 格</w:t>
            </w:r>
          </w:p>
        </w:tc>
      </w:tr>
      <w:tr w14:paraId="5E14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31814F6E">
            <w:pPr>
              <w:spacing w:line="360" w:lineRule="auto"/>
              <w:ind w:left="0" w:firstLine="0" w:firstLineChars="0"/>
              <w:jc w:val="both"/>
              <w:rPr>
                <w:rFonts w:hint="eastAsia" w:ascii="宋体"/>
                <w:highlight w:val="none"/>
              </w:rPr>
            </w:pPr>
            <w:r>
              <w:rPr>
                <w:rFonts w:hint="eastAsia" w:ascii="宋体"/>
                <w:highlight w:val="none"/>
              </w:rPr>
              <w:t>1</w:t>
            </w:r>
          </w:p>
        </w:tc>
        <w:tc>
          <w:tcPr>
            <w:tcW w:w="3500" w:type="dxa"/>
            <w:tcBorders>
              <w:tl2br w:val="nil"/>
              <w:tr2bl w:val="nil"/>
            </w:tcBorders>
          </w:tcPr>
          <w:p w14:paraId="4A2E0838">
            <w:pPr>
              <w:spacing w:line="360" w:lineRule="auto"/>
              <w:ind w:left="0" w:firstLine="0" w:firstLineChars="0"/>
              <w:rPr>
                <w:rFonts w:hint="eastAsia" w:ascii="宋体"/>
                <w:highlight w:val="none"/>
              </w:rPr>
            </w:pPr>
            <w:r>
              <w:rPr>
                <w:rFonts w:hint="eastAsia" w:ascii="宋体"/>
                <w:highlight w:val="none"/>
              </w:rPr>
              <w:t>《现场服务报告单》</w:t>
            </w:r>
          </w:p>
        </w:tc>
        <w:tc>
          <w:tcPr>
            <w:tcW w:w="4362" w:type="dxa"/>
            <w:tcBorders>
              <w:tl2br w:val="nil"/>
              <w:tr2bl w:val="nil"/>
            </w:tcBorders>
          </w:tcPr>
          <w:p w14:paraId="21F3AE18">
            <w:pPr>
              <w:ind w:left="0" w:firstLine="0" w:firstLineChars="0"/>
              <w:rPr>
                <w:rFonts w:hint="eastAsia" w:ascii="宋体"/>
                <w:highlight w:val="none"/>
              </w:rPr>
            </w:pPr>
            <w:r>
              <w:rPr>
                <w:rFonts w:hint="eastAsia" w:ascii="宋体"/>
                <w:highlight w:val="none"/>
              </w:rPr>
              <w:t xml:space="preserve">每次现场服务后, </w:t>
            </w:r>
            <w:r>
              <w:rPr>
                <w:rFonts w:ascii="宋体"/>
                <w:highlight w:val="none"/>
              </w:rPr>
              <w:t>5个工作日内，</w:t>
            </w:r>
            <w:r>
              <w:rPr>
                <w:rFonts w:hint="eastAsia" w:ascii="宋体"/>
                <w:highlight w:val="none"/>
              </w:rPr>
              <w:t>由乙方填写, 甲方项目经理签字认可。</w:t>
            </w:r>
          </w:p>
        </w:tc>
      </w:tr>
      <w:tr w14:paraId="4745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4465B390">
            <w:pPr>
              <w:ind w:left="0" w:firstLine="0" w:firstLineChars="0"/>
              <w:jc w:val="both"/>
              <w:rPr>
                <w:rFonts w:ascii="宋体"/>
                <w:highlight w:val="none"/>
              </w:rPr>
            </w:pPr>
            <w:r>
              <w:rPr>
                <w:rFonts w:ascii="宋体"/>
                <w:highlight w:val="none"/>
              </w:rPr>
              <w:t>2</w:t>
            </w:r>
          </w:p>
        </w:tc>
        <w:tc>
          <w:tcPr>
            <w:tcW w:w="3500" w:type="dxa"/>
            <w:tcBorders>
              <w:tl2br w:val="nil"/>
              <w:tr2bl w:val="nil"/>
            </w:tcBorders>
          </w:tcPr>
          <w:p w14:paraId="01DD32AB">
            <w:pPr>
              <w:ind w:left="0" w:firstLine="0" w:firstLineChars="0"/>
              <w:rPr>
                <w:rFonts w:ascii="宋体"/>
                <w:highlight w:val="none"/>
              </w:rPr>
            </w:pPr>
            <w:r>
              <w:rPr>
                <w:rFonts w:ascii="宋体"/>
                <w:highlight w:val="none"/>
              </w:rPr>
              <w:t>《现场服务沟通和技术交流确认单》</w:t>
            </w:r>
          </w:p>
        </w:tc>
        <w:tc>
          <w:tcPr>
            <w:tcW w:w="4362" w:type="dxa"/>
            <w:tcBorders>
              <w:tl2br w:val="nil"/>
              <w:tr2bl w:val="nil"/>
            </w:tcBorders>
          </w:tcPr>
          <w:p w14:paraId="0A1104EE">
            <w:pPr>
              <w:ind w:left="0" w:firstLine="0" w:firstLineChars="0"/>
              <w:rPr>
                <w:rFonts w:ascii="宋体"/>
                <w:highlight w:val="none"/>
              </w:rPr>
            </w:pPr>
            <w:r>
              <w:rPr>
                <w:rFonts w:ascii="宋体"/>
                <w:highlight w:val="none"/>
              </w:rPr>
              <w:t>乙方项目经理和2名服务工程师每月到甲方现场进行服务沟通和技术交流后，5个工作日内，乙方找甲方项目经理签字确认。</w:t>
            </w:r>
          </w:p>
        </w:tc>
      </w:tr>
      <w:tr w14:paraId="3C6C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19BDFFBF">
            <w:pPr>
              <w:spacing w:line="360" w:lineRule="auto"/>
              <w:ind w:left="0" w:firstLine="0" w:firstLineChars="0"/>
              <w:jc w:val="both"/>
              <w:rPr>
                <w:rFonts w:hint="eastAsia" w:ascii="宋体"/>
                <w:highlight w:val="none"/>
              </w:rPr>
            </w:pPr>
            <w:r>
              <w:rPr>
                <w:rFonts w:ascii="宋体"/>
                <w:highlight w:val="none"/>
              </w:rPr>
              <w:t>3</w:t>
            </w:r>
          </w:p>
        </w:tc>
        <w:tc>
          <w:tcPr>
            <w:tcW w:w="3500" w:type="dxa"/>
            <w:tcBorders>
              <w:tl2br w:val="nil"/>
              <w:tr2bl w:val="nil"/>
            </w:tcBorders>
          </w:tcPr>
          <w:p w14:paraId="78C83BA0">
            <w:pPr>
              <w:spacing w:line="360" w:lineRule="auto"/>
              <w:ind w:left="0" w:firstLine="0" w:firstLineChars="0"/>
              <w:rPr>
                <w:rFonts w:hint="eastAsia" w:ascii="宋体"/>
                <w:highlight w:val="none"/>
              </w:rPr>
            </w:pPr>
            <w:r>
              <w:rPr>
                <w:rFonts w:hint="eastAsia" w:ascii="宋体"/>
                <w:highlight w:val="none"/>
              </w:rPr>
              <w:t>《巡检报告》</w:t>
            </w:r>
          </w:p>
        </w:tc>
        <w:tc>
          <w:tcPr>
            <w:tcW w:w="4362" w:type="dxa"/>
            <w:tcBorders>
              <w:tl2br w:val="nil"/>
              <w:tr2bl w:val="nil"/>
            </w:tcBorders>
          </w:tcPr>
          <w:p w14:paraId="743165A9">
            <w:pPr>
              <w:spacing w:line="360" w:lineRule="auto"/>
              <w:ind w:left="0" w:firstLine="0" w:firstLineChars="0"/>
              <w:rPr>
                <w:rFonts w:hint="eastAsia" w:ascii="宋体"/>
                <w:highlight w:val="none"/>
              </w:rPr>
            </w:pPr>
            <w:r>
              <w:rPr>
                <w:rFonts w:hint="eastAsia" w:ascii="宋体"/>
                <w:highlight w:val="none"/>
              </w:rPr>
              <w:t>每季度的巡检完成后，</w:t>
            </w:r>
            <w:r>
              <w:rPr>
                <w:rFonts w:ascii="宋体"/>
                <w:highlight w:val="none"/>
              </w:rPr>
              <w:t>30个工作日内，</w:t>
            </w:r>
            <w:r>
              <w:rPr>
                <w:rFonts w:hint="eastAsia" w:ascii="宋体"/>
                <w:highlight w:val="none"/>
              </w:rPr>
              <w:t>由乙方填写并提交给甲方。</w:t>
            </w:r>
          </w:p>
        </w:tc>
      </w:tr>
    </w:tbl>
    <w:p w14:paraId="1E51C46B">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服务方式</w:t>
      </w:r>
    </w:p>
    <w:p w14:paraId="431548E6">
      <w:pPr>
        <w:snapToGrid w:val="0"/>
        <w:ind w:firstLine="480" w:firstLineChars="200"/>
        <w:rPr>
          <w:rFonts w:hint="eastAsia" w:ascii="宋体"/>
          <w:snapToGrid w:val="0"/>
          <w:sz w:val="24"/>
          <w:highlight w:val="none"/>
        </w:rPr>
      </w:pPr>
      <w:r>
        <w:rPr>
          <w:rFonts w:hint="eastAsia" w:ascii="宋体"/>
          <w:snapToGrid w:val="0"/>
          <w:sz w:val="24"/>
          <w:highlight w:val="none"/>
        </w:rPr>
        <w:t>8.1甲方项目经理责任</w:t>
      </w:r>
    </w:p>
    <w:p w14:paraId="46B2D0F2">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负责甲方的人员协调，与乙方联系及配合乙方工作人员工作；</w:t>
      </w:r>
    </w:p>
    <w:p w14:paraId="3F9816A8">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在乙方开展工作前负责提供并就绪乙方所需的设备和环境；</w:t>
      </w:r>
    </w:p>
    <w:p w14:paraId="6F09A4B2">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与乙方确认每次作业的内容；</w:t>
      </w:r>
    </w:p>
    <w:p w14:paraId="017E2268">
      <w:pPr>
        <w:snapToGrid w:val="0"/>
        <w:ind w:firstLine="480" w:firstLineChars="200"/>
        <w:rPr>
          <w:rFonts w:hint="eastAsia" w:ascii="宋体"/>
          <w:snapToGrid w:val="0"/>
          <w:sz w:val="24"/>
          <w:highlight w:val="none"/>
        </w:rPr>
      </w:pPr>
      <w:r>
        <w:rPr>
          <w:rFonts w:hint="eastAsia" w:ascii="宋体"/>
          <w:snapToGrid w:val="0"/>
          <w:sz w:val="24"/>
          <w:highlight w:val="none"/>
        </w:rPr>
        <w:t>甲方指定的项目经理为：魏恩     备份人员为： 李云川</w:t>
      </w:r>
    </w:p>
    <w:p w14:paraId="4870039F">
      <w:pPr>
        <w:snapToGrid w:val="0"/>
        <w:ind w:firstLine="480" w:firstLineChars="200"/>
        <w:rPr>
          <w:rFonts w:hint="eastAsia" w:ascii="宋体"/>
          <w:snapToGrid w:val="0"/>
          <w:sz w:val="24"/>
          <w:highlight w:val="none"/>
        </w:rPr>
      </w:pPr>
      <w:r>
        <w:rPr>
          <w:rFonts w:hint="eastAsia" w:ascii="宋体"/>
          <w:snapToGrid w:val="0"/>
          <w:sz w:val="24"/>
          <w:highlight w:val="none"/>
        </w:rPr>
        <w:t>8.2乙方项目经理责任</w:t>
      </w:r>
    </w:p>
    <w:p w14:paraId="740CA138">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负责乙方的人员协调及与甲方联系；</w:t>
      </w:r>
    </w:p>
    <w:p w14:paraId="11A5B386">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调度乙方技术人员提供本工作清单中包含的各种支持服务；</w:t>
      </w:r>
    </w:p>
    <w:p w14:paraId="70F4C77D">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向甲方提交各类服务报告。</w:t>
      </w:r>
    </w:p>
    <w:p w14:paraId="5755C0D6">
      <w:pPr>
        <w:snapToGrid w:val="0"/>
        <w:ind w:firstLine="480" w:firstLineChars="200"/>
        <w:rPr>
          <w:rFonts w:hint="eastAsia" w:ascii="宋体"/>
          <w:snapToGrid w:val="0"/>
          <w:sz w:val="24"/>
          <w:highlight w:val="none"/>
        </w:rPr>
      </w:pPr>
      <w:r>
        <w:rPr>
          <w:rFonts w:hint="eastAsia" w:ascii="宋体"/>
          <w:snapToGrid w:val="0"/>
          <w:sz w:val="24"/>
          <w:highlight w:val="none"/>
        </w:rPr>
        <w:t>乙方人员联络表：</w:t>
      </w:r>
    </w:p>
    <w:tbl>
      <w:tblPr>
        <w:tblStyle w:val="17"/>
        <w:tblW w:w="723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020"/>
        <w:gridCol w:w="1780"/>
        <w:gridCol w:w="2100"/>
      </w:tblGrid>
      <w:tr w14:paraId="0181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53F31C0D">
            <w:pPr>
              <w:snapToGrid w:val="0"/>
              <w:ind w:firstLine="480" w:firstLineChars="200"/>
              <w:rPr>
                <w:rFonts w:hint="eastAsia" w:ascii="宋体"/>
                <w:snapToGrid w:val="0"/>
                <w:sz w:val="24"/>
                <w:highlight w:val="none"/>
              </w:rPr>
            </w:pPr>
            <w:r>
              <w:rPr>
                <w:rFonts w:ascii="宋体"/>
                <w:snapToGrid w:val="0"/>
                <w:sz w:val="24"/>
                <w:highlight w:val="none"/>
              </w:rPr>
              <w:t>姓名</w:t>
            </w:r>
          </w:p>
        </w:tc>
        <w:tc>
          <w:tcPr>
            <w:tcW w:w="2020" w:type="dxa"/>
            <w:tcBorders>
              <w:tl2br w:val="nil"/>
              <w:tr2bl w:val="nil"/>
            </w:tcBorders>
          </w:tcPr>
          <w:p w14:paraId="46FE5DCF">
            <w:pPr>
              <w:snapToGrid w:val="0"/>
              <w:ind w:firstLine="480" w:firstLineChars="200"/>
              <w:rPr>
                <w:rFonts w:hint="eastAsia" w:ascii="宋体"/>
                <w:snapToGrid w:val="0"/>
                <w:sz w:val="24"/>
                <w:highlight w:val="none"/>
              </w:rPr>
            </w:pPr>
            <w:r>
              <w:rPr>
                <w:rFonts w:hint="eastAsia" w:ascii="宋体"/>
                <w:snapToGrid w:val="0"/>
                <w:sz w:val="24"/>
                <w:highlight w:val="none"/>
              </w:rPr>
              <w:t>职务</w:t>
            </w:r>
          </w:p>
        </w:tc>
        <w:tc>
          <w:tcPr>
            <w:tcW w:w="1780" w:type="dxa"/>
            <w:tcBorders>
              <w:tl2br w:val="nil"/>
              <w:tr2bl w:val="nil"/>
            </w:tcBorders>
          </w:tcPr>
          <w:p w14:paraId="270841AA">
            <w:pPr>
              <w:snapToGrid w:val="0"/>
              <w:ind w:firstLine="480" w:firstLineChars="200"/>
              <w:rPr>
                <w:rFonts w:hint="eastAsia" w:ascii="宋体"/>
                <w:snapToGrid w:val="0"/>
                <w:sz w:val="24"/>
                <w:highlight w:val="none"/>
              </w:rPr>
            </w:pPr>
            <w:r>
              <w:rPr>
                <w:rFonts w:hint="eastAsia" w:ascii="宋体"/>
                <w:snapToGrid w:val="0"/>
                <w:sz w:val="24"/>
                <w:highlight w:val="none"/>
              </w:rPr>
              <w:t>电话</w:t>
            </w:r>
          </w:p>
        </w:tc>
        <w:tc>
          <w:tcPr>
            <w:tcW w:w="2100" w:type="dxa"/>
            <w:tcBorders>
              <w:tl2br w:val="nil"/>
              <w:tr2bl w:val="nil"/>
            </w:tcBorders>
          </w:tcPr>
          <w:p w14:paraId="1CD0100C">
            <w:pPr>
              <w:snapToGrid w:val="0"/>
              <w:ind w:firstLine="480" w:firstLineChars="200"/>
              <w:rPr>
                <w:rFonts w:ascii="宋体"/>
                <w:snapToGrid w:val="0"/>
                <w:sz w:val="24"/>
                <w:highlight w:val="none"/>
              </w:rPr>
            </w:pPr>
            <w:r>
              <w:rPr>
                <w:rFonts w:ascii="宋体"/>
                <w:snapToGrid w:val="0"/>
                <w:sz w:val="24"/>
                <w:highlight w:val="none"/>
              </w:rPr>
              <w:t>身份证号码</w:t>
            </w:r>
          </w:p>
        </w:tc>
      </w:tr>
      <w:tr w14:paraId="2B5C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494190F0">
            <w:pPr>
              <w:snapToGrid w:val="0"/>
              <w:ind w:left="0" w:firstLine="0" w:firstLineChars="0"/>
              <w:rPr>
                <w:rFonts w:hint="eastAsia" w:ascii="宋体"/>
                <w:snapToGrid w:val="0"/>
                <w:sz w:val="24"/>
                <w:highlight w:val="none"/>
              </w:rPr>
            </w:pPr>
          </w:p>
        </w:tc>
        <w:tc>
          <w:tcPr>
            <w:tcW w:w="2020" w:type="dxa"/>
            <w:tcBorders>
              <w:top w:val="single" w:color="auto" w:sz="4" w:space="0"/>
              <w:left w:val="single" w:color="auto" w:sz="4" w:space="0"/>
              <w:right w:val="single" w:color="auto" w:sz="4" w:space="0"/>
              <w:tl2br w:val="nil"/>
              <w:tr2bl w:val="nil"/>
            </w:tcBorders>
          </w:tcPr>
          <w:p w14:paraId="454B7EE3">
            <w:pPr>
              <w:snapToGrid w:val="0"/>
              <w:ind w:firstLine="480" w:firstLineChars="200"/>
              <w:rPr>
                <w:rFonts w:hint="eastAsia" w:ascii="宋体"/>
                <w:snapToGrid w:val="0"/>
                <w:sz w:val="24"/>
                <w:highlight w:val="none"/>
              </w:rPr>
            </w:pPr>
            <w:r>
              <w:rPr>
                <w:rFonts w:hint="eastAsia" w:ascii="宋体"/>
                <w:snapToGrid w:val="0"/>
                <w:sz w:val="24"/>
                <w:highlight w:val="none"/>
              </w:rPr>
              <w:t>项目经理</w:t>
            </w:r>
          </w:p>
        </w:tc>
        <w:tc>
          <w:tcPr>
            <w:tcW w:w="1780" w:type="dxa"/>
            <w:tcBorders>
              <w:tl2br w:val="nil"/>
              <w:tr2bl w:val="nil"/>
            </w:tcBorders>
          </w:tcPr>
          <w:p w14:paraId="45A9DA8F">
            <w:pPr>
              <w:snapToGrid w:val="0"/>
              <w:ind w:firstLine="480" w:firstLineChars="200"/>
              <w:rPr>
                <w:rFonts w:hint="eastAsia" w:ascii="宋体"/>
                <w:snapToGrid w:val="0"/>
                <w:sz w:val="24"/>
                <w:highlight w:val="none"/>
              </w:rPr>
            </w:pPr>
          </w:p>
        </w:tc>
        <w:tc>
          <w:tcPr>
            <w:tcW w:w="2100" w:type="dxa"/>
            <w:tcBorders>
              <w:tl2br w:val="nil"/>
              <w:tr2bl w:val="nil"/>
            </w:tcBorders>
          </w:tcPr>
          <w:p w14:paraId="0A3FF6AD">
            <w:pPr>
              <w:snapToGrid w:val="0"/>
              <w:ind w:firstLine="480" w:firstLineChars="200"/>
              <w:rPr>
                <w:rFonts w:ascii="宋体"/>
                <w:snapToGrid w:val="0"/>
                <w:sz w:val="24"/>
                <w:highlight w:val="none"/>
              </w:rPr>
            </w:pPr>
          </w:p>
        </w:tc>
      </w:tr>
      <w:tr w14:paraId="54F9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3E2AA3BA">
            <w:pPr>
              <w:snapToGrid w:val="0"/>
              <w:ind w:firstLine="480" w:firstLineChars="200"/>
              <w:rPr>
                <w:rFonts w:hint="eastAsia" w:ascii="宋体"/>
                <w:snapToGrid w:val="0"/>
                <w:sz w:val="24"/>
                <w:highlight w:val="none"/>
              </w:rPr>
            </w:pPr>
          </w:p>
        </w:tc>
        <w:tc>
          <w:tcPr>
            <w:tcW w:w="2020" w:type="dxa"/>
            <w:tcBorders>
              <w:top w:val="single" w:color="auto" w:sz="4" w:space="0"/>
              <w:left w:val="single" w:color="auto" w:sz="4" w:space="0"/>
              <w:bottom w:val="single" w:color="auto" w:sz="4" w:space="0"/>
              <w:right w:val="single" w:color="auto" w:sz="4" w:space="0"/>
              <w:tl2br w:val="nil"/>
              <w:tr2bl w:val="nil"/>
            </w:tcBorders>
          </w:tcPr>
          <w:p w14:paraId="295FD65B">
            <w:pPr>
              <w:snapToGrid w:val="0"/>
              <w:ind w:firstLine="480" w:firstLineChars="200"/>
              <w:rPr>
                <w:rFonts w:hint="eastAsia" w:ascii="宋体"/>
                <w:snapToGrid w:val="0"/>
                <w:sz w:val="24"/>
                <w:highlight w:val="none"/>
              </w:rPr>
            </w:pPr>
            <w:r>
              <w:rPr>
                <w:rFonts w:hint="eastAsia" w:ascii="宋体"/>
                <w:snapToGrid w:val="0"/>
                <w:sz w:val="24"/>
                <w:highlight w:val="none"/>
              </w:rPr>
              <w:t>工程师</w:t>
            </w:r>
          </w:p>
        </w:tc>
        <w:tc>
          <w:tcPr>
            <w:tcW w:w="1780" w:type="dxa"/>
            <w:tcBorders>
              <w:tl2br w:val="nil"/>
              <w:tr2bl w:val="nil"/>
            </w:tcBorders>
          </w:tcPr>
          <w:p w14:paraId="363A2726">
            <w:pPr>
              <w:snapToGrid w:val="0"/>
              <w:ind w:firstLine="480" w:firstLineChars="200"/>
              <w:rPr>
                <w:rFonts w:hint="eastAsia" w:ascii="宋体"/>
                <w:snapToGrid w:val="0"/>
                <w:sz w:val="24"/>
                <w:highlight w:val="none"/>
              </w:rPr>
            </w:pPr>
          </w:p>
        </w:tc>
        <w:tc>
          <w:tcPr>
            <w:tcW w:w="2100" w:type="dxa"/>
            <w:tcBorders>
              <w:tl2br w:val="nil"/>
              <w:tr2bl w:val="nil"/>
            </w:tcBorders>
          </w:tcPr>
          <w:p w14:paraId="71963DD4">
            <w:pPr>
              <w:snapToGrid w:val="0"/>
              <w:ind w:firstLine="480" w:firstLineChars="200"/>
              <w:rPr>
                <w:rFonts w:ascii="宋体"/>
                <w:snapToGrid w:val="0"/>
                <w:sz w:val="24"/>
                <w:highlight w:val="none"/>
              </w:rPr>
            </w:pPr>
          </w:p>
        </w:tc>
      </w:tr>
      <w:tr w14:paraId="445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right w:val="single" w:color="auto" w:sz="4" w:space="0"/>
              <w:tl2br w:val="nil"/>
              <w:tr2bl w:val="nil"/>
            </w:tcBorders>
          </w:tcPr>
          <w:p w14:paraId="001C437D">
            <w:pPr>
              <w:snapToGrid w:val="0"/>
              <w:ind w:firstLine="480" w:firstLineChars="200"/>
              <w:rPr>
                <w:rFonts w:ascii="宋体"/>
                <w:sz w:val="24"/>
                <w:highlight w:val="none"/>
                <w:lang w:val="en-US" w:eastAsia="zh-CN"/>
              </w:rPr>
            </w:pPr>
          </w:p>
        </w:tc>
        <w:tc>
          <w:tcPr>
            <w:tcW w:w="2020" w:type="dxa"/>
            <w:tcBorders>
              <w:top w:val="single" w:color="auto" w:sz="4" w:space="0"/>
              <w:left w:val="single" w:color="auto" w:sz="4" w:space="0"/>
              <w:tl2br w:val="nil"/>
              <w:tr2bl w:val="nil"/>
            </w:tcBorders>
          </w:tcPr>
          <w:p w14:paraId="3D600056">
            <w:pPr>
              <w:snapToGrid w:val="0"/>
              <w:ind w:firstLine="480" w:firstLineChars="200"/>
              <w:rPr>
                <w:rFonts w:ascii="宋体"/>
                <w:snapToGrid w:val="0"/>
                <w:sz w:val="24"/>
                <w:highlight w:val="none"/>
              </w:rPr>
            </w:pPr>
            <w:r>
              <w:rPr>
                <w:rFonts w:hint="eastAsia" w:ascii="宋体"/>
                <w:snapToGrid w:val="0"/>
                <w:sz w:val="24"/>
                <w:highlight w:val="none"/>
              </w:rPr>
              <w:t>工程师</w:t>
            </w:r>
          </w:p>
        </w:tc>
        <w:tc>
          <w:tcPr>
            <w:tcW w:w="1780" w:type="dxa"/>
            <w:tcBorders>
              <w:tl2br w:val="nil"/>
              <w:tr2bl w:val="nil"/>
            </w:tcBorders>
          </w:tcPr>
          <w:p w14:paraId="17E69624">
            <w:pPr>
              <w:snapToGrid w:val="0"/>
              <w:ind w:firstLine="480" w:firstLineChars="200"/>
              <w:rPr>
                <w:rFonts w:ascii="宋体"/>
                <w:snapToGrid w:val="0"/>
                <w:sz w:val="24"/>
                <w:highlight w:val="none"/>
              </w:rPr>
            </w:pPr>
          </w:p>
        </w:tc>
        <w:tc>
          <w:tcPr>
            <w:tcW w:w="2100" w:type="dxa"/>
            <w:tcBorders>
              <w:tl2br w:val="nil"/>
              <w:tr2bl w:val="nil"/>
            </w:tcBorders>
          </w:tcPr>
          <w:p w14:paraId="0BF48BE7">
            <w:pPr>
              <w:snapToGrid w:val="0"/>
              <w:ind w:firstLine="480" w:firstLineChars="200"/>
              <w:rPr>
                <w:rFonts w:ascii="宋体"/>
                <w:snapToGrid w:val="0"/>
                <w:sz w:val="24"/>
                <w:highlight w:val="none"/>
              </w:rPr>
            </w:pPr>
          </w:p>
        </w:tc>
      </w:tr>
    </w:tbl>
    <w:p w14:paraId="1810D671">
      <w:pPr>
        <w:ind w:firstLine="480" w:firstLineChars="200"/>
        <w:rPr>
          <w:rFonts w:hint="eastAsia" w:ascii="宋体"/>
          <w:sz w:val="24"/>
          <w:highlight w:val="none"/>
        </w:rPr>
      </w:pPr>
      <w:r>
        <w:rPr>
          <w:rFonts w:hint="eastAsia" w:ascii="宋体"/>
          <w:snapToGrid w:val="0"/>
          <w:sz w:val="24"/>
          <w:highlight w:val="none"/>
        </w:rPr>
        <w:t>未经甲方同意，乙方不得变更项目经理与项目组人员。</w:t>
      </w:r>
    </w:p>
    <w:p w14:paraId="19D0A277">
      <w:pPr>
        <w:pStyle w:val="2"/>
        <w:ind w:firstLine="883" w:firstLineChars="200"/>
        <w:rPr>
          <w:rFonts w:hint="eastAsia"/>
          <w:highlight w:val="none"/>
        </w:rPr>
      </w:pPr>
      <w:r>
        <w:rPr>
          <w:rFonts w:hint="eastAsia"/>
          <w:highlight w:val="none"/>
        </w:rPr>
        <w:br w:type="page"/>
      </w:r>
      <w:bookmarkStart w:id="260" w:name="_Toc32640"/>
      <w:r>
        <w:rPr>
          <w:rFonts w:hint="eastAsia"/>
          <w:highlight w:val="none"/>
        </w:rPr>
        <w:t>附件二：服务水平协议（SLA）</w:t>
      </w:r>
      <w:bookmarkEnd w:id="260"/>
    </w:p>
    <w:p w14:paraId="09561EAC">
      <w:pPr>
        <w:rPr>
          <w:rFonts w:hint="eastAsia" w:ascii="宋体"/>
          <w:b/>
          <w:bCs/>
          <w:highlight w:val="none"/>
        </w:rPr>
      </w:pPr>
      <w:bookmarkStart w:id="261" w:name="_Toc254884639"/>
      <w:r>
        <w:rPr>
          <w:rFonts w:hint="eastAsia" w:ascii="宋体"/>
          <w:b/>
          <w:bCs/>
          <w:kern w:val="32"/>
          <w:highlight w:val="none"/>
        </w:rPr>
        <w:t>1. 目标</w:t>
      </w:r>
      <w:bookmarkEnd w:id="261"/>
    </w:p>
    <w:p w14:paraId="2AA7A809">
      <w:pPr>
        <w:ind w:firstLine="420" w:firstLineChars="200"/>
        <w:rPr>
          <w:rFonts w:hint="eastAsia" w:ascii="宋体"/>
          <w:highlight w:val="none"/>
        </w:rPr>
      </w:pPr>
      <w:r>
        <w:rPr>
          <w:rFonts w:hint="eastAsia" w:ascii="宋体"/>
          <w:highlight w:val="none"/>
        </w:rPr>
        <w:t>本服务水平协议（SLA）的目标是为了清晰地定义由xxxxxx公司（乙方）在本项目中为重庆三峡银行（甲方）提供的服务水平，本服务</w:t>
      </w:r>
      <w:r>
        <w:rPr>
          <w:rFonts w:ascii="宋体"/>
          <w:highlight w:val="none"/>
        </w:rPr>
        <w:t>水平协议</w:t>
      </w:r>
      <w:r>
        <w:rPr>
          <w:rFonts w:hint="eastAsia" w:ascii="宋体"/>
          <w:highlight w:val="none"/>
        </w:rPr>
        <w:t>（SLA）主要：</w:t>
      </w:r>
    </w:p>
    <w:p w14:paraId="51F835CC">
      <w:pPr>
        <w:widowControl/>
        <w:numPr>
          <w:ilvl w:val="0"/>
          <w:numId w:val="4"/>
        </w:numPr>
        <w:ind w:firstLineChars="0"/>
        <w:rPr>
          <w:rFonts w:hint="eastAsia" w:ascii="宋体"/>
          <w:highlight w:val="none"/>
        </w:rPr>
      </w:pPr>
      <w:r>
        <w:rPr>
          <w:rFonts w:hint="eastAsia" w:ascii="宋体"/>
          <w:highlight w:val="none"/>
        </w:rPr>
        <w:t>明确甲方对乙方所提供服务水平的期望</w:t>
      </w:r>
    </w:p>
    <w:p w14:paraId="08583CC8">
      <w:pPr>
        <w:widowControl/>
        <w:numPr>
          <w:ilvl w:val="0"/>
          <w:numId w:val="4"/>
        </w:numPr>
        <w:ind w:firstLineChars="0"/>
        <w:rPr>
          <w:rFonts w:hint="eastAsia" w:ascii="宋体"/>
          <w:highlight w:val="none"/>
        </w:rPr>
      </w:pPr>
      <w:r>
        <w:rPr>
          <w:rFonts w:hint="eastAsia" w:ascii="宋体"/>
          <w:highlight w:val="none"/>
        </w:rPr>
        <w:t>规范和加强甲方对乙方所提供服务水平的控制</w:t>
      </w:r>
    </w:p>
    <w:p w14:paraId="20BD48EB">
      <w:pPr>
        <w:ind w:firstLine="420" w:firstLineChars="200"/>
        <w:rPr>
          <w:rFonts w:hint="eastAsia" w:ascii="宋体"/>
          <w:highlight w:val="none"/>
        </w:rPr>
      </w:pPr>
      <w:r>
        <w:rPr>
          <w:rFonts w:hint="eastAsia" w:ascii="宋体"/>
          <w:highlight w:val="none"/>
        </w:rPr>
        <w:t>双方将针对本项目制定明确的职责分工表用来确定计划和管理服务水平协议的角色和职责。</w:t>
      </w:r>
    </w:p>
    <w:p w14:paraId="51CF9517">
      <w:pPr>
        <w:rPr>
          <w:rFonts w:hint="eastAsia" w:ascii="宋体"/>
          <w:b/>
          <w:bCs/>
          <w:kern w:val="32"/>
          <w:highlight w:val="none"/>
        </w:rPr>
      </w:pPr>
      <w:bookmarkStart w:id="262" w:name="_Toc254884640"/>
      <w:r>
        <w:rPr>
          <w:rFonts w:hint="eastAsia" w:ascii="宋体"/>
          <w:b/>
          <w:bCs/>
          <w:kern w:val="32"/>
          <w:highlight w:val="none"/>
        </w:rPr>
        <w:t>2. 协议期限</w:t>
      </w:r>
      <w:bookmarkEnd w:id="262"/>
    </w:p>
    <w:p w14:paraId="4BA62D1E">
      <w:pPr>
        <w:ind w:firstLine="371" w:firstLineChars="177"/>
        <w:rPr>
          <w:rFonts w:hint="eastAsia" w:ascii="宋体"/>
          <w:highlight w:val="none"/>
        </w:rPr>
      </w:pPr>
      <w:r>
        <w:rPr>
          <w:rFonts w:hint="eastAsia" w:ascii="宋体"/>
          <w:highlight w:val="none"/>
        </w:rPr>
        <w:t>根据双方达成的一致要求，本协议的有效期从本项目维保期起至维保服务截止日。</w:t>
      </w:r>
    </w:p>
    <w:p w14:paraId="70F2BDCF">
      <w:pPr>
        <w:rPr>
          <w:rFonts w:hint="eastAsia" w:ascii="宋体"/>
          <w:b/>
          <w:bCs/>
          <w:kern w:val="32"/>
          <w:highlight w:val="none"/>
        </w:rPr>
      </w:pPr>
      <w:bookmarkStart w:id="263" w:name="_Toc254884641"/>
      <w:r>
        <w:rPr>
          <w:rFonts w:hint="eastAsia" w:ascii="宋体"/>
          <w:b/>
          <w:bCs/>
          <w:kern w:val="32"/>
          <w:highlight w:val="none"/>
        </w:rPr>
        <w:t>3. 双方职责</w:t>
      </w:r>
      <w:bookmarkEnd w:id="263"/>
    </w:p>
    <w:p w14:paraId="6FB33542">
      <w:pPr>
        <w:rPr>
          <w:rFonts w:hint="eastAsia" w:ascii="宋体"/>
          <w:b/>
          <w:bCs/>
          <w:kern w:val="32"/>
          <w:highlight w:val="none"/>
        </w:rPr>
      </w:pPr>
      <w:bookmarkStart w:id="264" w:name="_Toc254884642"/>
      <w:r>
        <w:rPr>
          <w:rFonts w:hint="eastAsia" w:ascii="宋体"/>
          <w:b/>
          <w:bCs/>
          <w:kern w:val="32"/>
          <w:highlight w:val="none"/>
        </w:rPr>
        <w:t>3.1乙方</w:t>
      </w:r>
      <w:bookmarkEnd w:id="264"/>
    </w:p>
    <w:p w14:paraId="535F8DA9">
      <w:pPr>
        <w:ind w:firstLine="420" w:firstLineChars="200"/>
        <w:rPr>
          <w:rFonts w:hint="eastAsia" w:ascii="宋体"/>
          <w:highlight w:val="none"/>
        </w:rPr>
      </w:pPr>
      <w:r>
        <w:rPr>
          <w:rFonts w:hint="eastAsia" w:ascii="宋体"/>
          <w:highlight w:val="none"/>
        </w:rPr>
        <w:t>除本协议描述的服务水平衡量和目标外，乙方还应：</w:t>
      </w:r>
    </w:p>
    <w:p w14:paraId="3BB1EEFA">
      <w:pPr>
        <w:widowControl/>
        <w:numPr>
          <w:ilvl w:val="0"/>
          <w:numId w:val="4"/>
        </w:numPr>
        <w:ind w:firstLineChars="0"/>
        <w:rPr>
          <w:rFonts w:hint="eastAsia" w:ascii="宋体"/>
          <w:highlight w:val="none"/>
        </w:rPr>
      </w:pPr>
      <w:r>
        <w:rPr>
          <w:rFonts w:hint="eastAsia" w:ascii="宋体"/>
          <w:highlight w:val="none"/>
        </w:rPr>
        <w:t>尽快向甲方管理层汇报发现的问题；</w:t>
      </w:r>
    </w:p>
    <w:p w14:paraId="0D530796">
      <w:pPr>
        <w:widowControl/>
        <w:numPr>
          <w:ilvl w:val="0"/>
          <w:numId w:val="4"/>
        </w:numPr>
        <w:ind w:firstLineChars="0"/>
        <w:rPr>
          <w:rFonts w:hint="eastAsia" w:ascii="宋体"/>
          <w:highlight w:val="none"/>
        </w:rPr>
      </w:pPr>
      <w:r>
        <w:rPr>
          <w:rFonts w:hint="eastAsia" w:ascii="宋体"/>
          <w:highlight w:val="none"/>
        </w:rPr>
        <w:t>任何可能影响SLA中规定服务的服务能力的事件，乙方应尽早向甲方提供预警信息，以及可能的影响和处置措施。事件包括：</w:t>
      </w:r>
    </w:p>
    <w:p w14:paraId="18332917">
      <w:pPr>
        <w:widowControl/>
        <w:numPr>
          <w:ilvl w:val="0"/>
          <w:numId w:val="5"/>
        </w:numPr>
        <w:ind w:firstLineChars="0"/>
        <w:rPr>
          <w:rFonts w:hint="eastAsia" w:ascii="宋体"/>
          <w:highlight w:val="none"/>
        </w:rPr>
      </w:pPr>
      <w:r>
        <w:rPr>
          <w:rFonts w:hint="eastAsia" w:ascii="宋体"/>
          <w:highlight w:val="none"/>
        </w:rPr>
        <w:t>组织架构变更</w:t>
      </w:r>
    </w:p>
    <w:p w14:paraId="169792D1">
      <w:pPr>
        <w:widowControl/>
        <w:numPr>
          <w:ilvl w:val="0"/>
          <w:numId w:val="5"/>
        </w:numPr>
        <w:ind w:firstLineChars="0"/>
        <w:rPr>
          <w:rFonts w:hint="eastAsia" w:ascii="宋体"/>
          <w:highlight w:val="none"/>
        </w:rPr>
      </w:pPr>
      <w:r>
        <w:rPr>
          <w:rFonts w:hint="eastAsia" w:ascii="宋体"/>
          <w:highlight w:val="none"/>
        </w:rPr>
        <w:t>技术变更</w:t>
      </w:r>
    </w:p>
    <w:p w14:paraId="5860F822">
      <w:pPr>
        <w:widowControl/>
        <w:numPr>
          <w:ilvl w:val="0"/>
          <w:numId w:val="5"/>
        </w:numPr>
        <w:ind w:firstLineChars="0"/>
        <w:rPr>
          <w:rFonts w:ascii="宋体"/>
          <w:highlight w:val="none"/>
        </w:rPr>
      </w:pPr>
      <w:r>
        <w:rPr>
          <w:rFonts w:hint="eastAsia" w:ascii="宋体"/>
          <w:highlight w:val="none"/>
        </w:rPr>
        <w:t>职能变更</w:t>
      </w:r>
    </w:p>
    <w:p w14:paraId="02F331A6">
      <w:pPr>
        <w:widowControl/>
        <w:numPr>
          <w:ilvl w:val="0"/>
          <w:numId w:val="5"/>
        </w:numPr>
        <w:ind w:firstLineChars="0"/>
        <w:rPr>
          <w:rFonts w:hint="eastAsia" w:ascii="宋体"/>
          <w:highlight w:val="none"/>
        </w:rPr>
      </w:pPr>
      <w:r>
        <w:rPr>
          <w:rFonts w:ascii="宋体"/>
          <w:highlight w:val="none"/>
        </w:rPr>
        <w:t>其他可能影响对甲方服务的突发事件</w:t>
      </w:r>
    </w:p>
    <w:p w14:paraId="14B5C976">
      <w:pPr>
        <w:widowControl/>
        <w:numPr>
          <w:ilvl w:val="0"/>
          <w:numId w:val="4"/>
        </w:numPr>
        <w:ind w:firstLineChars="0"/>
        <w:rPr>
          <w:rFonts w:hint="eastAsia" w:ascii="宋体"/>
          <w:highlight w:val="none"/>
        </w:rPr>
      </w:pPr>
      <w:r>
        <w:rPr>
          <w:rFonts w:hint="eastAsia" w:ascii="宋体"/>
          <w:highlight w:val="none"/>
        </w:rPr>
        <w:t xml:space="preserve"> 协助甲方及时解决生产事件。当问题产生时，应尽快采取适当的措施识别并修复问题。</w:t>
      </w:r>
    </w:p>
    <w:p w14:paraId="46800ACC">
      <w:pPr>
        <w:rPr>
          <w:rFonts w:hint="eastAsia" w:ascii="宋体"/>
          <w:b/>
          <w:bCs/>
          <w:kern w:val="32"/>
          <w:highlight w:val="none"/>
        </w:rPr>
      </w:pPr>
      <w:r>
        <w:rPr>
          <w:rFonts w:hint="eastAsia" w:ascii="宋体"/>
          <w:b/>
          <w:bCs/>
          <w:kern w:val="32"/>
          <w:highlight w:val="none"/>
        </w:rPr>
        <w:t>3.2甲方</w:t>
      </w:r>
    </w:p>
    <w:p w14:paraId="52427427">
      <w:pPr>
        <w:widowControl/>
        <w:numPr>
          <w:ilvl w:val="0"/>
          <w:numId w:val="4"/>
        </w:numPr>
        <w:ind w:left="709" w:hanging="229" w:firstLineChars="0"/>
        <w:rPr>
          <w:rFonts w:hint="eastAsia" w:ascii="宋体"/>
          <w:highlight w:val="none"/>
        </w:rPr>
      </w:pPr>
      <w:r>
        <w:rPr>
          <w:rFonts w:hint="eastAsia" w:ascii="宋体"/>
          <w:highlight w:val="none"/>
        </w:rPr>
        <w:t>甲方将尽快将问题汇报给乙方管理层；</w:t>
      </w:r>
    </w:p>
    <w:p w14:paraId="23FA6A57">
      <w:pPr>
        <w:widowControl/>
        <w:numPr>
          <w:ilvl w:val="0"/>
          <w:numId w:val="4"/>
        </w:numPr>
        <w:ind w:left="709" w:hanging="229" w:firstLineChars="0"/>
        <w:rPr>
          <w:rFonts w:hint="eastAsia" w:ascii="宋体"/>
          <w:highlight w:val="none"/>
        </w:rPr>
      </w:pPr>
      <w:r>
        <w:rPr>
          <w:rFonts w:hint="eastAsia" w:ascii="宋体"/>
          <w:highlight w:val="none"/>
        </w:rPr>
        <w:t>提供任何可能影响乙方向甲方提供SLA中规定服务的服务能力的事件信息，包括：</w:t>
      </w:r>
    </w:p>
    <w:p w14:paraId="0982B120">
      <w:pPr>
        <w:widowControl/>
        <w:numPr>
          <w:ilvl w:val="0"/>
          <w:numId w:val="5"/>
        </w:numPr>
        <w:ind w:firstLineChars="0"/>
        <w:rPr>
          <w:rFonts w:hint="eastAsia" w:ascii="宋体"/>
          <w:highlight w:val="none"/>
        </w:rPr>
      </w:pPr>
      <w:r>
        <w:rPr>
          <w:rFonts w:hint="eastAsia" w:ascii="宋体"/>
          <w:highlight w:val="none"/>
        </w:rPr>
        <w:t>组织架构变更</w:t>
      </w:r>
    </w:p>
    <w:p w14:paraId="21BEDCD0">
      <w:pPr>
        <w:widowControl/>
        <w:numPr>
          <w:ilvl w:val="0"/>
          <w:numId w:val="5"/>
        </w:numPr>
        <w:ind w:firstLineChars="0"/>
        <w:rPr>
          <w:rFonts w:hint="eastAsia" w:ascii="宋体"/>
          <w:highlight w:val="none"/>
        </w:rPr>
      </w:pPr>
      <w:r>
        <w:rPr>
          <w:rFonts w:hint="eastAsia" w:ascii="宋体"/>
          <w:highlight w:val="none"/>
        </w:rPr>
        <w:t>技术变更</w:t>
      </w:r>
    </w:p>
    <w:p w14:paraId="2D5FF37D">
      <w:pPr>
        <w:widowControl/>
        <w:numPr>
          <w:ilvl w:val="0"/>
          <w:numId w:val="5"/>
        </w:numPr>
        <w:ind w:firstLineChars="0"/>
        <w:rPr>
          <w:rFonts w:ascii="宋体"/>
          <w:highlight w:val="none"/>
        </w:rPr>
      </w:pPr>
      <w:r>
        <w:rPr>
          <w:rFonts w:hint="eastAsia" w:ascii="宋体"/>
          <w:highlight w:val="none"/>
        </w:rPr>
        <w:t>职能变更</w:t>
      </w:r>
    </w:p>
    <w:p w14:paraId="50BBA7F1">
      <w:pPr>
        <w:rPr>
          <w:rFonts w:ascii="宋体"/>
          <w:b/>
          <w:bCs/>
          <w:kern w:val="32"/>
          <w:highlight w:val="none"/>
        </w:rPr>
      </w:pPr>
      <w:r>
        <w:rPr>
          <w:rFonts w:ascii="宋体"/>
          <w:b/>
          <w:bCs/>
          <w:kern w:val="32"/>
          <w:highlight w:val="none"/>
        </w:rPr>
        <w:t>4</w:t>
      </w:r>
      <w:r>
        <w:rPr>
          <w:rFonts w:hint="eastAsia" w:ascii="宋体"/>
          <w:b/>
          <w:bCs/>
          <w:kern w:val="32"/>
          <w:highlight w:val="none"/>
        </w:rPr>
        <w:t>.服务水平和指标</w:t>
      </w:r>
    </w:p>
    <w:p w14:paraId="5D627DA2">
      <w:pPr>
        <w:ind w:left="0" w:firstLine="420" w:firstLineChars="200"/>
        <w:rPr>
          <w:rFonts w:ascii="宋体"/>
          <w:highlight w:val="none"/>
        </w:rPr>
      </w:pPr>
      <w:r>
        <w:rPr>
          <w:rFonts w:hint="eastAsia" w:ascii="宋体"/>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5ADB8B57">
      <w:pPr>
        <w:rPr>
          <w:rFonts w:hint="eastAsia" w:ascii="宋体"/>
          <w:b/>
          <w:bCs/>
          <w:kern w:val="32"/>
          <w:highlight w:val="none"/>
        </w:rPr>
        <w:sectPr>
          <w:headerReference r:id="rId6" w:type="default"/>
          <w:footerReference r:id="rId7" w:type="default"/>
          <w:pgSz w:w="11906" w:h="16838"/>
          <w:pgMar w:top="1440" w:right="1758" w:bottom="1440" w:left="1758" w:header="851" w:footer="992" w:gutter="0"/>
          <w:cols w:space="720" w:num="1"/>
          <w:docGrid w:type="lines" w:linePitch="360" w:charSpace="0"/>
        </w:sectPr>
      </w:pPr>
    </w:p>
    <w:tbl>
      <w:tblPr>
        <w:tblStyle w:val="17"/>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5"/>
        <w:gridCol w:w="1123"/>
        <w:gridCol w:w="2550"/>
        <w:gridCol w:w="3447"/>
        <w:gridCol w:w="2457"/>
        <w:gridCol w:w="1536"/>
        <w:gridCol w:w="1091"/>
      </w:tblGrid>
      <w:tr w14:paraId="15F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l2br w:val="nil"/>
              <w:tr2bl w:val="nil"/>
            </w:tcBorders>
            <w:shd w:val="clear" w:color="auto" w:fill="auto"/>
            <w:vAlign w:val="center"/>
          </w:tcPr>
          <w:p w14:paraId="4796B4DF">
            <w:pPr>
              <w:ind w:left="0" w:firstLine="0" w:firstLineChars="0"/>
              <w:jc w:val="both"/>
              <w:rPr>
                <w:rFonts w:ascii="宋体" w:hAnsi="宋体"/>
                <w:b/>
                <w:szCs w:val="21"/>
                <w:highlight w:val="none"/>
              </w:rPr>
            </w:pPr>
            <w:r>
              <w:rPr>
                <w:rFonts w:ascii="宋体" w:hAnsi="宋体"/>
                <w:b/>
                <w:szCs w:val="21"/>
                <w:highlight w:val="none"/>
              </w:rPr>
              <w:t>序号</w:t>
            </w:r>
          </w:p>
        </w:tc>
        <w:tc>
          <w:tcPr>
            <w:tcW w:w="1145" w:type="dxa"/>
            <w:tcBorders>
              <w:tl2br w:val="nil"/>
              <w:tr2bl w:val="nil"/>
            </w:tcBorders>
            <w:shd w:val="clear" w:color="auto" w:fill="auto"/>
            <w:vAlign w:val="center"/>
          </w:tcPr>
          <w:p w14:paraId="1AECF8A6">
            <w:pPr>
              <w:ind w:left="0" w:firstLine="0" w:firstLineChars="0"/>
              <w:jc w:val="both"/>
              <w:rPr>
                <w:rFonts w:ascii="宋体" w:hAnsi="宋体"/>
                <w:b/>
                <w:szCs w:val="21"/>
                <w:highlight w:val="none"/>
              </w:rPr>
            </w:pPr>
            <w:r>
              <w:rPr>
                <w:rFonts w:ascii="宋体" w:hAnsi="宋体"/>
                <w:b/>
                <w:szCs w:val="21"/>
                <w:highlight w:val="none"/>
              </w:rPr>
              <w:t>评价维度</w:t>
            </w:r>
          </w:p>
        </w:tc>
        <w:tc>
          <w:tcPr>
            <w:tcW w:w="1123" w:type="dxa"/>
            <w:tcBorders>
              <w:tl2br w:val="nil"/>
              <w:tr2bl w:val="nil"/>
            </w:tcBorders>
            <w:shd w:val="clear" w:color="auto" w:fill="auto"/>
            <w:vAlign w:val="center"/>
          </w:tcPr>
          <w:p w14:paraId="6AA6DF9D">
            <w:pPr>
              <w:ind w:left="0" w:firstLine="0" w:firstLineChars="0"/>
              <w:jc w:val="both"/>
              <w:rPr>
                <w:rFonts w:ascii="宋体" w:hAnsi="宋体"/>
                <w:b/>
                <w:szCs w:val="21"/>
                <w:highlight w:val="none"/>
              </w:rPr>
            </w:pPr>
            <w:r>
              <w:rPr>
                <w:rFonts w:ascii="宋体" w:hAnsi="宋体"/>
                <w:b/>
                <w:szCs w:val="21"/>
                <w:highlight w:val="none"/>
              </w:rPr>
              <w:t>评价指标</w:t>
            </w:r>
          </w:p>
        </w:tc>
        <w:tc>
          <w:tcPr>
            <w:tcW w:w="2550" w:type="dxa"/>
            <w:tcBorders>
              <w:tl2br w:val="nil"/>
              <w:tr2bl w:val="nil"/>
            </w:tcBorders>
            <w:shd w:val="clear" w:color="auto" w:fill="auto"/>
            <w:vAlign w:val="center"/>
          </w:tcPr>
          <w:p w14:paraId="5A5C41EF">
            <w:pPr>
              <w:jc w:val="center"/>
              <w:rPr>
                <w:rFonts w:ascii="宋体" w:hAnsi="宋体"/>
                <w:b/>
                <w:szCs w:val="21"/>
                <w:highlight w:val="none"/>
              </w:rPr>
            </w:pPr>
            <w:r>
              <w:rPr>
                <w:rFonts w:ascii="宋体" w:hAnsi="宋体"/>
                <w:b/>
                <w:szCs w:val="21"/>
                <w:highlight w:val="none"/>
              </w:rPr>
              <w:t>指标定义</w:t>
            </w:r>
          </w:p>
        </w:tc>
        <w:tc>
          <w:tcPr>
            <w:tcW w:w="3447" w:type="dxa"/>
            <w:tcBorders>
              <w:tl2br w:val="nil"/>
              <w:tr2bl w:val="nil"/>
            </w:tcBorders>
            <w:shd w:val="clear" w:color="auto" w:fill="auto"/>
            <w:vAlign w:val="center"/>
          </w:tcPr>
          <w:p w14:paraId="1E36F8D1">
            <w:pPr>
              <w:jc w:val="center"/>
              <w:rPr>
                <w:rFonts w:ascii="宋体" w:hAnsi="宋体"/>
                <w:b/>
                <w:szCs w:val="21"/>
                <w:highlight w:val="none"/>
              </w:rPr>
            </w:pPr>
            <w:r>
              <w:rPr>
                <w:rFonts w:ascii="宋体" w:hAnsi="宋体"/>
                <w:b/>
                <w:szCs w:val="21"/>
                <w:highlight w:val="none"/>
              </w:rPr>
              <w:t>评分</w:t>
            </w:r>
            <w:r>
              <w:rPr>
                <w:rFonts w:hint="eastAsia" w:ascii="宋体" w:hAnsi="宋体"/>
                <w:b/>
                <w:szCs w:val="21"/>
                <w:highlight w:val="none"/>
              </w:rPr>
              <w:t>/价</w:t>
            </w:r>
            <w:r>
              <w:rPr>
                <w:rFonts w:ascii="宋体" w:hAnsi="宋体"/>
                <w:b/>
                <w:szCs w:val="21"/>
                <w:highlight w:val="none"/>
              </w:rPr>
              <w:t>标准</w:t>
            </w:r>
          </w:p>
        </w:tc>
        <w:tc>
          <w:tcPr>
            <w:tcW w:w="2457" w:type="dxa"/>
            <w:tcBorders>
              <w:tl2br w:val="nil"/>
              <w:tr2bl w:val="nil"/>
            </w:tcBorders>
            <w:shd w:val="clear" w:color="auto" w:fill="auto"/>
            <w:vAlign w:val="center"/>
          </w:tcPr>
          <w:p w14:paraId="1A84132C">
            <w:pPr>
              <w:jc w:val="center"/>
              <w:rPr>
                <w:rFonts w:ascii="宋体" w:hAnsi="宋体"/>
                <w:b/>
                <w:szCs w:val="21"/>
                <w:highlight w:val="none"/>
              </w:rPr>
            </w:pPr>
            <w:r>
              <w:rPr>
                <w:rFonts w:hint="eastAsia" w:ascii="宋体" w:hAnsi="宋体"/>
                <w:b/>
                <w:szCs w:val="21"/>
                <w:highlight w:val="none"/>
              </w:rPr>
              <w:t>违约金标准</w:t>
            </w:r>
          </w:p>
        </w:tc>
        <w:tc>
          <w:tcPr>
            <w:tcW w:w="1536" w:type="dxa"/>
            <w:tcBorders>
              <w:tl2br w:val="nil"/>
              <w:tr2bl w:val="nil"/>
            </w:tcBorders>
            <w:shd w:val="clear" w:color="auto" w:fill="auto"/>
            <w:vAlign w:val="center"/>
          </w:tcPr>
          <w:p w14:paraId="78DDA040">
            <w:pPr>
              <w:ind w:left="0" w:firstLine="0" w:firstLineChars="0"/>
              <w:jc w:val="center"/>
              <w:rPr>
                <w:rFonts w:ascii="宋体" w:hAnsi="宋体"/>
                <w:b/>
                <w:szCs w:val="21"/>
                <w:highlight w:val="none"/>
              </w:rPr>
            </w:pPr>
            <w:r>
              <w:rPr>
                <w:rFonts w:ascii="宋体" w:hAnsi="宋体"/>
                <w:b/>
                <w:szCs w:val="21"/>
                <w:highlight w:val="none"/>
              </w:rPr>
              <w:t>评价结果</w:t>
            </w:r>
          </w:p>
        </w:tc>
        <w:tc>
          <w:tcPr>
            <w:tcW w:w="1091" w:type="dxa"/>
            <w:tcBorders>
              <w:tl2br w:val="nil"/>
              <w:tr2bl w:val="nil"/>
            </w:tcBorders>
            <w:shd w:val="clear" w:color="auto" w:fill="auto"/>
            <w:vAlign w:val="center"/>
          </w:tcPr>
          <w:p w14:paraId="10470666">
            <w:pPr>
              <w:ind w:left="0" w:firstLine="0" w:firstLineChars="0"/>
              <w:jc w:val="both"/>
              <w:rPr>
                <w:rFonts w:ascii="宋体" w:hAnsi="宋体"/>
                <w:b/>
                <w:szCs w:val="21"/>
                <w:highlight w:val="none"/>
              </w:rPr>
            </w:pPr>
            <w:r>
              <w:rPr>
                <w:rFonts w:ascii="宋体" w:hAnsi="宋体"/>
                <w:b/>
                <w:szCs w:val="21"/>
                <w:highlight w:val="none"/>
              </w:rPr>
              <w:t>评价得分</w:t>
            </w:r>
          </w:p>
        </w:tc>
      </w:tr>
      <w:tr w14:paraId="5D8D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07" w:type="dxa"/>
            <w:tcBorders>
              <w:tl2br w:val="nil"/>
              <w:tr2bl w:val="nil"/>
            </w:tcBorders>
            <w:shd w:val="clear" w:color="auto" w:fill="auto"/>
            <w:vAlign w:val="center"/>
          </w:tcPr>
          <w:p w14:paraId="7A19B086">
            <w:pPr>
              <w:ind w:left="0" w:firstLine="0" w:firstLineChars="0"/>
              <w:jc w:val="both"/>
              <w:rPr>
                <w:rFonts w:ascii="宋体" w:hAnsi="宋体"/>
                <w:szCs w:val="21"/>
                <w:highlight w:val="none"/>
              </w:rPr>
            </w:pPr>
            <w:r>
              <w:rPr>
                <w:rFonts w:hint="eastAsia" w:ascii="宋体" w:hAnsi="宋体"/>
                <w:szCs w:val="21"/>
                <w:highlight w:val="none"/>
              </w:rPr>
              <w:t>1</w:t>
            </w:r>
          </w:p>
        </w:tc>
        <w:tc>
          <w:tcPr>
            <w:tcW w:w="1145" w:type="dxa"/>
            <w:vMerge w:val="restart"/>
            <w:tcBorders>
              <w:tl2br w:val="nil"/>
              <w:tr2bl w:val="nil"/>
            </w:tcBorders>
            <w:shd w:val="clear" w:color="auto" w:fill="auto"/>
            <w:vAlign w:val="center"/>
          </w:tcPr>
          <w:p w14:paraId="740E5FCA">
            <w:pPr>
              <w:ind w:left="0" w:firstLine="0" w:firstLineChars="0"/>
              <w:jc w:val="both"/>
              <w:rPr>
                <w:rFonts w:ascii="宋体" w:hAnsi="宋体"/>
                <w:szCs w:val="21"/>
                <w:highlight w:val="none"/>
              </w:rPr>
            </w:pPr>
            <w:r>
              <w:rPr>
                <w:rFonts w:hint="eastAsia" w:ascii="宋体" w:hAnsi="宋体"/>
                <w:szCs w:val="21"/>
                <w:highlight w:val="none"/>
              </w:rPr>
              <w:t>服务质量</w:t>
            </w:r>
          </w:p>
        </w:tc>
        <w:tc>
          <w:tcPr>
            <w:tcW w:w="1123" w:type="dxa"/>
            <w:tcBorders>
              <w:tl2br w:val="nil"/>
              <w:tr2bl w:val="nil"/>
            </w:tcBorders>
            <w:shd w:val="clear" w:color="auto" w:fill="auto"/>
            <w:vAlign w:val="center"/>
          </w:tcPr>
          <w:p w14:paraId="55BCBF1B">
            <w:pPr>
              <w:ind w:left="0" w:firstLine="0" w:firstLineChars="0"/>
              <w:rPr>
                <w:rFonts w:ascii="宋体" w:hAnsi="宋体"/>
                <w:szCs w:val="21"/>
                <w:highlight w:val="none"/>
              </w:rPr>
            </w:pPr>
            <w:r>
              <w:rPr>
                <w:rFonts w:ascii="宋体" w:hAnsi="宋体"/>
                <w:szCs w:val="21"/>
                <w:highlight w:val="none"/>
              </w:rPr>
              <w:t>交付成果质量</w:t>
            </w:r>
          </w:p>
        </w:tc>
        <w:tc>
          <w:tcPr>
            <w:tcW w:w="2550" w:type="dxa"/>
            <w:tcBorders>
              <w:tl2br w:val="nil"/>
              <w:tr2bl w:val="nil"/>
            </w:tcBorders>
            <w:shd w:val="clear" w:color="auto" w:fill="auto"/>
            <w:vAlign w:val="center"/>
          </w:tcPr>
          <w:p w14:paraId="78D9913B">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所提交的项目交付成果与</w:t>
            </w:r>
            <w:r>
              <w:rPr>
                <w:rFonts w:hint="eastAsia" w:ascii="宋体" w:hAnsi="宋体"/>
                <w:szCs w:val="21"/>
                <w:highlight w:val="none"/>
              </w:rPr>
              <w:t>甲方</w:t>
            </w:r>
            <w:r>
              <w:rPr>
                <w:rFonts w:ascii="宋体" w:hAnsi="宋体"/>
                <w:szCs w:val="21"/>
                <w:highlight w:val="none"/>
              </w:rPr>
              <w:t>要求的项目交付成果的契合度或交付成果质量与合同所约定要求的项目交付成果质量的满足程度</w:t>
            </w:r>
          </w:p>
        </w:tc>
        <w:tc>
          <w:tcPr>
            <w:tcW w:w="3447" w:type="dxa"/>
            <w:tcBorders>
              <w:tl2br w:val="nil"/>
              <w:tr2bl w:val="nil"/>
            </w:tcBorders>
            <w:shd w:val="clear" w:color="auto" w:fill="auto"/>
            <w:vAlign w:val="center"/>
          </w:tcPr>
          <w:p w14:paraId="26A5D398">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0920BDA2">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能够快速响应需求，交付成果达到合同约定的预期目标，基本契合需求，满足合同约定的预期目标</w:t>
            </w:r>
            <w:r>
              <w:rPr>
                <w:rFonts w:hint="eastAsia" w:ascii="宋体" w:hAnsi="宋体"/>
                <w:szCs w:val="21"/>
                <w:highlight w:val="none"/>
              </w:rPr>
              <w:t>；</w:t>
            </w:r>
          </w:p>
          <w:p w14:paraId="381A50A3">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能够按要求响应需求，交付成果</w:t>
            </w:r>
            <w:r>
              <w:rPr>
                <w:rFonts w:hint="eastAsia" w:ascii="宋体" w:hAnsi="宋体"/>
                <w:szCs w:val="21"/>
                <w:highlight w:val="none"/>
              </w:rPr>
              <w:t>基本满足</w:t>
            </w:r>
            <w:r>
              <w:rPr>
                <w:rFonts w:ascii="宋体" w:hAnsi="宋体"/>
                <w:szCs w:val="21"/>
                <w:highlight w:val="none"/>
              </w:rPr>
              <w:t>需求，但是总体可满足合同约定的预期目标</w:t>
            </w:r>
            <w:r>
              <w:rPr>
                <w:rFonts w:hint="eastAsia" w:ascii="宋体" w:hAnsi="宋体"/>
                <w:szCs w:val="21"/>
                <w:highlight w:val="none"/>
              </w:rPr>
              <w:t>；</w:t>
            </w:r>
          </w:p>
          <w:p w14:paraId="723D4BA8">
            <w:pPr>
              <w:ind w:left="0" w:firstLine="0" w:firstLineChars="0"/>
              <w:rPr>
                <w:rFonts w:ascii="宋体" w:hAnsi="宋体"/>
                <w:b/>
                <w:bCs/>
                <w:szCs w:val="21"/>
                <w:highlight w:val="none"/>
              </w:rPr>
            </w:pPr>
            <w:r>
              <w:rPr>
                <w:rFonts w:hint="eastAsia" w:ascii="宋体" w:hAnsi="宋体"/>
                <w:b/>
                <w:bCs/>
                <w:szCs w:val="21"/>
                <w:highlight w:val="none"/>
              </w:rPr>
              <w:t>较差/差：0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乙方未</w:t>
            </w:r>
            <w:r>
              <w:rPr>
                <w:rFonts w:ascii="宋体" w:hAnsi="宋体"/>
                <w:szCs w:val="21"/>
                <w:highlight w:val="none"/>
              </w:rPr>
              <w:t>能够按要求响应需求，</w:t>
            </w:r>
            <w:r>
              <w:rPr>
                <w:rFonts w:hint="eastAsia" w:ascii="宋体" w:hAnsi="宋体"/>
                <w:szCs w:val="21"/>
                <w:highlight w:val="none"/>
              </w:rPr>
              <w:t>或</w:t>
            </w:r>
            <w:r>
              <w:rPr>
                <w:rFonts w:ascii="宋体" w:hAnsi="宋体"/>
                <w:szCs w:val="21"/>
                <w:highlight w:val="none"/>
              </w:rPr>
              <w:t>交付成果与需求</w:t>
            </w:r>
            <w:r>
              <w:rPr>
                <w:rFonts w:hint="eastAsia" w:ascii="宋体" w:hAnsi="宋体"/>
                <w:szCs w:val="21"/>
                <w:highlight w:val="none"/>
              </w:rPr>
              <w:t>契合度</w:t>
            </w:r>
            <w:r>
              <w:rPr>
                <w:rFonts w:ascii="宋体" w:hAnsi="宋体"/>
                <w:szCs w:val="21"/>
                <w:highlight w:val="none"/>
              </w:rPr>
              <w:t>差距较大，无法达到合同约定的预期目标</w:t>
            </w:r>
            <w:r>
              <w:rPr>
                <w:rFonts w:hint="eastAsia" w:ascii="宋体" w:hAnsi="宋体"/>
                <w:szCs w:val="21"/>
                <w:highlight w:val="none"/>
              </w:rPr>
              <w:t>。</w:t>
            </w:r>
          </w:p>
        </w:tc>
        <w:tc>
          <w:tcPr>
            <w:tcW w:w="2457" w:type="dxa"/>
            <w:tcBorders>
              <w:tl2br w:val="nil"/>
              <w:tr2bl w:val="nil"/>
            </w:tcBorders>
            <w:shd w:val="clear" w:color="auto" w:fill="auto"/>
            <w:vAlign w:val="center"/>
          </w:tcPr>
          <w:p w14:paraId="21233663">
            <w:pPr>
              <w:ind w:left="0" w:firstLine="0" w:firstLineChars="0"/>
              <w:rPr>
                <w:rFonts w:ascii="宋体" w:hAnsi="宋体"/>
                <w:szCs w:val="21"/>
                <w:highlight w:val="none"/>
              </w:rPr>
            </w:pPr>
            <w:r>
              <w:rPr>
                <w:rFonts w:hint="eastAsia" w:ascii="宋体" w:hAnsi="宋体"/>
                <w:szCs w:val="21"/>
                <w:highlight w:val="none"/>
              </w:rPr>
              <w:t>交付物每缺少一项，或质量不合格且未按甲方要求立即整改的，扣除乙方金额人民币</w:t>
            </w:r>
            <w:r>
              <w:rPr>
                <w:rFonts w:ascii="宋体" w:hAnsi="宋体"/>
                <w:szCs w:val="21"/>
                <w:highlight w:val="none"/>
              </w:rPr>
              <w:t>5000</w:t>
            </w:r>
            <w:r>
              <w:rPr>
                <w:rFonts w:hint="eastAsia" w:ascii="宋体" w:hAnsi="宋体"/>
                <w:szCs w:val="21"/>
                <w:highlight w:val="none"/>
              </w:rPr>
              <w:t>元。</w:t>
            </w:r>
          </w:p>
        </w:tc>
        <w:tc>
          <w:tcPr>
            <w:tcW w:w="1536" w:type="dxa"/>
            <w:tcBorders>
              <w:tl2br w:val="nil"/>
              <w:tr2bl w:val="nil"/>
            </w:tcBorders>
            <w:shd w:val="clear" w:color="auto" w:fill="auto"/>
            <w:vAlign w:val="center"/>
          </w:tcPr>
          <w:p w14:paraId="5E9E1C30">
            <w:pPr>
              <w:jc w:val="left"/>
              <w:rPr>
                <w:rFonts w:ascii="宋体" w:hAnsi="宋体"/>
                <w:szCs w:val="21"/>
                <w:highlight w:val="none"/>
              </w:rPr>
            </w:pPr>
          </w:p>
        </w:tc>
        <w:tc>
          <w:tcPr>
            <w:tcW w:w="1091" w:type="dxa"/>
            <w:tcBorders>
              <w:tl2br w:val="nil"/>
              <w:tr2bl w:val="nil"/>
            </w:tcBorders>
            <w:shd w:val="clear" w:color="auto" w:fill="auto"/>
            <w:vAlign w:val="center"/>
          </w:tcPr>
          <w:p w14:paraId="61D27E89">
            <w:pPr>
              <w:jc w:val="left"/>
              <w:rPr>
                <w:rFonts w:ascii="宋体" w:hAnsi="宋体"/>
                <w:szCs w:val="21"/>
                <w:highlight w:val="none"/>
              </w:rPr>
            </w:pPr>
          </w:p>
        </w:tc>
      </w:tr>
      <w:tr w14:paraId="629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08871C67">
            <w:pPr>
              <w:ind w:left="0" w:firstLine="0" w:firstLineChars="0"/>
              <w:jc w:val="both"/>
              <w:rPr>
                <w:rFonts w:ascii="宋体" w:hAnsi="宋体"/>
                <w:szCs w:val="21"/>
                <w:highlight w:val="none"/>
              </w:rPr>
            </w:pPr>
            <w:r>
              <w:rPr>
                <w:rFonts w:hint="eastAsia" w:ascii="宋体" w:hAnsi="宋体"/>
                <w:szCs w:val="21"/>
                <w:highlight w:val="none"/>
              </w:rPr>
              <w:t>2</w:t>
            </w:r>
          </w:p>
        </w:tc>
        <w:tc>
          <w:tcPr>
            <w:tcW w:w="1145" w:type="dxa"/>
            <w:vMerge w:val="continue"/>
            <w:tcBorders>
              <w:tl2br w:val="nil"/>
              <w:tr2bl w:val="nil"/>
            </w:tcBorders>
            <w:shd w:val="clear" w:color="auto" w:fill="auto"/>
          </w:tcPr>
          <w:p w14:paraId="716DE8A9"/>
        </w:tc>
        <w:tc>
          <w:tcPr>
            <w:tcW w:w="1123" w:type="dxa"/>
            <w:tcBorders>
              <w:tl2br w:val="nil"/>
              <w:tr2bl w:val="nil"/>
            </w:tcBorders>
            <w:shd w:val="clear" w:color="auto" w:fill="auto"/>
            <w:vAlign w:val="center"/>
          </w:tcPr>
          <w:p w14:paraId="2BBFDC80">
            <w:pPr>
              <w:ind w:left="0" w:firstLine="0" w:firstLineChars="0"/>
              <w:rPr>
                <w:rFonts w:ascii="宋体" w:hAnsi="宋体"/>
                <w:szCs w:val="21"/>
                <w:highlight w:val="none"/>
              </w:rPr>
            </w:pPr>
            <w:r>
              <w:rPr>
                <w:rFonts w:ascii="宋体" w:hAnsi="宋体"/>
                <w:szCs w:val="21"/>
                <w:highlight w:val="none"/>
              </w:rPr>
              <w:t>成果交付延期情况</w:t>
            </w:r>
          </w:p>
        </w:tc>
        <w:tc>
          <w:tcPr>
            <w:tcW w:w="2550" w:type="dxa"/>
            <w:tcBorders>
              <w:tl2br w:val="nil"/>
              <w:tr2bl w:val="nil"/>
            </w:tcBorders>
            <w:shd w:val="clear" w:color="auto" w:fill="auto"/>
            <w:vAlign w:val="center"/>
          </w:tcPr>
          <w:p w14:paraId="57D28FF7">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因乙方原因导致</w:t>
            </w:r>
            <w:r>
              <w:rPr>
                <w:rFonts w:ascii="宋体" w:hAnsi="宋体"/>
                <w:szCs w:val="21"/>
                <w:highlight w:val="none"/>
              </w:rPr>
              <w:t>项目交付成果时间与合同规定时间之间的差距</w:t>
            </w:r>
          </w:p>
        </w:tc>
        <w:tc>
          <w:tcPr>
            <w:tcW w:w="3447" w:type="dxa"/>
            <w:tcBorders>
              <w:tl2br w:val="nil"/>
              <w:tr2bl w:val="nil"/>
            </w:tcBorders>
            <w:shd w:val="clear" w:color="auto" w:fill="auto"/>
            <w:vAlign w:val="center"/>
          </w:tcPr>
          <w:p w14:paraId="0DA1F1E4">
            <w:pPr>
              <w:ind w:left="0" w:firstLine="0" w:firstLineChars="0"/>
              <w:rPr>
                <w:rFonts w:ascii="宋体" w:hAnsi="宋体"/>
                <w:szCs w:val="21"/>
                <w:highlight w:val="none"/>
              </w:rPr>
            </w:pPr>
            <w:r>
              <w:rPr>
                <w:rFonts w:hint="eastAsia" w:ascii="宋体" w:hAnsi="宋体"/>
                <w:szCs w:val="21"/>
                <w:highlight w:val="none"/>
              </w:rPr>
              <w:t>实</w:t>
            </w:r>
            <w:r>
              <w:rPr>
                <w:rFonts w:ascii="宋体" w:hAnsi="宋体"/>
                <w:szCs w:val="21"/>
                <w:highlight w:val="none"/>
              </w:rPr>
              <w:t>际交付成果日期与合同约定交付日期之差</w:t>
            </w:r>
          </w:p>
          <w:p w14:paraId="31EFB453">
            <w:pPr>
              <w:ind w:left="0" w:firstLine="0" w:firstLineChars="0"/>
              <w:rPr>
                <w:rFonts w:ascii="宋体" w:hAnsi="宋体"/>
                <w:szCs w:val="21"/>
                <w:highlight w:val="none"/>
              </w:rPr>
            </w:pPr>
            <w:r>
              <w:rPr>
                <w:rFonts w:hint="eastAsia" w:ascii="宋体" w:hAnsi="宋体"/>
                <w:b/>
                <w:bCs/>
                <w:szCs w:val="21"/>
                <w:highlight w:val="none"/>
              </w:rPr>
              <w:t>【得分上限5分】</w:t>
            </w:r>
          </w:p>
          <w:p w14:paraId="73CC00D4">
            <w:pPr>
              <w:ind w:left="0" w:firstLine="0" w:firstLineChars="0"/>
              <w:rPr>
                <w:rFonts w:ascii="宋体" w:hAnsi="宋体"/>
                <w:szCs w:val="21"/>
                <w:highlight w:val="none"/>
              </w:rPr>
            </w:pPr>
            <w:r>
              <w:rPr>
                <w:rFonts w:hint="eastAsia" w:ascii="宋体" w:hAnsi="宋体"/>
                <w:b/>
                <w:bCs/>
                <w:szCs w:val="21"/>
                <w:highlight w:val="none"/>
              </w:rPr>
              <w:t>无延期：</w:t>
            </w:r>
            <w:r>
              <w:rPr>
                <w:rFonts w:hint="eastAsia" w:ascii="宋体" w:hAnsi="宋体"/>
                <w:szCs w:val="21"/>
                <w:highlight w:val="none"/>
              </w:rPr>
              <w:t>指未出现延期，该项指标满分；</w:t>
            </w:r>
          </w:p>
          <w:p w14:paraId="078E403C">
            <w:pPr>
              <w:ind w:left="0" w:firstLine="0" w:firstLineChars="0"/>
              <w:rPr>
                <w:rFonts w:ascii="宋体" w:hAnsi="宋体"/>
                <w:szCs w:val="21"/>
                <w:highlight w:val="none"/>
              </w:rPr>
            </w:pPr>
            <w:r>
              <w:rPr>
                <w:rFonts w:hint="eastAsia" w:ascii="宋体" w:hAnsi="宋体"/>
                <w:b/>
                <w:bCs/>
                <w:szCs w:val="21"/>
                <w:highlight w:val="none"/>
              </w:rPr>
              <w:t>0＜延期≤</w:t>
            </w:r>
            <w:r>
              <w:rPr>
                <w:rFonts w:ascii="宋体" w:hAnsi="宋体"/>
                <w:b/>
                <w:bCs/>
                <w:szCs w:val="21"/>
                <w:highlight w:val="none"/>
              </w:rPr>
              <w:t>1</w:t>
            </w:r>
            <w:r>
              <w:rPr>
                <w:rFonts w:hint="eastAsia" w:ascii="宋体" w:hAnsi="宋体"/>
                <w:b/>
                <w:bCs/>
                <w:szCs w:val="21"/>
                <w:highlight w:val="none"/>
              </w:rPr>
              <w:t>个月：</w:t>
            </w:r>
            <w:r>
              <w:rPr>
                <w:rFonts w:hint="eastAsia" w:ascii="宋体" w:hAnsi="宋体"/>
                <w:szCs w:val="21"/>
                <w:highlight w:val="none"/>
              </w:rPr>
              <w:t>扣2分，指出现延期</w:t>
            </w:r>
            <w:r>
              <w:rPr>
                <w:rFonts w:ascii="宋体" w:hAnsi="宋体"/>
                <w:szCs w:val="21"/>
                <w:highlight w:val="none"/>
              </w:rPr>
              <w:t>1</w:t>
            </w:r>
            <w:r>
              <w:rPr>
                <w:rFonts w:hint="eastAsia" w:ascii="宋体" w:hAnsi="宋体"/>
                <w:szCs w:val="21"/>
                <w:highlight w:val="none"/>
              </w:rPr>
              <w:t>个月</w:t>
            </w:r>
            <w:r>
              <w:rPr>
                <w:rFonts w:ascii="宋体" w:hAnsi="宋体"/>
                <w:szCs w:val="21"/>
                <w:highlight w:val="none"/>
              </w:rPr>
              <w:t>（含）</w:t>
            </w:r>
            <w:r>
              <w:rPr>
                <w:rFonts w:hint="eastAsia" w:ascii="宋体" w:hAnsi="宋体"/>
                <w:szCs w:val="21"/>
                <w:highlight w:val="none"/>
              </w:rPr>
              <w:t>以内；</w:t>
            </w:r>
          </w:p>
          <w:p w14:paraId="20AB2B6B">
            <w:pPr>
              <w:ind w:left="0" w:firstLine="0" w:firstLineChars="0"/>
              <w:rPr>
                <w:rFonts w:ascii="宋体" w:hAnsi="宋体"/>
                <w:szCs w:val="21"/>
                <w:highlight w:val="none"/>
              </w:rPr>
            </w:pPr>
            <w:r>
              <w:rPr>
                <w:rFonts w:ascii="宋体" w:hAnsi="宋体"/>
                <w:b/>
                <w:bCs/>
                <w:szCs w:val="21"/>
                <w:highlight w:val="none"/>
              </w:rPr>
              <w:t>1</w:t>
            </w: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w:t>
            </w:r>
            <w:r>
              <w:rPr>
                <w:rFonts w:hint="eastAsia" w:ascii="宋体" w:hAnsi="宋体"/>
                <w:szCs w:val="21"/>
                <w:highlight w:val="none"/>
              </w:rPr>
              <w:t>扣3分，指出现延期大于</w:t>
            </w:r>
            <w:r>
              <w:rPr>
                <w:rFonts w:ascii="宋体" w:hAnsi="宋体"/>
                <w:szCs w:val="21"/>
                <w:highlight w:val="none"/>
              </w:rPr>
              <w:t>1</w:t>
            </w:r>
            <w:r>
              <w:rPr>
                <w:rFonts w:hint="eastAsia" w:ascii="宋体" w:hAnsi="宋体"/>
                <w:szCs w:val="21"/>
                <w:highlight w:val="none"/>
              </w:rPr>
              <w:t>个月且小于等于</w:t>
            </w:r>
            <w:r>
              <w:rPr>
                <w:rFonts w:ascii="宋体" w:hAnsi="宋体"/>
                <w:szCs w:val="21"/>
                <w:highlight w:val="none"/>
              </w:rPr>
              <w:t>3</w:t>
            </w:r>
            <w:r>
              <w:rPr>
                <w:rFonts w:hint="eastAsia" w:ascii="宋体" w:hAnsi="宋体"/>
                <w:szCs w:val="21"/>
                <w:highlight w:val="none"/>
              </w:rPr>
              <w:t>个月；</w:t>
            </w:r>
          </w:p>
          <w:p w14:paraId="1927262E">
            <w:pPr>
              <w:ind w:left="0" w:firstLine="0" w:firstLineChars="0"/>
              <w:rPr>
                <w:rFonts w:ascii="宋体" w:hAnsi="宋体"/>
                <w:b/>
                <w:bCs/>
                <w:szCs w:val="21"/>
                <w:highlight w:val="none"/>
              </w:rPr>
            </w:pP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个月以上：</w:t>
            </w:r>
            <w:r>
              <w:rPr>
                <w:rFonts w:hint="eastAsia" w:ascii="宋体" w:hAnsi="宋体"/>
                <w:szCs w:val="21"/>
                <w:highlight w:val="none"/>
              </w:rPr>
              <w:t>扣5分，指出现延期</w:t>
            </w:r>
            <w:r>
              <w:rPr>
                <w:rFonts w:ascii="宋体" w:hAnsi="宋体"/>
                <w:szCs w:val="21"/>
                <w:highlight w:val="none"/>
              </w:rPr>
              <w:t>3</w:t>
            </w:r>
            <w:r>
              <w:rPr>
                <w:rFonts w:hint="eastAsia" w:ascii="宋体" w:hAnsi="宋体"/>
                <w:szCs w:val="21"/>
                <w:highlight w:val="none"/>
              </w:rPr>
              <w:t>个月以上。</w:t>
            </w:r>
          </w:p>
        </w:tc>
        <w:tc>
          <w:tcPr>
            <w:tcW w:w="2457" w:type="dxa"/>
            <w:tcBorders>
              <w:tl2br w:val="nil"/>
              <w:tr2bl w:val="nil"/>
            </w:tcBorders>
            <w:shd w:val="clear" w:color="auto" w:fill="auto"/>
            <w:vAlign w:val="center"/>
          </w:tcPr>
          <w:p w14:paraId="3835C0A2">
            <w:pPr>
              <w:ind w:left="0" w:firstLine="0" w:firstLineChars="0"/>
              <w:rPr>
                <w:rFonts w:ascii="宋体" w:hAnsi="宋体"/>
                <w:szCs w:val="21"/>
                <w:highlight w:val="none"/>
              </w:rPr>
            </w:pPr>
            <w:r>
              <w:rPr>
                <w:rFonts w:ascii="宋体" w:hAnsi="宋体"/>
                <w:szCs w:val="21"/>
                <w:highlight w:val="none"/>
              </w:rPr>
              <w:t>若延迟超过1天，</w:t>
            </w:r>
            <w:r>
              <w:rPr>
                <w:rFonts w:hint="eastAsia" w:ascii="宋体" w:hAnsi="宋体"/>
                <w:szCs w:val="21"/>
                <w:highlight w:val="none"/>
              </w:rPr>
              <w:t>每延期增加一天扣除合同总金额的0.</w:t>
            </w:r>
            <w:r>
              <w:rPr>
                <w:rFonts w:ascii="宋体" w:hAnsi="宋体"/>
                <w:szCs w:val="21"/>
                <w:highlight w:val="none"/>
              </w:rPr>
              <w:t>5</w:t>
            </w:r>
            <w:r>
              <w:rPr>
                <w:rFonts w:hint="eastAsia" w:ascii="宋体" w:hAnsi="宋体"/>
                <w:szCs w:val="21"/>
                <w:highlight w:val="none"/>
              </w:rPr>
              <w:t>%</w:t>
            </w:r>
            <w:r>
              <w:rPr>
                <w:rFonts w:ascii="宋体" w:hAnsi="宋体"/>
                <w:szCs w:val="21"/>
                <w:highlight w:val="none"/>
              </w:rPr>
              <w:t>；</w:t>
            </w:r>
          </w:p>
          <w:p w14:paraId="56922021">
            <w:pPr>
              <w:ind w:left="0" w:firstLine="0" w:firstLineChars="0"/>
              <w:rPr>
                <w:rFonts w:ascii="宋体" w:hAnsi="宋体"/>
                <w:szCs w:val="21"/>
                <w:highlight w:val="none"/>
              </w:rPr>
            </w:pPr>
            <w:r>
              <w:rPr>
                <w:rFonts w:hint="eastAsia" w:ascii="宋体" w:hAnsi="宋体"/>
                <w:szCs w:val="21"/>
                <w:highlight w:val="none"/>
              </w:rPr>
              <w:t>若延期超过1个月，每延期增加一天扣除合同总金额的</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p>
          <w:p w14:paraId="10F8D989">
            <w:pPr>
              <w:ind w:left="0" w:firstLine="0" w:firstLineChars="0"/>
              <w:rPr>
                <w:rFonts w:ascii="宋体" w:hAnsi="宋体"/>
                <w:b/>
                <w:bCs/>
                <w:szCs w:val="21"/>
                <w:highlight w:val="none"/>
              </w:rPr>
            </w:pPr>
            <w:r>
              <w:rPr>
                <w:rFonts w:hint="eastAsia" w:ascii="宋体" w:hAnsi="宋体"/>
                <w:szCs w:val="21"/>
                <w:highlight w:val="none"/>
              </w:rPr>
              <w:t>若延期超过</w:t>
            </w:r>
            <w:r>
              <w:rPr>
                <w:rFonts w:ascii="宋体" w:hAnsi="宋体"/>
                <w:szCs w:val="21"/>
                <w:highlight w:val="none"/>
              </w:rPr>
              <w:t>3</w:t>
            </w:r>
            <w:r>
              <w:rPr>
                <w:rFonts w:hint="eastAsia" w:ascii="宋体" w:hAnsi="宋体"/>
                <w:szCs w:val="21"/>
                <w:highlight w:val="none"/>
              </w:rPr>
              <w:t>个月，每延期增加一天扣除合同总金额的</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p>
        </w:tc>
        <w:tc>
          <w:tcPr>
            <w:tcW w:w="1536" w:type="dxa"/>
            <w:tcBorders>
              <w:tl2br w:val="nil"/>
              <w:tr2bl w:val="nil"/>
            </w:tcBorders>
            <w:shd w:val="clear" w:color="auto" w:fill="auto"/>
            <w:vAlign w:val="center"/>
          </w:tcPr>
          <w:p w14:paraId="53D72221">
            <w:pPr>
              <w:jc w:val="left"/>
              <w:rPr>
                <w:rFonts w:ascii="宋体" w:hAnsi="宋体"/>
                <w:szCs w:val="21"/>
                <w:highlight w:val="none"/>
              </w:rPr>
            </w:pPr>
          </w:p>
        </w:tc>
        <w:tc>
          <w:tcPr>
            <w:tcW w:w="1091" w:type="dxa"/>
            <w:tcBorders>
              <w:tl2br w:val="nil"/>
              <w:tr2bl w:val="nil"/>
            </w:tcBorders>
            <w:shd w:val="clear" w:color="auto" w:fill="auto"/>
            <w:vAlign w:val="center"/>
          </w:tcPr>
          <w:p w14:paraId="0C507957">
            <w:pPr>
              <w:jc w:val="left"/>
              <w:rPr>
                <w:rFonts w:ascii="宋体" w:hAnsi="宋体"/>
                <w:szCs w:val="21"/>
                <w:highlight w:val="none"/>
              </w:rPr>
            </w:pPr>
          </w:p>
        </w:tc>
      </w:tr>
      <w:tr w14:paraId="636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5F4F6FF8">
            <w:pPr>
              <w:ind w:left="0" w:firstLine="0" w:firstLineChars="0"/>
              <w:jc w:val="both"/>
              <w:rPr>
                <w:rFonts w:ascii="宋体" w:hAnsi="宋体"/>
                <w:szCs w:val="21"/>
                <w:highlight w:val="none"/>
              </w:rPr>
            </w:pPr>
            <w:r>
              <w:rPr>
                <w:rFonts w:hint="eastAsia" w:ascii="宋体" w:hAnsi="宋体"/>
                <w:szCs w:val="21"/>
                <w:highlight w:val="none"/>
              </w:rPr>
              <w:t>3</w:t>
            </w:r>
          </w:p>
        </w:tc>
        <w:tc>
          <w:tcPr>
            <w:tcW w:w="1145" w:type="dxa"/>
            <w:vMerge w:val="continue"/>
            <w:tcBorders>
              <w:tl2br w:val="nil"/>
              <w:tr2bl w:val="nil"/>
            </w:tcBorders>
            <w:shd w:val="clear" w:color="auto" w:fill="auto"/>
          </w:tcPr>
          <w:p w14:paraId="4D92B2F7"/>
        </w:tc>
        <w:tc>
          <w:tcPr>
            <w:tcW w:w="1123" w:type="dxa"/>
            <w:tcBorders>
              <w:tl2br w:val="nil"/>
              <w:tr2bl w:val="nil"/>
            </w:tcBorders>
            <w:shd w:val="clear" w:color="auto" w:fill="auto"/>
            <w:vAlign w:val="center"/>
          </w:tcPr>
          <w:p w14:paraId="3C7589F0">
            <w:pPr>
              <w:ind w:left="0" w:firstLine="0" w:firstLineChars="0"/>
              <w:rPr>
                <w:rFonts w:ascii="宋体" w:hAnsi="宋体"/>
                <w:szCs w:val="21"/>
                <w:highlight w:val="none"/>
              </w:rPr>
            </w:pP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、月度现场服务沟通和技术交流、</w:t>
            </w:r>
            <w:r>
              <w:rPr>
                <w:rFonts w:hint="eastAsia" w:ascii="宋体" w:hAnsi="宋体"/>
                <w:szCs w:val="21"/>
                <w:highlight w:val="none"/>
              </w:rPr>
              <w:t>协助服务情况</w:t>
            </w:r>
          </w:p>
        </w:tc>
        <w:tc>
          <w:tcPr>
            <w:tcW w:w="2550" w:type="dxa"/>
            <w:tcBorders>
              <w:tl2br w:val="nil"/>
              <w:tr2bl w:val="nil"/>
            </w:tcBorders>
            <w:shd w:val="clear" w:color="auto" w:fill="auto"/>
            <w:vAlign w:val="center"/>
          </w:tcPr>
          <w:p w14:paraId="7A96F46A">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w:t>
            </w:r>
            <w:r>
              <w:rPr>
                <w:rFonts w:hint="eastAsia" w:ascii="宋体" w:hAnsi="宋体"/>
                <w:szCs w:val="21"/>
                <w:highlight w:val="none"/>
              </w:rPr>
              <w:t>乙方</w:t>
            </w:r>
            <w:r>
              <w:rPr>
                <w:rFonts w:ascii="宋体" w:hAnsi="宋体"/>
                <w:szCs w:val="21"/>
                <w:highlight w:val="none"/>
              </w:rPr>
              <w:t>季度巡检服务、月度现场服务沟通和技术交流、</w:t>
            </w:r>
            <w:r>
              <w:rPr>
                <w:rFonts w:hint="eastAsia" w:ascii="宋体" w:hAnsi="宋体"/>
                <w:szCs w:val="21"/>
                <w:highlight w:val="none"/>
              </w:rPr>
              <w:t>发现已经存在的故障</w:t>
            </w:r>
            <w:r>
              <w:rPr>
                <w:rFonts w:ascii="宋体" w:hAnsi="宋体"/>
                <w:szCs w:val="21"/>
                <w:highlight w:val="none"/>
              </w:rPr>
              <w:t>等工作完成情况</w:t>
            </w:r>
          </w:p>
        </w:tc>
        <w:tc>
          <w:tcPr>
            <w:tcW w:w="3447" w:type="dxa"/>
            <w:tcBorders>
              <w:tl2br w:val="nil"/>
              <w:tr2bl w:val="nil"/>
            </w:tcBorders>
            <w:shd w:val="clear" w:color="auto" w:fill="auto"/>
            <w:vAlign w:val="center"/>
          </w:tcPr>
          <w:p w14:paraId="42F8A54E">
            <w:pPr>
              <w:ind w:left="0" w:firstLine="0" w:firstLineChars="0"/>
              <w:rPr>
                <w:rFonts w:ascii="宋体" w:hAnsi="宋体"/>
                <w:b/>
                <w:bCs/>
                <w:szCs w:val="21"/>
                <w:highlight w:val="none"/>
              </w:rPr>
            </w:pPr>
            <w:r>
              <w:rPr>
                <w:rFonts w:hint="eastAsia" w:ascii="宋体" w:hAnsi="宋体"/>
                <w:b/>
                <w:bCs/>
                <w:szCs w:val="21"/>
                <w:highlight w:val="none"/>
              </w:rPr>
              <w:t>【得分上限</w:t>
            </w:r>
            <w:r>
              <w:rPr>
                <w:rFonts w:ascii="宋体" w:hAnsi="宋体"/>
                <w:b/>
                <w:bCs/>
                <w:szCs w:val="21"/>
                <w:highlight w:val="none"/>
              </w:rPr>
              <w:t>2</w:t>
            </w:r>
            <w:r>
              <w:rPr>
                <w:rFonts w:hint="eastAsia" w:ascii="宋体" w:hAnsi="宋体"/>
                <w:b/>
                <w:bCs/>
                <w:szCs w:val="21"/>
                <w:highlight w:val="none"/>
              </w:rPr>
              <w:t>0分】</w:t>
            </w:r>
          </w:p>
          <w:p w14:paraId="45D0B110">
            <w:pPr>
              <w:ind w:left="0" w:firstLine="0" w:firstLineChars="0"/>
              <w:rPr>
                <w:rFonts w:ascii="宋体" w:hAnsi="宋体"/>
                <w:szCs w:val="21"/>
                <w:highlight w:val="none"/>
              </w:rPr>
            </w:pPr>
            <w:r>
              <w:rPr>
                <w:rFonts w:hint="eastAsia" w:ascii="宋体" w:hAnsi="宋体"/>
                <w:b/>
                <w:bCs/>
                <w:szCs w:val="21"/>
                <w:highlight w:val="none"/>
              </w:rPr>
              <w:t>0次：</w:t>
            </w:r>
            <w:r>
              <w:rPr>
                <w:rFonts w:hint="eastAsia" w:ascii="宋体" w:hAnsi="宋体"/>
                <w:szCs w:val="21"/>
                <w:highlight w:val="none"/>
              </w:rPr>
              <w:t>指乙方未出现缺少</w:t>
            </w: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、未出现缺少月度现场服务沟通和技术交流</w:t>
            </w:r>
            <w:r>
              <w:rPr>
                <w:rFonts w:hint="eastAsia" w:ascii="宋体" w:hAnsi="宋体"/>
                <w:szCs w:val="21"/>
                <w:highlight w:val="none"/>
              </w:rPr>
              <w:t>及</w:t>
            </w:r>
            <w:r>
              <w:rPr>
                <w:rFonts w:ascii="宋体" w:hAnsi="宋体"/>
                <w:szCs w:val="21"/>
                <w:highlight w:val="none"/>
              </w:rPr>
              <w:t>未出现缺少</w:t>
            </w:r>
            <w:r>
              <w:rPr>
                <w:rFonts w:hint="eastAsia" w:ascii="宋体" w:hAnsi="宋体"/>
                <w:szCs w:val="21"/>
                <w:highlight w:val="none"/>
              </w:rPr>
              <w:t>协助服务，该项指标满分；</w:t>
            </w:r>
          </w:p>
          <w:p w14:paraId="3D8FA8EB">
            <w:pPr>
              <w:ind w:left="0" w:firstLine="0" w:firstLineChars="0"/>
              <w:rPr>
                <w:rFonts w:ascii="宋体" w:hAnsi="宋体"/>
                <w:szCs w:val="21"/>
                <w:highlight w:val="none"/>
              </w:rPr>
            </w:pPr>
            <w:r>
              <w:rPr>
                <w:rFonts w:hint="eastAsia" w:ascii="宋体" w:hAnsi="宋体"/>
                <w:b/>
                <w:bCs/>
                <w:szCs w:val="21"/>
                <w:highlight w:val="none"/>
              </w:rPr>
              <w:t>1次</w:t>
            </w:r>
            <w:r>
              <w:rPr>
                <w:rFonts w:ascii="宋体" w:hAnsi="宋体"/>
                <w:b/>
                <w:bCs/>
                <w:szCs w:val="21"/>
                <w:highlight w:val="none"/>
              </w:rPr>
              <w:t>或</w:t>
            </w:r>
            <w:r>
              <w:rPr>
                <w:rFonts w:hint="eastAsia" w:ascii="宋体" w:hAnsi="宋体"/>
                <w:b/>
                <w:bCs/>
                <w:szCs w:val="21"/>
                <w:highlight w:val="none"/>
              </w:rPr>
              <w:t>以上：</w:t>
            </w:r>
            <w:r>
              <w:rPr>
                <w:rFonts w:hint="eastAsia" w:ascii="宋体" w:hAnsi="宋体"/>
                <w:szCs w:val="21"/>
                <w:highlight w:val="none"/>
              </w:rPr>
              <w:t>指乙方出现</w:t>
            </w:r>
            <w:r>
              <w:rPr>
                <w:rFonts w:ascii="宋体" w:hAnsi="宋体"/>
                <w:szCs w:val="21"/>
                <w:highlight w:val="none"/>
              </w:rPr>
              <w:t>缺少季度</w:t>
            </w:r>
            <w:r>
              <w:rPr>
                <w:rFonts w:hint="eastAsia" w:ascii="宋体" w:hAnsi="宋体"/>
                <w:szCs w:val="21"/>
                <w:highlight w:val="none"/>
              </w:rPr>
              <w:t>巡检</w:t>
            </w:r>
            <w:r>
              <w:rPr>
                <w:rFonts w:ascii="宋体" w:hAnsi="宋体"/>
                <w:szCs w:val="21"/>
                <w:highlight w:val="none"/>
              </w:rPr>
              <w:t>或月度现场服务沟通和技术交流</w:t>
            </w:r>
            <w:r>
              <w:rPr>
                <w:rFonts w:hint="eastAsia" w:ascii="宋体" w:hAnsi="宋体"/>
                <w:szCs w:val="21"/>
                <w:highlight w:val="none"/>
              </w:rPr>
              <w:t>或协助服务</w:t>
            </w:r>
            <w:r>
              <w:rPr>
                <w:rFonts w:ascii="宋体" w:hAnsi="宋体"/>
                <w:szCs w:val="21"/>
                <w:highlight w:val="none"/>
              </w:rPr>
              <w:t>1次或以上</w:t>
            </w:r>
            <w:r>
              <w:rPr>
                <w:rFonts w:hint="eastAsia" w:ascii="宋体" w:hAnsi="宋体"/>
                <w:szCs w:val="21"/>
                <w:highlight w:val="none"/>
              </w:rPr>
              <w:t>，</w:t>
            </w:r>
            <w:r>
              <w:rPr>
                <w:rFonts w:ascii="宋体" w:hAnsi="宋体"/>
                <w:szCs w:val="21"/>
                <w:highlight w:val="none"/>
              </w:rPr>
              <w:t>每出现1次</w:t>
            </w:r>
            <w:r>
              <w:rPr>
                <w:rFonts w:hint="eastAsia" w:ascii="宋体" w:hAnsi="宋体"/>
                <w:szCs w:val="21"/>
                <w:highlight w:val="none"/>
              </w:rPr>
              <w:t>扣5分，最多扣</w:t>
            </w:r>
            <w:r>
              <w:rPr>
                <w:rFonts w:ascii="宋体" w:hAnsi="宋体"/>
                <w:szCs w:val="21"/>
                <w:highlight w:val="none"/>
              </w:rPr>
              <w:t>2</w:t>
            </w:r>
            <w:r>
              <w:rPr>
                <w:rFonts w:hint="eastAsia" w:ascii="宋体" w:hAnsi="宋体"/>
                <w:szCs w:val="21"/>
                <w:highlight w:val="none"/>
              </w:rPr>
              <w:t>0分。</w:t>
            </w:r>
          </w:p>
        </w:tc>
        <w:tc>
          <w:tcPr>
            <w:tcW w:w="2457" w:type="dxa"/>
            <w:tcBorders>
              <w:tl2br w:val="nil"/>
              <w:tr2bl w:val="nil"/>
            </w:tcBorders>
            <w:shd w:val="clear" w:color="auto" w:fill="auto"/>
            <w:vAlign w:val="center"/>
          </w:tcPr>
          <w:p w14:paraId="1B48052F">
            <w:pPr>
              <w:ind w:left="0" w:firstLine="0" w:firstLineChars="0"/>
              <w:rPr>
                <w:rFonts w:ascii="宋体" w:hAnsi="宋体"/>
                <w:szCs w:val="21"/>
                <w:highlight w:val="none"/>
              </w:rPr>
            </w:pPr>
            <w:r>
              <w:rPr>
                <w:rFonts w:hint="eastAsia" w:ascii="宋体" w:hAnsi="宋体"/>
                <w:szCs w:val="21"/>
                <w:highlight w:val="none"/>
              </w:rPr>
              <w:t>每缺少一次</w:t>
            </w:r>
            <w:r>
              <w:rPr>
                <w:rFonts w:ascii="宋体" w:hAnsi="宋体"/>
                <w:szCs w:val="21"/>
                <w:highlight w:val="none"/>
              </w:rPr>
              <w:t>季度</w:t>
            </w:r>
            <w:r>
              <w:rPr>
                <w:rFonts w:hint="eastAsia" w:ascii="宋体" w:hAnsi="宋体"/>
                <w:szCs w:val="21"/>
                <w:highlight w:val="none"/>
              </w:rPr>
              <w:t>巡检扣除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p w14:paraId="5CEB77C9">
            <w:pPr>
              <w:ind w:left="0" w:firstLine="0" w:firstLineChars="0"/>
              <w:rPr>
                <w:rFonts w:ascii="宋体" w:hAnsi="宋体"/>
                <w:szCs w:val="21"/>
                <w:highlight w:val="none"/>
              </w:rPr>
            </w:pPr>
            <w:r>
              <w:rPr>
                <w:rFonts w:ascii="宋体" w:hAnsi="宋体"/>
                <w:szCs w:val="21"/>
                <w:highlight w:val="none"/>
              </w:rPr>
              <w:t>每缺少一次月度现场服务沟通和技术交流扣除合同总金额的5%；</w:t>
            </w:r>
          </w:p>
          <w:p w14:paraId="0F3CD1AB">
            <w:pPr>
              <w:ind w:left="0" w:firstLine="0" w:firstLineChars="0"/>
              <w:rPr>
                <w:rFonts w:ascii="宋体" w:hAnsi="宋体"/>
                <w:szCs w:val="21"/>
                <w:highlight w:val="none"/>
              </w:rPr>
            </w:pPr>
            <w:r>
              <w:rPr>
                <w:rFonts w:hint="eastAsia" w:ascii="宋体" w:hAnsi="宋体"/>
                <w:szCs w:val="21"/>
                <w:highlight w:val="none"/>
              </w:rPr>
              <w:t>巡检中若未能及时发现已经存在的故障，</w:t>
            </w:r>
            <w:r>
              <w:rPr>
                <w:rFonts w:ascii="宋体" w:hAnsi="宋体"/>
                <w:szCs w:val="21"/>
                <w:highlight w:val="none"/>
              </w:rPr>
              <w:t>出现一次</w:t>
            </w:r>
            <w:r>
              <w:rPr>
                <w:rFonts w:hint="eastAsia" w:ascii="宋体" w:hAnsi="宋体"/>
                <w:szCs w:val="21"/>
                <w:highlight w:val="none"/>
              </w:rPr>
              <w:t>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tc>
        <w:tc>
          <w:tcPr>
            <w:tcW w:w="1536" w:type="dxa"/>
            <w:tcBorders>
              <w:tl2br w:val="nil"/>
              <w:tr2bl w:val="nil"/>
            </w:tcBorders>
            <w:shd w:val="clear" w:color="auto" w:fill="auto"/>
            <w:vAlign w:val="center"/>
          </w:tcPr>
          <w:p w14:paraId="20B3876C">
            <w:pPr>
              <w:ind w:left="0" w:firstLine="0" w:firstLineChars="0"/>
              <w:jc w:val="left"/>
              <w:rPr>
                <w:rFonts w:ascii="宋体" w:hAnsi="宋体"/>
                <w:szCs w:val="21"/>
                <w:highlight w:val="none"/>
              </w:rPr>
            </w:pPr>
          </w:p>
        </w:tc>
        <w:tc>
          <w:tcPr>
            <w:tcW w:w="1091" w:type="dxa"/>
            <w:tcBorders>
              <w:tl2br w:val="nil"/>
              <w:tr2bl w:val="nil"/>
            </w:tcBorders>
            <w:shd w:val="clear" w:color="auto" w:fill="auto"/>
            <w:vAlign w:val="center"/>
          </w:tcPr>
          <w:p w14:paraId="5C1D5486">
            <w:pPr>
              <w:jc w:val="left"/>
              <w:rPr>
                <w:rFonts w:ascii="宋体" w:hAnsi="宋体"/>
                <w:szCs w:val="21"/>
                <w:highlight w:val="none"/>
              </w:rPr>
            </w:pPr>
          </w:p>
        </w:tc>
      </w:tr>
      <w:tr w14:paraId="0281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3E9773F3">
            <w:pPr>
              <w:ind w:left="0" w:firstLine="0" w:firstLineChars="0"/>
              <w:jc w:val="both"/>
              <w:rPr>
                <w:rFonts w:ascii="宋体" w:hAnsi="宋体"/>
                <w:szCs w:val="21"/>
                <w:highlight w:val="none"/>
              </w:rPr>
            </w:pPr>
            <w:r>
              <w:rPr>
                <w:rFonts w:hint="eastAsia" w:ascii="宋体" w:hAnsi="宋体"/>
                <w:szCs w:val="21"/>
                <w:highlight w:val="none"/>
              </w:rPr>
              <w:t>4</w:t>
            </w:r>
          </w:p>
        </w:tc>
        <w:tc>
          <w:tcPr>
            <w:tcW w:w="1145" w:type="dxa"/>
            <w:vMerge w:val="continue"/>
            <w:tcBorders>
              <w:tl2br w:val="nil"/>
              <w:tr2bl w:val="nil"/>
            </w:tcBorders>
            <w:shd w:val="clear" w:color="auto" w:fill="auto"/>
          </w:tcPr>
          <w:p w14:paraId="611BC847"/>
        </w:tc>
        <w:tc>
          <w:tcPr>
            <w:tcW w:w="1123" w:type="dxa"/>
            <w:tcBorders>
              <w:tl2br w:val="nil"/>
              <w:tr2bl w:val="nil"/>
            </w:tcBorders>
            <w:shd w:val="clear" w:color="auto" w:fill="auto"/>
            <w:vAlign w:val="center"/>
          </w:tcPr>
          <w:p w14:paraId="03409ABF">
            <w:pPr>
              <w:ind w:left="0" w:firstLine="0" w:firstLineChars="0"/>
              <w:rPr>
                <w:rFonts w:ascii="宋体" w:hAnsi="宋体"/>
                <w:szCs w:val="21"/>
                <w:highlight w:val="none"/>
              </w:rPr>
            </w:pPr>
            <w:r>
              <w:rPr>
                <w:rFonts w:hint="eastAsia" w:ascii="宋体" w:hAnsi="宋体"/>
                <w:szCs w:val="21"/>
                <w:highlight w:val="none"/>
              </w:rPr>
              <w:t>故障次数</w:t>
            </w:r>
          </w:p>
        </w:tc>
        <w:tc>
          <w:tcPr>
            <w:tcW w:w="2550" w:type="dxa"/>
            <w:tcBorders>
              <w:tl2br w:val="nil"/>
              <w:tr2bl w:val="nil"/>
            </w:tcBorders>
            <w:shd w:val="clear" w:color="auto" w:fill="auto"/>
            <w:vAlign w:val="center"/>
          </w:tcPr>
          <w:p w14:paraId="3165A1F3">
            <w:pPr>
              <w:ind w:left="0" w:firstLine="0" w:firstLineChars="0"/>
              <w:rPr>
                <w:rFonts w:ascii="宋体" w:hAnsi="宋体"/>
                <w:szCs w:val="21"/>
                <w:highlight w:val="none"/>
              </w:rPr>
            </w:pPr>
            <w:r>
              <w:rPr>
                <w:rFonts w:ascii="宋体" w:hAnsi="宋体"/>
                <w:szCs w:val="21"/>
                <w:highlight w:val="none"/>
              </w:rPr>
              <w:t>用于记录统计周期内</w:t>
            </w:r>
            <w:r>
              <w:rPr>
                <w:rFonts w:hint="eastAsia" w:ascii="宋体" w:hAnsi="宋体"/>
                <w:szCs w:val="21"/>
                <w:highlight w:val="none"/>
              </w:rPr>
              <w:t>因乙方原因导致运维系统出现故障的次数</w:t>
            </w:r>
          </w:p>
        </w:tc>
        <w:tc>
          <w:tcPr>
            <w:tcW w:w="3447" w:type="dxa"/>
            <w:tcBorders>
              <w:tl2br w:val="nil"/>
              <w:tr2bl w:val="nil"/>
            </w:tcBorders>
            <w:shd w:val="clear" w:color="auto" w:fill="auto"/>
            <w:vAlign w:val="center"/>
          </w:tcPr>
          <w:p w14:paraId="4B764383">
            <w:pPr>
              <w:ind w:left="0" w:firstLine="0" w:firstLineChars="0"/>
              <w:rPr>
                <w:rFonts w:ascii="宋体" w:hAnsi="宋体"/>
                <w:b/>
                <w:bCs/>
                <w:szCs w:val="21"/>
                <w:highlight w:val="none"/>
              </w:rPr>
            </w:pPr>
            <w:r>
              <w:rPr>
                <w:rFonts w:hint="eastAsia" w:ascii="宋体" w:hAnsi="宋体"/>
                <w:b/>
                <w:bCs/>
                <w:szCs w:val="21"/>
                <w:highlight w:val="none"/>
              </w:rPr>
              <w:t>【得分上限10分】</w:t>
            </w:r>
          </w:p>
          <w:p w14:paraId="28ED0B81">
            <w:pPr>
              <w:ind w:left="0" w:firstLine="0" w:firstLineChars="0"/>
              <w:rPr>
                <w:rFonts w:ascii="宋体" w:hAnsi="宋体"/>
                <w:b/>
                <w:szCs w:val="21"/>
                <w:highlight w:val="none"/>
              </w:rPr>
            </w:pPr>
            <w:r>
              <w:rPr>
                <w:rFonts w:hint="eastAsia" w:ascii="宋体" w:hAnsi="宋体"/>
                <w:b/>
                <w:szCs w:val="21"/>
                <w:highlight w:val="none"/>
              </w:rPr>
              <w:t>0次：</w:t>
            </w:r>
            <w:r>
              <w:rPr>
                <w:rFonts w:hint="eastAsia" w:ascii="宋体" w:hAnsi="宋体"/>
                <w:bCs/>
                <w:szCs w:val="21"/>
                <w:highlight w:val="none"/>
              </w:rPr>
              <w:t>指统计周期内未出现</w:t>
            </w:r>
            <w:r>
              <w:rPr>
                <w:rFonts w:ascii="宋体" w:hAnsi="宋体"/>
                <w:bCs/>
                <w:szCs w:val="21"/>
                <w:highlight w:val="none"/>
              </w:rPr>
              <w:t>因乙方原因导致的</w:t>
            </w:r>
            <w:r>
              <w:rPr>
                <w:rFonts w:hint="eastAsia" w:ascii="宋体" w:hAnsi="宋体"/>
                <w:szCs w:val="21"/>
                <w:highlight w:val="none"/>
              </w:rPr>
              <w:t>系统运行维护故障，该项指标满分；</w:t>
            </w:r>
          </w:p>
          <w:p w14:paraId="4759CA95">
            <w:pPr>
              <w:ind w:left="0" w:firstLine="0" w:firstLineChars="0"/>
              <w:rPr>
                <w:rFonts w:ascii="宋体" w:hAnsi="宋体"/>
                <w:b/>
                <w:szCs w:val="21"/>
                <w:highlight w:val="none"/>
              </w:rPr>
            </w:pPr>
            <w:r>
              <w:rPr>
                <w:rFonts w:ascii="宋体" w:hAnsi="宋体"/>
                <w:b/>
                <w:szCs w:val="21"/>
                <w:highlight w:val="none"/>
              </w:rPr>
              <w:t>1</w:t>
            </w:r>
            <w:r>
              <w:rPr>
                <w:rFonts w:hint="eastAsia" w:ascii="宋体" w:hAnsi="宋体"/>
                <w:b/>
                <w:szCs w:val="21"/>
                <w:highlight w:val="none"/>
              </w:rPr>
              <w:t>次</w:t>
            </w:r>
            <w:r>
              <w:rPr>
                <w:rFonts w:ascii="宋体" w:hAnsi="宋体"/>
                <w:b/>
                <w:szCs w:val="21"/>
                <w:highlight w:val="none"/>
              </w:rPr>
              <w:t>或</w:t>
            </w:r>
            <w:r>
              <w:rPr>
                <w:rFonts w:hint="eastAsia" w:ascii="宋体" w:hAnsi="宋体"/>
                <w:b/>
                <w:szCs w:val="21"/>
                <w:highlight w:val="none"/>
              </w:rPr>
              <w:t>以</w:t>
            </w:r>
            <w:r>
              <w:rPr>
                <w:rFonts w:ascii="宋体" w:hAnsi="宋体"/>
                <w:b/>
                <w:szCs w:val="21"/>
                <w:highlight w:val="none"/>
              </w:rPr>
              <w:t>上</w:t>
            </w:r>
            <w:r>
              <w:rPr>
                <w:rFonts w:hint="eastAsia" w:ascii="宋体" w:hAnsi="宋体"/>
                <w:b/>
                <w:szCs w:val="21"/>
                <w:highlight w:val="none"/>
              </w:rPr>
              <w:t>：</w:t>
            </w:r>
            <w:r>
              <w:rPr>
                <w:rFonts w:hint="eastAsia" w:ascii="宋体" w:hAnsi="宋体"/>
                <w:bCs/>
                <w:szCs w:val="21"/>
                <w:highlight w:val="none"/>
              </w:rPr>
              <w:t>指统计周期内</w:t>
            </w:r>
            <w:r>
              <w:rPr>
                <w:rFonts w:ascii="宋体" w:hAnsi="宋体"/>
                <w:bCs/>
                <w:szCs w:val="21"/>
                <w:highlight w:val="none"/>
              </w:rPr>
              <w:t>因乙方原因导致的</w:t>
            </w:r>
            <w:r>
              <w:rPr>
                <w:rFonts w:hint="eastAsia" w:ascii="宋体" w:hAnsi="宋体"/>
                <w:szCs w:val="21"/>
                <w:highlight w:val="none"/>
              </w:rPr>
              <w:t>系统运行维护故障</w:t>
            </w:r>
            <w:r>
              <w:rPr>
                <w:rFonts w:ascii="宋体" w:hAnsi="宋体"/>
                <w:szCs w:val="21"/>
                <w:highlight w:val="none"/>
              </w:rPr>
              <w:t>1次及以上，每发生一次扣除5分，最多扣10分。</w:t>
            </w:r>
          </w:p>
        </w:tc>
        <w:tc>
          <w:tcPr>
            <w:tcW w:w="2457" w:type="dxa"/>
            <w:tcBorders>
              <w:tl2br w:val="nil"/>
              <w:tr2bl w:val="nil"/>
            </w:tcBorders>
            <w:shd w:val="clear" w:color="auto" w:fill="auto"/>
            <w:vAlign w:val="center"/>
          </w:tcPr>
          <w:p w14:paraId="6403F35D">
            <w:pPr>
              <w:ind w:left="0" w:firstLine="0" w:firstLineChars="0"/>
              <w:rPr>
                <w:rFonts w:ascii="宋体" w:hAnsi="宋体"/>
                <w:szCs w:val="21"/>
                <w:highlight w:val="none"/>
              </w:rPr>
            </w:pPr>
            <w:r>
              <w:rPr>
                <w:rFonts w:ascii="宋体" w:hAnsi="宋体"/>
                <w:bCs/>
                <w:szCs w:val="21"/>
                <w:highlight w:val="none"/>
              </w:rPr>
              <w:t>每出现一次因乙方原因导致的</w:t>
            </w:r>
            <w:r>
              <w:rPr>
                <w:rFonts w:hint="eastAsia" w:ascii="宋体" w:hAnsi="宋体"/>
                <w:szCs w:val="21"/>
                <w:highlight w:val="none"/>
              </w:rPr>
              <w:t>系统运行维护故障</w:t>
            </w:r>
            <w:r>
              <w:rPr>
                <w:rFonts w:ascii="宋体" w:hAnsi="宋体"/>
                <w:szCs w:val="21"/>
                <w:highlight w:val="none"/>
              </w:rPr>
              <w:t>扣除合同总金额的5%</w:t>
            </w:r>
            <w:r>
              <w:rPr>
                <w:rFonts w:hint="eastAsia" w:ascii="宋体" w:hAnsi="宋体"/>
                <w:szCs w:val="21"/>
                <w:highlight w:val="none"/>
              </w:rPr>
              <w:t>。</w:t>
            </w:r>
          </w:p>
        </w:tc>
        <w:tc>
          <w:tcPr>
            <w:tcW w:w="1536" w:type="dxa"/>
            <w:tcBorders>
              <w:tl2br w:val="nil"/>
              <w:tr2bl w:val="nil"/>
            </w:tcBorders>
            <w:shd w:val="clear" w:color="auto" w:fill="auto"/>
            <w:vAlign w:val="center"/>
          </w:tcPr>
          <w:p w14:paraId="3F87B385">
            <w:pPr>
              <w:jc w:val="left"/>
              <w:rPr>
                <w:rFonts w:ascii="宋体" w:hAnsi="宋体"/>
                <w:szCs w:val="21"/>
                <w:highlight w:val="none"/>
              </w:rPr>
            </w:pPr>
          </w:p>
        </w:tc>
        <w:tc>
          <w:tcPr>
            <w:tcW w:w="1091" w:type="dxa"/>
            <w:tcBorders>
              <w:tl2br w:val="nil"/>
              <w:tr2bl w:val="nil"/>
            </w:tcBorders>
            <w:shd w:val="clear" w:color="auto" w:fill="auto"/>
            <w:vAlign w:val="center"/>
          </w:tcPr>
          <w:p w14:paraId="57A5A15A">
            <w:pPr>
              <w:jc w:val="left"/>
              <w:rPr>
                <w:rFonts w:ascii="宋体" w:hAnsi="宋体"/>
                <w:szCs w:val="21"/>
                <w:highlight w:val="none"/>
              </w:rPr>
            </w:pPr>
          </w:p>
        </w:tc>
      </w:tr>
      <w:tr w14:paraId="45E3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74E6DE89">
            <w:pPr>
              <w:ind w:left="0" w:firstLine="0" w:firstLineChars="0"/>
              <w:rPr>
                <w:rFonts w:ascii="宋体" w:hAnsi="宋体"/>
                <w:szCs w:val="21"/>
                <w:highlight w:val="none"/>
              </w:rPr>
            </w:pPr>
            <w:r>
              <w:rPr>
                <w:rFonts w:ascii="宋体" w:hAnsi="宋体"/>
                <w:szCs w:val="21"/>
                <w:highlight w:val="none"/>
              </w:rPr>
              <w:t>5</w:t>
            </w:r>
          </w:p>
        </w:tc>
        <w:tc>
          <w:tcPr>
            <w:vMerge w:val="continue"/>
            <w:tcBorders>
              <w:tl2br w:val="nil"/>
              <w:tr2bl w:val="nil"/>
            </w:tcBorders>
            <w:shd w:val="clear" w:color="auto" w:fill="auto"/>
            <w:vAlign w:val="center"/>
          </w:tcPr>
          <w:p w14:paraId="6AEAFA93"/>
        </w:tc>
        <w:tc>
          <w:tcPr>
            <w:tcW w:w="1123" w:type="dxa"/>
            <w:tcBorders>
              <w:tl2br w:val="nil"/>
              <w:tr2bl w:val="nil"/>
            </w:tcBorders>
            <w:shd w:val="clear" w:color="auto" w:fill="auto"/>
            <w:vAlign w:val="center"/>
          </w:tcPr>
          <w:p w14:paraId="3CA8FA03">
            <w:pPr>
              <w:ind w:left="0" w:firstLine="0" w:firstLineChars="0"/>
              <w:rPr>
                <w:rFonts w:ascii="宋体" w:hAnsi="宋体"/>
                <w:szCs w:val="21"/>
                <w:highlight w:val="none"/>
              </w:rPr>
            </w:pPr>
            <w:r>
              <w:rPr>
                <w:rFonts w:ascii="宋体" w:hAnsi="宋体"/>
                <w:szCs w:val="21"/>
                <w:highlight w:val="none"/>
              </w:rPr>
              <w:t>备件质量</w:t>
            </w:r>
          </w:p>
        </w:tc>
        <w:tc>
          <w:tcPr>
            <w:tcW w:w="2550" w:type="dxa"/>
            <w:tcBorders>
              <w:tl2br w:val="nil"/>
              <w:tr2bl w:val="nil"/>
            </w:tcBorders>
            <w:shd w:val="clear" w:color="auto" w:fill="auto"/>
            <w:vAlign w:val="center"/>
          </w:tcPr>
          <w:p w14:paraId="68CCEA95">
            <w:pPr>
              <w:ind w:left="0" w:firstLine="0" w:firstLineChars="0"/>
              <w:rPr>
                <w:rFonts w:ascii="宋体" w:hAnsi="宋体"/>
                <w:szCs w:val="21"/>
                <w:highlight w:val="none"/>
              </w:rPr>
            </w:pPr>
            <w:r>
              <w:rPr>
                <w:rFonts w:ascii="宋体" w:hAnsi="宋体"/>
                <w:szCs w:val="21"/>
                <w:highlight w:val="none"/>
              </w:rPr>
              <w:t>用于记录统计周期内乙方提供的备件质量情况</w:t>
            </w:r>
          </w:p>
        </w:tc>
        <w:tc>
          <w:tcPr>
            <w:tcW w:w="3447" w:type="dxa"/>
            <w:tcBorders>
              <w:tl2br w:val="nil"/>
              <w:tr2bl w:val="nil"/>
            </w:tcBorders>
            <w:shd w:val="clear" w:color="auto" w:fill="auto"/>
            <w:vAlign w:val="center"/>
          </w:tcPr>
          <w:p w14:paraId="5FEEB295">
            <w:pPr>
              <w:ind w:left="0" w:firstLine="0" w:firstLineChars="0"/>
              <w:rPr>
                <w:rFonts w:ascii="宋体" w:hAnsi="宋体"/>
                <w:bCs/>
                <w:szCs w:val="21"/>
                <w:highlight w:val="none"/>
              </w:rPr>
            </w:pPr>
            <w:r>
              <w:rPr>
                <w:rFonts w:ascii="宋体" w:hAnsi="宋体"/>
                <w:bCs/>
                <w:szCs w:val="21"/>
                <w:highlight w:val="none"/>
              </w:rPr>
              <w:t>故障处理过程中乙方提供的备件没有出现在3个月之内再次出现故障的情况。</w:t>
            </w:r>
          </w:p>
          <w:p w14:paraId="66625EF1">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2B297C2D">
            <w:pPr>
              <w:ind w:left="0" w:firstLine="0" w:firstLineChars="0"/>
              <w:rPr>
                <w:rFonts w:ascii="宋体" w:hAnsi="宋体"/>
                <w:b/>
                <w:bCs/>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4ECA79A6">
            <w:pPr>
              <w:ind w:left="0" w:firstLine="0" w:firstLineChars="0"/>
              <w:rPr>
                <w:rFonts w:ascii="宋体" w:hAnsi="宋体"/>
                <w:b/>
                <w:bCs/>
                <w:szCs w:val="21"/>
                <w:highlight w:val="none"/>
              </w:rPr>
            </w:pPr>
            <w:r>
              <w:rPr>
                <w:rFonts w:ascii="宋体" w:hAnsi="宋体"/>
                <w:bCs/>
                <w:szCs w:val="21"/>
                <w:highlight w:val="none"/>
              </w:rPr>
              <w:t>故障处理过程中乙方提供的备件在3个月之内再次出现故障的。每出现1次扣除合同总金额的5%。</w:t>
            </w:r>
          </w:p>
        </w:tc>
        <w:tc>
          <w:tcPr>
            <w:tcW w:w="1536" w:type="dxa"/>
            <w:tcBorders>
              <w:tl2br w:val="nil"/>
              <w:tr2bl w:val="nil"/>
            </w:tcBorders>
            <w:shd w:val="clear" w:color="auto" w:fill="auto"/>
            <w:vAlign w:val="center"/>
          </w:tcPr>
          <w:p w14:paraId="3AA706E1">
            <w:pPr>
              <w:jc w:val="left"/>
              <w:rPr>
                <w:rFonts w:ascii="宋体" w:hAnsi="宋体"/>
                <w:szCs w:val="21"/>
                <w:highlight w:val="none"/>
              </w:rPr>
            </w:pPr>
          </w:p>
        </w:tc>
        <w:tc>
          <w:tcPr>
            <w:tcW w:w="1091" w:type="dxa"/>
            <w:tcBorders>
              <w:tl2br w:val="nil"/>
              <w:tr2bl w:val="nil"/>
            </w:tcBorders>
            <w:shd w:val="clear" w:color="auto" w:fill="auto"/>
            <w:vAlign w:val="center"/>
          </w:tcPr>
          <w:p w14:paraId="74F10523">
            <w:pPr>
              <w:jc w:val="left"/>
              <w:rPr>
                <w:rFonts w:ascii="宋体" w:hAnsi="宋体"/>
                <w:szCs w:val="21"/>
                <w:highlight w:val="none"/>
              </w:rPr>
            </w:pPr>
          </w:p>
        </w:tc>
      </w:tr>
      <w:tr w14:paraId="1A1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25DBCDD4">
            <w:pPr>
              <w:ind w:left="0" w:firstLine="0" w:firstLineChars="0"/>
              <w:jc w:val="both"/>
              <w:rPr>
                <w:rFonts w:ascii="宋体" w:hAnsi="宋体"/>
                <w:szCs w:val="21"/>
                <w:highlight w:val="none"/>
              </w:rPr>
            </w:pPr>
            <w:r>
              <w:rPr>
                <w:rFonts w:ascii="宋体" w:hAnsi="宋体"/>
                <w:szCs w:val="21"/>
                <w:highlight w:val="none"/>
              </w:rPr>
              <w:t>6</w:t>
            </w:r>
          </w:p>
        </w:tc>
        <w:tc>
          <w:tcPr>
            <w:tcW w:w="1145" w:type="dxa"/>
            <w:vMerge w:val="continue"/>
            <w:tcBorders>
              <w:tl2br w:val="nil"/>
              <w:tr2bl w:val="nil"/>
            </w:tcBorders>
            <w:shd w:val="clear" w:color="auto" w:fill="auto"/>
          </w:tcPr>
          <w:p w14:paraId="729B613E"/>
        </w:tc>
        <w:tc>
          <w:tcPr>
            <w:tcW w:w="1123" w:type="dxa"/>
            <w:tcBorders>
              <w:tl2br w:val="nil"/>
              <w:tr2bl w:val="nil"/>
            </w:tcBorders>
            <w:shd w:val="clear" w:color="auto" w:fill="auto"/>
            <w:vAlign w:val="center"/>
          </w:tcPr>
          <w:p w14:paraId="5D23C470">
            <w:pPr>
              <w:ind w:left="0" w:firstLine="0" w:firstLineChars="0"/>
              <w:rPr>
                <w:rFonts w:ascii="宋体" w:hAnsi="宋体"/>
                <w:szCs w:val="21"/>
                <w:highlight w:val="none"/>
              </w:rPr>
            </w:pPr>
            <w:r>
              <w:rPr>
                <w:rFonts w:hint="eastAsia" w:ascii="宋体" w:hAnsi="宋体"/>
                <w:szCs w:val="21"/>
                <w:highlight w:val="none"/>
              </w:rPr>
              <w:t>故障解决率</w:t>
            </w:r>
          </w:p>
        </w:tc>
        <w:tc>
          <w:tcPr>
            <w:tcW w:w="2550" w:type="dxa"/>
            <w:tcBorders>
              <w:tl2br w:val="nil"/>
              <w:tr2bl w:val="nil"/>
            </w:tcBorders>
            <w:shd w:val="clear" w:color="auto" w:fill="auto"/>
            <w:vAlign w:val="center"/>
          </w:tcPr>
          <w:p w14:paraId="7D772DEC">
            <w:pPr>
              <w:ind w:left="0" w:firstLine="0" w:firstLineChars="0"/>
              <w:rPr>
                <w:rFonts w:ascii="宋体" w:hAnsi="宋体"/>
                <w:szCs w:val="21"/>
                <w:highlight w:val="none"/>
              </w:rPr>
            </w:pPr>
            <w:r>
              <w:rPr>
                <w:rFonts w:hint="eastAsia" w:ascii="宋体" w:hAnsi="宋体"/>
                <w:szCs w:val="21"/>
                <w:highlight w:val="none"/>
              </w:rPr>
              <w:t>用于记录当期采用根本解决方案已解决的信息系统运行维护故障数量，占当期发生的信息系统运行维护故障数量总数的比例</w:t>
            </w:r>
          </w:p>
        </w:tc>
        <w:tc>
          <w:tcPr>
            <w:tcW w:w="3447" w:type="dxa"/>
            <w:tcBorders>
              <w:tl2br w:val="nil"/>
              <w:tr2bl w:val="nil"/>
            </w:tcBorders>
            <w:shd w:val="clear" w:color="auto" w:fill="auto"/>
            <w:vAlign w:val="center"/>
          </w:tcPr>
          <w:p w14:paraId="08EE02FD">
            <w:pPr>
              <w:ind w:left="0" w:firstLine="0" w:firstLineChars="0"/>
              <w:rPr>
                <w:rFonts w:ascii="宋体" w:hAnsi="宋体"/>
                <w:szCs w:val="21"/>
                <w:highlight w:val="none"/>
              </w:rPr>
            </w:pPr>
            <w:r>
              <w:rPr>
                <w:rFonts w:hint="eastAsia" w:ascii="宋体" w:hAnsi="宋体"/>
                <w:szCs w:val="21"/>
                <w:highlight w:val="none"/>
              </w:rPr>
              <w:t>故障解决率=当期采用根本解决方案已解决的信息系统运行维护故障数量/当期发生的信息系统运行维护故障总数</w:t>
            </w:r>
          </w:p>
          <w:p w14:paraId="4FD9EE17">
            <w:pPr>
              <w:ind w:left="0" w:firstLine="0" w:firstLineChars="0"/>
              <w:rPr>
                <w:rFonts w:ascii="宋体" w:hAnsi="宋体"/>
                <w:b/>
                <w:bCs/>
                <w:szCs w:val="21"/>
                <w:highlight w:val="none"/>
              </w:rPr>
            </w:pPr>
            <w:r>
              <w:rPr>
                <w:rFonts w:ascii="宋体" w:hAnsi="宋体"/>
                <w:b/>
                <w:bCs/>
                <w:szCs w:val="21"/>
                <w:highlight w:val="none"/>
              </w:rPr>
              <w:t>10</w:t>
            </w:r>
            <w:r>
              <w:rPr>
                <w:rFonts w:hint="eastAsia" w:ascii="宋体" w:hAnsi="宋体"/>
                <w:b/>
                <w:bCs/>
                <w:szCs w:val="21"/>
                <w:highlight w:val="none"/>
              </w:rPr>
              <w:t>分【100%】</w:t>
            </w:r>
          </w:p>
          <w:p w14:paraId="2AADA396">
            <w:pPr>
              <w:ind w:left="0" w:firstLine="0" w:firstLineChars="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分【95%及以上】</w:t>
            </w:r>
          </w:p>
          <w:p w14:paraId="09B81292">
            <w:pPr>
              <w:ind w:left="0" w:firstLine="0" w:firstLineChars="0"/>
              <w:rPr>
                <w:rFonts w:ascii="宋体" w:hAnsi="宋体"/>
                <w:szCs w:val="21"/>
                <w:highlight w:val="none"/>
              </w:rPr>
            </w:pPr>
            <w:r>
              <w:rPr>
                <w:rFonts w:hint="eastAsia" w:ascii="宋体" w:hAnsi="宋体"/>
                <w:b/>
                <w:bCs/>
                <w:szCs w:val="21"/>
                <w:highlight w:val="none"/>
              </w:rPr>
              <w:t>0分【低于95%】</w:t>
            </w:r>
          </w:p>
        </w:tc>
        <w:tc>
          <w:tcPr>
            <w:tcW w:w="2457" w:type="dxa"/>
            <w:tcBorders>
              <w:tl2br w:val="nil"/>
              <w:tr2bl w:val="nil"/>
            </w:tcBorders>
            <w:shd w:val="clear" w:color="auto" w:fill="auto"/>
            <w:vAlign w:val="center"/>
          </w:tcPr>
          <w:p w14:paraId="5F4685F7">
            <w:pPr>
              <w:ind w:left="0" w:firstLine="0" w:firstLineChars="0"/>
              <w:rPr>
                <w:rFonts w:ascii="宋体" w:hAnsi="宋体"/>
                <w:b/>
                <w:bCs/>
                <w:szCs w:val="21"/>
                <w:highlight w:val="none"/>
              </w:rPr>
            </w:pPr>
            <w:r>
              <w:rPr>
                <w:rFonts w:hint="eastAsia" w:ascii="宋体" w:hAnsi="宋体"/>
                <w:szCs w:val="21"/>
                <w:highlight w:val="none"/>
              </w:rPr>
              <w:t>若故障解决率低于100%，扣除</w:t>
            </w:r>
            <w:r>
              <w:rPr>
                <w:rFonts w:ascii="宋体" w:hAnsi="宋体"/>
                <w:szCs w:val="21"/>
                <w:highlight w:val="none"/>
              </w:rPr>
              <w:t>合同总金额</w:t>
            </w:r>
            <w:r>
              <w:rPr>
                <w:rFonts w:hint="eastAsia" w:ascii="宋体" w:hAnsi="宋体"/>
                <w:szCs w:val="21"/>
                <w:highlight w:val="none"/>
              </w:rPr>
              <w:t>的10%。</w:t>
            </w:r>
          </w:p>
        </w:tc>
        <w:tc>
          <w:tcPr>
            <w:tcW w:w="1536" w:type="dxa"/>
            <w:tcBorders>
              <w:tl2br w:val="nil"/>
              <w:tr2bl w:val="nil"/>
            </w:tcBorders>
            <w:shd w:val="clear" w:color="auto" w:fill="auto"/>
            <w:vAlign w:val="center"/>
          </w:tcPr>
          <w:p w14:paraId="5907442E">
            <w:pPr>
              <w:jc w:val="left"/>
              <w:rPr>
                <w:rFonts w:ascii="宋体" w:hAnsi="宋体"/>
                <w:szCs w:val="21"/>
                <w:highlight w:val="none"/>
              </w:rPr>
            </w:pPr>
          </w:p>
        </w:tc>
        <w:tc>
          <w:tcPr>
            <w:tcW w:w="1091" w:type="dxa"/>
            <w:tcBorders>
              <w:tl2br w:val="nil"/>
              <w:tr2bl w:val="nil"/>
            </w:tcBorders>
            <w:shd w:val="clear" w:color="auto" w:fill="auto"/>
            <w:vAlign w:val="center"/>
          </w:tcPr>
          <w:p w14:paraId="05C408F5">
            <w:pPr>
              <w:jc w:val="left"/>
              <w:rPr>
                <w:rFonts w:ascii="宋体" w:hAnsi="宋体"/>
                <w:szCs w:val="21"/>
                <w:highlight w:val="none"/>
              </w:rPr>
            </w:pPr>
          </w:p>
        </w:tc>
      </w:tr>
      <w:tr w14:paraId="550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06DD919">
            <w:pPr>
              <w:ind w:left="0" w:firstLine="0" w:firstLineChars="0"/>
              <w:jc w:val="both"/>
              <w:rPr>
                <w:rFonts w:ascii="宋体" w:hAnsi="宋体"/>
                <w:szCs w:val="21"/>
                <w:highlight w:val="none"/>
              </w:rPr>
            </w:pPr>
            <w:r>
              <w:rPr>
                <w:rFonts w:ascii="宋体" w:hAnsi="宋体"/>
                <w:szCs w:val="21"/>
                <w:highlight w:val="none"/>
              </w:rPr>
              <w:t>7</w:t>
            </w:r>
          </w:p>
        </w:tc>
        <w:tc>
          <w:tcPr>
            <w:tcW w:w="1145" w:type="dxa"/>
            <w:vMerge w:val="restart"/>
            <w:tcBorders>
              <w:tl2br w:val="nil"/>
              <w:tr2bl w:val="nil"/>
            </w:tcBorders>
            <w:shd w:val="clear" w:color="auto" w:fill="auto"/>
            <w:vAlign w:val="center"/>
          </w:tcPr>
          <w:p w14:paraId="46CF4621">
            <w:pPr>
              <w:ind w:left="0" w:firstLine="0" w:firstLineChars="0"/>
              <w:jc w:val="left"/>
              <w:rPr>
                <w:rFonts w:ascii="宋体" w:hAnsi="宋体"/>
                <w:szCs w:val="21"/>
                <w:highlight w:val="none"/>
              </w:rPr>
            </w:pPr>
            <w:r>
              <w:rPr>
                <w:rFonts w:hint="eastAsia" w:ascii="宋体" w:hAnsi="宋体"/>
                <w:szCs w:val="21"/>
                <w:highlight w:val="none"/>
              </w:rPr>
              <w:t>协议履行</w:t>
            </w:r>
          </w:p>
        </w:tc>
        <w:tc>
          <w:tcPr>
            <w:tcW w:w="1123" w:type="dxa"/>
            <w:tcBorders>
              <w:tl2br w:val="nil"/>
              <w:tr2bl w:val="nil"/>
            </w:tcBorders>
            <w:shd w:val="clear" w:color="auto" w:fill="auto"/>
            <w:vAlign w:val="center"/>
          </w:tcPr>
          <w:p w14:paraId="7F34E8E4">
            <w:pPr>
              <w:ind w:left="0" w:firstLine="0" w:firstLineChars="0"/>
              <w:rPr>
                <w:rFonts w:ascii="宋体" w:hAnsi="宋体"/>
                <w:strike/>
                <w:dstrike w:val="0"/>
                <w:szCs w:val="21"/>
                <w:highlight w:val="none"/>
              </w:rPr>
            </w:pPr>
            <w:r>
              <w:rPr>
                <w:rFonts w:ascii="宋体" w:hAnsi="宋体"/>
                <w:szCs w:val="21"/>
                <w:highlight w:val="none"/>
              </w:rPr>
              <w:t>重大事项报告</w:t>
            </w:r>
          </w:p>
        </w:tc>
        <w:tc>
          <w:tcPr>
            <w:tcW w:w="2550" w:type="dxa"/>
            <w:tcBorders>
              <w:tl2br w:val="nil"/>
              <w:tr2bl w:val="nil"/>
            </w:tcBorders>
            <w:shd w:val="clear" w:color="auto" w:fill="auto"/>
            <w:vAlign w:val="center"/>
          </w:tcPr>
          <w:p w14:paraId="13FD64D1">
            <w:pPr>
              <w:ind w:left="0" w:firstLine="0" w:firstLineChars="0"/>
              <w:rPr>
                <w:rFonts w:ascii="宋体" w:hAnsi="宋体"/>
                <w:strike/>
                <w:dstrike w:val="0"/>
                <w:szCs w:val="21"/>
                <w:highlight w:val="none"/>
              </w:rPr>
            </w:pPr>
            <w:r>
              <w:rPr>
                <w:rFonts w:hint="eastAsia" w:ascii="宋体" w:hAns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447" w:type="dxa"/>
            <w:tcBorders>
              <w:tl2br w:val="nil"/>
              <w:tr2bl w:val="nil"/>
            </w:tcBorders>
            <w:shd w:val="clear" w:color="auto" w:fill="auto"/>
            <w:vAlign w:val="center"/>
          </w:tcPr>
          <w:p w14:paraId="322B3E06">
            <w:pPr>
              <w:ind w:left="0" w:firstLine="0" w:firstLineChars="0"/>
              <w:rPr>
                <w:rFonts w:ascii="宋体" w:hAnsi="宋体"/>
                <w:szCs w:val="21"/>
                <w:highlight w:val="none"/>
              </w:rPr>
            </w:pPr>
            <w:r>
              <w:rPr>
                <w:rFonts w:hint="eastAsia" w:ascii="宋体" w:hAnsi="宋体"/>
                <w:b/>
                <w:bCs/>
                <w:szCs w:val="21"/>
                <w:highlight w:val="none"/>
              </w:rPr>
              <w:t>优秀：</w:t>
            </w:r>
            <w:r>
              <w:rPr>
                <w:rFonts w:hint="eastAsia" w:ascii="宋体" w:hAnsi="宋体"/>
                <w:szCs w:val="21"/>
                <w:highlight w:val="none"/>
              </w:rPr>
              <w:t>5分，</w:t>
            </w:r>
            <w:r>
              <w:rPr>
                <w:rFonts w:ascii="宋体" w:hAnsi="宋体"/>
                <w:szCs w:val="21"/>
                <w:highlight w:val="none"/>
              </w:rPr>
              <w:t>指无重大事项或当发生重大事项时，能够于24小时内</w:t>
            </w:r>
            <w:r>
              <w:rPr>
                <w:rFonts w:hint="eastAsia" w:ascii="宋体" w:hAnsi="宋体"/>
                <w:szCs w:val="21"/>
                <w:highlight w:val="none"/>
              </w:rPr>
              <w:t>告知甲方；</w:t>
            </w:r>
          </w:p>
          <w:p w14:paraId="1ECBE7EF">
            <w:pPr>
              <w:ind w:left="0" w:firstLine="0" w:firstLineChars="0"/>
              <w:rPr>
                <w:rFonts w:ascii="宋体" w:hAnsi="宋体"/>
                <w:szCs w:val="21"/>
                <w:highlight w:val="none"/>
              </w:rPr>
            </w:pPr>
            <w:r>
              <w:rPr>
                <w:rFonts w:hint="eastAsia" w:ascii="宋体" w:hAnsi="宋体"/>
                <w:b/>
                <w:bCs/>
                <w:szCs w:val="21"/>
                <w:highlight w:val="none"/>
              </w:rPr>
              <w:t>良好：</w:t>
            </w:r>
            <w:r>
              <w:rPr>
                <w:rFonts w:hint="eastAsia" w:ascii="宋体" w:hAnsi="宋体"/>
                <w:szCs w:val="21"/>
                <w:highlight w:val="none"/>
              </w:rPr>
              <w:t>4分，</w:t>
            </w:r>
            <w:r>
              <w:rPr>
                <w:rFonts w:ascii="宋体" w:hAnsi="宋体"/>
                <w:szCs w:val="21"/>
                <w:highlight w:val="none"/>
              </w:rPr>
              <w:t>指当发生重大事项时，能够于一周内告知</w:t>
            </w:r>
            <w:r>
              <w:rPr>
                <w:rFonts w:hint="eastAsia" w:ascii="宋体" w:hAnsi="宋体"/>
                <w:szCs w:val="21"/>
                <w:highlight w:val="none"/>
              </w:rPr>
              <w:t>甲方；</w:t>
            </w:r>
          </w:p>
          <w:p w14:paraId="30DC63BC">
            <w:pPr>
              <w:ind w:left="0" w:firstLine="0" w:firstLineChars="0"/>
              <w:rPr>
                <w:rFonts w:ascii="宋体" w:hAnsi="宋体"/>
                <w:szCs w:val="21"/>
                <w:highlight w:val="none"/>
              </w:rPr>
            </w:pPr>
            <w:r>
              <w:rPr>
                <w:rFonts w:hint="eastAsia" w:ascii="宋体" w:hAnsi="宋体"/>
                <w:b/>
                <w:bCs/>
                <w:szCs w:val="21"/>
                <w:highlight w:val="none"/>
              </w:rPr>
              <w:t>合格：</w:t>
            </w:r>
            <w:r>
              <w:rPr>
                <w:rFonts w:hint="eastAsia" w:ascii="宋体" w:hAnsi="宋体"/>
                <w:szCs w:val="21"/>
                <w:highlight w:val="none"/>
              </w:rPr>
              <w:t>3分，</w:t>
            </w:r>
            <w:r>
              <w:rPr>
                <w:rFonts w:ascii="宋体" w:hAnsi="宋体"/>
                <w:szCs w:val="21"/>
                <w:highlight w:val="none"/>
              </w:rPr>
              <w:t>指当发生重大事项时，能够于一</w:t>
            </w:r>
            <w:r>
              <w:rPr>
                <w:rFonts w:hint="eastAsia" w:ascii="宋体" w:hAnsi="宋体"/>
                <w:szCs w:val="21"/>
                <w:highlight w:val="none"/>
              </w:rPr>
              <w:t>月</w:t>
            </w:r>
            <w:r>
              <w:rPr>
                <w:rFonts w:ascii="宋体" w:hAnsi="宋体"/>
                <w:szCs w:val="21"/>
                <w:highlight w:val="none"/>
              </w:rPr>
              <w:t>内告知</w:t>
            </w:r>
            <w:r>
              <w:rPr>
                <w:rFonts w:hint="eastAsia" w:ascii="宋体" w:hAnsi="宋体"/>
                <w:szCs w:val="21"/>
                <w:highlight w:val="none"/>
              </w:rPr>
              <w:t>甲方；</w:t>
            </w:r>
          </w:p>
          <w:p w14:paraId="5533AB28">
            <w:pPr>
              <w:ind w:left="0" w:firstLine="0" w:firstLineChars="0"/>
              <w:rPr>
                <w:rFonts w:ascii="宋体" w:hAnsi="宋体"/>
                <w:strike/>
                <w:dstrike w:val="0"/>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指当发生重大事项时，</w:t>
            </w:r>
            <w:r>
              <w:rPr>
                <w:rFonts w:hint="eastAsia" w:ascii="宋体" w:hAnsi="宋体"/>
                <w:szCs w:val="21"/>
                <w:highlight w:val="none"/>
              </w:rPr>
              <w:t>未</w:t>
            </w:r>
            <w:r>
              <w:rPr>
                <w:rFonts w:ascii="宋体" w:hAnsi="宋体"/>
                <w:szCs w:val="21"/>
                <w:highlight w:val="none"/>
              </w:rPr>
              <w:t>告知</w:t>
            </w:r>
            <w:r>
              <w:rPr>
                <w:rFonts w:hint="eastAsia" w:ascii="宋体" w:hAnsi="宋体"/>
                <w:szCs w:val="21"/>
                <w:highlight w:val="none"/>
              </w:rPr>
              <w:t>甲方。</w:t>
            </w:r>
          </w:p>
        </w:tc>
        <w:tc>
          <w:tcPr>
            <w:tcW w:w="2457" w:type="dxa"/>
            <w:tcBorders>
              <w:tl2br w:val="nil"/>
              <w:tr2bl w:val="nil"/>
            </w:tcBorders>
            <w:shd w:val="clear" w:color="auto" w:fill="auto"/>
            <w:vAlign w:val="center"/>
          </w:tcPr>
          <w:p w14:paraId="55925282">
            <w:pPr>
              <w:ind w:left="0" w:firstLine="0" w:firstLineChars="0"/>
              <w:rPr>
                <w:rFonts w:ascii="宋体" w:hAnsi="宋体"/>
                <w:strike/>
                <w:dstrike w:val="0"/>
                <w:szCs w:val="21"/>
                <w:highlight w:val="none"/>
              </w:rPr>
            </w:pPr>
            <w:r>
              <w:rPr>
                <w:rFonts w:hint="eastAsia" w:ascii="宋体" w:hAnsi="宋体"/>
                <w:szCs w:val="21"/>
                <w:highlight w:val="none"/>
              </w:rPr>
              <w:t>评价为较差/差时，甲方根据实际情况有权终止合同，并要求乙方赔偿实际损失。</w:t>
            </w:r>
          </w:p>
        </w:tc>
        <w:tc>
          <w:tcPr>
            <w:tcW w:w="1536" w:type="dxa"/>
            <w:tcBorders>
              <w:tl2br w:val="nil"/>
              <w:tr2bl w:val="nil"/>
            </w:tcBorders>
            <w:shd w:val="clear" w:color="auto" w:fill="auto"/>
            <w:vAlign w:val="center"/>
          </w:tcPr>
          <w:p w14:paraId="1C092F47">
            <w:pPr>
              <w:jc w:val="left"/>
              <w:rPr>
                <w:rFonts w:ascii="宋体" w:hAnsi="宋体"/>
                <w:szCs w:val="21"/>
                <w:highlight w:val="none"/>
              </w:rPr>
            </w:pPr>
          </w:p>
        </w:tc>
        <w:tc>
          <w:tcPr>
            <w:tcW w:w="1091" w:type="dxa"/>
            <w:tcBorders>
              <w:tl2br w:val="nil"/>
              <w:tr2bl w:val="nil"/>
            </w:tcBorders>
            <w:shd w:val="clear" w:color="auto" w:fill="auto"/>
            <w:vAlign w:val="center"/>
          </w:tcPr>
          <w:p w14:paraId="35BBC339">
            <w:pPr>
              <w:jc w:val="left"/>
              <w:rPr>
                <w:rFonts w:ascii="宋体" w:hAnsi="宋体"/>
                <w:szCs w:val="21"/>
                <w:highlight w:val="none"/>
              </w:rPr>
            </w:pPr>
          </w:p>
        </w:tc>
      </w:tr>
      <w:tr w14:paraId="7312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4AF6060F">
            <w:pPr>
              <w:ind w:left="0" w:firstLine="0" w:firstLineChars="0"/>
              <w:jc w:val="both"/>
              <w:rPr>
                <w:rFonts w:ascii="宋体" w:hAnsi="宋体"/>
                <w:szCs w:val="21"/>
                <w:highlight w:val="none"/>
              </w:rPr>
            </w:pPr>
            <w:r>
              <w:rPr>
                <w:rFonts w:ascii="宋体" w:hAnsi="宋体"/>
                <w:szCs w:val="21"/>
                <w:highlight w:val="none"/>
              </w:rPr>
              <w:t>8</w:t>
            </w:r>
          </w:p>
        </w:tc>
        <w:tc>
          <w:tcPr>
            <w:tcW w:w="1145" w:type="dxa"/>
            <w:vMerge w:val="continue"/>
            <w:tcBorders>
              <w:tl2br w:val="nil"/>
              <w:tr2bl w:val="nil"/>
            </w:tcBorders>
            <w:shd w:val="clear" w:color="auto" w:fill="auto"/>
          </w:tcPr>
          <w:p w14:paraId="4D0F1D36"/>
        </w:tc>
        <w:tc>
          <w:tcPr>
            <w:tcW w:w="1123" w:type="dxa"/>
            <w:tcBorders>
              <w:tl2br w:val="nil"/>
              <w:tr2bl w:val="nil"/>
            </w:tcBorders>
            <w:shd w:val="clear" w:color="auto" w:fill="auto"/>
            <w:vAlign w:val="center"/>
          </w:tcPr>
          <w:p w14:paraId="53BA6DD0">
            <w:pPr>
              <w:ind w:left="0" w:firstLine="0" w:firstLineChars="0"/>
              <w:rPr>
                <w:rFonts w:ascii="宋体" w:hAnsi="宋体"/>
                <w:szCs w:val="21"/>
                <w:highlight w:val="none"/>
              </w:rPr>
            </w:pPr>
            <w:r>
              <w:rPr>
                <w:rFonts w:hint="eastAsia" w:ascii="宋体" w:hAnsi="宋体"/>
                <w:szCs w:val="21"/>
                <w:highlight w:val="none"/>
              </w:rPr>
              <w:t>响应与解决及时性</w:t>
            </w:r>
          </w:p>
        </w:tc>
        <w:tc>
          <w:tcPr>
            <w:tcW w:w="2550" w:type="dxa"/>
            <w:tcBorders>
              <w:tl2br w:val="nil"/>
              <w:tr2bl w:val="nil"/>
            </w:tcBorders>
            <w:shd w:val="clear" w:color="auto" w:fill="auto"/>
            <w:vAlign w:val="center"/>
          </w:tcPr>
          <w:p w14:paraId="6B6D4A44">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或服务项目对</w:t>
            </w:r>
            <w:r>
              <w:rPr>
                <w:rFonts w:hint="eastAsia" w:ascii="宋体" w:hAnsi="宋体"/>
                <w:szCs w:val="21"/>
                <w:highlight w:val="none"/>
              </w:rPr>
              <w:t>甲方</w:t>
            </w:r>
            <w:r>
              <w:rPr>
                <w:rFonts w:ascii="宋体" w:hAnsi="宋体"/>
                <w:szCs w:val="21"/>
                <w:highlight w:val="none"/>
              </w:rPr>
              <w:t>的响应与解决的及时性</w:t>
            </w:r>
          </w:p>
        </w:tc>
        <w:tc>
          <w:tcPr>
            <w:tcW w:w="3447" w:type="dxa"/>
            <w:tcBorders>
              <w:tl2br w:val="nil"/>
              <w:tr2bl w:val="nil"/>
            </w:tcBorders>
            <w:shd w:val="clear" w:color="auto" w:fill="auto"/>
            <w:vAlign w:val="center"/>
          </w:tcPr>
          <w:p w14:paraId="0ACBDC6D">
            <w:pPr>
              <w:ind w:left="0" w:firstLine="0" w:firstLineChars="0"/>
              <w:rPr>
                <w:rFonts w:ascii="宋体" w:hAnsi="宋体"/>
                <w:szCs w:val="21"/>
                <w:highlight w:val="none"/>
              </w:rPr>
            </w:pPr>
            <w:r>
              <w:rPr>
                <w:rFonts w:hint="eastAsia" w:ascii="宋体" w:hAnsi="宋体"/>
                <w:szCs w:val="21"/>
                <w:highlight w:val="none"/>
              </w:rPr>
              <w:t>要求乙方</w:t>
            </w:r>
            <w:r>
              <w:rPr>
                <w:rFonts w:ascii="宋体" w:hAnsi="宋体"/>
                <w:szCs w:val="21"/>
                <w:highlight w:val="none"/>
              </w:rPr>
              <w:t>提供7</w:t>
            </w:r>
            <w:r>
              <w:rPr>
                <w:rFonts w:ascii="宋体" w:hAnsi="宋体" w:cs="Arial"/>
                <w:szCs w:val="21"/>
                <w:highlight w:val="none"/>
              </w:rPr>
              <w:t>×</w:t>
            </w:r>
            <w:r>
              <w:rPr>
                <w:rFonts w:ascii="宋体" w:hAnsi="宋体"/>
                <w:szCs w:val="21"/>
                <w:highlight w:val="none"/>
              </w:rPr>
              <w:t>24小时的远程响应和现场响应，其中电话响应不超过10分钟，现场响应不超过4小时</w:t>
            </w:r>
            <w:r>
              <w:rPr>
                <w:rFonts w:hint="eastAsia" w:ascii="宋体" w:hAnsi="宋体"/>
                <w:szCs w:val="21"/>
                <w:highlight w:val="none"/>
              </w:rPr>
              <w:t>。</w:t>
            </w:r>
          </w:p>
          <w:p w14:paraId="49EB1E26">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或服务项目能够迅速响应需求，主动快速与</w:t>
            </w:r>
            <w:r>
              <w:rPr>
                <w:rFonts w:hint="eastAsia" w:ascii="宋体" w:hAnsi="宋体"/>
                <w:szCs w:val="21"/>
                <w:highlight w:val="none"/>
              </w:rPr>
              <w:t>甲方</w:t>
            </w:r>
            <w:r>
              <w:rPr>
                <w:rFonts w:ascii="宋体" w:hAnsi="宋体"/>
                <w:szCs w:val="21"/>
                <w:highlight w:val="none"/>
              </w:rPr>
              <w:t>进行有效的沟通，第一时间从专业角度给出解决方案并解决问题</w:t>
            </w:r>
            <w:r>
              <w:rPr>
                <w:rFonts w:hint="eastAsia" w:ascii="宋体" w:hAnsi="宋体"/>
                <w:szCs w:val="21"/>
                <w:highlight w:val="none"/>
              </w:rPr>
              <w:t>；</w:t>
            </w:r>
          </w:p>
          <w:p w14:paraId="70B9B24C">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或服务项目能够按要求响应需求，及时与</w:t>
            </w:r>
            <w:r>
              <w:rPr>
                <w:rFonts w:hint="eastAsia" w:ascii="宋体" w:hAnsi="宋体"/>
                <w:szCs w:val="21"/>
                <w:highlight w:val="none"/>
              </w:rPr>
              <w:t>甲方</w:t>
            </w:r>
            <w:r>
              <w:rPr>
                <w:rFonts w:ascii="宋体" w:hAnsi="宋体"/>
                <w:szCs w:val="21"/>
                <w:highlight w:val="none"/>
              </w:rPr>
              <w:t>进行有效的沟通，快速给出处理方案并解决问题</w:t>
            </w:r>
            <w:r>
              <w:rPr>
                <w:rFonts w:hint="eastAsia" w:ascii="宋体" w:hAnsi="宋体"/>
                <w:szCs w:val="21"/>
                <w:highlight w:val="none"/>
              </w:rPr>
              <w:t>；</w:t>
            </w:r>
          </w:p>
          <w:p w14:paraId="19B4EED8">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或服务项目能够基本按要求响应需求</w:t>
            </w:r>
            <w:r>
              <w:rPr>
                <w:rFonts w:hint="eastAsia" w:ascii="宋体" w:hAnsi="宋体"/>
                <w:szCs w:val="21"/>
                <w:highlight w:val="none"/>
              </w:rPr>
              <w:t>，</w:t>
            </w:r>
            <w:r>
              <w:rPr>
                <w:rFonts w:ascii="宋体" w:hAnsi="宋体"/>
                <w:szCs w:val="21"/>
                <w:highlight w:val="none"/>
              </w:rPr>
              <w:t>保持与</w:t>
            </w:r>
            <w:r>
              <w:rPr>
                <w:rFonts w:hint="eastAsia" w:ascii="宋体" w:hAnsi="宋体"/>
                <w:szCs w:val="21"/>
                <w:highlight w:val="none"/>
              </w:rPr>
              <w:t>甲方</w:t>
            </w:r>
            <w:r>
              <w:rPr>
                <w:rFonts w:ascii="宋体" w:hAnsi="宋体"/>
                <w:szCs w:val="21"/>
                <w:highlight w:val="none"/>
              </w:rPr>
              <w:t>的沟通，按时解决问题</w:t>
            </w:r>
            <w:r>
              <w:rPr>
                <w:rFonts w:hint="eastAsia" w:ascii="宋体" w:hAnsi="宋体"/>
                <w:szCs w:val="21"/>
                <w:highlight w:val="none"/>
              </w:rPr>
              <w:t>；</w:t>
            </w:r>
          </w:p>
          <w:p w14:paraId="050CEE99">
            <w:pPr>
              <w:ind w:left="0" w:firstLine="0" w:firstLineChars="0"/>
              <w:rPr>
                <w:rFonts w:ascii="宋体" w:hAnsi="宋体"/>
                <w:b/>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或服务项目未及时响应需求，或响应需求后无法</w:t>
            </w:r>
            <w:r>
              <w:rPr>
                <w:rFonts w:hint="eastAsia" w:ascii="宋体" w:hAnsi="宋体"/>
                <w:szCs w:val="21"/>
                <w:highlight w:val="none"/>
              </w:rPr>
              <w:t>及时</w:t>
            </w:r>
            <w:r>
              <w:rPr>
                <w:rFonts w:ascii="宋体" w:hAnsi="宋体"/>
                <w:szCs w:val="21"/>
                <w:highlight w:val="none"/>
              </w:rPr>
              <w:t>解决问题</w:t>
            </w:r>
            <w:r>
              <w:rPr>
                <w:rFonts w:hint="eastAsia" w:ascii="宋体" w:hAnsi="宋体"/>
                <w:szCs w:val="21"/>
                <w:highlight w:val="none"/>
              </w:rPr>
              <w:t>。</w:t>
            </w:r>
          </w:p>
        </w:tc>
        <w:tc>
          <w:tcPr>
            <w:tcW w:w="2457" w:type="dxa"/>
            <w:tcBorders>
              <w:tl2br w:val="nil"/>
              <w:tr2bl w:val="nil"/>
            </w:tcBorders>
            <w:shd w:val="clear" w:color="auto" w:fill="auto"/>
            <w:vAlign w:val="center"/>
          </w:tcPr>
          <w:p w14:paraId="30480BE1">
            <w:pPr>
              <w:ind w:left="0" w:firstLine="0" w:firstLineChars="0"/>
              <w:rPr>
                <w:rFonts w:ascii="宋体" w:hAnsi="宋体"/>
                <w:szCs w:val="21"/>
                <w:highlight w:val="none"/>
              </w:rPr>
            </w:pPr>
            <w:r>
              <w:rPr>
                <w:rFonts w:hint="eastAsia" w:ascii="宋体" w:hAnsi="宋体"/>
                <w:szCs w:val="21"/>
                <w:highlight w:val="none"/>
              </w:rPr>
              <w:t>如违反承诺的响应时间要求，每次扣除乙方金额人民币1000元；</w:t>
            </w:r>
          </w:p>
          <w:p w14:paraId="719593EB">
            <w:pPr>
              <w:ind w:left="0" w:firstLine="0" w:firstLineChars="0"/>
              <w:rPr>
                <w:rFonts w:ascii="宋体" w:hAnsi="宋体"/>
                <w:szCs w:val="21"/>
                <w:highlight w:val="none"/>
              </w:rPr>
            </w:pPr>
            <w:r>
              <w:rPr>
                <w:rFonts w:hint="eastAsia" w:ascii="宋体" w:hAnsi="宋体"/>
                <w:szCs w:val="21"/>
                <w:highlight w:val="none"/>
              </w:rPr>
              <w:t>出现故障未能及时给予有效的解决办法和预防措施或因严重违反响应时间导致事件升级，每次扣除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1</w:t>
            </w:r>
            <w:r>
              <w:rPr>
                <w:rFonts w:hint="eastAsia" w:ascii="宋体" w:hAnsi="宋体"/>
                <w:szCs w:val="21"/>
                <w:highlight w:val="none"/>
              </w:rPr>
              <w:t>0%。</w:t>
            </w:r>
          </w:p>
        </w:tc>
        <w:tc>
          <w:tcPr>
            <w:tcW w:w="1536" w:type="dxa"/>
            <w:tcBorders>
              <w:tl2br w:val="nil"/>
              <w:tr2bl w:val="nil"/>
            </w:tcBorders>
            <w:shd w:val="clear" w:color="auto" w:fill="auto"/>
            <w:vAlign w:val="center"/>
          </w:tcPr>
          <w:p w14:paraId="5567DC4A">
            <w:pPr>
              <w:jc w:val="left"/>
              <w:rPr>
                <w:rFonts w:ascii="宋体" w:hAnsi="宋体"/>
                <w:szCs w:val="21"/>
                <w:highlight w:val="none"/>
              </w:rPr>
            </w:pPr>
          </w:p>
        </w:tc>
        <w:tc>
          <w:tcPr>
            <w:tcW w:w="1091" w:type="dxa"/>
            <w:tcBorders>
              <w:tl2br w:val="nil"/>
              <w:tr2bl w:val="nil"/>
            </w:tcBorders>
            <w:shd w:val="clear" w:color="auto" w:fill="auto"/>
            <w:vAlign w:val="center"/>
          </w:tcPr>
          <w:p w14:paraId="2DCFFD85">
            <w:pPr>
              <w:jc w:val="left"/>
              <w:rPr>
                <w:rFonts w:ascii="宋体" w:hAnsi="宋体"/>
                <w:szCs w:val="21"/>
                <w:highlight w:val="none"/>
              </w:rPr>
            </w:pPr>
          </w:p>
        </w:tc>
      </w:tr>
      <w:tr w14:paraId="6ABC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BDDD30F">
            <w:pPr>
              <w:ind w:left="0" w:firstLine="0" w:firstLineChars="0"/>
              <w:jc w:val="both"/>
              <w:rPr>
                <w:rFonts w:ascii="宋体" w:hAnsi="宋体"/>
                <w:szCs w:val="21"/>
                <w:highlight w:val="none"/>
              </w:rPr>
            </w:pPr>
            <w:r>
              <w:rPr>
                <w:rFonts w:ascii="宋体" w:hAnsi="宋体"/>
                <w:szCs w:val="21"/>
                <w:highlight w:val="none"/>
              </w:rPr>
              <w:t>9</w:t>
            </w:r>
          </w:p>
        </w:tc>
        <w:tc>
          <w:tcPr>
            <w:tcW w:w="1145" w:type="dxa"/>
            <w:vMerge w:val="continue"/>
            <w:tcBorders>
              <w:tl2br w:val="nil"/>
              <w:tr2bl w:val="nil"/>
            </w:tcBorders>
            <w:shd w:val="clear" w:color="auto" w:fill="auto"/>
          </w:tcPr>
          <w:p w14:paraId="7D77DB6A"/>
        </w:tc>
        <w:tc>
          <w:tcPr>
            <w:tcW w:w="1123" w:type="dxa"/>
            <w:tcBorders>
              <w:tl2br w:val="nil"/>
              <w:tr2bl w:val="nil"/>
            </w:tcBorders>
            <w:shd w:val="clear" w:color="auto" w:fill="auto"/>
            <w:vAlign w:val="center"/>
          </w:tcPr>
          <w:p w14:paraId="6ABEFDE2">
            <w:pPr>
              <w:ind w:left="0" w:firstLine="0" w:firstLineChars="0"/>
              <w:rPr>
                <w:rFonts w:ascii="宋体" w:hAnsi="宋体"/>
                <w:szCs w:val="21"/>
                <w:highlight w:val="none"/>
              </w:rPr>
            </w:pPr>
            <w:r>
              <w:rPr>
                <w:rFonts w:ascii="宋体" w:hAnsi="宋体"/>
                <w:szCs w:val="21"/>
                <w:highlight w:val="none"/>
              </w:rPr>
              <w:t>项目经理和</w:t>
            </w:r>
            <w:r>
              <w:rPr>
                <w:rFonts w:hint="eastAsia" w:ascii="宋体" w:hAnsi="宋体"/>
                <w:szCs w:val="21"/>
                <w:highlight w:val="none"/>
              </w:rPr>
              <w:t>服务人员保证</w:t>
            </w:r>
          </w:p>
        </w:tc>
        <w:tc>
          <w:tcPr>
            <w:tcW w:w="2550" w:type="dxa"/>
            <w:tcBorders>
              <w:tl2br w:val="nil"/>
              <w:tr2bl w:val="nil"/>
            </w:tcBorders>
            <w:shd w:val="clear" w:color="auto" w:fill="auto"/>
            <w:vAlign w:val="center"/>
          </w:tcPr>
          <w:p w14:paraId="612F8A9C">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乙方</w:t>
            </w:r>
            <w:r>
              <w:rPr>
                <w:rFonts w:ascii="宋体" w:hAnsi="宋体"/>
                <w:szCs w:val="21"/>
                <w:highlight w:val="none"/>
              </w:rPr>
              <w:t>项目经理和</w:t>
            </w:r>
            <w:r>
              <w:rPr>
                <w:rFonts w:hint="eastAsia" w:ascii="宋体" w:hAnsi="宋体"/>
                <w:szCs w:val="21"/>
                <w:highlight w:val="none"/>
              </w:rPr>
              <w:t>服务</w:t>
            </w:r>
            <w:r>
              <w:rPr>
                <w:rFonts w:ascii="宋体" w:hAnsi="宋体"/>
                <w:szCs w:val="21"/>
                <w:highlight w:val="none"/>
              </w:rPr>
              <w:t>工程师</w:t>
            </w:r>
            <w:r>
              <w:rPr>
                <w:rFonts w:hint="eastAsia" w:ascii="宋体" w:hAnsi="宋体"/>
                <w:szCs w:val="21"/>
                <w:highlight w:val="none"/>
              </w:rPr>
              <w:t>人员保证</w:t>
            </w:r>
          </w:p>
        </w:tc>
        <w:tc>
          <w:tcPr>
            <w:tcW w:w="3447" w:type="dxa"/>
            <w:tcBorders>
              <w:tl2br w:val="nil"/>
              <w:tr2bl w:val="nil"/>
            </w:tcBorders>
            <w:shd w:val="clear" w:color="auto" w:fill="auto"/>
            <w:vAlign w:val="center"/>
          </w:tcPr>
          <w:p w14:paraId="5B215E81">
            <w:pPr>
              <w:ind w:left="0" w:firstLine="0" w:firstLineChars="0"/>
              <w:rPr>
                <w:rFonts w:ascii="宋体" w:hAnsi="宋体"/>
                <w:szCs w:val="21"/>
                <w:highlight w:val="none"/>
              </w:rPr>
            </w:pPr>
            <w:r>
              <w:rPr>
                <w:rFonts w:ascii="宋体" w:hAnsi="宋体"/>
                <w:szCs w:val="21"/>
                <w:highlight w:val="none"/>
              </w:rPr>
              <w:t>乙方</w:t>
            </w:r>
            <w:r>
              <w:rPr>
                <w:rFonts w:hint="eastAsia" w:ascii="宋体" w:hAnsi="宋体"/>
                <w:szCs w:val="21"/>
                <w:highlight w:val="none"/>
              </w:rPr>
              <w:t>根据合同要求</w:t>
            </w:r>
            <w:r>
              <w:rPr>
                <w:rFonts w:ascii="宋体" w:hAnsi="宋体"/>
                <w:szCs w:val="21"/>
                <w:highlight w:val="none"/>
              </w:rPr>
              <w:t>为项目提供1名项目经理和2名服务工程师且不存在人员变更情况。</w:t>
            </w:r>
          </w:p>
          <w:p w14:paraId="00B8C5C7">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A5AD96B">
            <w:pPr>
              <w:ind w:left="0" w:firstLine="0" w:firstLineChars="0"/>
              <w:rPr>
                <w:rFonts w:ascii="宋体" w:hAnsi="宋体"/>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1DF6187E">
            <w:pPr>
              <w:ind w:left="0" w:firstLine="0" w:firstLineChars="0"/>
              <w:rPr>
                <w:rFonts w:ascii="宋体" w:hAnsi="宋体"/>
                <w:szCs w:val="21"/>
                <w:highlight w:val="none"/>
              </w:rPr>
            </w:pPr>
            <w:r>
              <w:rPr>
                <w:rFonts w:ascii="宋体" w:hAnsi="宋体"/>
                <w:szCs w:val="21"/>
                <w:highlight w:val="none"/>
              </w:rPr>
              <w:t>无法按照合同要求提供1名项目经理和2名服务工程师的，</w:t>
            </w:r>
            <w:r>
              <w:rPr>
                <w:rFonts w:hint="eastAsia" w:ascii="宋体" w:hAnsi="宋体"/>
                <w:szCs w:val="21"/>
                <w:highlight w:val="none"/>
              </w:rPr>
              <w:t>甲方根据实际情况有权终止合同，并要求乙方赔偿实际损失</w:t>
            </w:r>
            <w:r>
              <w:rPr>
                <w:rFonts w:ascii="宋体" w:hAnsi="宋体"/>
                <w:szCs w:val="21"/>
                <w:highlight w:val="none"/>
              </w:rPr>
              <w:t>；</w:t>
            </w:r>
          </w:p>
          <w:p w14:paraId="003B5BEF">
            <w:pPr>
              <w:ind w:left="0" w:firstLine="0" w:firstLineChars="0"/>
              <w:rPr>
                <w:rFonts w:ascii="宋体" w:hAnsi="宋体"/>
                <w:szCs w:val="21"/>
                <w:highlight w:val="none"/>
              </w:rPr>
            </w:pPr>
            <w:r>
              <w:rPr>
                <w:rFonts w:ascii="宋体" w:hAnsi="宋体"/>
                <w:szCs w:val="21"/>
                <w:highlight w:val="none"/>
              </w:rPr>
              <w:t>服务过程中人员不为合同指定人员的，每出现一次扣除合同总金额的10%，出现两次及以上的</w:t>
            </w:r>
            <w:r>
              <w:rPr>
                <w:rFonts w:hint="eastAsia" w:ascii="宋体" w:hAnsi="宋体"/>
                <w:szCs w:val="21"/>
                <w:highlight w:val="none"/>
              </w:rPr>
              <w:t>甲方根据实际情况有权终止合同，并要求乙方赔偿实际损失。</w:t>
            </w:r>
          </w:p>
        </w:tc>
        <w:tc>
          <w:tcPr>
            <w:tcW w:w="1536" w:type="dxa"/>
            <w:tcBorders>
              <w:tl2br w:val="nil"/>
              <w:tr2bl w:val="nil"/>
            </w:tcBorders>
            <w:shd w:val="clear" w:color="auto" w:fill="auto"/>
            <w:vAlign w:val="center"/>
          </w:tcPr>
          <w:p w14:paraId="2E6EB9D8">
            <w:pPr>
              <w:jc w:val="left"/>
              <w:rPr>
                <w:rFonts w:ascii="宋体" w:hAnsi="宋体"/>
                <w:szCs w:val="21"/>
                <w:highlight w:val="none"/>
              </w:rPr>
            </w:pPr>
          </w:p>
        </w:tc>
        <w:tc>
          <w:tcPr>
            <w:tcW w:w="1091" w:type="dxa"/>
            <w:tcBorders>
              <w:tl2br w:val="nil"/>
              <w:tr2bl w:val="nil"/>
            </w:tcBorders>
            <w:shd w:val="clear" w:color="auto" w:fill="auto"/>
            <w:vAlign w:val="center"/>
          </w:tcPr>
          <w:p w14:paraId="717E6369">
            <w:pPr>
              <w:jc w:val="left"/>
              <w:rPr>
                <w:rFonts w:ascii="宋体" w:hAnsi="宋体"/>
                <w:szCs w:val="21"/>
                <w:highlight w:val="none"/>
              </w:rPr>
            </w:pPr>
          </w:p>
        </w:tc>
      </w:tr>
      <w:tr w14:paraId="673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1D9DA2FD">
            <w:pPr>
              <w:ind w:left="0" w:firstLine="0" w:firstLineChars="0"/>
              <w:jc w:val="both"/>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45" w:type="dxa"/>
            <w:tcBorders>
              <w:tl2br w:val="nil"/>
              <w:tr2bl w:val="nil"/>
            </w:tcBorders>
            <w:shd w:val="clear" w:color="auto" w:fill="auto"/>
          </w:tcPr>
          <w:p w14:paraId="3DEF6D23">
            <w:pPr>
              <w:ind w:left="0" w:firstLine="0" w:firstLineChars="0"/>
              <w:jc w:val="left"/>
              <w:rPr>
                <w:rFonts w:ascii="宋体" w:hAnsi="宋体"/>
                <w:szCs w:val="21"/>
                <w:highlight w:val="none"/>
              </w:rPr>
            </w:pPr>
            <w:r>
              <w:rPr>
                <w:rFonts w:hint="eastAsia" w:ascii="宋体" w:hAnsi="宋体"/>
                <w:szCs w:val="21"/>
                <w:highlight w:val="none"/>
              </w:rPr>
              <w:t>人员满意度</w:t>
            </w:r>
          </w:p>
        </w:tc>
        <w:tc>
          <w:tcPr>
            <w:tcW w:w="1123" w:type="dxa"/>
            <w:tcBorders>
              <w:tl2br w:val="nil"/>
              <w:tr2bl w:val="nil"/>
            </w:tcBorders>
            <w:shd w:val="clear" w:color="auto" w:fill="auto"/>
            <w:vAlign w:val="center"/>
          </w:tcPr>
          <w:p w14:paraId="404256EF">
            <w:pPr>
              <w:ind w:left="0" w:firstLine="0" w:firstLineChars="0"/>
              <w:rPr>
                <w:rFonts w:ascii="宋体" w:hAnsi="宋体"/>
                <w:szCs w:val="21"/>
                <w:highlight w:val="none"/>
              </w:rPr>
            </w:pPr>
            <w:r>
              <w:rPr>
                <w:rFonts w:hint="eastAsia" w:ascii="宋体" w:hAnsi="宋体"/>
                <w:szCs w:val="21"/>
                <w:highlight w:val="none"/>
              </w:rPr>
              <w:t>人员满意度评价</w:t>
            </w:r>
          </w:p>
        </w:tc>
        <w:tc>
          <w:tcPr>
            <w:tcW w:w="2550" w:type="dxa"/>
            <w:tcBorders>
              <w:tl2br w:val="nil"/>
              <w:tr2bl w:val="nil"/>
            </w:tcBorders>
            <w:shd w:val="clear" w:color="auto" w:fill="auto"/>
            <w:vAlign w:val="center"/>
          </w:tcPr>
          <w:p w14:paraId="0512FF18">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甲方</w:t>
            </w:r>
            <w:r>
              <w:rPr>
                <w:rFonts w:ascii="宋体" w:hAnsi="宋体"/>
                <w:szCs w:val="21"/>
                <w:highlight w:val="none"/>
              </w:rPr>
              <w:t>对</w:t>
            </w:r>
            <w:r>
              <w:rPr>
                <w:rFonts w:hint="eastAsia" w:ascii="宋体" w:hAnsi="宋体"/>
                <w:szCs w:val="21"/>
                <w:highlight w:val="none"/>
              </w:rPr>
              <w:t>乙方</w:t>
            </w:r>
            <w:r>
              <w:rPr>
                <w:rFonts w:ascii="宋体" w:hAnsi="宋体"/>
                <w:szCs w:val="21"/>
                <w:highlight w:val="none"/>
              </w:rPr>
              <w:t>外包人员表现的满意度评价</w:t>
            </w:r>
          </w:p>
        </w:tc>
        <w:tc>
          <w:tcPr>
            <w:tcW w:w="3447" w:type="dxa"/>
            <w:tcBorders>
              <w:tl2br w:val="nil"/>
              <w:tr2bl w:val="nil"/>
            </w:tcBorders>
            <w:shd w:val="clear" w:color="auto" w:fill="auto"/>
            <w:vAlign w:val="center"/>
          </w:tcPr>
          <w:p w14:paraId="776C41EF">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工作效率高，态度积极主动，</w:t>
            </w:r>
            <w:r>
              <w:rPr>
                <w:rFonts w:ascii="宋体" w:hAnsi="宋体"/>
                <w:szCs w:val="21"/>
                <w:highlight w:val="none"/>
              </w:rPr>
              <w:t>保质保量完成工作任务</w:t>
            </w:r>
            <w:r>
              <w:rPr>
                <w:rFonts w:hint="eastAsia" w:ascii="宋体" w:hAnsi="宋体"/>
                <w:szCs w:val="21"/>
                <w:highlight w:val="none"/>
              </w:rPr>
              <w:t>，</w:t>
            </w:r>
            <w:r>
              <w:rPr>
                <w:rFonts w:ascii="宋体" w:hAnsi="宋体"/>
                <w:szCs w:val="21"/>
                <w:highlight w:val="none"/>
              </w:rPr>
              <w:t>对团队有突出贡献，日常行为能起到模范带头作用</w:t>
            </w:r>
            <w:r>
              <w:rPr>
                <w:rFonts w:hint="eastAsia" w:ascii="宋体" w:hAnsi="宋体"/>
                <w:szCs w:val="21"/>
                <w:highlight w:val="none"/>
              </w:rPr>
              <w:t>的；</w:t>
            </w:r>
          </w:p>
          <w:p w14:paraId="7F5BD0FB">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工作效率较高，态度比较主动，较好</w:t>
            </w:r>
            <w:r>
              <w:rPr>
                <w:rFonts w:ascii="宋体" w:hAnsi="宋体"/>
                <w:szCs w:val="21"/>
                <w:highlight w:val="none"/>
              </w:rPr>
              <w:t>完成工作任务</w:t>
            </w:r>
            <w:r>
              <w:rPr>
                <w:rFonts w:hint="eastAsia" w:ascii="宋体" w:hAnsi="宋体"/>
                <w:szCs w:val="21"/>
                <w:highlight w:val="none"/>
              </w:rPr>
              <w:t>，</w:t>
            </w:r>
            <w:r>
              <w:rPr>
                <w:rFonts w:ascii="宋体" w:hAnsi="宋体"/>
                <w:szCs w:val="21"/>
                <w:highlight w:val="none"/>
              </w:rPr>
              <w:t>对团队有</w:t>
            </w:r>
            <w:r>
              <w:rPr>
                <w:rFonts w:hint="eastAsia" w:ascii="宋体" w:hAnsi="宋体"/>
                <w:szCs w:val="21"/>
                <w:highlight w:val="none"/>
              </w:rPr>
              <w:t>一定</w:t>
            </w:r>
            <w:r>
              <w:rPr>
                <w:rFonts w:ascii="宋体" w:hAnsi="宋体"/>
                <w:szCs w:val="21"/>
                <w:highlight w:val="none"/>
              </w:rPr>
              <w:t>贡献，日常行为</w:t>
            </w:r>
            <w:r>
              <w:rPr>
                <w:rFonts w:hint="eastAsia" w:ascii="宋体" w:hAnsi="宋体"/>
                <w:szCs w:val="21"/>
                <w:highlight w:val="none"/>
              </w:rPr>
              <w:t>表现较好的；</w:t>
            </w:r>
          </w:p>
          <w:p w14:paraId="7D7A7C3C">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工作效率一般，态度合格，能够按时</w:t>
            </w:r>
            <w:r>
              <w:rPr>
                <w:rFonts w:ascii="宋体" w:hAnsi="宋体"/>
                <w:szCs w:val="21"/>
                <w:highlight w:val="none"/>
              </w:rPr>
              <w:t>完成工作任务</w:t>
            </w:r>
            <w:r>
              <w:rPr>
                <w:rFonts w:hint="eastAsia" w:ascii="宋体" w:hAnsi="宋体"/>
                <w:szCs w:val="21"/>
                <w:highlight w:val="none"/>
              </w:rPr>
              <w:t>的；</w:t>
            </w:r>
          </w:p>
          <w:p w14:paraId="46FE3C46">
            <w:pPr>
              <w:ind w:left="0" w:firstLine="0" w:firstLineChars="0"/>
              <w:rPr>
                <w:rFonts w:ascii="宋体" w:hAnsi="宋体"/>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工作效率低下，态度懈怠散漫，不能按时</w:t>
            </w:r>
            <w:r>
              <w:rPr>
                <w:rFonts w:ascii="宋体" w:hAnsi="宋体"/>
                <w:szCs w:val="21"/>
                <w:highlight w:val="none"/>
              </w:rPr>
              <w:t>完成工作任务</w:t>
            </w:r>
            <w:r>
              <w:rPr>
                <w:rFonts w:hint="eastAsia" w:ascii="宋体" w:hAnsi="宋体"/>
                <w:szCs w:val="21"/>
                <w:highlight w:val="none"/>
              </w:rPr>
              <w:t>的。</w:t>
            </w:r>
          </w:p>
        </w:tc>
        <w:tc>
          <w:tcPr>
            <w:tcW w:w="2457" w:type="dxa"/>
            <w:tcBorders>
              <w:tl2br w:val="nil"/>
              <w:tr2bl w:val="nil"/>
            </w:tcBorders>
            <w:shd w:val="clear" w:color="auto" w:fill="auto"/>
            <w:vAlign w:val="center"/>
          </w:tcPr>
          <w:p w14:paraId="40A12B58">
            <w:pPr>
              <w:ind w:left="0" w:firstLine="0" w:firstLineChars="0"/>
              <w:rPr>
                <w:rFonts w:ascii="宋体" w:hAnsi="宋体"/>
                <w:szCs w:val="21"/>
                <w:highlight w:val="none"/>
              </w:rPr>
            </w:pPr>
            <w:r>
              <w:rPr>
                <w:rFonts w:hint="eastAsia" w:ascii="宋体" w:hAnsi="宋体"/>
                <w:szCs w:val="21"/>
                <w:highlight w:val="none"/>
              </w:rPr>
              <w:t>评价为较差/差时，</w:t>
            </w:r>
            <w:r>
              <w:rPr>
                <w:rFonts w:ascii="宋体" w:hAnsi="宋体"/>
                <w:szCs w:val="21"/>
                <w:highlight w:val="none"/>
              </w:rPr>
              <w:t>扣除合同总金额的5%</w:t>
            </w:r>
            <w:r>
              <w:rPr>
                <w:rFonts w:hint="eastAsia" w:ascii="宋体" w:hAnsi="宋体"/>
                <w:szCs w:val="21"/>
                <w:highlight w:val="none"/>
              </w:rPr>
              <w:t>。</w:t>
            </w:r>
          </w:p>
        </w:tc>
        <w:tc>
          <w:tcPr>
            <w:tcW w:w="1536" w:type="dxa"/>
            <w:tcBorders>
              <w:tl2br w:val="nil"/>
              <w:tr2bl w:val="nil"/>
            </w:tcBorders>
            <w:shd w:val="clear" w:color="auto" w:fill="auto"/>
            <w:vAlign w:val="center"/>
          </w:tcPr>
          <w:p w14:paraId="1BD0C6D0">
            <w:pPr>
              <w:jc w:val="left"/>
              <w:rPr>
                <w:rFonts w:ascii="宋体" w:hAnsi="宋体"/>
                <w:szCs w:val="21"/>
                <w:highlight w:val="none"/>
              </w:rPr>
            </w:pPr>
          </w:p>
        </w:tc>
        <w:tc>
          <w:tcPr>
            <w:tcW w:w="1091" w:type="dxa"/>
            <w:tcBorders>
              <w:tl2br w:val="nil"/>
              <w:tr2bl w:val="nil"/>
            </w:tcBorders>
            <w:shd w:val="clear" w:color="auto" w:fill="auto"/>
            <w:vAlign w:val="center"/>
          </w:tcPr>
          <w:p w14:paraId="0957B986">
            <w:pPr>
              <w:jc w:val="left"/>
              <w:rPr>
                <w:rFonts w:ascii="宋体" w:hAnsi="宋体"/>
                <w:szCs w:val="21"/>
                <w:highlight w:val="none"/>
              </w:rPr>
            </w:pPr>
          </w:p>
        </w:tc>
      </w:tr>
      <w:tr w14:paraId="3AF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965" w:type="dxa"/>
            <w:gridSpan w:val="7"/>
            <w:tcBorders>
              <w:tl2br w:val="nil"/>
              <w:tr2bl w:val="nil"/>
            </w:tcBorders>
            <w:shd w:val="clear" w:color="auto" w:fill="auto"/>
            <w:vAlign w:val="center"/>
          </w:tcPr>
          <w:p w14:paraId="581FD4B6">
            <w:pPr>
              <w:jc w:val="right"/>
              <w:rPr>
                <w:rFonts w:ascii="宋体" w:hAnsi="宋体"/>
                <w:color w:val="FF0000"/>
                <w:szCs w:val="21"/>
                <w:highlight w:val="none"/>
              </w:rPr>
            </w:pPr>
            <w:r>
              <w:rPr>
                <w:rFonts w:hint="eastAsia" w:ascii="宋体" w:hAnsi="宋体"/>
                <w:szCs w:val="21"/>
                <w:highlight w:val="none"/>
              </w:rPr>
              <w:t>综合得分：</w:t>
            </w:r>
          </w:p>
        </w:tc>
        <w:tc>
          <w:tcPr>
            <w:tcW w:w="1091" w:type="dxa"/>
            <w:tcBorders>
              <w:tl2br w:val="nil"/>
              <w:tr2bl w:val="nil"/>
            </w:tcBorders>
            <w:shd w:val="clear" w:color="auto" w:fill="auto"/>
          </w:tcPr>
          <w:p w14:paraId="635FA0A0">
            <w:pPr>
              <w:jc w:val="left"/>
              <w:rPr>
                <w:rFonts w:ascii="宋体" w:hAnsi="宋体"/>
                <w:color w:val="FF0000"/>
                <w:szCs w:val="21"/>
                <w:highlight w:val="none"/>
              </w:rPr>
            </w:pPr>
          </w:p>
        </w:tc>
      </w:tr>
      <w:tr w14:paraId="472C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4056" w:type="dxa"/>
            <w:gridSpan w:val="8"/>
            <w:tcBorders>
              <w:tl2br w:val="nil"/>
              <w:tr2bl w:val="nil"/>
            </w:tcBorders>
            <w:shd w:val="clear" w:color="auto" w:fill="auto"/>
          </w:tcPr>
          <w:p w14:paraId="7E8BFD24">
            <w:pPr>
              <w:jc w:val="left"/>
              <w:rPr>
                <w:rFonts w:ascii="宋体" w:hAnsi="宋体"/>
                <w:szCs w:val="21"/>
                <w:highlight w:val="none"/>
              </w:rPr>
            </w:pPr>
            <w:r>
              <w:rPr>
                <w:rFonts w:hint="eastAsia" w:ascii="宋体" w:hAnsi="宋体"/>
                <w:szCs w:val="21"/>
                <w:highlight w:val="none"/>
              </w:rPr>
              <w:t>综合评价结果：</w:t>
            </w:r>
          </w:p>
          <w:p w14:paraId="78D3B911">
            <w:pPr>
              <w:jc w:val="left"/>
              <w:rPr>
                <w:rFonts w:ascii="宋体" w:hAnsi="宋体"/>
                <w:color w:val="FFC000"/>
                <w:szCs w:val="21"/>
                <w:highlight w:val="none"/>
              </w:rPr>
            </w:pPr>
            <w:r>
              <w:rPr>
                <w:rFonts w:hint="eastAsia" w:ascii="宋体" w:hAnsi="宋体"/>
                <w:color w:val="FFC000"/>
                <w:szCs w:val="21"/>
                <w:highlight w:val="none"/>
              </w:rPr>
              <w:t>（注：根据评价得分填写评价等级，填写完成后删除此内容）</w:t>
            </w:r>
          </w:p>
          <w:p w14:paraId="48D03E27">
            <w:pPr>
              <w:jc w:val="left"/>
              <w:rPr>
                <w:rFonts w:ascii="宋体" w:hAnsi="宋体"/>
                <w:szCs w:val="21"/>
                <w:highlight w:val="none"/>
              </w:rPr>
            </w:pPr>
            <w:r>
              <w:rPr>
                <w:rFonts w:hint="eastAsia" w:ascii="宋体" w:hAnsi="宋体"/>
                <w:szCs w:val="21"/>
                <w:highlight w:val="none"/>
              </w:rPr>
              <w:t>综合评价描述：</w:t>
            </w:r>
          </w:p>
          <w:p w14:paraId="63E6F50F">
            <w:pPr>
              <w:jc w:val="left"/>
              <w:rPr>
                <w:rFonts w:ascii="宋体" w:hAnsi="宋体"/>
                <w:color w:val="FFC000"/>
                <w:szCs w:val="21"/>
                <w:highlight w:val="none"/>
              </w:rPr>
            </w:pPr>
            <w:r>
              <w:rPr>
                <w:rFonts w:hint="eastAsia" w:ascii="宋体" w:hAnsi="宋体"/>
                <w:color w:val="FFC000"/>
                <w:szCs w:val="21"/>
                <w:highlight w:val="none"/>
              </w:rPr>
              <w:t>（注：不满足服务要求的情况，需详细阐述不满足的内容及扣除合同违约金，填写完成后删除此内容）</w:t>
            </w:r>
          </w:p>
          <w:p w14:paraId="0B322A2D">
            <w:pPr>
              <w:wordWrap w:val="0"/>
              <w:autoSpaceDE w:val="0"/>
              <w:autoSpaceDN w:val="0"/>
              <w:jc w:val="right"/>
              <w:rPr>
                <w:rFonts w:ascii="宋体" w:hAnsi="宋体"/>
                <w:szCs w:val="21"/>
                <w:highlight w:val="none"/>
              </w:rPr>
            </w:pPr>
            <w:r>
              <w:rPr>
                <w:rFonts w:hint="eastAsia" w:ascii="宋体" w:hAnsi="宋体"/>
                <w:szCs w:val="21"/>
                <w:highlight w:val="none"/>
              </w:rPr>
              <w:t xml:space="preserve">评价人：                                 </w:t>
            </w:r>
          </w:p>
        </w:tc>
      </w:tr>
    </w:tbl>
    <w:p w14:paraId="6DAC264F">
      <w:pPr>
        <w:pStyle w:val="9"/>
        <w:rPr>
          <w:rFonts w:hint="eastAsia"/>
          <w:szCs w:val="24"/>
          <w:highlight w:val="none"/>
        </w:rPr>
      </w:pPr>
      <w:r>
        <w:rPr>
          <w:rFonts w:hint="eastAsia"/>
          <w:szCs w:val="24"/>
          <w:highlight w:val="none"/>
        </w:rPr>
        <w:t>注：综合评价等级划分优秀、良好、合格、差</w:t>
      </w:r>
    </w:p>
    <w:p w14:paraId="17FDAD64">
      <w:pPr>
        <w:pStyle w:val="9"/>
        <w:rPr>
          <w:rFonts w:hint="eastAsia"/>
          <w:szCs w:val="24"/>
          <w:highlight w:val="none"/>
        </w:rPr>
      </w:pPr>
      <w:r>
        <w:rPr>
          <w:rFonts w:hint="eastAsia"/>
          <w:szCs w:val="24"/>
          <w:highlight w:val="none"/>
        </w:rPr>
        <w:t>优秀：评价得分达90分以上；</w:t>
      </w:r>
    </w:p>
    <w:p w14:paraId="6A1C1025">
      <w:pPr>
        <w:pStyle w:val="9"/>
        <w:rPr>
          <w:rFonts w:hint="eastAsia"/>
          <w:szCs w:val="24"/>
          <w:highlight w:val="none"/>
        </w:rPr>
      </w:pPr>
      <w:r>
        <w:rPr>
          <w:rFonts w:hint="eastAsia"/>
          <w:szCs w:val="24"/>
          <w:highlight w:val="none"/>
        </w:rPr>
        <w:t>良好：评价得分达75-90分；</w:t>
      </w:r>
    </w:p>
    <w:p w14:paraId="3132BC2F">
      <w:pPr>
        <w:pStyle w:val="9"/>
        <w:rPr>
          <w:rFonts w:hint="eastAsia"/>
          <w:szCs w:val="24"/>
          <w:highlight w:val="none"/>
        </w:rPr>
      </w:pPr>
      <w:r>
        <w:rPr>
          <w:rFonts w:hint="eastAsia"/>
          <w:szCs w:val="24"/>
          <w:highlight w:val="none"/>
        </w:rPr>
        <w:t>合格：评价得分达60-75分；</w:t>
      </w:r>
    </w:p>
    <w:p w14:paraId="330E5D8E">
      <w:pPr>
        <w:pStyle w:val="9"/>
        <w:rPr>
          <w:szCs w:val="24"/>
          <w:highlight w:val="none"/>
        </w:rPr>
      </w:pPr>
      <w:r>
        <w:rPr>
          <w:rFonts w:hint="eastAsia"/>
          <w:szCs w:val="24"/>
          <w:highlight w:val="none"/>
        </w:rPr>
        <w:t>差：评价得分在60分以下。</w:t>
      </w:r>
    </w:p>
    <w:p w14:paraId="16992B94">
      <w:pPr>
        <w:pStyle w:val="9"/>
        <w:rPr>
          <w:rFonts w:ascii="宋体"/>
          <w:b/>
          <w:sz w:val="24"/>
          <w:highlight w:val="none"/>
        </w:rPr>
        <w:sectPr>
          <w:pgSz w:w="16838" w:h="11906" w:orient="landscape"/>
          <w:pgMar w:top="1758" w:right="1440" w:bottom="1758" w:left="1440" w:header="851" w:footer="992" w:gutter="0"/>
          <w:cols w:space="720" w:num="1"/>
          <w:docGrid w:type="lines" w:linePitch="360" w:charSpace="0"/>
        </w:sectPr>
      </w:pPr>
      <w:r>
        <w:rPr>
          <w:rFonts w:hint="eastAsia"/>
          <w:szCs w:val="24"/>
          <w:highlight w:val="none"/>
        </w:rPr>
        <w:t>评价结果将作为服务提供商后续准入的重要参考依据。</w:t>
      </w:r>
    </w:p>
    <w:p w14:paraId="1D4A85CE">
      <w:pPr>
        <w:pStyle w:val="2"/>
        <w:keepNext w:val="0"/>
        <w:keepLines w:val="0"/>
        <w:widowControl w:val="0"/>
        <w:ind w:firstLine="883" w:firstLineChars="200"/>
        <w:rPr>
          <w:rFonts w:hint="eastAsia"/>
          <w:sz w:val="32"/>
          <w:highlight w:val="none"/>
        </w:rPr>
      </w:pPr>
      <w:bookmarkStart w:id="265" w:name="_Toc27605"/>
      <w:r>
        <w:rPr>
          <w:rFonts w:hint="eastAsia"/>
          <w:highlight w:val="none"/>
        </w:rPr>
        <w:t>附件三：巡检报告</w:t>
      </w:r>
      <w:bookmarkEnd w:id="265"/>
    </w:p>
    <w:p w14:paraId="09793CA7">
      <w:pPr>
        <w:rPr>
          <w:rFonts w:hint="eastAsia" w:ascii="宋体"/>
          <w:b/>
          <w:sz w:val="24"/>
          <w:highlight w:val="none"/>
        </w:rPr>
      </w:pPr>
    </w:p>
    <w:p w14:paraId="16227B9C">
      <w:pPr>
        <w:rPr>
          <w:rFonts w:hint="eastAsia" w:ascii="宋体"/>
          <w:b/>
          <w:sz w:val="24"/>
          <w:highlight w:val="none"/>
        </w:rPr>
      </w:pPr>
    </w:p>
    <w:p w14:paraId="15C83E15">
      <w:pPr>
        <w:pStyle w:val="2"/>
        <w:keepNext w:val="0"/>
        <w:keepLines w:val="0"/>
        <w:widowControl w:val="0"/>
        <w:ind w:firstLine="883" w:firstLineChars="200"/>
        <w:rPr>
          <w:rFonts w:hint="eastAsia"/>
          <w:highlight w:val="none"/>
        </w:rPr>
      </w:pPr>
      <w:bookmarkStart w:id="266" w:name="_Toc25731"/>
      <w:r>
        <w:rPr>
          <w:rFonts w:hint="eastAsia"/>
          <w:highlight w:val="none"/>
        </w:rPr>
        <w:t>附件四：服务连续性预案</w:t>
      </w:r>
      <w:bookmarkEnd w:id="266"/>
    </w:p>
    <w:p w14:paraId="369F5F18">
      <w:pPr>
        <w:ind w:firstLine="480" w:firstLineChars="200"/>
        <w:jc w:val="center"/>
        <w:rPr>
          <w:rFonts w:hint="eastAsia" w:ascii="方正小标宋_GBK" w:eastAsia="方正小标宋_GBK"/>
          <w:color w:val="FF0000"/>
          <w:sz w:val="24"/>
          <w:highlight w:val="none"/>
        </w:rPr>
      </w:pPr>
      <w:r>
        <w:rPr>
          <w:rFonts w:hint="eastAsia" w:ascii="方正小标宋_GBK" w:eastAsia="方正小标宋_GBK"/>
          <w:color w:val="FF0000"/>
          <w:sz w:val="24"/>
          <w:highlight w:val="none"/>
        </w:rPr>
        <w:t>（</w:t>
      </w:r>
      <w:r>
        <w:rPr>
          <w:rFonts w:hint="eastAsia" w:ascii="方正小标宋_GBK" w:hAnsi="Times New Roman" w:eastAsia="方正小标宋_GBK"/>
          <w:color w:val="FF0000"/>
          <w:sz w:val="24"/>
          <w:highlight w:val="none"/>
        </w:rPr>
        <w:t>服务连续性预案应</w:t>
      </w:r>
      <w:r>
        <w:rPr>
          <w:rFonts w:ascii="方正小标宋_GBK" w:hAnsi="Times New Roman" w:eastAsia="方正小标宋_GBK"/>
          <w:color w:val="FF0000"/>
          <w:sz w:val="24"/>
          <w:highlight w:val="none"/>
        </w:rPr>
        <w:t>体现服务保障措施及</w:t>
      </w:r>
      <w:r>
        <w:rPr>
          <w:rFonts w:hint="eastAsia" w:ascii="方正小标宋_GBK" w:hAnsi="Times New Roman" w:eastAsia="方正小标宋_GBK"/>
          <w:color w:val="FF0000"/>
          <w:sz w:val="24"/>
          <w:highlight w:val="none"/>
        </w:rPr>
        <w:t>考虑供应链风险产生的影响</w:t>
      </w:r>
      <w:r>
        <w:rPr>
          <w:rFonts w:ascii="方正小标宋_GBK" w:hAnsi="Times New Roman" w:eastAsia="方正小标宋_GBK"/>
          <w:color w:val="FF0000"/>
          <w:sz w:val="24"/>
          <w:highlight w:val="none"/>
        </w:rPr>
        <w:t>和保障措施</w:t>
      </w:r>
      <w:r>
        <w:rPr>
          <w:rFonts w:hint="eastAsia" w:ascii="方正小标宋_GBK" w:eastAsia="方正小标宋_GBK"/>
          <w:color w:val="FF0000"/>
          <w:sz w:val="24"/>
          <w:highlight w:val="none"/>
        </w:rPr>
        <w:t>）</w:t>
      </w:r>
    </w:p>
    <w:p w14:paraId="21991564">
      <w:pPr>
        <w:rPr>
          <w:highlight w:val="none"/>
        </w:rPr>
        <w:sectPr>
          <w:pgSz w:w="11906" w:h="16838"/>
          <w:pgMar w:top="1440" w:right="1800" w:bottom="1440" w:left="1800" w:header="851" w:footer="992" w:gutter="0"/>
          <w:cols w:space="720" w:num="1"/>
          <w:docGrid w:type="lines" w:linePitch="312" w:charSpace="0"/>
        </w:sectPr>
      </w:pPr>
      <w:r>
        <w:rPr>
          <w:highlight w:val="none"/>
        </w:rPr>
        <w:br w:type="page"/>
      </w:r>
    </w:p>
    <w:p w14:paraId="1BC50BF3">
      <w:pPr>
        <w:pStyle w:val="2"/>
        <w:rPr>
          <w:highlight w:val="none"/>
        </w:rPr>
      </w:pPr>
      <w:bookmarkStart w:id="267" w:name="_Toc19504"/>
      <w:bookmarkStart w:id="268" w:name="_Toc2980"/>
      <w:r>
        <w:rPr>
          <w:rFonts w:hint="eastAsia"/>
          <w:highlight w:val="none"/>
        </w:rPr>
        <w:t xml:space="preserve">第六章 </w:t>
      </w:r>
      <w:bookmarkEnd w:id="252"/>
      <w:bookmarkEnd w:id="253"/>
      <w:bookmarkStart w:id="269" w:name="_Toc303066035"/>
      <w:r>
        <w:rPr>
          <w:rFonts w:hint="eastAsia"/>
          <w:highlight w:val="none"/>
        </w:rPr>
        <w:t>响应文件格式</w:t>
      </w:r>
      <w:bookmarkEnd w:id="267"/>
      <w:bookmarkEnd w:id="268"/>
    </w:p>
    <w:bookmarkEnd w:id="269"/>
    <w:p w14:paraId="1C7165C6">
      <w:pPr>
        <w:tabs>
          <w:tab w:val="left" w:pos="6516"/>
        </w:tabs>
        <w:adjustRightInd w:val="0"/>
        <w:snapToGrid w:val="0"/>
        <w:ind w:firstLine="0" w:firstLineChars="0"/>
        <w:jc w:val="center"/>
        <w:rPr>
          <w:rFonts w:ascii="宋体" w:hAnsi="宋体"/>
          <w:b/>
          <w:kern w:val="0"/>
          <w:highlight w:val="none"/>
          <w:u w:val="single"/>
        </w:rPr>
      </w:pPr>
    </w:p>
    <w:p w14:paraId="7F74CE0A">
      <w:pPr>
        <w:tabs>
          <w:tab w:val="left" w:pos="6516"/>
        </w:tabs>
        <w:adjustRightInd w:val="0"/>
        <w:snapToGrid w:val="0"/>
        <w:ind w:firstLine="0" w:firstLineChars="0"/>
        <w:jc w:val="center"/>
        <w:rPr>
          <w:rFonts w:ascii="宋体" w:hAnsi="宋体"/>
          <w:b/>
          <w:kern w:val="0"/>
          <w:highlight w:val="none"/>
          <w:u w:val="single"/>
        </w:rPr>
      </w:pPr>
    </w:p>
    <w:p w14:paraId="4435F4DA">
      <w:pPr>
        <w:tabs>
          <w:tab w:val="left" w:pos="6516"/>
        </w:tabs>
        <w:adjustRightInd w:val="0"/>
        <w:snapToGrid w:val="0"/>
        <w:ind w:firstLine="0" w:firstLineChars="0"/>
        <w:jc w:val="center"/>
        <w:rPr>
          <w:rFonts w:ascii="宋体" w:hAnsi="宋体"/>
          <w:b/>
          <w:kern w:val="0"/>
          <w:highlight w:val="none"/>
          <w:u w:val="single"/>
        </w:rPr>
      </w:pPr>
    </w:p>
    <w:p w14:paraId="1E8D6521">
      <w:pPr>
        <w:pStyle w:val="42"/>
        <w:rPr>
          <w:highlight w:val="none"/>
        </w:rPr>
      </w:pPr>
      <w:r>
        <w:rPr>
          <w:highlight w:val="none"/>
        </w:rPr>
        <w:t>重庆三峡银行2025-2026年度服务器硬件第三方维保项目</w:t>
      </w:r>
    </w:p>
    <w:p w14:paraId="05321371">
      <w:pPr>
        <w:rPr>
          <w:highlight w:val="none"/>
        </w:rPr>
      </w:pPr>
    </w:p>
    <w:p w14:paraId="343BD6D3">
      <w:pPr>
        <w:rPr>
          <w:highlight w:val="none"/>
        </w:rPr>
      </w:pPr>
    </w:p>
    <w:p w14:paraId="4BC87347">
      <w:pPr>
        <w:rPr>
          <w:highlight w:val="none"/>
        </w:rPr>
      </w:pPr>
    </w:p>
    <w:p w14:paraId="0E4C1827">
      <w:pPr>
        <w:rPr>
          <w:highlight w:val="none"/>
        </w:rPr>
      </w:pPr>
    </w:p>
    <w:p w14:paraId="0FB81C35">
      <w:pPr>
        <w:rPr>
          <w:highlight w:val="none"/>
        </w:rPr>
      </w:pPr>
    </w:p>
    <w:p w14:paraId="6CFA4C41">
      <w:pPr>
        <w:rPr>
          <w:highlight w:val="none"/>
        </w:rPr>
      </w:pPr>
    </w:p>
    <w:p w14:paraId="64A74BC2">
      <w:pPr>
        <w:pStyle w:val="43"/>
        <w:rPr>
          <w:highlight w:val="none"/>
        </w:rPr>
      </w:pPr>
      <w:r>
        <w:rPr>
          <w:highlight w:val="none"/>
        </w:rPr>
        <w:t>响  应  文  件</w:t>
      </w:r>
    </w:p>
    <w:p w14:paraId="51DE8929">
      <w:pPr>
        <w:rPr>
          <w:highlight w:val="none"/>
        </w:rPr>
      </w:pPr>
    </w:p>
    <w:p w14:paraId="444FA696">
      <w:pPr>
        <w:rPr>
          <w:highlight w:val="none"/>
        </w:rPr>
      </w:pPr>
    </w:p>
    <w:p w14:paraId="78AD128D">
      <w:pPr>
        <w:rPr>
          <w:highlight w:val="none"/>
        </w:rPr>
      </w:pPr>
    </w:p>
    <w:p w14:paraId="4D4F22EE">
      <w:pPr>
        <w:rPr>
          <w:highlight w:val="none"/>
        </w:rPr>
      </w:pPr>
    </w:p>
    <w:p w14:paraId="72C30D21">
      <w:pPr>
        <w:rPr>
          <w:highlight w:val="none"/>
        </w:rPr>
      </w:pPr>
    </w:p>
    <w:p w14:paraId="6B10F2A0">
      <w:pPr>
        <w:rPr>
          <w:highlight w:val="none"/>
        </w:rPr>
      </w:pPr>
    </w:p>
    <w:p w14:paraId="6C50BE60">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2A70412A">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5B8C181A">
      <w:pPr>
        <w:rPr>
          <w:highlight w:val="none"/>
        </w:rPr>
      </w:pPr>
    </w:p>
    <w:p w14:paraId="5428A045">
      <w:pPr>
        <w:rPr>
          <w:highlight w:val="none"/>
        </w:rPr>
      </w:pPr>
    </w:p>
    <w:p w14:paraId="1F267B69">
      <w:pPr>
        <w:rPr>
          <w:highlight w:val="none"/>
        </w:rPr>
      </w:pPr>
    </w:p>
    <w:p w14:paraId="3D918D36">
      <w:pPr>
        <w:rPr>
          <w:highlight w:val="none"/>
        </w:rPr>
        <w:sectPr>
          <w:headerReference r:id="rId8" w:type="default"/>
          <w:pgSz w:w="11906" w:h="16838"/>
          <w:pgMar w:top="1440" w:right="1800" w:bottom="1440" w:left="1800" w:header="851" w:footer="992" w:gutter="0"/>
          <w:cols w:space="720" w:num="1"/>
          <w:docGrid w:type="lines" w:linePitch="312" w:charSpace="0"/>
        </w:sectPr>
      </w:pPr>
    </w:p>
    <w:p w14:paraId="7D62023D">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96EEDEB">
      <w:pPr>
        <w:widowControl/>
        <w:autoSpaceDE/>
        <w:autoSpaceDN/>
        <w:spacing w:line="240" w:lineRule="auto"/>
        <w:ind w:firstLine="0" w:firstLineChars="0"/>
        <w:jc w:val="left"/>
        <w:rPr>
          <w:highlight w:val="none"/>
        </w:rPr>
      </w:pPr>
      <w:r>
        <w:rPr>
          <w:rFonts w:hint="eastAsia"/>
          <w:highlight w:val="none"/>
        </w:rPr>
        <w:t>一、响应函</w:t>
      </w:r>
    </w:p>
    <w:p w14:paraId="4A9AB0EF">
      <w:pPr>
        <w:widowControl/>
        <w:autoSpaceDE/>
        <w:autoSpaceDN/>
        <w:spacing w:line="240" w:lineRule="auto"/>
        <w:ind w:firstLine="0" w:firstLineChars="0"/>
        <w:jc w:val="left"/>
        <w:rPr>
          <w:highlight w:val="none"/>
        </w:rPr>
      </w:pPr>
      <w:r>
        <w:rPr>
          <w:rFonts w:hint="eastAsia"/>
          <w:highlight w:val="none"/>
        </w:rPr>
        <w:t>二、报价一览表</w:t>
      </w:r>
    </w:p>
    <w:p w14:paraId="034B9A4D">
      <w:pPr>
        <w:widowControl/>
        <w:autoSpaceDE/>
        <w:autoSpaceDN/>
        <w:spacing w:line="240" w:lineRule="auto"/>
        <w:ind w:firstLine="0" w:firstLineChars="0"/>
        <w:jc w:val="left"/>
        <w:rPr>
          <w:rFonts w:hint="eastAsia"/>
          <w:highlight w:val="none"/>
        </w:rPr>
      </w:pPr>
      <w:r>
        <w:rPr>
          <w:rFonts w:hint="eastAsia"/>
          <w:highlight w:val="none"/>
        </w:rPr>
        <w:t>三、分项报价明细表</w:t>
      </w:r>
    </w:p>
    <w:p w14:paraId="42381A79">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、资格性文件</w:t>
      </w:r>
    </w:p>
    <w:p w14:paraId="2FC4A05E">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57EA7010">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65B93EB0">
      <w:pPr>
        <w:widowControl/>
        <w:autoSpaceDE/>
        <w:autoSpaceDN/>
        <w:spacing w:line="240" w:lineRule="auto"/>
        <w:ind w:firstLine="420" w:firstLineChars="0"/>
        <w:jc w:val="left"/>
        <w:rPr>
          <w:highlight w:val="none"/>
        </w:rPr>
      </w:pPr>
      <w:r>
        <w:rPr>
          <w:rFonts w:hint="eastAsia"/>
          <w:highlight w:val="none"/>
        </w:rPr>
        <w:t>（三）书面声明</w:t>
      </w:r>
    </w:p>
    <w:p w14:paraId="1F0AD896">
      <w:pPr>
        <w:widowControl/>
        <w:autoSpaceDE/>
        <w:autoSpaceDN/>
        <w:spacing w:line="240" w:lineRule="auto"/>
        <w:ind w:firstLine="420" w:firstLineChars="0"/>
        <w:jc w:val="left"/>
        <w:rPr>
          <w:highlight w:val="none"/>
        </w:rPr>
      </w:pPr>
      <w:r>
        <w:rPr>
          <w:rFonts w:hint="eastAsia"/>
          <w:highlight w:val="none"/>
        </w:rPr>
        <w:t>（四）中国执行信息公开网截图</w:t>
      </w:r>
    </w:p>
    <w:p w14:paraId="2941671D">
      <w:pPr>
        <w:widowControl/>
        <w:autoSpaceDE/>
        <w:autoSpaceDN/>
        <w:spacing w:line="240" w:lineRule="auto"/>
        <w:ind w:firstLine="420" w:firstLineChars="0"/>
        <w:jc w:val="left"/>
        <w:rPr>
          <w:highlight w:val="none"/>
        </w:rPr>
      </w:pPr>
      <w:r>
        <w:rPr>
          <w:rFonts w:hint="eastAsia"/>
          <w:highlight w:val="none"/>
        </w:rPr>
        <w:t>（五）</w:t>
      </w:r>
      <w:r>
        <w:rPr>
          <w:highlight w:val="none"/>
        </w:rPr>
        <w:t>响应人在重庆具有自有备件库证明材料</w:t>
      </w:r>
    </w:p>
    <w:p w14:paraId="7FAFB236">
      <w:pPr>
        <w:widowControl/>
        <w:autoSpaceDE/>
        <w:autoSpaceDN/>
        <w:spacing w:line="240" w:lineRule="auto"/>
        <w:ind w:firstLine="420" w:firstLineChars="0"/>
        <w:jc w:val="left"/>
        <w:rPr>
          <w:highlight w:val="none"/>
        </w:rPr>
      </w:pPr>
      <w:r>
        <w:rPr>
          <w:rFonts w:hint="eastAsia"/>
          <w:highlight w:val="none"/>
        </w:rPr>
        <w:t>（六）</w:t>
      </w:r>
      <w:r>
        <w:rPr>
          <w:highlight w:val="none"/>
        </w:rPr>
        <w:t>响应人本地化服务能力证明材料</w:t>
      </w:r>
    </w:p>
    <w:p w14:paraId="736EB859">
      <w:pPr>
        <w:widowControl/>
        <w:autoSpaceDE/>
        <w:autoSpaceDN/>
        <w:spacing w:line="240" w:lineRule="auto"/>
        <w:ind w:firstLine="420" w:firstLineChars="0"/>
        <w:jc w:val="left"/>
        <w:rPr>
          <w:highlight w:val="none"/>
          <w:lang w:val="en-US"/>
        </w:rPr>
      </w:pPr>
      <w:r>
        <w:rPr>
          <w:rFonts w:hint="eastAsia"/>
          <w:highlight w:val="none"/>
        </w:rPr>
        <w:t>（</w:t>
      </w:r>
      <w:r>
        <w:rPr>
          <w:highlight w:val="none"/>
        </w:rPr>
        <w:t>七</w:t>
      </w:r>
      <w:r>
        <w:rPr>
          <w:rFonts w:hint="eastAsia"/>
          <w:highlight w:val="none"/>
        </w:rPr>
        <w:t>）</w:t>
      </w:r>
      <w:r>
        <w:rPr>
          <w:highlight w:val="none"/>
          <w:lang w:val="en-US"/>
        </w:rPr>
        <w:t>响应人在重庆区域内银行业PC服务器维保技术服务案例证明材料</w:t>
      </w:r>
    </w:p>
    <w:p w14:paraId="438EE4C2">
      <w:pPr>
        <w:widowControl/>
        <w:autoSpaceDE/>
        <w:autoSpaceDN/>
        <w:spacing w:line="240" w:lineRule="auto"/>
        <w:ind w:firstLine="420" w:firstLineChars="0"/>
        <w:jc w:val="left"/>
        <w:rPr>
          <w:highlight w:val="none"/>
        </w:rPr>
      </w:pPr>
      <w:r>
        <w:rPr>
          <w:rFonts w:hint="eastAsia"/>
          <w:highlight w:val="none"/>
        </w:rPr>
        <w:t>（</w:t>
      </w:r>
      <w:r>
        <w:rPr>
          <w:highlight w:val="none"/>
        </w:rPr>
        <w:t>八</w:t>
      </w:r>
      <w:r>
        <w:rPr>
          <w:rFonts w:hint="eastAsia"/>
          <w:highlight w:val="none"/>
        </w:rPr>
        <w:t>）其他（如有）</w:t>
      </w:r>
    </w:p>
    <w:p w14:paraId="66370613">
      <w:pPr>
        <w:widowControl/>
        <w:autoSpaceDE/>
        <w:autoSpaceDN/>
        <w:spacing w:line="240" w:lineRule="auto"/>
        <w:ind w:firstLine="0" w:firstLineChars="0"/>
        <w:jc w:val="left"/>
        <w:rPr>
          <w:highlight w:val="none"/>
        </w:rPr>
      </w:pPr>
      <w:r>
        <w:rPr>
          <w:rFonts w:hint="eastAsia"/>
          <w:highlight w:val="none"/>
        </w:rPr>
        <w:t>五、响应性文件</w:t>
      </w:r>
    </w:p>
    <w:p w14:paraId="5A719DF6">
      <w:pPr>
        <w:widowControl/>
        <w:autoSpaceDE/>
        <w:autoSpaceDN/>
        <w:spacing w:line="240" w:lineRule="auto"/>
        <w:ind w:firstLine="420" w:firstLineChars="0"/>
        <w:jc w:val="left"/>
        <w:rPr>
          <w:highlight w:val="none"/>
        </w:rPr>
      </w:pPr>
      <w:r>
        <w:rPr>
          <w:rFonts w:hint="eastAsia"/>
          <w:highlight w:val="none"/>
        </w:rPr>
        <w:t>（一）响应承诺函</w:t>
      </w:r>
    </w:p>
    <w:p w14:paraId="0F472CEE">
      <w:pPr>
        <w:widowControl/>
        <w:autoSpaceDE/>
        <w:autoSpaceDN/>
        <w:spacing w:line="240" w:lineRule="auto"/>
        <w:ind w:firstLine="420" w:firstLineChars="0"/>
        <w:jc w:val="left"/>
        <w:rPr>
          <w:highlight w:val="none"/>
        </w:rPr>
      </w:pPr>
      <w:r>
        <w:rPr>
          <w:highlight w:val="none"/>
        </w:rPr>
        <w:t>（二）</w:t>
      </w:r>
      <w:r>
        <w:rPr>
          <w:rFonts w:hint="eastAsia"/>
          <w:highlight w:val="none"/>
        </w:rPr>
        <w:t>服务水平协议（SLA）</w:t>
      </w:r>
    </w:p>
    <w:p w14:paraId="08827B80">
      <w:pPr>
        <w:widowControl/>
        <w:autoSpaceDE/>
        <w:autoSpaceDN/>
        <w:spacing w:line="240" w:lineRule="auto"/>
        <w:ind w:firstLine="420" w:firstLineChars="0"/>
        <w:jc w:val="left"/>
        <w:rPr>
          <w:highlight w:val="none"/>
        </w:rPr>
      </w:pPr>
      <w:r>
        <w:rPr>
          <w:rFonts w:hint="eastAsia"/>
          <w:highlight w:val="none"/>
        </w:rPr>
        <w:t>（</w:t>
      </w:r>
      <w:r>
        <w:rPr>
          <w:highlight w:val="none"/>
        </w:rPr>
        <w:t>三</w:t>
      </w:r>
      <w:r>
        <w:rPr>
          <w:rFonts w:hint="eastAsia"/>
          <w:highlight w:val="none"/>
        </w:rPr>
        <w:t>）</w:t>
      </w:r>
      <w:r>
        <w:rPr>
          <w:highlight w:val="none"/>
        </w:rPr>
        <w:t>服务连续性预案</w:t>
      </w:r>
    </w:p>
    <w:p w14:paraId="70E5E645">
      <w:pPr>
        <w:widowControl/>
        <w:autoSpaceDE/>
        <w:autoSpaceDN/>
        <w:spacing w:line="240" w:lineRule="auto"/>
        <w:ind w:firstLine="420" w:firstLineChars="0"/>
        <w:jc w:val="left"/>
        <w:rPr>
          <w:highlight w:val="none"/>
        </w:rPr>
      </w:pPr>
      <w:r>
        <w:rPr>
          <w:rFonts w:hint="eastAsia"/>
          <w:highlight w:val="none"/>
        </w:rPr>
        <w:t>（</w:t>
      </w:r>
      <w:r>
        <w:rPr>
          <w:highlight w:val="none"/>
        </w:rPr>
        <w:t>四</w:t>
      </w:r>
      <w:r>
        <w:rPr>
          <w:rFonts w:hint="eastAsia"/>
          <w:highlight w:val="none"/>
        </w:rPr>
        <w:t>）</w:t>
      </w:r>
      <w:r>
        <w:rPr>
          <w:highlight w:val="none"/>
        </w:rPr>
        <w:t>项目实施方案</w:t>
      </w:r>
    </w:p>
    <w:p w14:paraId="73499B0B">
      <w:pPr>
        <w:widowControl/>
        <w:autoSpaceDE/>
        <w:autoSpaceDN/>
        <w:spacing w:line="240" w:lineRule="auto"/>
        <w:ind w:firstLine="420" w:firstLineChars="0"/>
        <w:jc w:val="left"/>
        <w:rPr>
          <w:highlight w:val="none"/>
        </w:rPr>
      </w:pPr>
      <w:r>
        <w:rPr>
          <w:rFonts w:hint="eastAsia"/>
          <w:highlight w:val="none"/>
        </w:rPr>
        <w:t>（</w:t>
      </w:r>
      <w:r>
        <w:rPr>
          <w:highlight w:val="none"/>
        </w:rPr>
        <w:t>五</w:t>
      </w:r>
      <w:r>
        <w:rPr>
          <w:rFonts w:hint="eastAsia"/>
          <w:highlight w:val="none"/>
        </w:rPr>
        <w:t>）其他（如有）</w:t>
      </w:r>
    </w:p>
    <w:p w14:paraId="52BB0ACB">
      <w:pPr>
        <w:widowControl/>
        <w:autoSpaceDE/>
        <w:autoSpaceDN/>
        <w:spacing w:line="240" w:lineRule="auto"/>
        <w:ind w:firstLine="0" w:firstLineChars="0"/>
        <w:jc w:val="left"/>
        <w:rPr>
          <w:highlight w:val="none"/>
        </w:rPr>
      </w:pPr>
      <w:r>
        <w:rPr>
          <w:rFonts w:hint="eastAsia"/>
          <w:highlight w:val="none"/>
        </w:rPr>
        <w:t>六、其他（如有）</w:t>
      </w:r>
    </w:p>
    <w:p w14:paraId="044855A8">
      <w:pPr>
        <w:widowControl/>
        <w:autoSpaceDE/>
        <w:autoSpaceDN/>
        <w:spacing w:line="240" w:lineRule="auto"/>
        <w:ind w:firstLine="0" w:firstLineChars="0"/>
        <w:jc w:val="left"/>
        <w:rPr>
          <w:highlight w:val="none"/>
        </w:rPr>
      </w:pPr>
      <w:r>
        <w:rPr>
          <w:rFonts w:hint="eastAsia"/>
          <w:highlight w:val="none"/>
        </w:rPr>
        <w:br w:type="page"/>
      </w:r>
    </w:p>
    <w:p w14:paraId="0897937B">
      <w:pPr>
        <w:widowControl/>
        <w:autoSpaceDE/>
        <w:autoSpaceDN/>
        <w:spacing w:line="240" w:lineRule="auto"/>
        <w:ind w:firstLine="0" w:firstLineChars="0"/>
        <w:jc w:val="left"/>
        <w:rPr>
          <w:highlight w:val="none"/>
        </w:rPr>
      </w:pPr>
    </w:p>
    <w:p w14:paraId="250D0819">
      <w:pPr>
        <w:pStyle w:val="32"/>
        <w:rPr>
          <w:highlight w:val="none"/>
        </w:rPr>
      </w:pPr>
      <w:r>
        <w:rPr>
          <w:highlight w:val="none"/>
        </w:rPr>
        <w:t>一、响应函</w:t>
      </w:r>
    </w:p>
    <w:p w14:paraId="29675FF7">
      <w:pPr>
        <w:rPr>
          <w:highlight w:val="none"/>
        </w:rPr>
      </w:pPr>
    </w:p>
    <w:p w14:paraId="331BAC7A">
      <w:pPr>
        <w:ind w:firstLine="0" w:firstLineChars="0"/>
        <w:rPr>
          <w:highlight w:val="none"/>
        </w:rPr>
      </w:pPr>
      <w:r>
        <w:rPr>
          <w:rFonts w:hint="eastAsia"/>
          <w:highlight w:val="none"/>
        </w:rPr>
        <w:t>重庆三峡银行股份有限公司：</w:t>
      </w:r>
    </w:p>
    <w:p w14:paraId="42E7FD2D">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58D41C67">
      <w:pPr>
        <w:rPr>
          <w:highlight w:val="none"/>
        </w:rPr>
      </w:pPr>
      <w:r>
        <w:rPr>
          <w:rFonts w:hint="eastAsia"/>
          <w:highlight w:val="none"/>
        </w:rPr>
        <w:t>1、愿意按照询比文件中的一切要求，以响应文件中的内容和报价承担和完成本项目。</w:t>
      </w:r>
    </w:p>
    <w:p w14:paraId="79F9213F">
      <w:pPr>
        <w:rPr>
          <w:highlight w:val="none"/>
        </w:rPr>
      </w:pPr>
      <w:r>
        <w:rPr>
          <w:rFonts w:hint="eastAsia"/>
          <w:highlight w:val="none"/>
        </w:rPr>
        <w:t>2、我方现提交的响应文件为：响应文件正本一份，副本一份，电子文件一份。</w:t>
      </w:r>
    </w:p>
    <w:p w14:paraId="6635E2B8">
      <w:pPr>
        <w:rPr>
          <w:highlight w:val="none"/>
        </w:rPr>
      </w:pPr>
      <w:r>
        <w:rPr>
          <w:rFonts w:hint="eastAsia"/>
          <w:highlight w:val="none"/>
        </w:rPr>
        <w:t>3、如果我方响应文件被接受，我方将履行询比文件中规定的各项要求，按相关法律法规和合同约定条款承担我方的责任。</w:t>
      </w:r>
    </w:p>
    <w:p w14:paraId="08C3A763">
      <w:pPr>
        <w:rPr>
          <w:highlight w:val="none"/>
        </w:rPr>
      </w:pPr>
      <w:r>
        <w:rPr>
          <w:rFonts w:hint="eastAsia"/>
          <w:highlight w:val="none"/>
        </w:rPr>
        <w:t>4、我方愿意提供询比文件中要求的所有资料，并对其真实性负责。</w:t>
      </w:r>
    </w:p>
    <w:p w14:paraId="158751C3">
      <w:pPr>
        <w:rPr>
          <w:highlight w:val="none"/>
        </w:rPr>
      </w:pPr>
      <w:r>
        <w:rPr>
          <w:rFonts w:hint="eastAsia"/>
          <w:highlight w:val="none"/>
        </w:rPr>
        <w:t>5、我方理解最低价格不是成交的唯一条件。</w:t>
      </w:r>
    </w:p>
    <w:p w14:paraId="615CC173">
      <w:pPr>
        <w:rPr>
          <w:highlight w:val="none"/>
        </w:rPr>
      </w:pPr>
      <w:r>
        <w:rPr>
          <w:rFonts w:hint="eastAsia"/>
          <w:highlight w:val="none"/>
        </w:rPr>
        <w:t>6、响应有效期为响应截止日期后90天内。</w:t>
      </w:r>
    </w:p>
    <w:p w14:paraId="63A814AB">
      <w:pPr>
        <w:rPr>
          <w:highlight w:val="none"/>
        </w:rPr>
      </w:pPr>
      <w:r>
        <w:rPr>
          <w:rFonts w:hint="eastAsia"/>
          <w:highlight w:val="none"/>
        </w:rPr>
        <w:t>7、若我方成交，我方开具税率为</w:t>
      </w:r>
      <w:r>
        <w:rPr>
          <w:rFonts w:hint="eastAsia"/>
          <w:highlight w:val="none"/>
          <w:u w:val="single"/>
          <w:lang w:val="en-US" w:eastAsia="zh-CN"/>
        </w:rPr>
        <w:t xml:space="preserve"> </w:t>
      </w:r>
      <w:r>
        <w:rPr>
          <w:highlight w:val="none"/>
          <w:u w:val="single"/>
        </w:rPr>
        <w:t>6</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的增值税专用发票；</w:t>
      </w:r>
    </w:p>
    <w:p w14:paraId="2FDFF1F9">
      <w:pPr>
        <w:rPr>
          <w:highlight w:val="none"/>
        </w:rPr>
      </w:pPr>
    </w:p>
    <w:p w14:paraId="07B8798E">
      <w:pPr>
        <w:rPr>
          <w:highlight w:val="none"/>
        </w:rPr>
      </w:pPr>
      <w:r>
        <w:rPr>
          <w:rFonts w:hint="eastAsia"/>
          <w:highlight w:val="none"/>
        </w:rPr>
        <w:t>响应人（公章）：</w:t>
      </w:r>
    </w:p>
    <w:p w14:paraId="31C8E7C9">
      <w:pPr>
        <w:rPr>
          <w:highlight w:val="none"/>
        </w:rPr>
      </w:pPr>
      <w:r>
        <w:rPr>
          <w:rFonts w:hint="eastAsia"/>
          <w:highlight w:val="none"/>
        </w:rPr>
        <w:t xml:space="preserve">响应人联系人：  </w:t>
      </w:r>
    </w:p>
    <w:p w14:paraId="5EDC842F">
      <w:pPr>
        <w:rPr>
          <w:highlight w:val="none"/>
        </w:rPr>
      </w:pPr>
      <w:r>
        <w:rPr>
          <w:rFonts w:hint="eastAsia"/>
          <w:highlight w:val="none"/>
        </w:rPr>
        <w:t xml:space="preserve">响应人联系人联系电话：     </w:t>
      </w:r>
    </w:p>
    <w:p w14:paraId="4BBFD1BC">
      <w:pPr>
        <w:jc w:val="right"/>
        <w:rPr>
          <w:highlight w:val="none"/>
        </w:rPr>
      </w:pPr>
      <w:r>
        <w:rPr>
          <w:rFonts w:hint="eastAsia"/>
          <w:highlight w:val="none"/>
        </w:rPr>
        <w:t>年     月     日</w:t>
      </w:r>
    </w:p>
    <w:p w14:paraId="69AF77F9">
      <w:pPr>
        <w:rPr>
          <w:highlight w:val="none"/>
        </w:rPr>
      </w:pPr>
    </w:p>
    <w:p w14:paraId="4A1FA3A1">
      <w:pPr>
        <w:widowControl/>
        <w:jc w:val="left"/>
        <w:rPr>
          <w:rFonts w:ascii="宋体"/>
          <w:snapToGrid w:val="0"/>
          <w:kern w:val="0"/>
          <w:sz w:val="24"/>
          <w:szCs w:val="24"/>
          <w:highlight w:val="none"/>
        </w:rPr>
      </w:pPr>
    </w:p>
    <w:p w14:paraId="6846619D">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067AE9FE">
      <w:pPr>
        <w:pStyle w:val="32"/>
        <w:rPr>
          <w:highlight w:val="none"/>
        </w:rPr>
      </w:pPr>
      <w:r>
        <w:rPr>
          <w:highlight w:val="none"/>
        </w:rPr>
        <w:t>二、报价一览表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07B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C6FA73B">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19DA6F44">
            <w:pPr>
              <w:autoSpaceDE/>
              <w:autoSpaceDN/>
              <w:ind w:firstLine="0" w:firstLineChars="0"/>
              <w:jc w:val="center"/>
              <w:rPr>
                <w:rFonts w:ascii="宋体" w:hAnsi="宋体"/>
                <w:szCs w:val="24"/>
                <w:highlight w:val="none"/>
              </w:rPr>
            </w:pPr>
          </w:p>
        </w:tc>
      </w:tr>
      <w:tr w14:paraId="132C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30FD755">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09AC95E5">
            <w:pPr>
              <w:autoSpaceDE/>
              <w:autoSpaceDN/>
              <w:ind w:firstLine="0" w:firstLineChars="0"/>
              <w:jc w:val="center"/>
              <w:rPr>
                <w:rFonts w:ascii="宋体" w:hAnsi="宋体" w:cs="Cambria"/>
                <w:szCs w:val="21"/>
                <w:highlight w:val="none"/>
              </w:rPr>
            </w:pPr>
          </w:p>
        </w:tc>
      </w:tr>
      <w:tr w14:paraId="0BF4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667A800">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46C33D87">
            <w:pPr>
              <w:pStyle w:val="37"/>
              <w:rPr>
                <w:highlight w:val="none"/>
              </w:rPr>
            </w:pPr>
            <w:r>
              <w:rPr>
                <w:highlight w:val="none"/>
              </w:rPr>
              <w:t>小写</w:t>
            </w:r>
            <w:r>
              <w:rPr>
                <w:rFonts w:hint="eastAsia"/>
                <w:highlight w:val="none"/>
              </w:rPr>
              <w:t xml:space="preserve">：            </w:t>
            </w:r>
            <w:r>
              <w:rPr>
                <w:highlight w:val="none"/>
              </w:rPr>
              <w:t>人民币</w:t>
            </w:r>
          </w:p>
          <w:p w14:paraId="17411345">
            <w:pPr>
              <w:pStyle w:val="37"/>
              <w:rPr>
                <w:highlight w:val="none"/>
              </w:rPr>
            </w:pPr>
            <w:r>
              <w:rPr>
                <w:rFonts w:hint="eastAsia"/>
                <w:highlight w:val="none"/>
              </w:rPr>
              <w:t>大写：            人民币</w:t>
            </w:r>
          </w:p>
        </w:tc>
      </w:tr>
      <w:tr w14:paraId="7061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690F8B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8EC4F65">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6</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6DA1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63EC08F">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6581492D">
      <w:pPr>
        <w:rPr>
          <w:highlight w:val="none"/>
        </w:rPr>
      </w:pPr>
    </w:p>
    <w:p w14:paraId="30854757">
      <w:pPr>
        <w:rPr>
          <w:highlight w:val="none"/>
        </w:rPr>
      </w:pPr>
    </w:p>
    <w:p w14:paraId="575EB044">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2A58CA40">
      <w:pPr>
        <w:rPr>
          <w:highlight w:val="none"/>
        </w:rPr>
      </w:pPr>
    </w:p>
    <w:p w14:paraId="35C1CDCF">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1BBF838F">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58E3244F">
      <w:pPr>
        <w:ind w:right="-29" w:rightChars="-14"/>
        <w:jc w:val="right"/>
        <w:rPr>
          <w:snapToGrid w:val="0"/>
          <w:kern w:val="0"/>
          <w:szCs w:val="24"/>
          <w:highlight w:val="none"/>
        </w:rPr>
      </w:pPr>
      <w:r>
        <w:rPr>
          <w:rFonts w:hint="eastAsia"/>
          <w:snapToGrid w:val="0"/>
          <w:kern w:val="0"/>
          <w:szCs w:val="24"/>
          <w:highlight w:val="none"/>
        </w:rPr>
        <w:t xml:space="preserve">       年     月     日</w:t>
      </w:r>
    </w:p>
    <w:p w14:paraId="240F1027">
      <w:pPr>
        <w:rPr>
          <w:highlight w:val="none"/>
        </w:rPr>
      </w:pPr>
      <w:r>
        <w:rPr>
          <w:rFonts w:hint="eastAsia"/>
          <w:highlight w:val="none"/>
        </w:rPr>
        <w:t>有关说明：</w:t>
      </w:r>
    </w:p>
    <w:p w14:paraId="57B83891">
      <w:pPr>
        <w:rPr>
          <w:highlight w:val="none"/>
        </w:rPr>
      </w:pPr>
      <w:r>
        <w:rPr>
          <w:rFonts w:hint="eastAsia"/>
          <w:highlight w:val="none"/>
        </w:rPr>
        <w:t>报价一览表在开标大会上当众宣读，务必填写清楚，准确无误。表格可扩展。</w:t>
      </w:r>
    </w:p>
    <w:p w14:paraId="66E45C93">
      <w:pPr>
        <w:rPr>
          <w:highlight w:val="none"/>
        </w:rPr>
      </w:pPr>
      <w:r>
        <w:rPr>
          <w:rFonts w:hint="eastAsia"/>
          <w:highlight w:val="none"/>
        </w:rPr>
        <w:t>本次报价包含上述维护期的，采购人不再另行支付该维护期内维护费用。</w:t>
      </w:r>
    </w:p>
    <w:p w14:paraId="586352B8">
      <w:pPr>
        <w:rPr>
          <w:highlight w:val="none"/>
        </w:rPr>
      </w:pPr>
    </w:p>
    <w:p w14:paraId="2BD661D6">
      <w:pPr>
        <w:ind w:firstLine="0" w:firstLineChars="0"/>
        <w:rPr>
          <w:highlight w:val="none"/>
        </w:rPr>
        <w:sectPr>
          <w:pgSz w:w="11906" w:h="16838"/>
          <w:pgMar w:top="1440" w:right="1800" w:bottom="1440" w:left="1800" w:header="851" w:footer="992" w:gutter="0"/>
          <w:cols w:space="720" w:num="1"/>
          <w:docGrid w:type="lines" w:linePitch="312" w:charSpace="0"/>
        </w:sectPr>
      </w:pPr>
    </w:p>
    <w:p w14:paraId="3CD76194">
      <w:pPr>
        <w:pStyle w:val="32"/>
        <w:rPr>
          <w:highlight w:val="none"/>
        </w:rPr>
      </w:pPr>
      <w:r>
        <w:rPr>
          <w:highlight w:val="none"/>
        </w:rPr>
        <w:t>三、分项报价明细表</w:t>
      </w:r>
    </w:p>
    <w:p w14:paraId="4D9283C2">
      <w:pPr>
        <w:pStyle w:val="44"/>
        <w:rPr>
          <w:highlight w:val="none"/>
        </w:rPr>
      </w:pPr>
      <w:r>
        <w:rPr>
          <w:highlight w:val="none"/>
        </w:rPr>
        <w:t>（</w:t>
      </w:r>
      <w:r>
        <w:rPr>
          <w:rFonts w:ascii="Times New Roman" w:hAnsi="Times New Roman" w:cs="Times New Roman"/>
          <w:snapToGrid w:val="0"/>
          <w:kern w:val="0"/>
          <w:sz w:val="21"/>
          <w:szCs w:val="21"/>
          <w:highlight w:val="none"/>
          <w:lang w:bidi="ar-SA"/>
        </w:rPr>
        <w:t>以</w:t>
      </w:r>
      <w:r>
        <w:rPr>
          <w:rFonts w:hint="eastAsia" w:cs="Times New Roman"/>
          <w:snapToGrid w:val="0"/>
          <w:kern w:val="0"/>
          <w:sz w:val="21"/>
          <w:szCs w:val="21"/>
          <w:highlight w:val="none"/>
          <w:lang w:val="en-US" w:eastAsia="zh-CN" w:bidi="ar-SA"/>
        </w:rPr>
        <w:t>第三章1.1</w:t>
      </w:r>
      <w:r>
        <w:rPr>
          <w:rFonts w:ascii="Times New Roman" w:hAnsi="Times New Roman" w:cs="Times New Roman"/>
          <w:snapToGrid w:val="0"/>
          <w:kern w:val="0"/>
          <w:sz w:val="21"/>
          <w:szCs w:val="21"/>
          <w:highlight w:val="none"/>
          <w:lang w:bidi="ar-SA"/>
        </w:rPr>
        <w:t>维保清单内设备不同的维保开始时间分项报价，</w:t>
      </w:r>
      <w:r>
        <w:rPr>
          <w:rFonts w:hint="eastAsia" w:cs="Times New Roman"/>
          <w:snapToGrid w:val="0"/>
          <w:kern w:val="0"/>
          <w:sz w:val="21"/>
          <w:szCs w:val="21"/>
          <w:highlight w:val="none"/>
          <w:lang w:val="en-US" w:eastAsia="zh-CN" w:bidi="ar-SA"/>
        </w:rPr>
        <w:t>总价不能超过项目总最高限价，</w:t>
      </w:r>
      <w:r>
        <w:rPr>
          <w:rFonts w:ascii="Times New Roman" w:hAnsi="Times New Roman" w:cs="Times New Roman"/>
          <w:snapToGrid w:val="0"/>
          <w:kern w:val="0"/>
          <w:sz w:val="21"/>
          <w:szCs w:val="21"/>
          <w:highlight w:val="none"/>
          <w:lang w:bidi="ar-SA"/>
        </w:rPr>
        <w:t>格式自拟</w:t>
      </w:r>
      <w:r>
        <w:rPr>
          <w:highlight w:val="none"/>
        </w:rPr>
        <w:t>）</w:t>
      </w:r>
    </w:p>
    <w:p w14:paraId="30BF9F0C">
      <w:pPr>
        <w:rPr>
          <w:rStyle w:val="29"/>
          <w:b/>
          <w:highlight w:val="none"/>
        </w:rPr>
      </w:pPr>
      <w:r>
        <w:rPr>
          <w:rStyle w:val="29"/>
          <w:rFonts w:hint="eastAsia"/>
          <w:b/>
          <w:highlight w:val="none"/>
        </w:rPr>
        <w:br w:type="page"/>
      </w:r>
    </w:p>
    <w:p w14:paraId="59789333">
      <w:pPr>
        <w:pStyle w:val="32"/>
        <w:rPr>
          <w:highlight w:val="none"/>
        </w:rPr>
      </w:pPr>
      <w:r>
        <w:rPr>
          <w:highlight w:val="none"/>
        </w:rPr>
        <w:t>四、资格性文件</w:t>
      </w:r>
    </w:p>
    <w:p w14:paraId="3902A47D">
      <w:pPr>
        <w:pStyle w:val="33"/>
        <w:rPr>
          <w:highlight w:val="none"/>
        </w:rPr>
      </w:pPr>
      <w:r>
        <w:rPr>
          <w:highlight w:val="none"/>
        </w:rPr>
        <w:t>（一）</w:t>
      </w:r>
      <w:r>
        <w:rPr>
          <w:rFonts w:hint="eastAsia"/>
          <w:highlight w:val="none"/>
        </w:rPr>
        <w:t>响应人</w:t>
      </w:r>
      <w:r>
        <w:rPr>
          <w:highlight w:val="none"/>
        </w:rPr>
        <w:t>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ED8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578AFF6">
            <w:pPr>
              <w:pStyle w:val="37"/>
              <w:jc w:val="center"/>
              <w:rPr>
                <w:highlight w:val="none"/>
              </w:rPr>
            </w:pPr>
            <w:r>
              <w:rPr>
                <w:rFonts w:hint="eastAsia"/>
                <w:highlight w:val="none"/>
              </w:rPr>
              <w:t>响应人名称</w:t>
            </w:r>
          </w:p>
        </w:tc>
        <w:tc>
          <w:tcPr>
            <w:tcW w:w="7114" w:type="dxa"/>
            <w:gridSpan w:val="8"/>
          </w:tcPr>
          <w:p w14:paraId="022475B0">
            <w:pPr>
              <w:pStyle w:val="37"/>
              <w:jc w:val="center"/>
              <w:rPr>
                <w:highlight w:val="none"/>
              </w:rPr>
            </w:pPr>
          </w:p>
        </w:tc>
      </w:tr>
      <w:tr w14:paraId="28CA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1B32415">
            <w:pPr>
              <w:pStyle w:val="37"/>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78FCF557">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4188625D">
            <w:pPr>
              <w:pStyle w:val="37"/>
              <w:jc w:val="center"/>
              <w:rPr>
                <w:highlight w:val="none"/>
              </w:rPr>
            </w:pPr>
            <w:r>
              <w:rPr>
                <w:rFonts w:hint="eastAsia"/>
                <w:highlight w:val="none"/>
              </w:rPr>
              <w:t>邮政编码</w:t>
            </w:r>
          </w:p>
        </w:tc>
        <w:tc>
          <w:tcPr>
            <w:tcW w:w="1657" w:type="dxa"/>
            <w:gridSpan w:val="3"/>
            <w:tcBorders>
              <w:left w:val="single" w:color="auto" w:sz="4" w:space="0"/>
            </w:tcBorders>
          </w:tcPr>
          <w:p w14:paraId="5DB54F17">
            <w:pPr>
              <w:pStyle w:val="37"/>
              <w:jc w:val="center"/>
              <w:rPr>
                <w:highlight w:val="none"/>
              </w:rPr>
            </w:pPr>
          </w:p>
        </w:tc>
      </w:tr>
      <w:tr w14:paraId="7DE2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6DAA94E">
            <w:pPr>
              <w:pStyle w:val="37"/>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184498DD">
            <w:pPr>
              <w:pStyle w:val="37"/>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1DAED0E7">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0D3FA284">
            <w:pPr>
              <w:pStyle w:val="37"/>
              <w:jc w:val="center"/>
              <w:rPr>
                <w:highlight w:val="none"/>
              </w:rPr>
            </w:pPr>
            <w:r>
              <w:rPr>
                <w:rFonts w:hint="eastAsia"/>
                <w:highlight w:val="none"/>
              </w:rPr>
              <w:t>电话</w:t>
            </w:r>
          </w:p>
        </w:tc>
        <w:tc>
          <w:tcPr>
            <w:tcW w:w="1657" w:type="dxa"/>
            <w:gridSpan w:val="3"/>
            <w:tcBorders>
              <w:left w:val="single" w:color="auto" w:sz="4" w:space="0"/>
            </w:tcBorders>
          </w:tcPr>
          <w:p w14:paraId="3E5817CE">
            <w:pPr>
              <w:pStyle w:val="37"/>
              <w:jc w:val="center"/>
              <w:rPr>
                <w:highlight w:val="none"/>
              </w:rPr>
            </w:pPr>
          </w:p>
        </w:tc>
      </w:tr>
      <w:tr w14:paraId="77EF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AD5F949"/>
        </w:tc>
        <w:tc>
          <w:tcPr>
            <w:tcW w:w="1077" w:type="dxa"/>
            <w:tcBorders>
              <w:top w:val="single" w:color="auto" w:sz="4" w:space="0"/>
              <w:left w:val="single" w:color="auto" w:sz="4" w:space="0"/>
              <w:right w:val="single" w:color="auto" w:sz="4" w:space="0"/>
            </w:tcBorders>
            <w:vAlign w:val="center"/>
          </w:tcPr>
          <w:p w14:paraId="1CD28237">
            <w:pPr>
              <w:pStyle w:val="37"/>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5A6F6D51">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5B6AC601">
            <w:pPr>
              <w:pStyle w:val="37"/>
              <w:jc w:val="center"/>
              <w:rPr>
                <w:highlight w:val="none"/>
              </w:rPr>
            </w:pPr>
            <w:r>
              <w:rPr>
                <w:rFonts w:hint="eastAsia"/>
                <w:highlight w:val="none"/>
              </w:rPr>
              <w:t>网址</w:t>
            </w:r>
          </w:p>
        </w:tc>
        <w:tc>
          <w:tcPr>
            <w:tcW w:w="1657" w:type="dxa"/>
            <w:gridSpan w:val="3"/>
            <w:tcBorders>
              <w:left w:val="single" w:color="auto" w:sz="4" w:space="0"/>
            </w:tcBorders>
          </w:tcPr>
          <w:p w14:paraId="05823023">
            <w:pPr>
              <w:pStyle w:val="37"/>
              <w:jc w:val="center"/>
              <w:rPr>
                <w:highlight w:val="none"/>
              </w:rPr>
            </w:pPr>
          </w:p>
        </w:tc>
      </w:tr>
      <w:tr w14:paraId="3C13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C244442">
            <w:pPr>
              <w:pStyle w:val="37"/>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64226183">
            <w:pPr>
              <w:pStyle w:val="37"/>
              <w:jc w:val="center"/>
              <w:rPr>
                <w:highlight w:val="none"/>
              </w:rPr>
            </w:pPr>
          </w:p>
        </w:tc>
      </w:tr>
      <w:tr w14:paraId="1BA4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55C7DF0">
            <w:pPr>
              <w:pStyle w:val="37"/>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1AEE9018">
            <w:pPr>
              <w:pStyle w:val="37"/>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35FB9018">
            <w:pPr>
              <w:pStyle w:val="37"/>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D4ED914">
            <w:pPr>
              <w:pStyle w:val="37"/>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4E1657A">
            <w:pPr>
              <w:pStyle w:val="37"/>
              <w:jc w:val="center"/>
              <w:rPr>
                <w:highlight w:val="none"/>
              </w:rPr>
            </w:pPr>
          </w:p>
        </w:tc>
        <w:tc>
          <w:tcPr>
            <w:tcW w:w="723" w:type="dxa"/>
            <w:tcBorders>
              <w:top w:val="single" w:color="auto" w:sz="4" w:space="0"/>
              <w:left w:val="single" w:color="auto" w:sz="4" w:space="0"/>
              <w:right w:val="single" w:color="auto" w:sz="4" w:space="0"/>
            </w:tcBorders>
            <w:vAlign w:val="center"/>
          </w:tcPr>
          <w:p w14:paraId="35C9621F">
            <w:pPr>
              <w:pStyle w:val="37"/>
              <w:jc w:val="center"/>
              <w:rPr>
                <w:highlight w:val="none"/>
              </w:rPr>
            </w:pPr>
            <w:r>
              <w:rPr>
                <w:rFonts w:hint="eastAsia"/>
                <w:highlight w:val="none"/>
              </w:rPr>
              <w:t>电话</w:t>
            </w:r>
          </w:p>
        </w:tc>
        <w:tc>
          <w:tcPr>
            <w:tcW w:w="758" w:type="dxa"/>
            <w:tcBorders>
              <w:left w:val="single" w:color="auto" w:sz="4" w:space="0"/>
            </w:tcBorders>
          </w:tcPr>
          <w:p w14:paraId="7E06F15D">
            <w:pPr>
              <w:pStyle w:val="37"/>
              <w:jc w:val="center"/>
              <w:rPr>
                <w:highlight w:val="none"/>
              </w:rPr>
            </w:pPr>
          </w:p>
        </w:tc>
      </w:tr>
      <w:tr w14:paraId="599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5C871F7">
            <w:pPr>
              <w:pStyle w:val="37"/>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65B1EFC1">
            <w:pPr>
              <w:pStyle w:val="37"/>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2E67D7A8">
            <w:pPr>
              <w:pStyle w:val="37"/>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56DFEE6D">
            <w:pPr>
              <w:pStyle w:val="37"/>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7A7D432">
            <w:pPr>
              <w:pStyle w:val="37"/>
              <w:jc w:val="center"/>
              <w:rPr>
                <w:highlight w:val="none"/>
              </w:rPr>
            </w:pPr>
          </w:p>
        </w:tc>
        <w:tc>
          <w:tcPr>
            <w:tcW w:w="723" w:type="dxa"/>
            <w:tcBorders>
              <w:top w:val="single" w:color="auto" w:sz="4" w:space="0"/>
              <w:left w:val="single" w:color="auto" w:sz="4" w:space="0"/>
              <w:right w:val="single" w:color="auto" w:sz="4" w:space="0"/>
            </w:tcBorders>
            <w:vAlign w:val="center"/>
          </w:tcPr>
          <w:p w14:paraId="10CCE955">
            <w:pPr>
              <w:pStyle w:val="37"/>
              <w:jc w:val="center"/>
              <w:rPr>
                <w:highlight w:val="none"/>
              </w:rPr>
            </w:pPr>
            <w:r>
              <w:rPr>
                <w:rFonts w:hint="eastAsia"/>
                <w:highlight w:val="none"/>
              </w:rPr>
              <w:t>电话</w:t>
            </w:r>
          </w:p>
        </w:tc>
        <w:tc>
          <w:tcPr>
            <w:tcW w:w="758" w:type="dxa"/>
            <w:tcBorders>
              <w:left w:val="single" w:color="auto" w:sz="4" w:space="0"/>
            </w:tcBorders>
          </w:tcPr>
          <w:p w14:paraId="646C9770">
            <w:pPr>
              <w:pStyle w:val="37"/>
              <w:jc w:val="center"/>
              <w:rPr>
                <w:highlight w:val="none"/>
              </w:rPr>
            </w:pPr>
          </w:p>
        </w:tc>
      </w:tr>
      <w:tr w14:paraId="42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8FB4FD">
            <w:pPr>
              <w:pStyle w:val="37"/>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13A17C0C">
            <w:pPr>
              <w:pStyle w:val="37"/>
              <w:jc w:val="center"/>
              <w:rPr>
                <w:highlight w:val="none"/>
              </w:rPr>
            </w:pPr>
          </w:p>
        </w:tc>
        <w:tc>
          <w:tcPr>
            <w:tcW w:w="4234" w:type="dxa"/>
            <w:gridSpan w:val="6"/>
            <w:tcBorders>
              <w:left w:val="single" w:color="auto" w:sz="4" w:space="0"/>
            </w:tcBorders>
          </w:tcPr>
          <w:p w14:paraId="3D07E0A4">
            <w:pPr>
              <w:pStyle w:val="37"/>
              <w:jc w:val="center"/>
              <w:rPr>
                <w:highlight w:val="none"/>
              </w:rPr>
            </w:pPr>
            <w:r>
              <w:rPr>
                <w:rFonts w:hint="eastAsia"/>
                <w:highlight w:val="none"/>
              </w:rPr>
              <w:t>员工总人数：</w:t>
            </w:r>
          </w:p>
        </w:tc>
      </w:tr>
      <w:tr w14:paraId="36C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9A43CE">
            <w:pPr>
              <w:pStyle w:val="37"/>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20684955">
            <w:pPr>
              <w:pStyle w:val="37"/>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1CB8D826">
            <w:pPr>
              <w:pStyle w:val="37"/>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47295342">
            <w:pPr>
              <w:pStyle w:val="37"/>
              <w:jc w:val="center"/>
              <w:rPr>
                <w:highlight w:val="none"/>
              </w:rPr>
            </w:pPr>
            <w:r>
              <w:rPr>
                <w:rFonts w:hint="eastAsia"/>
                <w:highlight w:val="none"/>
              </w:rPr>
              <w:t>项目经理</w:t>
            </w:r>
          </w:p>
        </w:tc>
        <w:tc>
          <w:tcPr>
            <w:tcW w:w="1481" w:type="dxa"/>
            <w:gridSpan w:val="2"/>
            <w:tcBorders>
              <w:left w:val="single" w:color="auto" w:sz="4" w:space="0"/>
            </w:tcBorders>
          </w:tcPr>
          <w:p w14:paraId="1F3B8719">
            <w:pPr>
              <w:pStyle w:val="37"/>
              <w:jc w:val="center"/>
              <w:rPr>
                <w:highlight w:val="none"/>
              </w:rPr>
            </w:pPr>
          </w:p>
        </w:tc>
      </w:tr>
      <w:tr w14:paraId="5D1D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3E425A7">
            <w:pPr>
              <w:pStyle w:val="37"/>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7BBCEABE">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59142F27"/>
        </w:tc>
        <w:tc>
          <w:tcPr>
            <w:tcW w:w="2039" w:type="dxa"/>
            <w:gridSpan w:val="3"/>
            <w:tcBorders>
              <w:top w:val="single" w:color="auto" w:sz="4" w:space="0"/>
              <w:left w:val="single" w:color="auto" w:sz="4" w:space="0"/>
              <w:right w:val="single" w:color="auto" w:sz="4" w:space="0"/>
            </w:tcBorders>
            <w:vAlign w:val="center"/>
          </w:tcPr>
          <w:p w14:paraId="30F1A6F8">
            <w:pPr>
              <w:pStyle w:val="37"/>
              <w:jc w:val="center"/>
              <w:rPr>
                <w:highlight w:val="none"/>
              </w:rPr>
            </w:pPr>
            <w:r>
              <w:rPr>
                <w:rFonts w:hint="eastAsia"/>
                <w:highlight w:val="none"/>
              </w:rPr>
              <w:t>高级职称人员</w:t>
            </w:r>
          </w:p>
        </w:tc>
        <w:tc>
          <w:tcPr>
            <w:tcW w:w="1481" w:type="dxa"/>
            <w:gridSpan w:val="2"/>
            <w:tcBorders>
              <w:left w:val="single" w:color="auto" w:sz="4" w:space="0"/>
            </w:tcBorders>
          </w:tcPr>
          <w:p w14:paraId="6715E92C">
            <w:pPr>
              <w:pStyle w:val="37"/>
              <w:jc w:val="center"/>
              <w:rPr>
                <w:highlight w:val="none"/>
              </w:rPr>
            </w:pPr>
          </w:p>
        </w:tc>
      </w:tr>
      <w:tr w14:paraId="6A4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1A52F0">
            <w:pPr>
              <w:pStyle w:val="37"/>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0C3E7F06">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6D8A9EF0"/>
        </w:tc>
        <w:tc>
          <w:tcPr>
            <w:tcW w:w="2039" w:type="dxa"/>
            <w:gridSpan w:val="3"/>
            <w:tcBorders>
              <w:top w:val="single" w:color="auto" w:sz="4" w:space="0"/>
              <w:left w:val="single" w:color="auto" w:sz="4" w:space="0"/>
              <w:right w:val="single" w:color="auto" w:sz="4" w:space="0"/>
            </w:tcBorders>
            <w:vAlign w:val="center"/>
          </w:tcPr>
          <w:p w14:paraId="29508BAF">
            <w:pPr>
              <w:pStyle w:val="37"/>
              <w:jc w:val="center"/>
              <w:rPr>
                <w:highlight w:val="none"/>
              </w:rPr>
            </w:pPr>
            <w:r>
              <w:rPr>
                <w:rFonts w:hint="eastAsia"/>
                <w:highlight w:val="none"/>
              </w:rPr>
              <w:t>中级职称人员</w:t>
            </w:r>
          </w:p>
        </w:tc>
        <w:tc>
          <w:tcPr>
            <w:tcW w:w="1481" w:type="dxa"/>
            <w:gridSpan w:val="2"/>
            <w:tcBorders>
              <w:left w:val="single" w:color="auto" w:sz="4" w:space="0"/>
            </w:tcBorders>
          </w:tcPr>
          <w:p w14:paraId="1CADA86E">
            <w:pPr>
              <w:pStyle w:val="37"/>
              <w:jc w:val="center"/>
              <w:rPr>
                <w:highlight w:val="none"/>
              </w:rPr>
            </w:pPr>
          </w:p>
        </w:tc>
      </w:tr>
      <w:tr w14:paraId="1ADB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6C10042">
            <w:pPr>
              <w:pStyle w:val="37"/>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3BD192EB">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5CE3E974"/>
        </w:tc>
        <w:tc>
          <w:tcPr>
            <w:tcW w:w="2039" w:type="dxa"/>
            <w:gridSpan w:val="3"/>
            <w:tcBorders>
              <w:top w:val="single" w:color="auto" w:sz="4" w:space="0"/>
              <w:left w:val="single" w:color="auto" w:sz="4" w:space="0"/>
              <w:right w:val="single" w:color="auto" w:sz="4" w:space="0"/>
            </w:tcBorders>
            <w:vAlign w:val="center"/>
          </w:tcPr>
          <w:p w14:paraId="6D8C1788">
            <w:pPr>
              <w:pStyle w:val="37"/>
              <w:jc w:val="center"/>
              <w:rPr>
                <w:highlight w:val="none"/>
              </w:rPr>
            </w:pPr>
            <w:r>
              <w:rPr>
                <w:rFonts w:hint="eastAsia"/>
                <w:highlight w:val="none"/>
              </w:rPr>
              <w:t>初级职称人员</w:t>
            </w:r>
          </w:p>
        </w:tc>
        <w:tc>
          <w:tcPr>
            <w:tcW w:w="1481" w:type="dxa"/>
            <w:gridSpan w:val="2"/>
            <w:tcBorders>
              <w:left w:val="single" w:color="auto" w:sz="4" w:space="0"/>
            </w:tcBorders>
          </w:tcPr>
          <w:p w14:paraId="0688F513">
            <w:pPr>
              <w:pStyle w:val="37"/>
              <w:jc w:val="center"/>
              <w:rPr>
                <w:highlight w:val="none"/>
              </w:rPr>
            </w:pPr>
          </w:p>
        </w:tc>
      </w:tr>
      <w:tr w14:paraId="66A8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AB15FA">
            <w:pPr>
              <w:pStyle w:val="37"/>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56F4370A">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491B5A8A"/>
        </w:tc>
        <w:tc>
          <w:tcPr>
            <w:tcW w:w="2039" w:type="dxa"/>
            <w:gridSpan w:val="3"/>
            <w:tcBorders>
              <w:top w:val="single" w:color="auto" w:sz="4" w:space="0"/>
              <w:left w:val="single" w:color="auto" w:sz="4" w:space="0"/>
              <w:right w:val="single" w:color="auto" w:sz="4" w:space="0"/>
            </w:tcBorders>
            <w:vAlign w:val="center"/>
          </w:tcPr>
          <w:p w14:paraId="02EDBFF3">
            <w:pPr>
              <w:pStyle w:val="37"/>
              <w:jc w:val="center"/>
              <w:rPr>
                <w:highlight w:val="none"/>
              </w:rPr>
            </w:pPr>
            <w:r>
              <w:rPr>
                <w:rFonts w:hint="eastAsia"/>
                <w:highlight w:val="none"/>
              </w:rPr>
              <w:t>技工</w:t>
            </w:r>
          </w:p>
        </w:tc>
        <w:tc>
          <w:tcPr>
            <w:tcW w:w="1481" w:type="dxa"/>
            <w:gridSpan w:val="2"/>
            <w:tcBorders>
              <w:left w:val="single" w:color="auto" w:sz="4" w:space="0"/>
            </w:tcBorders>
          </w:tcPr>
          <w:p w14:paraId="50E2E860">
            <w:pPr>
              <w:pStyle w:val="37"/>
              <w:jc w:val="center"/>
              <w:rPr>
                <w:highlight w:val="none"/>
              </w:rPr>
            </w:pPr>
          </w:p>
        </w:tc>
      </w:tr>
      <w:tr w14:paraId="7B4C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F2E9B2A">
            <w:pPr>
              <w:pStyle w:val="37"/>
              <w:jc w:val="center"/>
              <w:rPr>
                <w:highlight w:val="none"/>
              </w:rPr>
            </w:pPr>
            <w:r>
              <w:rPr>
                <w:rFonts w:hint="eastAsia"/>
                <w:highlight w:val="none"/>
              </w:rPr>
              <w:t>经营范围</w:t>
            </w:r>
          </w:p>
        </w:tc>
        <w:tc>
          <w:tcPr>
            <w:tcW w:w="7114" w:type="dxa"/>
            <w:gridSpan w:val="8"/>
            <w:tcBorders>
              <w:left w:val="single" w:color="auto" w:sz="4" w:space="0"/>
            </w:tcBorders>
          </w:tcPr>
          <w:p w14:paraId="36B12849">
            <w:pPr>
              <w:pStyle w:val="37"/>
              <w:jc w:val="center"/>
              <w:rPr>
                <w:highlight w:val="none"/>
              </w:rPr>
            </w:pPr>
          </w:p>
        </w:tc>
      </w:tr>
      <w:tr w14:paraId="568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F3C2AC1">
            <w:pPr>
              <w:pStyle w:val="37"/>
              <w:jc w:val="center"/>
              <w:rPr>
                <w:highlight w:val="none"/>
              </w:rPr>
            </w:pPr>
            <w:r>
              <w:rPr>
                <w:rFonts w:hint="eastAsia"/>
                <w:highlight w:val="none"/>
              </w:rPr>
              <w:t>备注</w:t>
            </w:r>
          </w:p>
        </w:tc>
        <w:tc>
          <w:tcPr>
            <w:tcW w:w="7114" w:type="dxa"/>
            <w:gridSpan w:val="8"/>
            <w:tcBorders>
              <w:left w:val="single" w:color="auto" w:sz="4" w:space="0"/>
            </w:tcBorders>
          </w:tcPr>
          <w:p w14:paraId="7E99963D">
            <w:pPr>
              <w:pStyle w:val="37"/>
              <w:jc w:val="center"/>
              <w:rPr>
                <w:highlight w:val="none"/>
              </w:rPr>
            </w:pPr>
          </w:p>
        </w:tc>
      </w:tr>
    </w:tbl>
    <w:p w14:paraId="6FFDF011">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5F3E6679">
      <w:pPr>
        <w:pStyle w:val="33"/>
        <w:rPr>
          <w:highlight w:val="none"/>
        </w:rPr>
      </w:pPr>
      <w:bookmarkStart w:id="270" w:name="_Toc8213"/>
      <w:bookmarkStart w:id="271" w:name="_Toc14270"/>
      <w:bookmarkStart w:id="272" w:name="_Toc378234584"/>
      <w:bookmarkStart w:id="273" w:name="_Toc378234770"/>
      <w:bookmarkStart w:id="274" w:name="_Toc478054435"/>
      <w:bookmarkStart w:id="275" w:name="_Toc478053903"/>
      <w:bookmarkStart w:id="276" w:name="_Toc472780356"/>
      <w:r>
        <w:rPr>
          <w:highlight w:val="none"/>
        </w:rPr>
        <w:t>（二）法定代表人身份证明及授权委托书</w:t>
      </w:r>
      <w:bookmarkEnd w:id="270"/>
      <w:bookmarkEnd w:id="271"/>
      <w:r>
        <w:rPr>
          <w:rFonts w:hint="eastAsia"/>
          <w:highlight w:val="none"/>
        </w:rPr>
        <w:t>（无分支机构）</w:t>
      </w:r>
    </w:p>
    <w:p w14:paraId="0EF66516">
      <w:pPr>
        <w:pStyle w:val="34"/>
        <w:rPr>
          <w:rFonts w:ascii="Times New Roman" w:hAnsi="Times New Roman"/>
          <w:highlight w:val="none"/>
        </w:rPr>
      </w:pPr>
      <w:r>
        <w:rPr>
          <w:rFonts w:ascii="Times New Roman" w:hAnsi="Times New Roman"/>
          <w:highlight w:val="none"/>
        </w:rPr>
        <w:t>法定代表人身份证明书</w:t>
      </w:r>
    </w:p>
    <w:p w14:paraId="681C23B8">
      <w:pPr>
        <w:tabs>
          <w:tab w:val="left" w:pos="6300"/>
        </w:tabs>
        <w:snapToGrid w:val="0"/>
        <w:rPr>
          <w:snapToGrid w:val="0"/>
          <w:kern w:val="0"/>
          <w:highlight w:val="none"/>
        </w:rPr>
      </w:pPr>
    </w:p>
    <w:p w14:paraId="4782FAE5">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5AEA0C12">
      <w:pPr>
        <w:tabs>
          <w:tab w:val="left" w:pos="6300"/>
        </w:tabs>
        <w:snapToGrid w:val="0"/>
        <w:rPr>
          <w:snapToGrid w:val="0"/>
          <w:kern w:val="0"/>
          <w:highlight w:val="none"/>
        </w:rPr>
      </w:pPr>
    </w:p>
    <w:p w14:paraId="16EA7006">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85C2E65">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9A05C33">
      <w:pPr>
        <w:tabs>
          <w:tab w:val="left" w:pos="6300"/>
        </w:tabs>
        <w:snapToGrid w:val="0"/>
        <w:rPr>
          <w:snapToGrid w:val="0"/>
          <w:kern w:val="0"/>
          <w:highlight w:val="none"/>
        </w:rPr>
      </w:pPr>
    </w:p>
    <w:p w14:paraId="50CF5E66">
      <w:pPr>
        <w:tabs>
          <w:tab w:val="left" w:pos="6300"/>
        </w:tabs>
        <w:snapToGrid w:val="0"/>
        <w:rPr>
          <w:snapToGrid w:val="0"/>
          <w:kern w:val="0"/>
          <w:highlight w:val="none"/>
        </w:rPr>
      </w:pPr>
      <w:r>
        <w:rPr>
          <w:rFonts w:hint="eastAsia"/>
          <w:snapToGrid w:val="0"/>
          <w:kern w:val="0"/>
          <w:highlight w:val="none"/>
        </w:rPr>
        <w:t>特此证明。</w:t>
      </w:r>
    </w:p>
    <w:p w14:paraId="7A2E266D">
      <w:pPr>
        <w:tabs>
          <w:tab w:val="left" w:pos="6300"/>
        </w:tabs>
        <w:snapToGrid w:val="0"/>
        <w:rPr>
          <w:snapToGrid w:val="0"/>
          <w:kern w:val="0"/>
          <w:highlight w:val="none"/>
        </w:rPr>
      </w:pPr>
    </w:p>
    <w:p w14:paraId="5243F15C">
      <w:pPr>
        <w:tabs>
          <w:tab w:val="left" w:pos="6300"/>
        </w:tabs>
        <w:snapToGrid w:val="0"/>
        <w:rPr>
          <w:snapToGrid w:val="0"/>
          <w:kern w:val="0"/>
          <w:highlight w:val="none"/>
        </w:rPr>
      </w:pPr>
    </w:p>
    <w:p w14:paraId="34DB79AC">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4E82094C">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3B9E1528">
      <w:pPr>
        <w:tabs>
          <w:tab w:val="left" w:pos="6300"/>
        </w:tabs>
        <w:snapToGrid w:val="0"/>
        <w:rPr>
          <w:snapToGrid w:val="0"/>
          <w:kern w:val="0"/>
          <w:highlight w:val="none"/>
        </w:rPr>
      </w:pPr>
    </w:p>
    <w:p w14:paraId="13BCA1DC">
      <w:pPr>
        <w:tabs>
          <w:tab w:val="left" w:pos="6300"/>
        </w:tabs>
        <w:snapToGrid w:val="0"/>
        <w:rPr>
          <w:snapToGrid w:val="0"/>
          <w:kern w:val="0"/>
          <w:highlight w:val="none"/>
        </w:rPr>
      </w:pPr>
      <w:r>
        <w:rPr>
          <w:rFonts w:hint="eastAsia"/>
          <w:snapToGrid w:val="0"/>
          <w:kern w:val="0"/>
          <w:highlight w:val="none"/>
        </w:rPr>
        <w:t xml:space="preserve">                                             年   月   日</w:t>
      </w:r>
    </w:p>
    <w:p w14:paraId="2F902012">
      <w:pPr>
        <w:tabs>
          <w:tab w:val="left" w:pos="6300"/>
        </w:tabs>
        <w:snapToGrid w:val="0"/>
        <w:rPr>
          <w:snapToGrid w:val="0"/>
          <w:kern w:val="0"/>
          <w:highlight w:val="none"/>
        </w:rPr>
      </w:pPr>
    </w:p>
    <w:p w14:paraId="1AFF0C3A">
      <w:pPr>
        <w:tabs>
          <w:tab w:val="left" w:pos="6300"/>
        </w:tabs>
        <w:snapToGrid w:val="0"/>
        <w:rPr>
          <w:snapToGrid w:val="0"/>
          <w:kern w:val="0"/>
          <w:highlight w:val="none"/>
        </w:rPr>
      </w:pPr>
      <w:r>
        <w:rPr>
          <w:rFonts w:hint="eastAsia"/>
          <w:snapToGrid w:val="0"/>
          <w:kern w:val="0"/>
          <w:highlight w:val="none"/>
        </w:rPr>
        <w:t>（附：法定代表人身份证正反面复印件）</w:t>
      </w:r>
    </w:p>
    <w:p w14:paraId="4C954DCC">
      <w:pPr>
        <w:tabs>
          <w:tab w:val="left" w:pos="6300"/>
        </w:tabs>
        <w:snapToGrid w:val="0"/>
        <w:rPr>
          <w:snapToGrid w:val="0"/>
          <w:kern w:val="0"/>
          <w:highlight w:val="none"/>
        </w:rPr>
      </w:pPr>
    </w:p>
    <w:p w14:paraId="65D208F6">
      <w:pPr>
        <w:tabs>
          <w:tab w:val="left" w:pos="6300"/>
        </w:tabs>
        <w:snapToGrid w:val="0"/>
        <w:rPr>
          <w:snapToGrid w:val="0"/>
          <w:kern w:val="0"/>
          <w:highlight w:val="none"/>
        </w:rPr>
      </w:pPr>
    </w:p>
    <w:p w14:paraId="1DEF303F">
      <w:pPr>
        <w:tabs>
          <w:tab w:val="left" w:pos="6300"/>
        </w:tabs>
        <w:snapToGrid w:val="0"/>
        <w:rPr>
          <w:snapToGrid w:val="0"/>
          <w:kern w:val="0"/>
          <w:highlight w:val="none"/>
        </w:rPr>
      </w:pPr>
    </w:p>
    <w:p w14:paraId="61F1F75E">
      <w:pPr>
        <w:jc w:val="center"/>
        <w:rPr>
          <w:rStyle w:val="35"/>
          <w:rFonts w:ascii="Times New Roman" w:hAnsi="Times New Roman"/>
          <w:highlight w:val="none"/>
        </w:rPr>
      </w:pPr>
      <w:r>
        <w:rPr>
          <w:rFonts w:hint="eastAsia"/>
          <w:snapToGrid w:val="0"/>
          <w:kern w:val="0"/>
          <w:highlight w:val="none"/>
        </w:rPr>
        <w:br w:type="column"/>
      </w:r>
      <w:r>
        <w:rPr>
          <w:rStyle w:val="35"/>
          <w:rFonts w:ascii="Times New Roman" w:hAnsi="Times New Roman"/>
          <w:highlight w:val="none"/>
        </w:rPr>
        <w:t>授权委托书</w:t>
      </w:r>
      <w:r>
        <w:rPr>
          <w:rStyle w:val="35"/>
          <w:highlight w:val="none"/>
        </w:rPr>
        <w:t>（如有）</w:t>
      </w:r>
    </w:p>
    <w:p w14:paraId="7B15DD46">
      <w:pPr>
        <w:pStyle w:val="44"/>
        <w:rPr>
          <w:highlight w:val="none"/>
        </w:rPr>
      </w:pPr>
      <w:r>
        <w:rPr>
          <w:highlight w:val="none"/>
        </w:rPr>
        <w:t>（适用于有委托代理人的情况时采用）</w:t>
      </w:r>
    </w:p>
    <w:p w14:paraId="096E3F58">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2D19CB59">
      <w:pPr>
        <w:tabs>
          <w:tab w:val="left" w:pos="6300"/>
        </w:tabs>
        <w:snapToGrid w:val="0"/>
        <w:rPr>
          <w:snapToGrid w:val="0"/>
          <w:kern w:val="0"/>
          <w:highlight w:val="none"/>
        </w:rPr>
      </w:pPr>
    </w:p>
    <w:p w14:paraId="7F5774A0">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5E7520B2">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1F494710">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3F96A114">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496692BE">
      <w:pPr>
        <w:tabs>
          <w:tab w:val="left" w:pos="6300"/>
        </w:tabs>
        <w:snapToGrid w:val="0"/>
        <w:rPr>
          <w:snapToGrid w:val="0"/>
          <w:kern w:val="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EB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7A57F18">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58716931">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1D5A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D42C0B7">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1E0748B6">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3DBAE6EC">
      <w:pPr>
        <w:tabs>
          <w:tab w:val="left" w:pos="6300"/>
        </w:tabs>
        <w:snapToGrid w:val="0"/>
        <w:rPr>
          <w:snapToGrid w:val="0"/>
          <w:kern w:val="0"/>
          <w:highlight w:val="none"/>
        </w:rPr>
      </w:pPr>
    </w:p>
    <w:p w14:paraId="41BD2770">
      <w:pPr>
        <w:tabs>
          <w:tab w:val="left" w:pos="6300"/>
        </w:tabs>
        <w:snapToGrid w:val="0"/>
        <w:rPr>
          <w:snapToGrid w:val="0"/>
          <w:kern w:val="0"/>
          <w:szCs w:val="28"/>
          <w:highlight w:val="none"/>
        </w:rPr>
      </w:pPr>
    </w:p>
    <w:p w14:paraId="36DB5E79">
      <w:pPr>
        <w:tabs>
          <w:tab w:val="left" w:pos="6300"/>
        </w:tabs>
        <w:snapToGrid w:val="0"/>
        <w:rPr>
          <w:snapToGrid w:val="0"/>
          <w:kern w:val="0"/>
          <w:highlight w:val="none"/>
        </w:rPr>
      </w:pPr>
    </w:p>
    <w:p w14:paraId="140AA3FE">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26F3B27C">
      <w:pPr>
        <w:tabs>
          <w:tab w:val="left" w:pos="6300"/>
        </w:tabs>
        <w:snapToGrid w:val="0"/>
        <w:rPr>
          <w:snapToGrid w:val="0"/>
          <w:kern w:val="0"/>
          <w:highlight w:val="none"/>
        </w:rPr>
      </w:pPr>
    </w:p>
    <w:p w14:paraId="5C60A93C">
      <w:pPr>
        <w:tabs>
          <w:tab w:val="left" w:pos="6300"/>
        </w:tabs>
        <w:snapToGrid w:val="0"/>
        <w:rPr>
          <w:snapToGrid w:val="0"/>
          <w:kern w:val="0"/>
          <w:highlight w:val="none"/>
        </w:rPr>
      </w:pPr>
    </w:p>
    <w:p w14:paraId="3D8BA63B">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8CC5B2E">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53245D28">
      <w:pPr>
        <w:tabs>
          <w:tab w:val="left" w:pos="6300"/>
        </w:tabs>
        <w:snapToGrid w:val="0"/>
        <w:ind w:right="480"/>
        <w:jc w:val="right"/>
        <w:rPr>
          <w:snapToGrid w:val="0"/>
          <w:kern w:val="0"/>
          <w:highlight w:val="none"/>
        </w:rPr>
      </w:pPr>
      <w:r>
        <w:rPr>
          <w:rFonts w:hint="eastAsia"/>
          <w:snapToGrid w:val="0"/>
          <w:kern w:val="0"/>
          <w:highlight w:val="none"/>
        </w:rPr>
        <w:t>年   月   日</w:t>
      </w:r>
    </w:p>
    <w:p w14:paraId="1E178B74">
      <w:pPr>
        <w:tabs>
          <w:tab w:val="left" w:pos="6300"/>
        </w:tabs>
        <w:snapToGrid w:val="0"/>
        <w:rPr>
          <w:snapToGrid w:val="0"/>
          <w:kern w:val="0"/>
          <w:highlight w:val="none"/>
        </w:rPr>
      </w:pPr>
    </w:p>
    <w:p w14:paraId="7B2758DC">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3C47E4FE">
      <w:pPr>
        <w:rPr>
          <w:highlight w:val="none"/>
        </w:rPr>
      </w:pPr>
    </w:p>
    <w:p w14:paraId="3C570DD5">
      <w:pPr>
        <w:rPr>
          <w:highlight w:val="none"/>
        </w:rPr>
        <w:sectPr>
          <w:pgSz w:w="11906" w:h="16838"/>
          <w:pgMar w:top="1440" w:right="1800" w:bottom="1440" w:left="1800" w:header="851" w:footer="992" w:gutter="0"/>
          <w:cols w:space="720" w:num="1"/>
          <w:docGrid w:type="lines" w:linePitch="312" w:charSpace="0"/>
        </w:sectPr>
      </w:pPr>
    </w:p>
    <w:bookmarkEnd w:id="272"/>
    <w:bookmarkEnd w:id="273"/>
    <w:bookmarkEnd w:id="274"/>
    <w:bookmarkEnd w:id="275"/>
    <w:bookmarkEnd w:id="276"/>
    <w:p w14:paraId="2291DDEA">
      <w:pPr>
        <w:pStyle w:val="33"/>
        <w:rPr>
          <w:highlight w:val="none"/>
        </w:rPr>
      </w:pPr>
      <w:r>
        <w:rPr>
          <w:rFonts w:hint="eastAsia"/>
          <w:highlight w:val="none"/>
        </w:rPr>
        <w:t>（三）书面声明</w:t>
      </w:r>
    </w:p>
    <w:p w14:paraId="5C6BBA89">
      <w:pPr>
        <w:tabs>
          <w:tab w:val="left" w:pos="6300"/>
        </w:tabs>
        <w:snapToGrid w:val="0"/>
        <w:rPr>
          <w:rFonts w:ascii="宋体"/>
          <w:sz w:val="24"/>
          <w:highlight w:val="none"/>
        </w:rPr>
      </w:pPr>
    </w:p>
    <w:p w14:paraId="6A873C33">
      <w:pPr>
        <w:tabs>
          <w:tab w:val="left" w:pos="6300"/>
        </w:tabs>
        <w:snapToGrid w:val="0"/>
        <w:ind w:firstLine="480" w:firstLineChars="20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ascii="宋体"/>
          <w:snapToGrid w:val="0"/>
          <w:kern w:val="0"/>
          <w:sz w:val="24"/>
          <w:szCs w:val="24"/>
          <w:highlight w:val="none"/>
          <w:u w:val="single"/>
        </w:rPr>
        <w:t>重庆三峡银行2025-2026年度服务器硬件第三方维保项目</w:t>
      </w:r>
    </w:p>
    <w:p w14:paraId="5AD16517">
      <w:pPr>
        <w:tabs>
          <w:tab w:val="left" w:pos="6300"/>
        </w:tabs>
        <w:snapToGrid w:val="0"/>
        <w:rPr>
          <w:rFonts w:ascii="宋体"/>
          <w:sz w:val="24"/>
          <w:highlight w:val="none"/>
        </w:rPr>
      </w:pPr>
    </w:p>
    <w:p w14:paraId="299E7B22">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729337E5">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6B129692">
      <w:pPr>
        <w:tabs>
          <w:tab w:val="left" w:pos="6300"/>
        </w:tabs>
        <w:snapToGrid w:val="0"/>
        <w:rPr>
          <w:rFonts w:ascii="宋体"/>
          <w:sz w:val="24"/>
          <w:highlight w:val="none"/>
        </w:rPr>
      </w:pPr>
      <w:r>
        <w:rPr>
          <w:rFonts w:hint="eastAsia" w:ascii="宋体"/>
          <w:sz w:val="24"/>
          <w:highlight w:val="none"/>
        </w:rPr>
        <w:t>特此声明。</w:t>
      </w:r>
    </w:p>
    <w:p w14:paraId="29FF6B05">
      <w:pPr>
        <w:tabs>
          <w:tab w:val="left" w:pos="6300"/>
        </w:tabs>
        <w:snapToGrid w:val="0"/>
        <w:rPr>
          <w:rFonts w:ascii="宋体"/>
          <w:sz w:val="24"/>
          <w:highlight w:val="none"/>
        </w:rPr>
      </w:pPr>
    </w:p>
    <w:p w14:paraId="259B1BF6">
      <w:pPr>
        <w:tabs>
          <w:tab w:val="left" w:pos="6300"/>
        </w:tabs>
        <w:snapToGrid w:val="0"/>
        <w:rPr>
          <w:rFonts w:ascii="宋体"/>
          <w:sz w:val="24"/>
          <w:highlight w:val="none"/>
        </w:rPr>
      </w:pPr>
    </w:p>
    <w:p w14:paraId="07AA4727">
      <w:pPr>
        <w:tabs>
          <w:tab w:val="left" w:pos="6300"/>
        </w:tabs>
        <w:snapToGrid w:val="0"/>
        <w:rPr>
          <w:rFonts w:ascii="宋体"/>
          <w:sz w:val="24"/>
          <w:highlight w:val="none"/>
        </w:rPr>
      </w:pPr>
    </w:p>
    <w:p w14:paraId="36B95CFF">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40AB057C">
      <w:pPr>
        <w:tabs>
          <w:tab w:val="left" w:pos="6300"/>
        </w:tabs>
        <w:snapToGrid w:val="0"/>
        <w:ind w:right="480"/>
        <w:jc w:val="right"/>
        <w:rPr>
          <w:rFonts w:ascii="宋体"/>
          <w:sz w:val="24"/>
          <w:highlight w:val="none"/>
        </w:rPr>
      </w:pPr>
      <w:r>
        <w:rPr>
          <w:rFonts w:hint="eastAsia" w:ascii="宋体"/>
          <w:sz w:val="24"/>
          <w:highlight w:val="none"/>
        </w:rPr>
        <w:t>年   月   日</w:t>
      </w:r>
    </w:p>
    <w:p w14:paraId="7FA74928">
      <w:pPr>
        <w:jc w:val="left"/>
        <w:rPr>
          <w:rFonts w:ascii="宋体" w:cs="等线 Light"/>
          <w:snapToGrid w:val="0"/>
          <w:kern w:val="0"/>
          <w:sz w:val="24"/>
          <w:szCs w:val="24"/>
          <w:highlight w:val="none"/>
        </w:rPr>
      </w:pPr>
    </w:p>
    <w:p w14:paraId="3F651B07">
      <w:pPr>
        <w:jc w:val="left"/>
        <w:rPr>
          <w:rFonts w:ascii="宋体" w:cs="等线 Light"/>
          <w:snapToGrid w:val="0"/>
          <w:kern w:val="0"/>
          <w:sz w:val="24"/>
          <w:szCs w:val="24"/>
          <w:highlight w:val="none"/>
        </w:rPr>
      </w:pPr>
    </w:p>
    <w:p w14:paraId="572A77C4">
      <w:pPr>
        <w:jc w:val="left"/>
        <w:rPr>
          <w:rFonts w:ascii="宋体" w:cs="等线 Light"/>
          <w:snapToGrid w:val="0"/>
          <w:kern w:val="0"/>
          <w:sz w:val="24"/>
          <w:szCs w:val="24"/>
          <w:highlight w:val="none"/>
        </w:rPr>
      </w:pPr>
    </w:p>
    <w:p w14:paraId="729255A0">
      <w:pPr>
        <w:rPr>
          <w:b/>
          <w:bCs/>
          <w:highlight w:val="none"/>
        </w:rPr>
      </w:pPr>
      <w:r>
        <w:rPr>
          <w:rFonts w:hint="eastAsia"/>
          <w:kern w:val="0"/>
          <w:highlight w:val="none"/>
        </w:rPr>
        <w:br w:type="page"/>
      </w:r>
    </w:p>
    <w:p w14:paraId="47C91610">
      <w:pPr>
        <w:pStyle w:val="33"/>
        <w:rPr>
          <w:highlight w:val="none"/>
        </w:rPr>
      </w:pPr>
      <w:r>
        <w:rPr>
          <w:highlight w:val="none"/>
        </w:rPr>
        <w:t>（</w:t>
      </w:r>
      <w:r>
        <w:rPr>
          <w:rFonts w:hint="eastAsia"/>
          <w:highlight w:val="none"/>
        </w:rPr>
        <w:t>四</w:t>
      </w:r>
      <w:r>
        <w:rPr>
          <w:highlight w:val="none"/>
        </w:rPr>
        <w:t>）中国执行信息公开网截图</w:t>
      </w:r>
    </w:p>
    <w:p w14:paraId="21C0EF68">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D3C5D88">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7135776">
      <w:pPr>
        <w:rPr>
          <w:highlight w:val="none"/>
        </w:rPr>
      </w:pPr>
    </w:p>
    <w:p w14:paraId="0050C68D">
      <w:pPr>
        <w:pStyle w:val="33"/>
        <w:ind w:firstLine="420"/>
        <w:rPr>
          <w:highlight w:val="none"/>
        </w:rPr>
      </w:pPr>
      <w:r>
        <w:rPr>
          <w:rFonts w:hint="eastAsia"/>
          <w:highlight w:val="none"/>
        </w:rPr>
        <w:t>（</w:t>
      </w:r>
      <w:r>
        <w:rPr>
          <w:highlight w:val="none"/>
        </w:rPr>
        <w:t>五</w:t>
      </w:r>
      <w:r>
        <w:rPr>
          <w:rFonts w:hint="eastAsia"/>
          <w:highlight w:val="none"/>
        </w:rPr>
        <w:t>）</w:t>
      </w:r>
      <w:r>
        <w:rPr>
          <w:rFonts w:hint="eastAsia" w:hAnsi="宋体"/>
          <w:snapToGrid w:val="0"/>
          <w:highlight w:val="none"/>
          <w:lang w:val="zh-CN"/>
        </w:rPr>
        <w:t>响应人在重庆具有自有备件库</w:t>
      </w:r>
      <w:r>
        <w:rPr>
          <w:rFonts w:hint="eastAsia"/>
          <w:highlight w:val="none"/>
        </w:rPr>
        <w:t>证明</w:t>
      </w:r>
      <w:r>
        <w:rPr>
          <w:highlight w:val="none"/>
        </w:rPr>
        <w:t>材料</w:t>
      </w:r>
    </w:p>
    <w:p w14:paraId="7C535929">
      <w:pPr>
        <w:rPr>
          <w:rFonts w:hint="eastAsia" w:hAnsi="宋体"/>
          <w:bCs/>
          <w:snapToGrid w:val="0"/>
          <w:highlight w:val="none"/>
          <w:lang w:val="zh-CN"/>
        </w:rPr>
      </w:pPr>
      <w:r>
        <w:rPr>
          <w:rFonts w:hint="eastAsia" w:hAnsi="宋体"/>
          <w:bCs/>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int="eastAsia" w:hAnsi="宋体"/>
          <w:bCs/>
          <w:snapToGrid w:val="0"/>
          <w:highlight w:val="none"/>
          <w:lang w:val="zh-CN"/>
        </w:rPr>
        <w:t>（格式自理）；</w:t>
      </w:r>
    </w:p>
    <w:p w14:paraId="270D2353">
      <w:pPr>
        <w:rPr>
          <w:rFonts w:hint="eastAsia" w:hAnsi="宋体"/>
          <w:bCs/>
          <w:snapToGrid w:val="0"/>
          <w:highlight w:val="none"/>
          <w:lang w:val="zh-CN"/>
        </w:rPr>
      </w:pPr>
      <w:r>
        <w:rPr>
          <w:rFonts w:hint="eastAsia" w:hAnsi="宋体"/>
          <w:bCs/>
          <w:snapToGrid w:val="0"/>
          <w:highlight w:val="none"/>
          <w:lang w:val="zh-CN"/>
        </w:rPr>
        <w:t>2、办公场地房产证或房屋租赁合同相关证明资料复印件。</w:t>
      </w:r>
    </w:p>
    <w:p w14:paraId="786B195E">
      <w:pPr>
        <w:rPr>
          <w:rFonts w:hAnsi="宋体"/>
          <w:bCs/>
          <w:snapToGrid w:val="0"/>
          <w:highlight w:val="none"/>
          <w:lang w:val="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宋体"/>
          <w:bCs/>
          <w:snapToGrid w:val="0"/>
          <w:highlight w:val="none"/>
          <w:lang w:val="zh-CN"/>
        </w:rPr>
        <w:br w:type="page"/>
      </w:r>
    </w:p>
    <w:p w14:paraId="285AB0A2">
      <w:pPr>
        <w:pStyle w:val="33"/>
        <w:rPr>
          <w:rFonts w:hint="eastAsia"/>
          <w:highlight w:val="none"/>
          <w:lang w:val="zh-CN"/>
        </w:rPr>
      </w:pPr>
      <w:r>
        <w:rPr>
          <w:rFonts w:hint="eastAsia"/>
          <w:highlight w:val="none"/>
          <w:lang w:val="zh-CN"/>
        </w:rPr>
        <w:t>（</w:t>
      </w:r>
      <w:r>
        <w:rPr>
          <w:highlight w:val="none"/>
          <w:lang w:val="zh-CN"/>
        </w:rPr>
        <w:t>六</w:t>
      </w:r>
      <w:r>
        <w:rPr>
          <w:rFonts w:hint="eastAsia"/>
          <w:highlight w:val="none"/>
          <w:lang w:val="zh-CN"/>
        </w:rPr>
        <w:t>）</w:t>
      </w:r>
      <w:r>
        <w:rPr>
          <w:rFonts w:hint="eastAsia" w:hAnsi="宋体"/>
          <w:snapToGrid w:val="0"/>
          <w:highlight w:val="none"/>
          <w:lang w:val="zh-CN"/>
        </w:rPr>
        <w:t>响应人本地化服务能力证明材料</w:t>
      </w:r>
    </w:p>
    <w:p w14:paraId="11F8EB2B">
      <w:pPr>
        <w:numPr>
          <w:ilvl w:val="0"/>
          <w:numId w:val="6"/>
        </w:numPr>
        <w:ind w:left="0" w:firstLine="420" w:firstLineChars="200"/>
        <w:rPr>
          <w:rFonts w:hint="eastAsia" w:hAnsi="宋体" w:cs="Times New Roman"/>
          <w:highlight w:val="none"/>
          <w:lang w:eastAsia="zh-CN"/>
        </w:rPr>
      </w:pP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p>
    <w:p w14:paraId="14321665">
      <w:pPr>
        <w:numPr>
          <w:ilvl w:val="0"/>
          <w:numId w:val="6"/>
        </w:numPr>
        <w:ind w:left="0" w:firstLine="420" w:firstLineChars="200"/>
        <w:rPr>
          <w:rFonts w:hint="eastAsia" w:hAnsi="宋体"/>
          <w:snapToGrid w:val="0"/>
          <w:highlight w:val="none"/>
          <w:lang w:eastAsia="zh-CN"/>
        </w:rPr>
      </w:pP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宋体"/>
          <w:highlight w:val="none"/>
        </w:rPr>
        <w:t>）</w:t>
      </w:r>
      <w:r>
        <w:rPr>
          <w:rFonts w:hint="eastAsia" w:hAnsi="宋体"/>
          <w:highlight w:val="none"/>
          <w:lang w:eastAsia="zh-CN"/>
        </w:rPr>
        <w:t>。</w:t>
      </w:r>
    </w:p>
    <w:p w14:paraId="5C0C4826">
      <w:pPr>
        <w:rPr>
          <w:rFonts w:hAnsi="Times New Roman"/>
          <w:snapToGrid w:val="0"/>
          <w:highlight w:val="none"/>
          <w:lang w:val="en-US" w:eastAsia="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Times New Roman"/>
          <w:snapToGrid w:val="0"/>
          <w:highlight w:val="none"/>
          <w:lang w:val="en-US" w:eastAsia="zh-CN"/>
        </w:rPr>
        <w:br w:type="page"/>
      </w:r>
    </w:p>
    <w:p w14:paraId="1E9545BD">
      <w:pPr>
        <w:pStyle w:val="33"/>
        <w:rPr>
          <w:highlight w:val="none"/>
          <w:lang w:val="zh-CN"/>
        </w:rPr>
      </w:pPr>
      <w:r>
        <w:rPr>
          <w:highlight w:val="none"/>
          <w:lang w:val="zh-CN"/>
        </w:rPr>
        <w:t>（七）响应人在</w:t>
      </w:r>
      <w:r>
        <w:rPr>
          <w:rFonts w:hint="eastAsia" w:hAnsi="宋体"/>
          <w:snapToGrid w:val="0"/>
          <w:szCs w:val="20"/>
          <w:highlight w:val="none"/>
        </w:rPr>
        <w:t>重庆区域内银行业PC服务器维保技术服务案例</w:t>
      </w:r>
      <w:r>
        <w:rPr>
          <w:rFonts w:hAnsi="宋体"/>
          <w:snapToGrid w:val="0"/>
          <w:szCs w:val="20"/>
          <w:highlight w:val="none"/>
        </w:rPr>
        <w:t>证明材料</w:t>
      </w:r>
    </w:p>
    <w:p w14:paraId="34C1227B">
      <w:pPr>
        <w:ind w:firstLine="420" w:firstLineChars="200"/>
        <w:rPr>
          <w:highlight w:val="none"/>
        </w:rPr>
      </w:pPr>
      <w:r>
        <w:rPr>
          <w:rFonts w:hint="eastAsia"/>
          <w:highlight w:val="none"/>
        </w:rPr>
        <w:t>1、项目简介（格式自拟</w:t>
      </w:r>
      <w:r>
        <w:rPr>
          <w:highlight w:val="none"/>
        </w:rPr>
        <w:t>，需包括合同买方</w:t>
      </w:r>
      <w:r>
        <w:rPr>
          <w:rFonts w:hint="eastAsia" w:hAnsi="Times New Roman"/>
          <w:highlight w:val="none"/>
          <w:lang w:bidi="ar-SA"/>
        </w:rPr>
        <w:t>联系人和联系电话</w:t>
      </w:r>
      <w:r>
        <w:rPr>
          <w:rFonts w:hAnsi="Times New Roman"/>
          <w:highlight w:val="none"/>
          <w:lang w:bidi="ar-SA"/>
        </w:rPr>
        <w:t>，维保起止时间，以及</w:t>
      </w:r>
      <w:r>
        <w:rPr>
          <w:rFonts w:hint="eastAsia" w:hAnsi="宋体"/>
          <w:highlight w:val="none"/>
          <w:lang w:val="en-US" w:eastAsia="zh-CN" w:bidi="ar-SA"/>
        </w:rPr>
        <w:t>案例中的PC服务器总数和所涉及的</w:t>
      </w:r>
      <w:r>
        <w:rPr>
          <w:rFonts w:hAnsi="宋体"/>
          <w:highlight w:val="none"/>
          <w:lang w:val="en-US" w:eastAsia="zh-CN" w:bidi="ar-SA"/>
        </w:rPr>
        <w:t>PC</w:t>
      </w:r>
      <w:r>
        <w:rPr>
          <w:rFonts w:hint="eastAsia" w:hAnsi="宋体"/>
          <w:highlight w:val="none"/>
          <w:lang w:val="en-US" w:eastAsia="zh-CN" w:bidi="ar-SA"/>
        </w:rPr>
        <w:t>服务器品牌</w:t>
      </w:r>
      <w:r>
        <w:rPr>
          <w:rFonts w:hint="eastAsia"/>
          <w:highlight w:val="none"/>
        </w:rPr>
        <w:t>）</w:t>
      </w:r>
    </w:p>
    <w:p w14:paraId="1870751C">
      <w:pPr>
        <w:ind w:firstLine="420" w:firstLineChars="200"/>
        <w:rPr>
          <w:highlight w:val="none"/>
        </w:rPr>
      </w:pPr>
      <w:r>
        <w:rPr>
          <w:rFonts w:hint="eastAsia"/>
          <w:highlight w:val="none"/>
        </w:rPr>
        <w:t>2、合同关键页（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p>
    <w:p w14:paraId="3F10E80A">
      <w:pPr>
        <w:rPr>
          <w:highlight w:val="none"/>
        </w:rPr>
      </w:pPr>
      <w:r>
        <w:rPr>
          <w:rFonts w:hint="eastAsia"/>
          <w:highlight w:val="none"/>
        </w:rPr>
        <w:t>3、合同对应的发票复印件（发票累计金额不低于合同金额</w:t>
      </w:r>
      <w:r>
        <w:rPr>
          <w:rFonts w:hint="eastAsia"/>
          <w:highlight w:val="none"/>
          <w:lang w:val="en-US" w:eastAsia="zh-CN"/>
        </w:rPr>
        <w:t>的</w:t>
      </w:r>
      <w:r>
        <w:rPr>
          <w:rFonts w:hint="eastAsia"/>
          <w:highlight w:val="none"/>
        </w:rPr>
        <w:t>10%）及对应发票的验证文件（</w:t>
      </w:r>
      <w:r>
        <w:rPr>
          <w:rFonts w:hint="eastAsia" w:hAnsi="宋体"/>
          <w:highlight w:val="none"/>
        </w:rPr>
        <w:t>发票验证文件为“国家税务总局全国增值税发票查验平台https://inv-veri.chinatax.gov.cn/”查验结果截图</w:t>
      </w:r>
      <w:r>
        <w:rPr>
          <w:rFonts w:hint="eastAsia" w:hAnsi="宋体"/>
          <w:highlight w:val="none"/>
          <w:lang w:eastAsia="zh-CN"/>
        </w:rPr>
        <w:t>，</w:t>
      </w:r>
      <w:r>
        <w:rPr>
          <w:rFonts w:hint="eastAsia" w:hAnsi="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p>
    <w:p w14:paraId="74FBC969">
      <w:pPr>
        <w:rPr>
          <w:highlight w:val="none"/>
        </w:rPr>
      </w:pPr>
      <w:r>
        <w:rPr>
          <w:highlight w:val="none"/>
        </w:rPr>
        <w:t>示例：</w:t>
      </w:r>
    </w:p>
    <w:p w14:paraId="5D5C78E7">
      <w:pPr>
        <w:ind w:firstLine="420" w:firstLineChars="200"/>
        <w:jc w:val="center"/>
        <w:rPr>
          <w:highlight w:val="none"/>
          <w:lang w:val="zh-CN"/>
        </w:rPr>
      </w:pPr>
      <w:r>
        <w:rPr>
          <w:rFonts w:hint="eastAsia" w:hAnsi="宋体"/>
          <w:snapToGrid w:val="0"/>
          <w:highlight w:val="none"/>
        </w:rPr>
        <w:t>重庆区域内银行业PC服务器维保技术服务案例</w:t>
      </w:r>
    </w:p>
    <w:p w14:paraId="6EB3466D">
      <w:pPr>
        <w:numPr>
          <w:ilvl w:val="0"/>
          <w:numId w:val="7"/>
        </w:numPr>
        <w:ind w:firstLineChars="0"/>
        <w:jc w:val="center"/>
        <w:rPr>
          <w:highlight w:val="none"/>
        </w:rPr>
      </w:pPr>
      <w:r>
        <w:rPr>
          <w:rFonts w:hint="eastAsia"/>
          <w:highlight w:val="none"/>
        </w:rPr>
        <w:t>项目简介</w:t>
      </w:r>
    </w:p>
    <w:p w14:paraId="2EB411DA">
      <w:pPr>
        <w:ind w:left="0" w:firstLine="315" w:firstLineChars="150"/>
        <w:rPr>
          <w:highlight w:val="none"/>
        </w:rPr>
      </w:pPr>
      <w:r>
        <w:rPr>
          <w:highlight w:val="none"/>
        </w:rPr>
        <w:t>合同买方</w:t>
      </w:r>
      <w:r>
        <w:rPr>
          <w:rFonts w:hint="eastAsia" w:hAnsi="Times New Roman"/>
          <w:highlight w:val="none"/>
          <w:lang w:bidi="ar-SA"/>
        </w:rPr>
        <w:t>联系人</w:t>
      </w:r>
      <w:r>
        <w:rPr>
          <w:highlight w:val="none"/>
        </w:rPr>
        <w:t>：XX  联系电话：XX，维保起止时间：XX</w:t>
      </w:r>
    </w:p>
    <w:p w14:paraId="0C2E6FB8">
      <w:pPr>
        <w:ind w:left="0" w:firstLine="315" w:firstLineChars="150"/>
        <w:rPr>
          <w:highlight w:val="none"/>
        </w:rPr>
      </w:pPr>
      <w:r>
        <w:rPr>
          <w:highlight w:val="none"/>
        </w:rPr>
        <w:t>案例中的PC服务器总数：XX台；案例所涉及的PC服务器品牌包括XX、XX、XX。</w:t>
      </w:r>
    </w:p>
    <w:p w14:paraId="7C38631D">
      <w:pPr>
        <w:ind w:left="0" w:firstLine="315" w:firstLineChars="150"/>
        <w:rPr>
          <w:highlight w:val="none"/>
        </w:rPr>
      </w:pPr>
      <w:r>
        <w:rPr>
          <w:highlight w:val="none"/>
        </w:rPr>
        <w:t>项目情况：：XX</w:t>
      </w:r>
      <w:r>
        <w:rPr>
          <w:rFonts w:hint="eastAsia"/>
          <w:highlight w:val="none"/>
        </w:rPr>
        <w:t>……</w:t>
      </w:r>
      <w:r>
        <w:rPr>
          <w:highlight w:val="none"/>
        </w:rPr>
        <w:t xml:space="preserve"> </w:t>
      </w:r>
    </w:p>
    <w:p w14:paraId="29D88EB1">
      <w:pPr>
        <w:numPr>
          <w:ilvl w:val="0"/>
          <w:numId w:val="7"/>
        </w:numPr>
        <w:ind w:firstLineChars="0"/>
        <w:jc w:val="center"/>
        <w:rPr>
          <w:highlight w:val="none"/>
          <w:lang w:val="zh-CN"/>
        </w:rPr>
      </w:pPr>
      <w:r>
        <w:rPr>
          <w:highlight w:val="none"/>
          <w:lang w:val="zh-CN"/>
        </w:rPr>
        <w:t>合同关键页</w:t>
      </w:r>
    </w:p>
    <w:p w14:paraId="09887546">
      <w:pPr>
        <w:numPr>
          <w:ilvl w:val="0"/>
          <w:numId w:val="7"/>
        </w:numPr>
        <w:ind w:left="0" w:firstLine="420" w:firstLineChars="200"/>
        <w:jc w:val="center"/>
        <w:rPr>
          <w:highlight w:val="none"/>
          <w:lang w:val="zh-CN"/>
        </w:rPr>
      </w:pPr>
      <w:r>
        <w:rPr>
          <w:rFonts w:hint="eastAsia"/>
          <w:highlight w:val="none"/>
        </w:rPr>
        <w:t>合同对应的发票复印件及对应发票的验证文件</w:t>
      </w:r>
    </w:p>
    <w:p w14:paraId="3FDC0852">
      <w:pPr>
        <w:ind w:left="420"/>
        <w:rPr>
          <w:highlight w:val="none"/>
          <w:lang w:val="zh-CN"/>
        </w:rPr>
      </w:pPr>
    </w:p>
    <w:p w14:paraId="7AF67B99">
      <w:pPr>
        <w:ind w:left="0"/>
        <w:rPr>
          <w:highlight w:val="none"/>
        </w:rPr>
      </w:pPr>
    </w:p>
    <w:p w14:paraId="4D7F83C9">
      <w:pPr>
        <w:rPr>
          <w:rFonts w:hAnsi="宋体"/>
          <w:bCs/>
          <w:snapToGrid w:val="0"/>
          <w:highlight w:val="none"/>
          <w:lang w:val="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宋体"/>
          <w:bCs/>
          <w:snapToGrid w:val="0"/>
          <w:highlight w:val="none"/>
          <w:lang w:val="zh-CN"/>
        </w:rPr>
        <w:br w:type="page"/>
      </w:r>
    </w:p>
    <w:p w14:paraId="2EDB83F7">
      <w:pPr>
        <w:pStyle w:val="33"/>
        <w:rPr>
          <w:highlight w:val="none"/>
          <w:lang w:val="zh-CN"/>
        </w:rPr>
      </w:pPr>
      <w:r>
        <w:rPr>
          <w:rFonts w:hint="eastAsia"/>
          <w:highlight w:val="none"/>
          <w:lang w:val="zh-CN"/>
        </w:rPr>
        <w:t>（</w:t>
      </w:r>
      <w:r>
        <w:rPr>
          <w:highlight w:val="none"/>
          <w:lang w:val="zh-CN"/>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589CEDD8">
      <w:pPr>
        <w:rPr>
          <w:highlight w:val="none"/>
          <w:lang w:val="zh-CN"/>
        </w:rPr>
      </w:pPr>
    </w:p>
    <w:p w14:paraId="61B38651">
      <w:pPr>
        <w:rPr>
          <w:highlight w:val="none"/>
          <w:lang w:val="zh-CN"/>
        </w:rPr>
      </w:pPr>
    </w:p>
    <w:p w14:paraId="640E8593">
      <w:pPr>
        <w:rPr>
          <w:highlight w:val="none"/>
          <w:lang w:val="zh-CN"/>
        </w:rPr>
        <w:sectPr>
          <w:pgSz w:w="11906" w:h="16838"/>
          <w:pgMar w:top="1440" w:right="1800" w:bottom="1440" w:left="1800" w:header="851" w:footer="992" w:gutter="0"/>
          <w:cols w:space="720" w:num="1"/>
          <w:docGrid w:type="lines" w:linePitch="312" w:charSpace="0"/>
        </w:sectPr>
      </w:pPr>
    </w:p>
    <w:p w14:paraId="5842D10C">
      <w:pPr>
        <w:pStyle w:val="32"/>
        <w:rPr>
          <w:highlight w:val="none"/>
        </w:rPr>
      </w:pPr>
      <w:r>
        <w:rPr>
          <w:highlight w:val="none"/>
        </w:rPr>
        <w:t>五、响应性文件</w:t>
      </w:r>
    </w:p>
    <w:p w14:paraId="0BE68132">
      <w:pPr>
        <w:pStyle w:val="33"/>
        <w:rPr>
          <w:highlight w:val="none"/>
        </w:rPr>
      </w:pPr>
      <w:r>
        <w:rPr>
          <w:rFonts w:hint="eastAsia"/>
          <w:highlight w:val="none"/>
        </w:rPr>
        <w:t>（一）响应承诺函</w:t>
      </w:r>
    </w:p>
    <w:p w14:paraId="44248FB2">
      <w:pPr>
        <w:rPr>
          <w:highlight w:val="none"/>
        </w:rPr>
      </w:pPr>
      <w:r>
        <w:rPr>
          <w:rFonts w:hint="eastAsia"/>
          <w:highlight w:val="none"/>
        </w:rPr>
        <w:t>根据第三章“项目要求”内容，做出整体承诺，格式自理。</w:t>
      </w:r>
    </w:p>
    <w:p w14:paraId="10B30149">
      <w:pPr>
        <w:rPr>
          <w:highlight w:val="none"/>
        </w:rPr>
      </w:pPr>
    </w:p>
    <w:p w14:paraId="6D9EE405">
      <w:pPr>
        <w:rPr>
          <w:highlight w:val="none"/>
        </w:rPr>
      </w:pPr>
    </w:p>
    <w:p w14:paraId="2941C2DA">
      <w:pPr>
        <w:rPr>
          <w:highlight w:val="none"/>
        </w:rPr>
        <w:sectPr>
          <w:pgSz w:w="11906" w:h="16838"/>
          <w:pgMar w:top="1440" w:right="1800" w:bottom="1440" w:left="1800" w:header="851" w:footer="992" w:gutter="0"/>
          <w:cols w:space="720" w:num="1"/>
          <w:docGrid w:type="lines" w:linePitch="312" w:charSpace="0"/>
        </w:sectPr>
      </w:pPr>
    </w:p>
    <w:p w14:paraId="3A2D7312">
      <w:pPr>
        <w:pStyle w:val="33"/>
        <w:rPr>
          <w:highlight w:val="none"/>
          <w:lang w:val="zh-CN"/>
        </w:rPr>
      </w:pPr>
      <w:r>
        <w:rPr>
          <w:rFonts w:hint="eastAsia"/>
          <w:highlight w:val="none"/>
          <w:lang w:val="zh-CN"/>
        </w:rPr>
        <w:t>（</w:t>
      </w:r>
      <w:r>
        <w:rPr>
          <w:highlight w:val="none"/>
          <w:lang w:val="zh-CN"/>
        </w:rPr>
        <w:t>二</w:t>
      </w:r>
      <w:r>
        <w:rPr>
          <w:rFonts w:hint="eastAsia"/>
          <w:highlight w:val="none"/>
          <w:lang w:val="zh-CN"/>
        </w:rPr>
        <w:t>）</w:t>
      </w:r>
      <w:r>
        <w:rPr>
          <w:highlight w:val="none"/>
        </w:rPr>
        <w:t>服务水平协议（SLA）</w:t>
      </w:r>
    </w:p>
    <w:tbl>
      <w:tblPr>
        <w:tblStyle w:val="17"/>
        <w:tblW w:w="11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5"/>
        <w:gridCol w:w="1123"/>
        <w:gridCol w:w="2550"/>
        <w:gridCol w:w="3447"/>
        <w:gridCol w:w="2457"/>
      </w:tblGrid>
      <w:tr w14:paraId="2F4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l2br w:val="nil"/>
              <w:tr2bl w:val="nil"/>
            </w:tcBorders>
            <w:shd w:val="clear" w:color="auto" w:fill="auto"/>
            <w:vAlign w:val="center"/>
          </w:tcPr>
          <w:p w14:paraId="0A7B8695">
            <w:pPr>
              <w:ind w:left="0" w:firstLine="0" w:firstLineChars="0"/>
              <w:rPr>
                <w:rFonts w:ascii="宋体" w:hAnsi="宋体"/>
                <w:b/>
                <w:szCs w:val="21"/>
                <w:highlight w:val="none"/>
              </w:rPr>
            </w:pPr>
            <w:r>
              <w:rPr>
                <w:rFonts w:ascii="宋体" w:hAnsi="宋体"/>
                <w:b/>
                <w:szCs w:val="21"/>
                <w:highlight w:val="none"/>
              </w:rPr>
              <w:t>序号</w:t>
            </w:r>
          </w:p>
        </w:tc>
        <w:tc>
          <w:tcPr>
            <w:tcW w:w="1145" w:type="dxa"/>
            <w:tcBorders>
              <w:tl2br w:val="nil"/>
              <w:tr2bl w:val="nil"/>
            </w:tcBorders>
            <w:shd w:val="clear" w:color="auto" w:fill="auto"/>
            <w:vAlign w:val="center"/>
          </w:tcPr>
          <w:p w14:paraId="2BC71C42">
            <w:pPr>
              <w:ind w:left="0" w:firstLine="0" w:firstLineChars="0"/>
              <w:rPr>
                <w:rFonts w:ascii="宋体" w:hAnsi="宋体"/>
                <w:b/>
                <w:szCs w:val="21"/>
                <w:highlight w:val="none"/>
              </w:rPr>
            </w:pPr>
            <w:r>
              <w:rPr>
                <w:rFonts w:ascii="宋体" w:hAnsi="宋体"/>
                <w:b/>
                <w:szCs w:val="21"/>
                <w:highlight w:val="none"/>
              </w:rPr>
              <w:t>评价维度</w:t>
            </w:r>
          </w:p>
        </w:tc>
        <w:tc>
          <w:tcPr>
            <w:tcW w:w="1123" w:type="dxa"/>
            <w:tcBorders>
              <w:tl2br w:val="nil"/>
              <w:tr2bl w:val="nil"/>
            </w:tcBorders>
            <w:shd w:val="clear" w:color="auto" w:fill="auto"/>
            <w:vAlign w:val="center"/>
          </w:tcPr>
          <w:p w14:paraId="6A94C164">
            <w:pPr>
              <w:ind w:left="0" w:firstLine="0" w:firstLineChars="0"/>
              <w:rPr>
                <w:rFonts w:ascii="宋体" w:hAnsi="宋体"/>
                <w:b/>
                <w:szCs w:val="21"/>
                <w:highlight w:val="none"/>
              </w:rPr>
            </w:pPr>
            <w:r>
              <w:rPr>
                <w:rFonts w:ascii="宋体" w:hAnsi="宋体"/>
                <w:b/>
                <w:szCs w:val="21"/>
                <w:highlight w:val="none"/>
              </w:rPr>
              <w:t>评价指标</w:t>
            </w:r>
          </w:p>
        </w:tc>
        <w:tc>
          <w:tcPr>
            <w:tcW w:w="2550" w:type="dxa"/>
            <w:tcBorders>
              <w:tl2br w:val="nil"/>
              <w:tr2bl w:val="nil"/>
            </w:tcBorders>
            <w:shd w:val="clear" w:color="auto" w:fill="auto"/>
            <w:vAlign w:val="center"/>
          </w:tcPr>
          <w:p w14:paraId="7829A2FF">
            <w:pPr>
              <w:jc w:val="center"/>
              <w:rPr>
                <w:rFonts w:ascii="宋体" w:hAnsi="宋体"/>
                <w:b/>
                <w:szCs w:val="21"/>
                <w:highlight w:val="none"/>
              </w:rPr>
            </w:pPr>
            <w:r>
              <w:rPr>
                <w:rFonts w:ascii="宋体" w:hAnsi="宋体"/>
                <w:b/>
                <w:szCs w:val="21"/>
                <w:highlight w:val="none"/>
              </w:rPr>
              <w:t>指标定义</w:t>
            </w:r>
          </w:p>
        </w:tc>
        <w:tc>
          <w:tcPr>
            <w:tcW w:w="3447" w:type="dxa"/>
            <w:tcBorders>
              <w:tl2br w:val="nil"/>
              <w:tr2bl w:val="nil"/>
            </w:tcBorders>
            <w:shd w:val="clear" w:color="auto" w:fill="auto"/>
            <w:vAlign w:val="center"/>
          </w:tcPr>
          <w:p w14:paraId="32C035D3">
            <w:pPr>
              <w:jc w:val="center"/>
              <w:rPr>
                <w:rFonts w:ascii="宋体" w:hAnsi="宋体"/>
                <w:b/>
                <w:szCs w:val="21"/>
                <w:highlight w:val="none"/>
              </w:rPr>
            </w:pPr>
            <w:r>
              <w:rPr>
                <w:rFonts w:ascii="宋体" w:hAnsi="宋体"/>
                <w:b/>
                <w:szCs w:val="21"/>
                <w:highlight w:val="none"/>
              </w:rPr>
              <w:t>评分</w:t>
            </w:r>
            <w:r>
              <w:rPr>
                <w:rFonts w:hint="eastAsia" w:ascii="宋体" w:hAnsi="宋体"/>
                <w:b/>
                <w:szCs w:val="21"/>
                <w:highlight w:val="none"/>
              </w:rPr>
              <w:t>/价</w:t>
            </w:r>
            <w:r>
              <w:rPr>
                <w:rFonts w:ascii="宋体" w:hAnsi="宋体"/>
                <w:b/>
                <w:szCs w:val="21"/>
                <w:highlight w:val="none"/>
              </w:rPr>
              <w:t>标准</w:t>
            </w:r>
          </w:p>
        </w:tc>
        <w:tc>
          <w:tcPr>
            <w:tcW w:w="2457" w:type="dxa"/>
            <w:tcBorders>
              <w:tl2br w:val="nil"/>
              <w:tr2bl w:val="nil"/>
            </w:tcBorders>
            <w:shd w:val="clear" w:color="auto" w:fill="auto"/>
            <w:vAlign w:val="center"/>
          </w:tcPr>
          <w:p w14:paraId="55ED025A">
            <w:pPr>
              <w:jc w:val="center"/>
              <w:rPr>
                <w:rFonts w:ascii="宋体" w:hAnsi="宋体"/>
                <w:b/>
                <w:szCs w:val="21"/>
                <w:highlight w:val="none"/>
              </w:rPr>
            </w:pPr>
            <w:r>
              <w:rPr>
                <w:rFonts w:hint="eastAsia" w:ascii="宋体" w:hAnsi="宋体"/>
                <w:b/>
                <w:szCs w:val="21"/>
                <w:highlight w:val="none"/>
              </w:rPr>
              <w:t>违约金标准</w:t>
            </w:r>
          </w:p>
        </w:tc>
      </w:tr>
      <w:tr w14:paraId="272F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07" w:type="dxa"/>
            <w:tcBorders>
              <w:tl2br w:val="nil"/>
              <w:tr2bl w:val="nil"/>
            </w:tcBorders>
            <w:shd w:val="clear" w:color="auto" w:fill="auto"/>
            <w:vAlign w:val="center"/>
          </w:tcPr>
          <w:p w14:paraId="6500E9F7">
            <w:pPr>
              <w:ind w:left="0" w:firstLine="0" w:firstLineChars="0"/>
              <w:rPr>
                <w:rFonts w:ascii="宋体" w:hAnsi="宋体"/>
                <w:szCs w:val="21"/>
                <w:highlight w:val="none"/>
              </w:rPr>
            </w:pPr>
            <w:r>
              <w:rPr>
                <w:rFonts w:hint="eastAsia" w:ascii="宋体" w:hAnsi="宋体"/>
                <w:szCs w:val="21"/>
                <w:highlight w:val="none"/>
              </w:rPr>
              <w:t>1</w:t>
            </w:r>
          </w:p>
        </w:tc>
        <w:tc>
          <w:tcPr>
            <w:tcW w:w="1145" w:type="dxa"/>
            <w:vMerge w:val="restart"/>
            <w:tcBorders>
              <w:tl2br w:val="nil"/>
              <w:tr2bl w:val="nil"/>
            </w:tcBorders>
            <w:shd w:val="clear" w:color="auto" w:fill="auto"/>
            <w:vAlign w:val="center"/>
          </w:tcPr>
          <w:p w14:paraId="451BCF80">
            <w:pPr>
              <w:ind w:left="0" w:firstLine="0" w:firstLineChars="0"/>
              <w:rPr>
                <w:rFonts w:ascii="宋体" w:hAnsi="宋体"/>
                <w:szCs w:val="21"/>
                <w:highlight w:val="none"/>
              </w:rPr>
            </w:pPr>
            <w:r>
              <w:rPr>
                <w:rFonts w:hint="eastAsia" w:ascii="宋体" w:hAnsi="宋体"/>
                <w:szCs w:val="21"/>
                <w:highlight w:val="none"/>
              </w:rPr>
              <w:t>服务质量</w:t>
            </w:r>
          </w:p>
        </w:tc>
        <w:tc>
          <w:tcPr>
            <w:tcW w:w="1123" w:type="dxa"/>
            <w:tcBorders>
              <w:tl2br w:val="nil"/>
              <w:tr2bl w:val="nil"/>
            </w:tcBorders>
            <w:shd w:val="clear" w:color="auto" w:fill="auto"/>
            <w:vAlign w:val="center"/>
          </w:tcPr>
          <w:p w14:paraId="44EBFA98">
            <w:pPr>
              <w:ind w:left="0" w:firstLine="0" w:firstLineChars="0"/>
              <w:rPr>
                <w:rFonts w:ascii="宋体" w:hAnsi="宋体"/>
                <w:szCs w:val="21"/>
                <w:highlight w:val="none"/>
              </w:rPr>
            </w:pPr>
            <w:r>
              <w:rPr>
                <w:rFonts w:ascii="宋体" w:hAnsi="宋体"/>
                <w:szCs w:val="21"/>
                <w:highlight w:val="none"/>
              </w:rPr>
              <w:t>交付成果质量</w:t>
            </w:r>
          </w:p>
        </w:tc>
        <w:tc>
          <w:tcPr>
            <w:tcW w:w="2550" w:type="dxa"/>
            <w:tcBorders>
              <w:tl2br w:val="nil"/>
              <w:tr2bl w:val="nil"/>
            </w:tcBorders>
            <w:shd w:val="clear" w:color="auto" w:fill="auto"/>
            <w:vAlign w:val="center"/>
          </w:tcPr>
          <w:p w14:paraId="7CFF1AF3">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所提交的项目交付成果与</w:t>
            </w:r>
            <w:r>
              <w:rPr>
                <w:rFonts w:hint="eastAsia" w:ascii="宋体" w:hAnsi="宋体"/>
                <w:szCs w:val="21"/>
                <w:highlight w:val="none"/>
              </w:rPr>
              <w:t>甲方</w:t>
            </w:r>
            <w:r>
              <w:rPr>
                <w:rFonts w:ascii="宋体" w:hAnsi="宋体"/>
                <w:szCs w:val="21"/>
                <w:highlight w:val="none"/>
              </w:rPr>
              <w:t>要求的项目交付成果的契合度或交付成果质量与合同所约定要求的项目交付成果质量的满足程度</w:t>
            </w:r>
          </w:p>
        </w:tc>
        <w:tc>
          <w:tcPr>
            <w:tcW w:w="3447" w:type="dxa"/>
            <w:tcBorders>
              <w:tl2br w:val="nil"/>
              <w:tr2bl w:val="nil"/>
            </w:tcBorders>
            <w:shd w:val="clear" w:color="auto" w:fill="auto"/>
            <w:vAlign w:val="center"/>
          </w:tcPr>
          <w:p w14:paraId="03590DCE">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3E930C95">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能够快速响应需求，交付成果达到合同约定的预期目标，基本契合需求，满足合同约定的预期目标</w:t>
            </w:r>
            <w:r>
              <w:rPr>
                <w:rFonts w:hint="eastAsia" w:ascii="宋体" w:hAnsi="宋体"/>
                <w:szCs w:val="21"/>
                <w:highlight w:val="none"/>
              </w:rPr>
              <w:t>；</w:t>
            </w:r>
          </w:p>
          <w:p w14:paraId="1916A972">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能够按要求响应需求，交付成果</w:t>
            </w:r>
            <w:r>
              <w:rPr>
                <w:rFonts w:hint="eastAsia" w:ascii="宋体" w:hAnsi="宋体"/>
                <w:szCs w:val="21"/>
                <w:highlight w:val="none"/>
              </w:rPr>
              <w:t>基本满足</w:t>
            </w:r>
            <w:r>
              <w:rPr>
                <w:rFonts w:ascii="宋体" w:hAnsi="宋体"/>
                <w:szCs w:val="21"/>
                <w:highlight w:val="none"/>
              </w:rPr>
              <w:t>需求，但是总体可满足合同约定的预期目标</w:t>
            </w:r>
            <w:r>
              <w:rPr>
                <w:rFonts w:hint="eastAsia" w:ascii="宋体" w:hAnsi="宋体"/>
                <w:szCs w:val="21"/>
                <w:highlight w:val="none"/>
              </w:rPr>
              <w:t>；</w:t>
            </w:r>
          </w:p>
          <w:p w14:paraId="07D8D58A">
            <w:pPr>
              <w:ind w:left="0" w:firstLine="0" w:firstLineChars="0"/>
              <w:rPr>
                <w:rFonts w:ascii="宋体" w:hAnsi="宋体"/>
                <w:b/>
                <w:bCs/>
                <w:szCs w:val="21"/>
                <w:highlight w:val="none"/>
              </w:rPr>
            </w:pPr>
            <w:r>
              <w:rPr>
                <w:rFonts w:hint="eastAsia" w:ascii="宋体" w:hAnsi="宋体"/>
                <w:b/>
                <w:bCs/>
                <w:szCs w:val="21"/>
                <w:highlight w:val="none"/>
              </w:rPr>
              <w:t>较差/差：0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乙方未</w:t>
            </w:r>
            <w:r>
              <w:rPr>
                <w:rFonts w:ascii="宋体" w:hAnsi="宋体"/>
                <w:szCs w:val="21"/>
                <w:highlight w:val="none"/>
              </w:rPr>
              <w:t>能够按要求响应需求，</w:t>
            </w:r>
            <w:r>
              <w:rPr>
                <w:rFonts w:hint="eastAsia" w:ascii="宋体" w:hAnsi="宋体"/>
                <w:szCs w:val="21"/>
                <w:highlight w:val="none"/>
              </w:rPr>
              <w:t>或</w:t>
            </w:r>
            <w:r>
              <w:rPr>
                <w:rFonts w:ascii="宋体" w:hAnsi="宋体"/>
                <w:szCs w:val="21"/>
                <w:highlight w:val="none"/>
              </w:rPr>
              <w:t>交付成果与需求</w:t>
            </w:r>
            <w:r>
              <w:rPr>
                <w:rFonts w:hint="eastAsia" w:ascii="宋体" w:hAnsi="宋体"/>
                <w:szCs w:val="21"/>
                <w:highlight w:val="none"/>
              </w:rPr>
              <w:t>契合度</w:t>
            </w:r>
            <w:r>
              <w:rPr>
                <w:rFonts w:ascii="宋体" w:hAnsi="宋体"/>
                <w:szCs w:val="21"/>
                <w:highlight w:val="none"/>
              </w:rPr>
              <w:t>差距较大，无法达到合同约定的预期目标</w:t>
            </w:r>
            <w:r>
              <w:rPr>
                <w:rFonts w:hint="eastAsia" w:ascii="宋体" w:hAnsi="宋体"/>
                <w:szCs w:val="21"/>
                <w:highlight w:val="none"/>
              </w:rPr>
              <w:t>。</w:t>
            </w:r>
          </w:p>
        </w:tc>
        <w:tc>
          <w:tcPr>
            <w:tcW w:w="2457" w:type="dxa"/>
            <w:tcBorders>
              <w:tl2br w:val="nil"/>
              <w:tr2bl w:val="nil"/>
            </w:tcBorders>
            <w:shd w:val="clear" w:color="auto" w:fill="auto"/>
            <w:vAlign w:val="center"/>
          </w:tcPr>
          <w:p w14:paraId="5CB007C6">
            <w:pPr>
              <w:ind w:left="0" w:firstLine="0" w:firstLineChars="0"/>
              <w:rPr>
                <w:rFonts w:ascii="宋体" w:hAnsi="宋体"/>
                <w:szCs w:val="21"/>
                <w:highlight w:val="none"/>
              </w:rPr>
            </w:pPr>
            <w:r>
              <w:rPr>
                <w:rFonts w:hint="eastAsia" w:ascii="宋体" w:hAnsi="宋体"/>
                <w:szCs w:val="21"/>
                <w:highlight w:val="none"/>
              </w:rPr>
              <w:t>交付物每缺少一项，或质量不合格且未按甲方要求立即整改的，扣除乙方金额人民币</w:t>
            </w:r>
            <w:r>
              <w:rPr>
                <w:rFonts w:ascii="宋体" w:hAnsi="宋体"/>
                <w:szCs w:val="21"/>
                <w:highlight w:val="none"/>
              </w:rPr>
              <w:t>5000</w:t>
            </w:r>
            <w:r>
              <w:rPr>
                <w:rFonts w:hint="eastAsia" w:ascii="宋体" w:hAnsi="宋体"/>
                <w:szCs w:val="21"/>
                <w:highlight w:val="none"/>
              </w:rPr>
              <w:t>元。</w:t>
            </w:r>
          </w:p>
        </w:tc>
      </w:tr>
      <w:tr w14:paraId="142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42D7EE39">
            <w:pPr>
              <w:ind w:left="0" w:firstLine="0" w:firstLineChars="0"/>
              <w:rPr>
                <w:rFonts w:ascii="宋体" w:hAnsi="宋体"/>
                <w:szCs w:val="21"/>
                <w:highlight w:val="none"/>
              </w:rPr>
            </w:pPr>
            <w:r>
              <w:rPr>
                <w:rFonts w:hint="eastAsia" w:ascii="宋体" w:hAnsi="宋体"/>
                <w:szCs w:val="21"/>
                <w:highlight w:val="none"/>
              </w:rPr>
              <w:t>2</w:t>
            </w:r>
          </w:p>
        </w:tc>
        <w:tc>
          <w:tcPr>
            <w:tcW w:w="1145" w:type="dxa"/>
            <w:vMerge w:val="continue"/>
            <w:tcBorders>
              <w:tl2br w:val="nil"/>
              <w:tr2bl w:val="nil"/>
            </w:tcBorders>
            <w:shd w:val="clear" w:color="auto" w:fill="auto"/>
          </w:tcPr>
          <w:p w14:paraId="43F8A7E5"/>
        </w:tc>
        <w:tc>
          <w:tcPr>
            <w:tcW w:w="1123" w:type="dxa"/>
            <w:tcBorders>
              <w:tl2br w:val="nil"/>
              <w:tr2bl w:val="nil"/>
            </w:tcBorders>
            <w:shd w:val="clear" w:color="auto" w:fill="auto"/>
            <w:vAlign w:val="center"/>
          </w:tcPr>
          <w:p w14:paraId="0A070F12">
            <w:pPr>
              <w:ind w:left="0" w:firstLine="0" w:firstLineChars="0"/>
              <w:rPr>
                <w:rFonts w:ascii="宋体" w:hAnsi="宋体"/>
                <w:szCs w:val="21"/>
                <w:highlight w:val="none"/>
              </w:rPr>
            </w:pPr>
            <w:r>
              <w:rPr>
                <w:rFonts w:ascii="宋体" w:hAnsi="宋体"/>
                <w:szCs w:val="21"/>
                <w:highlight w:val="none"/>
              </w:rPr>
              <w:t>成果交付延期情况</w:t>
            </w:r>
          </w:p>
        </w:tc>
        <w:tc>
          <w:tcPr>
            <w:tcW w:w="2550" w:type="dxa"/>
            <w:tcBorders>
              <w:tl2br w:val="nil"/>
              <w:tr2bl w:val="nil"/>
            </w:tcBorders>
            <w:shd w:val="clear" w:color="auto" w:fill="auto"/>
            <w:vAlign w:val="center"/>
          </w:tcPr>
          <w:p w14:paraId="2ACCD1D9">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因乙方原因导致</w:t>
            </w:r>
            <w:r>
              <w:rPr>
                <w:rFonts w:ascii="宋体" w:hAnsi="宋体"/>
                <w:szCs w:val="21"/>
                <w:highlight w:val="none"/>
              </w:rPr>
              <w:t>项目交付成果时间与合同规定时间之间的差距</w:t>
            </w:r>
          </w:p>
        </w:tc>
        <w:tc>
          <w:tcPr>
            <w:tcW w:w="3447" w:type="dxa"/>
            <w:tcBorders>
              <w:tl2br w:val="nil"/>
              <w:tr2bl w:val="nil"/>
            </w:tcBorders>
            <w:shd w:val="clear" w:color="auto" w:fill="auto"/>
            <w:vAlign w:val="center"/>
          </w:tcPr>
          <w:p w14:paraId="45FA1E50">
            <w:pPr>
              <w:ind w:left="0" w:firstLine="0" w:firstLineChars="0"/>
              <w:rPr>
                <w:rFonts w:ascii="宋体" w:hAnsi="宋体"/>
                <w:szCs w:val="21"/>
                <w:highlight w:val="none"/>
              </w:rPr>
            </w:pPr>
            <w:r>
              <w:rPr>
                <w:rFonts w:hint="eastAsia" w:ascii="宋体" w:hAnsi="宋体"/>
                <w:szCs w:val="21"/>
                <w:highlight w:val="none"/>
              </w:rPr>
              <w:t>实</w:t>
            </w:r>
            <w:r>
              <w:rPr>
                <w:rFonts w:ascii="宋体" w:hAnsi="宋体"/>
                <w:szCs w:val="21"/>
                <w:highlight w:val="none"/>
              </w:rPr>
              <w:t>际交付成果日期与合同约定交付日期之差</w:t>
            </w:r>
          </w:p>
          <w:p w14:paraId="412D1F8C">
            <w:pPr>
              <w:ind w:left="0" w:firstLine="0" w:firstLineChars="0"/>
              <w:rPr>
                <w:rFonts w:ascii="宋体" w:hAnsi="宋体"/>
                <w:szCs w:val="21"/>
                <w:highlight w:val="none"/>
              </w:rPr>
            </w:pPr>
            <w:r>
              <w:rPr>
                <w:rFonts w:hint="eastAsia" w:ascii="宋体" w:hAnsi="宋体"/>
                <w:b/>
                <w:bCs/>
                <w:szCs w:val="21"/>
                <w:highlight w:val="none"/>
              </w:rPr>
              <w:t>【得分上限5分】</w:t>
            </w:r>
          </w:p>
          <w:p w14:paraId="4E9520D0">
            <w:pPr>
              <w:ind w:left="0" w:firstLine="0" w:firstLineChars="0"/>
              <w:rPr>
                <w:rFonts w:ascii="宋体" w:hAnsi="宋体"/>
                <w:szCs w:val="21"/>
                <w:highlight w:val="none"/>
              </w:rPr>
            </w:pPr>
            <w:r>
              <w:rPr>
                <w:rFonts w:hint="eastAsia" w:ascii="宋体" w:hAnsi="宋体"/>
                <w:b/>
                <w:bCs/>
                <w:szCs w:val="21"/>
                <w:highlight w:val="none"/>
              </w:rPr>
              <w:t>无延期：</w:t>
            </w:r>
            <w:r>
              <w:rPr>
                <w:rFonts w:hint="eastAsia" w:ascii="宋体" w:hAnsi="宋体"/>
                <w:szCs w:val="21"/>
                <w:highlight w:val="none"/>
              </w:rPr>
              <w:t>指未出现延期，该项指标满分；</w:t>
            </w:r>
          </w:p>
          <w:p w14:paraId="1533555A">
            <w:pPr>
              <w:ind w:left="0" w:firstLine="0" w:firstLineChars="0"/>
              <w:rPr>
                <w:rFonts w:ascii="宋体" w:hAnsi="宋体"/>
                <w:szCs w:val="21"/>
                <w:highlight w:val="none"/>
              </w:rPr>
            </w:pPr>
            <w:r>
              <w:rPr>
                <w:rFonts w:hint="eastAsia" w:ascii="宋体" w:hAnsi="宋体"/>
                <w:b/>
                <w:bCs/>
                <w:szCs w:val="21"/>
                <w:highlight w:val="none"/>
              </w:rPr>
              <w:t>0＜延期≤</w:t>
            </w:r>
            <w:r>
              <w:rPr>
                <w:rFonts w:ascii="宋体" w:hAnsi="宋体"/>
                <w:b/>
                <w:bCs/>
                <w:szCs w:val="21"/>
                <w:highlight w:val="none"/>
              </w:rPr>
              <w:t>1</w:t>
            </w:r>
            <w:r>
              <w:rPr>
                <w:rFonts w:hint="eastAsia" w:ascii="宋体" w:hAnsi="宋体"/>
                <w:b/>
                <w:bCs/>
                <w:szCs w:val="21"/>
                <w:highlight w:val="none"/>
              </w:rPr>
              <w:t>个月：</w:t>
            </w:r>
            <w:r>
              <w:rPr>
                <w:rFonts w:hint="eastAsia" w:ascii="宋体" w:hAnsi="宋体"/>
                <w:szCs w:val="21"/>
                <w:highlight w:val="none"/>
              </w:rPr>
              <w:t>扣2分，指出现延期</w:t>
            </w:r>
            <w:r>
              <w:rPr>
                <w:rFonts w:ascii="宋体" w:hAnsi="宋体"/>
                <w:szCs w:val="21"/>
                <w:highlight w:val="none"/>
              </w:rPr>
              <w:t>1</w:t>
            </w:r>
            <w:r>
              <w:rPr>
                <w:rFonts w:hint="eastAsia" w:ascii="宋体" w:hAnsi="宋体"/>
                <w:szCs w:val="21"/>
                <w:highlight w:val="none"/>
              </w:rPr>
              <w:t>个月</w:t>
            </w:r>
            <w:r>
              <w:rPr>
                <w:rFonts w:ascii="宋体" w:hAnsi="宋体"/>
                <w:szCs w:val="21"/>
                <w:highlight w:val="none"/>
              </w:rPr>
              <w:t>（含）</w:t>
            </w:r>
            <w:r>
              <w:rPr>
                <w:rFonts w:hint="eastAsia" w:ascii="宋体" w:hAnsi="宋体"/>
                <w:szCs w:val="21"/>
                <w:highlight w:val="none"/>
              </w:rPr>
              <w:t>以内；</w:t>
            </w:r>
          </w:p>
          <w:p w14:paraId="236274AF">
            <w:pPr>
              <w:ind w:left="0" w:firstLine="0" w:firstLineChars="0"/>
              <w:rPr>
                <w:rFonts w:ascii="宋体" w:hAnsi="宋体"/>
                <w:szCs w:val="21"/>
                <w:highlight w:val="none"/>
              </w:rPr>
            </w:pPr>
            <w:r>
              <w:rPr>
                <w:rFonts w:ascii="宋体" w:hAnsi="宋体"/>
                <w:b/>
                <w:bCs/>
                <w:szCs w:val="21"/>
                <w:highlight w:val="none"/>
              </w:rPr>
              <w:t>1</w:t>
            </w: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w:t>
            </w:r>
            <w:r>
              <w:rPr>
                <w:rFonts w:hint="eastAsia" w:ascii="宋体" w:hAnsi="宋体"/>
                <w:szCs w:val="21"/>
                <w:highlight w:val="none"/>
              </w:rPr>
              <w:t>扣3分，指出现延期大于</w:t>
            </w:r>
            <w:r>
              <w:rPr>
                <w:rFonts w:ascii="宋体" w:hAnsi="宋体"/>
                <w:szCs w:val="21"/>
                <w:highlight w:val="none"/>
              </w:rPr>
              <w:t>1</w:t>
            </w:r>
            <w:r>
              <w:rPr>
                <w:rFonts w:hint="eastAsia" w:ascii="宋体" w:hAnsi="宋体"/>
                <w:szCs w:val="21"/>
                <w:highlight w:val="none"/>
              </w:rPr>
              <w:t>个月且小于等于</w:t>
            </w:r>
            <w:r>
              <w:rPr>
                <w:rFonts w:ascii="宋体" w:hAnsi="宋体"/>
                <w:szCs w:val="21"/>
                <w:highlight w:val="none"/>
              </w:rPr>
              <w:t>3</w:t>
            </w:r>
            <w:r>
              <w:rPr>
                <w:rFonts w:hint="eastAsia" w:ascii="宋体" w:hAnsi="宋体"/>
                <w:szCs w:val="21"/>
                <w:highlight w:val="none"/>
              </w:rPr>
              <w:t>个月；</w:t>
            </w:r>
          </w:p>
          <w:p w14:paraId="516AF783">
            <w:pPr>
              <w:ind w:left="0" w:firstLine="0" w:firstLineChars="0"/>
              <w:rPr>
                <w:rFonts w:ascii="宋体" w:hAnsi="宋体"/>
                <w:b/>
                <w:bCs/>
                <w:szCs w:val="21"/>
                <w:highlight w:val="none"/>
              </w:rPr>
            </w:pP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个月以上：</w:t>
            </w:r>
            <w:r>
              <w:rPr>
                <w:rFonts w:hint="eastAsia" w:ascii="宋体" w:hAnsi="宋体"/>
                <w:szCs w:val="21"/>
                <w:highlight w:val="none"/>
              </w:rPr>
              <w:t>扣5分，指出现延期</w:t>
            </w:r>
            <w:r>
              <w:rPr>
                <w:rFonts w:ascii="宋体" w:hAnsi="宋体"/>
                <w:szCs w:val="21"/>
                <w:highlight w:val="none"/>
              </w:rPr>
              <w:t>3</w:t>
            </w:r>
            <w:r>
              <w:rPr>
                <w:rFonts w:hint="eastAsia" w:ascii="宋体" w:hAnsi="宋体"/>
                <w:szCs w:val="21"/>
                <w:highlight w:val="none"/>
              </w:rPr>
              <w:t>个月以上。</w:t>
            </w:r>
          </w:p>
        </w:tc>
        <w:tc>
          <w:tcPr>
            <w:tcW w:w="2457" w:type="dxa"/>
            <w:tcBorders>
              <w:tl2br w:val="nil"/>
              <w:tr2bl w:val="nil"/>
            </w:tcBorders>
            <w:shd w:val="clear" w:color="auto" w:fill="auto"/>
            <w:vAlign w:val="center"/>
          </w:tcPr>
          <w:p w14:paraId="14EAF916">
            <w:pPr>
              <w:ind w:left="0" w:firstLine="0" w:firstLineChars="0"/>
              <w:rPr>
                <w:rFonts w:ascii="宋体" w:hAnsi="宋体"/>
                <w:szCs w:val="21"/>
                <w:highlight w:val="none"/>
              </w:rPr>
            </w:pPr>
            <w:r>
              <w:rPr>
                <w:rFonts w:ascii="宋体" w:hAnsi="宋体"/>
                <w:szCs w:val="21"/>
                <w:highlight w:val="none"/>
              </w:rPr>
              <w:t>若延迟超过1天，</w:t>
            </w:r>
            <w:r>
              <w:rPr>
                <w:rFonts w:hint="eastAsia" w:ascii="宋体" w:hAnsi="宋体"/>
                <w:szCs w:val="21"/>
                <w:highlight w:val="none"/>
              </w:rPr>
              <w:t>每延期增加一天扣除合同总金额的0.</w:t>
            </w:r>
            <w:r>
              <w:rPr>
                <w:rFonts w:ascii="宋体" w:hAnsi="宋体"/>
                <w:szCs w:val="21"/>
                <w:highlight w:val="none"/>
              </w:rPr>
              <w:t>5</w:t>
            </w:r>
            <w:r>
              <w:rPr>
                <w:rFonts w:hint="eastAsia" w:ascii="宋体" w:hAnsi="宋体"/>
                <w:szCs w:val="21"/>
                <w:highlight w:val="none"/>
              </w:rPr>
              <w:t>%</w:t>
            </w:r>
            <w:r>
              <w:rPr>
                <w:rFonts w:ascii="宋体" w:hAnsi="宋体"/>
                <w:szCs w:val="21"/>
                <w:highlight w:val="none"/>
              </w:rPr>
              <w:t>；</w:t>
            </w:r>
          </w:p>
          <w:p w14:paraId="50F223A5">
            <w:pPr>
              <w:ind w:left="0" w:firstLine="0" w:firstLineChars="0"/>
              <w:rPr>
                <w:rFonts w:ascii="宋体" w:hAnsi="宋体"/>
                <w:szCs w:val="21"/>
                <w:highlight w:val="none"/>
              </w:rPr>
            </w:pPr>
            <w:r>
              <w:rPr>
                <w:rFonts w:hint="eastAsia" w:ascii="宋体" w:hAnsi="宋体"/>
                <w:szCs w:val="21"/>
                <w:highlight w:val="none"/>
              </w:rPr>
              <w:t>若延期超过1个月，每延期增加一天扣除合同总金额的</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p>
          <w:p w14:paraId="34ACB203">
            <w:pPr>
              <w:ind w:left="0" w:firstLine="0" w:firstLineChars="0"/>
              <w:rPr>
                <w:rFonts w:ascii="宋体" w:hAnsi="宋体"/>
                <w:b/>
                <w:bCs/>
                <w:szCs w:val="21"/>
                <w:highlight w:val="none"/>
              </w:rPr>
            </w:pPr>
            <w:r>
              <w:rPr>
                <w:rFonts w:hint="eastAsia" w:ascii="宋体" w:hAnsi="宋体"/>
                <w:szCs w:val="21"/>
                <w:highlight w:val="none"/>
              </w:rPr>
              <w:t>若延期超过</w:t>
            </w:r>
            <w:r>
              <w:rPr>
                <w:rFonts w:ascii="宋体" w:hAnsi="宋体"/>
                <w:szCs w:val="21"/>
                <w:highlight w:val="none"/>
              </w:rPr>
              <w:t>3</w:t>
            </w:r>
            <w:r>
              <w:rPr>
                <w:rFonts w:hint="eastAsia" w:ascii="宋体" w:hAnsi="宋体"/>
                <w:szCs w:val="21"/>
                <w:highlight w:val="none"/>
              </w:rPr>
              <w:t>个月，每延期增加一天扣除合同总金额的</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p>
        </w:tc>
      </w:tr>
      <w:tr w14:paraId="5C4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790C4727">
            <w:pPr>
              <w:ind w:left="0" w:firstLine="0" w:firstLineChars="0"/>
              <w:rPr>
                <w:rFonts w:ascii="宋体" w:hAnsi="宋体"/>
                <w:szCs w:val="21"/>
                <w:highlight w:val="none"/>
              </w:rPr>
            </w:pPr>
            <w:r>
              <w:rPr>
                <w:rFonts w:hint="eastAsia" w:ascii="宋体" w:hAnsi="宋体"/>
                <w:szCs w:val="21"/>
                <w:highlight w:val="none"/>
              </w:rPr>
              <w:t>3</w:t>
            </w:r>
          </w:p>
        </w:tc>
        <w:tc>
          <w:tcPr>
            <w:tcW w:w="1145" w:type="dxa"/>
            <w:vMerge w:val="continue"/>
            <w:tcBorders>
              <w:tl2br w:val="nil"/>
              <w:tr2bl w:val="nil"/>
            </w:tcBorders>
            <w:shd w:val="clear" w:color="auto" w:fill="auto"/>
          </w:tcPr>
          <w:p w14:paraId="069BB2F5"/>
        </w:tc>
        <w:tc>
          <w:tcPr>
            <w:tcW w:w="1123" w:type="dxa"/>
            <w:tcBorders>
              <w:tl2br w:val="nil"/>
              <w:tr2bl w:val="nil"/>
            </w:tcBorders>
            <w:shd w:val="clear" w:color="auto" w:fill="auto"/>
            <w:vAlign w:val="center"/>
          </w:tcPr>
          <w:p w14:paraId="7E68062B">
            <w:pPr>
              <w:ind w:left="0" w:firstLine="0" w:firstLineChars="0"/>
              <w:rPr>
                <w:rFonts w:ascii="宋体" w:hAnsi="宋体"/>
                <w:szCs w:val="21"/>
                <w:highlight w:val="none"/>
              </w:rPr>
            </w:pP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、月度现场服务沟通和技术交流、</w:t>
            </w:r>
            <w:r>
              <w:rPr>
                <w:rFonts w:hint="eastAsia" w:ascii="宋体" w:hAnsi="宋体"/>
                <w:szCs w:val="21"/>
                <w:highlight w:val="none"/>
              </w:rPr>
              <w:t>协助服务情况</w:t>
            </w:r>
          </w:p>
        </w:tc>
        <w:tc>
          <w:tcPr>
            <w:tcW w:w="2550" w:type="dxa"/>
            <w:tcBorders>
              <w:tl2br w:val="nil"/>
              <w:tr2bl w:val="nil"/>
            </w:tcBorders>
            <w:shd w:val="clear" w:color="auto" w:fill="auto"/>
            <w:vAlign w:val="center"/>
          </w:tcPr>
          <w:p w14:paraId="3FEBBB6E">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w:t>
            </w:r>
            <w:r>
              <w:rPr>
                <w:rFonts w:hint="eastAsia" w:ascii="宋体" w:hAnsi="宋体"/>
                <w:szCs w:val="21"/>
                <w:highlight w:val="none"/>
              </w:rPr>
              <w:t>乙方</w:t>
            </w:r>
            <w:r>
              <w:rPr>
                <w:rFonts w:ascii="宋体" w:hAnsi="宋体"/>
                <w:szCs w:val="21"/>
                <w:highlight w:val="none"/>
              </w:rPr>
              <w:t>季度巡检服务、月度现场服务沟通和技术交流、</w:t>
            </w:r>
            <w:r>
              <w:rPr>
                <w:rFonts w:hint="eastAsia" w:ascii="宋体" w:hAnsi="宋体"/>
                <w:szCs w:val="21"/>
                <w:highlight w:val="none"/>
              </w:rPr>
              <w:t>发现已经存在的故障</w:t>
            </w:r>
            <w:r>
              <w:rPr>
                <w:rFonts w:ascii="宋体" w:hAnsi="宋体"/>
                <w:szCs w:val="21"/>
                <w:highlight w:val="none"/>
              </w:rPr>
              <w:t>等工作完成情况</w:t>
            </w:r>
          </w:p>
        </w:tc>
        <w:tc>
          <w:tcPr>
            <w:tcW w:w="3447" w:type="dxa"/>
            <w:tcBorders>
              <w:tl2br w:val="nil"/>
              <w:tr2bl w:val="nil"/>
            </w:tcBorders>
            <w:shd w:val="clear" w:color="auto" w:fill="auto"/>
            <w:vAlign w:val="center"/>
          </w:tcPr>
          <w:p w14:paraId="3D91BED8">
            <w:pPr>
              <w:ind w:left="0" w:firstLine="0" w:firstLineChars="0"/>
              <w:rPr>
                <w:rFonts w:ascii="宋体" w:hAnsi="宋体"/>
                <w:b/>
                <w:bCs/>
                <w:szCs w:val="21"/>
                <w:highlight w:val="none"/>
              </w:rPr>
            </w:pPr>
            <w:r>
              <w:rPr>
                <w:rFonts w:hint="eastAsia" w:ascii="宋体" w:hAnsi="宋体"/>
                <w:b/>
                <w:bCs/>
                <w:szCs w:val="21"/>
                <w:highlight w:val="none"/>
              </w:rPr>
              <w:t>【得分上限</w:t>
            </w:r>
            <w:r>
              <w:rPr>
                <w:rFonts w:ascii="宋体" w:hAnsi="宋体"/>
                <w:b/>
                <w:bCs/>
                <w:szCs w:val="21"/>
                <w:highlight w:val="none"/>
              </w:rPr>
              <w:t>2</w:t>
            </w:r>
            <w:r>
              <w:rPr>
                <w:rFonts w:hint="eastAsia" w:ascii="宋体" w:hAnsi="宋体"/>
                <w:b/>
                <w:bCs/>
                <w:szCs w:val="21"/>
                <w:highlight w:val="none"/>
              </w:rPr>
              <w:t>0分】</w:t>
            </w:r>
          </w:p>
          <w:p w14:paraId="13E540DA">
            <w:pPr>
              <w:ind w:left="0" w:firstLine="0" w:firstLineChars="0"/>
              <w:rPr>
                <w:rFonts w:ascii="宋体" w:hAnsi="宋体"/>
                <w:szCs w:val="21"/>
                <w:highlight w:val="none"/>
              </w:rPr>
            </w:pPr>
            <w:r>
              <w:rPr>
                <w:rFonts w:hint="eastAsia" w:ascii="宋体" w:hAnsi="宋体"/>
                <w:b/>
                <w:bCs/>
                <w:szCs w:val="21"/>
                <w:highlight w:val="none"/>
              </w:rPr>
              <w:t>0次：</w:t>
            </w:r>
            <w:r>
              <w:rPr>
                <w:rFonts w:hint="eastAsia" w:ascii="宋体" w:hAnsi="宋体"/>
                <w:szCs w:val="21"/>
                <w:highlight w:val="none"/>
              </w:rPr>
              <w:t>指乙方未出现缺少</w:t>
            </w: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、未出现缺少月度现场服务沟通和技术交流</w:t>
            </w:r>
            <w:r>
              <w:rPr>
                <w:rFonts w:hint="eastAsia" w:ascii="宋体" w:hAnsi="宋体"/>
                <w:szCs w:val="21"/>
                <w:highlight w:val="none"/>
              </w:rPr>
              <w:t>及</w:t>
            </w:r>
            <w:r>
              <w:rPr>
                <w:rFonts w:ascii="宋体" w:hAnsi="宋体"/>
                <w:szCs w:val="21"/>
                <w:highlight w:val="none"/>
              </w:rPr>
              <w:t>未出现缺少</w:t>
            </w:r>
            <w:r>
              <w:rPr>
                <w:rFonts w:hint="eastAsia" w:ascii="宋体" w:hAnsi="宋体"/>
                <w:szCs w:val="21"/>
                <w:highlight w:val="none"/>
              </w:rPr>
              <w:t>协助服务，该项指标满分；</w:t>
            </w:r>
          </w:p>
          <w:p w14:paraId="25E94864">
            <w:pPr>
              <w:ind w:left="0" w:firstLine="0" w:firstLineChars="0"/>
              <w:rPr>
                <w:rFonts w:ascii="宋体" w:hAnsi="宋体"/>
                <w:szCs w:val="21"/>
                <w:highlight w:val="none"/>
              </w:rPr>
            </w:pPr>
            <w:r>
              <w:rPr>
                <w:rFonts w:hint="eastAsia" w:ascii="宋体" w:hAnsi="宋体"/>
                <w:b/>
                <w:bCs/>
                <w:szCs w:val="21"/>
                <w:highlight w:val="none"/>
              </w:rPr>
              <w:t>1次</w:t>
            </w:r>
            <w:r>
              <w:rPr>
                <w:rFonts w:ascii="宋体" w:hAnsi="宋体"/>
                <w:b/>
                <w:bCs/>
                <w:szCs w:val="21"/>
                <w:highlight w:val="none"/>
              </w:rPr>
              <w:t>或</w:t>
            </w:r>
            <w:r>
              <w:rPr>
                <w:rFonts w:hint="eastAsia" w:ascii="宋体" w:hAnsi="宋体"/>
                <w:b/>
                <w:bCs/>
                <w:szCs w:val="21"/>
                <w:highlight w:val="none"/>
              </w:rPr>
              <w:t>以上：</w:t>
            </w:r>
            <w:r>
              <w:rPr>
                <w:rFonts w:hint="eastAsia" w:ascii="宋体" w:hAnsi="宋体"/>
                <w:szCs w:val="21"/>
                <w:highlight w:val="none"/>
              </w:rPr>
              <w:t>指乙方出现</w:t>
            </w:r>
            <w:r>
              <w:rPr>
                <w:rFonts w:ascii="宋体" w:hAnsi="宋体"/>
                <w:szCs w:val="21"/>
                <w:highlight w:val="none"/>
              </w:rPr>
              <w:t>缺少季度</w:t>
            </w:r>
            <w:r>
              <w:rPr>
                <w:rFonts w:hint="eastAsia" w:ascii="宋体" w:hAnsi="宋体"/>
                <w:szCs w:val="21"/>
                <w:highlight w:val="none"/>
              </w:rPr>
              <w:t>巡检</w:t>
            </w:r>
            <w:r>
              <w:rPr>
                <w:rFonts w:ascii="宋体" w:hAnsi="宋体"/>
                <w:szCs w:val="21"/>
                <w:highlight w:val="none"/>
              </w:rPr>
              <w:t>或月度现场服务沟通和技术交流</w:t>
            </w:r>
            <w:r>
              <w:rPr>
                <w:rFonts w:hint="eastAsia" w:ascii="宋体" w:hAnsi="宋体"/>
                <w:szCs w:val="21"/>
                <w:highlight w:val="none"/>
              </w:rPr>
              <w:t>或协助服务</w:t>
            </w:r>
            <w:r>
              <w:rPr>
                <w:rFonts w:ascii="宋体" w:hAnsi="宋体"/>
                <w:szCs w:val="21"/>
                <w:highlight w:val="none"/>
              </w:rPr>
              <w:t>1次或以上</w:t>
            </w:r>
            <w:r>
              <w:rPr>
                <w:rFonts w:hint="eastAsia" w:ascii="宋体" w:hAnsi="宋体"/>
                <w:szCs w:val="21"/>
                <w:highlight w:val="none"/>
              </w:rPr>
              <w:t>，</w:t>
            </w:r>
            <w:r>
              <w:rPr>
                <w:rFonts w:ascii="宋体" w:hAnsi="宋体"/>
                <w:szCs w:val="21"/>
                <w:highlight w:val="none"/>
              </w:rPr>
              <w:t>每出现1次</w:t>
            </w:r>
            <w:r>
              <w:rPr>
                <w:rFonts w:hint="eastAsia" w:ascii="宋体" w:hAnsi="宋体"/>
                <w:szCs w:val="21"/>
                <w:highlight w:val="none"/>
              </w:rPr>
              <w:t>扣5分，最多扣</w:t>
            </w:r>
            <w:r>
              <w:rPr>
                <w:rFonts w:ascii="宋体" w:hAnsi="宋体"/>
                <w:szCs w:val="21"/>
                <w:highlight w:val="none"/>
              </w:rPr>
              <w:t>2</w:t>
            </w:r>
            <w:r>
              <w:rPr>
                <w:rFonts w:hint="eastAsia" w:ascii="宋体" w:hAnsi="宋体"/>
                <w:szCs w:val="21"/>
                <w:highlight w:val="none"/>
              </w:rPr>
              <w:t>0分。</w:t>
            </w:r>
          </w:p>
        </w:tc>
        <w:tc>
          <w:tcPr>
            <w:tcW w:w="2457" w:type="dxa"/>
            <w:tcBorders>
              <w:tl2br w:val="nil"/>
              <w:tr2bl w:val="nil"/>
            </w:tcBorders>
            <w:shd w:val="clear" w:color="auto" w:fill="auto"/>
            <w:vAlign w:val="center"/>
          </w:tcPr>
          <w:p w14:paraId="64FE55DA">
            <w:pPr>
              <w:ind w:left="0" w:firstLine="0" w:firstLineChars="0"/>
              <w:rPr>
                <w:rFonts w:ascii="宋体" w:hAnsi="宋体"/>
                <w:szCs w:val="21"/>
                <w:highlight w:val="none"/>
              </w:rPr>
            </w:pPr>
            <w:r>
              <w:rPr>
                <w:rFonts w:hint="eastAsia" w:ascii="宋体" w:hAnsi="宋体"/>
                <w:szCs w:val="21"/>
                <w:highlight w:val="none"/>
              </w:rPr>
              <w:t>每缺少一次</w:t>
            </w:r>
            <w:r>
              <w:rPr>
                <w:rFonts w:ascii="宋体" w:hAnsi="宋体"/>
                <w:szCs w:val="21"/>
                <w:highlight w:val="none"/>
              </w:rPr>
              <w:t>季度</w:t>
            </w:r>
            <w:r>
              <w:rPr>
                <w:rFonts w:hint="eastAsia" w:ascii="宋体" w:hAnsi="宋体"/>
                <w:szCs w:val="21"/>
                <w:highlight w:val="none"/>
              </w:rPr>
              <w:t>巡检扣除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p w14:paraId="77ACC096">
            <w:pPr>
              <w:ind w:left="0" w:firstLine="0" w:firstLineChars="0"/>
              <w:rPr>
                <w:rFonts w:ascii="宋体" w:hAnsi="宋体"/>
                <w:szCs w:val="21"/>
                <w:highlight w:val="none"/>
              </w:rPr>
            </w:pPr>
            <w:r>
              <w:rPr>
                <w:rFonts w:ascii="宋体" w:hAnsi="宋体"/>
                <w:szCs w:val="21"/>
                <w:highlight w:val="none"/>
              </w:rPr>
              <w:t>每缺少一次月度现场服务沟通和技术交流扣除合同总金额的5%；</w:t>
            </w:r>
          </w:p>
          <w:p w14:paraId="387650AE">
            <w:pPr>
              <w:ind w:left="0" w:firstLine="0" w:firstLineChars="0"/>
              <w:rPr>
                <w:rFonts w:ascii="宋体" w:hAnsi="宋体"/>
                <w:szCs w:val="21"/>
                <w:highlight w:val="none"/>
              </w:rPr>
            </w:pPr>
            <w:r>
              <w:rPr>
                <w:rFonts w:hint="eastAsia" w:ascii="宋体" w:hAnsi="宋体"/>
                <w:szCs w:val="21"/>
                <w:highlight w:val="none"/>
              </w:rPr>
              <w:t>巡检中若未能及时发现已经存在的故障，</w:t>
            </w:r>
            <w:r>
              <w:rPr>
                <w:rFonts w:ascii="宋体" w:hAnsi="宋体"/>
                <w:szCs w:val="21"/>
                <w:highlight w:val="none"/>
              </w:rPr>
              <w:t>出现一次</w:t>
            </w:r>
            <w:r>
              <w:rPr>
                <w:rFonts w:hint="eastAsia" w:ascii="宋体" w:hAnsi="宋体"/>
                <w:szCs w:val="21"/>
                <w:highlight w:val="none"/>
              </w:rPr>
              <w:t>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tc>
      </w:tr>
      <w:tr w14:paraId="232E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1754F1B7">
            <w:pPr>
              <w:ind w:left="0" w:firstLine="0" w:firstLineChars="0"/>
              <w:rPr>
                <w:rFonts w:ascii="宋体" w:hAnsi="宋体"/>
                <w:szCs w:val="21"/>
                <w:highlight w:val="none"/>
              </w:rPr>
            </w:pPr>
            <w:r>
              <w:rPr>
                <w:rFonts w:hint="eastAsia" w:ascii="宋体" w:hAnsi="宋体"/>
                <w:szCs w:val="21"/>
                <w:highlight w:val="none"/>
              </w:rPr>
              <w:t>4</w:t>
            </w:r>
          </w:p>
        </w:tc>
        <w:tc>
          <w:tcPr>
            <w:tcW w:w="1145" w:type="dxa"/>
            <w:vMerge w:val="continue"/>
            <w:tcBorders>
              <w:tl2br w:val="nil"/>
              <w:tr2bl w:val="nil"/>
            </w:tcBorders>
            <w:shd w:val="clear" w:color="auto" w:fill="auto"/>
          </w:tcPr>
          <w:p w14:paraId="59EB28D5"/>
        </w:tc>
        <w:tc>
          <w:tcPr>
            <w:tcW w:w="1123" w:type="dxa"/>
            <w:tcBorders>
              <w:tl2br w:val="nil"/>
              <w:tr2bl w:val="nil"/>
            </w:tcBorders>
            <w:shd w:val="clear" w:color="auto" w:fill="auto"/>
            <w:vAlign w:val="center"/>
          </w:tcPr>
          <w:p w14:paraId="30A959F0">
            <w:pPr>
              <w:ind w:left="0" w:firstLine="0" w:firstLineChars="0"/>
              <w:rPr>
                <w:rFonts w:ascii="宋体" w:hAnsi="宋体"/>
                <w:szCs w:val="21"/>
                <w:highlight w:val="none"/>
              </w:rPr>
            </w:pPr>
            <w:r>
              <w:rPr>
                <w:rFonts w:hint="eastAsia" w:ascii="宋体" w:hAnsi="宋体"/>
                <w:szCs w:val="21"/>
                <w:highlight w:val="none"/>
              </w:rPr>
              <w:t>故障次数</w:t>
            </w:r>
          </w:p>
        </w:tc>
        <w:tc>
          <w:tcPr>
            <w:tcW w:w="2550" w:type="dxa"/>
            <w:tcBorders>
              <w:tl2br w:val="nil"/>
              <w:tr2bl w:val="nil"/>
            </w:tcBorders>
            <w:shd w:val="clear" w:color="auto" w:fill="auto"/>
            <w:vAlign w:val="center"/>
          </w:tcPr>
          <w:p w14:paraId="5A8D7573">
            <w:pPr>
              <w:ind w:left="0" w:firstLine="0" w:firstLineChars="0"/>
              <w:rPr>
                <w:rFonts w:ascii="宋体" w:hAnsi="宋体"/>
                <w:szCs w:val="21"/>
                <w:highlight w:val="none"/>
              </w:rPr>
            </w:pPr>
            <w:r>
              <w:rPr>
                <w:rFonts w:ascii="宋体" w:hAnsi="宋体"/>
                <w:szCs w:val="21"/>
                <w:highlight w:val="none"/>
              </w:rPr>
              <w:t>用于记录统计周期内</w:t>
            </w:r>
            <w:r>
              <w:rPr>
                <w:rFonts w:hint="eastAsia" w:ascii="宋体" w:hAnsi="宋体"/>
                <w:szCs w:val="21"/>
                <w:highlight w:val="none"/>
              </w:rPr>
              <w:t>因乙方原因导致运维系统出现故障的次数</w:t>
            </w:r>
          </w:p>
        </w:tc>
        <w:tc>
          <w:tcPr>
            <w:tcW w:w="3447" w:type="dxa"/>
            <w:tcBorders>
              <w:tl2br w:val="nil"/>
              <w:tr2bl w:val="nil"/>
            </w:tcBorders>
            <w:shd w:val="clear" w:color="auto" w:fill="auto"/>
            <w:vAlign w:val="center"/>
          </w:tcPr>
          <w:p w14:paraId="66D12A46">
            <w:pPr>
              <w:ind w:left="0" w:firstLine="0" w:firstLineChars="0"/>
              <w:rPr>
                <w:rFonts w:ascii="宋体" w:hAnsi="宋体"/>
                <w:b/>
                <w:bCs/>
                <w:szCs w:val="21"/>
                <w:highlight w:val="none"/>
              </w:rPr>
            </w:pPr>
            <w:r>
              <w:rPr>
                <w:rFonts w:hint="eastAsia" w:ascii="宋体" w:hAnsi="宋体"/>
                <w:b/>
                <w:bCs/>
                <w:szCs w:val="21"/>
                <w:highlight w:val="none"/>
              </w:rPr>
              <w:t>【得分上限10分】</w:t>
            </w:r>
          </w:p>
          <w:p w14:paraId="593B2E11">
            <w:pPr>
              <w:ind w:left="0" w:firstLine="0" w:firstLineChars="0"/>
              <w:rPr>
                <w:rFonts w:ascii="宋体" w:hAnsi="宋体"/>
                <w:b/>
                <w:szCs w:val="21"/>
                <w:highlight w:val="none"/>
              </w:rPr>
            </w:pPr>
            <w:r>
              <w:rPr>
                <w:rFonts w:hint="eastAsia" w:ascii="宋体" w:hAnsi="宋体"/>
                <w:b/>
                <w:szCs w:val="21"/>
                <w:highlight w:val="none"/>
              </w:rPr>
              <w:t>0次：</w:t>
            </w:r>
            <w:r>
              <w:rPr>
                <w:rFonts w:hint="eastAsia" w:ascii="宋体" w:hAnsi="宋体"/>
                <w:bCs/>
                <w:szCs w:val="21"/>
                <w:highlight w:val="none"/>
              </w:rPr>
              <w:t>指统计周期内未出现</w:t>
            </w:r>
            <w:r>
              <w:rPr>
                <w:rFonts w:ascii="宋体" w:hAnsi="宋体"/>
                <w:bCs/>
                <w:szCs w:val="21"/>
                <w:highlight w:val="none"/>
              </w:rPr>
              <w:t>因乙方原因导致的</w:t>
            </w:r>
            <w:r>
              <w:rPr>
                <w:rFonts w:hint="eastAsia" w:ascii="宋体" w:hAnsi="宋体"/>
                <w:szCs w:val="21"/>
                <w:highlight w:val="none"/>
              </w:rPr>
              <w:t>系统运行维护故障，该项指标满分；</w:t>
            </w:r>
          </w:p>
          <w:p w14:paraId="640C5F80">
            <w:pPr>
              <w:ind w:left="0" w:firstLine="0" w:firstLineChars="0"/>
              <w:rPr>
                <w:rFonts w:ascii="宋体" w:hAnsi="宋体"/>
                <w:b/>
                <w:szCs w:val="21"/>
                <w:highlight w:val="none"/>
              </w:rPr>
            </w:pPr>
            <w:r>
              <w:rPr>
                <w:rFonts w:ascii="宋体" w:hAnsi="宋体"/>
                <w:b/>
                <w:szCs w:val="21"/>
                <w:highlight w:val="none"/>
              </w:rPr>
              <w:t>1</w:t>
            </w:r>
            <w:r>
              <w:rPr>
                <w:rFonts w:hint="eastAsia" w:ascii="宋体" w:hAnsi="宋体"/>
                <w:b/>
                <w:szCs w:val="21"/>
                <w:highlight w:val="none"/>
              </w:rPr>
              <w:t>次</w:t>
            </w:r>
            <w:r>
              <w:rPr>
                <w:rFonts w:ascii="宋体" w:hAnsi="宋体"/>
                <w:b/>
                <w:szCs w:val="21"/>
                <w:highlight w:val="none"/>
              </w:rPr>
              <w:t>或</w:t>
            </w:r>
            <w:r>
              <w:rPr>
                <w:rFonts w:hint="eastAsia" w:ascii="宋体" w:hAnsi="宋体"/>
                <w:b/>
                <w:szCs w:val="21"/>
                <w:highlight w:val="none"/>
              </w:rPr>
              <w:t>以</w:t>
            </w:r>
            <w:r>
              <w:rPr>
                <w:rFonts w:ascii="宋体" w:hAnsi="宋体"/>
                <w:b/>
                <w:szCs w:val="21"/>
                <w:highlight w:val="none"/>
              </w:rPr>
              <w:t>上</w:t>
            </w:r>
            <w:r>
              <w:rPr>
                <w:rFonts w:hint="eastAsia" w:ascii="宋体" w:hAnsi="宋体"/>
                <w:b/>
                <w:szCs w:val="21"/>
                <w:highlight w:val="none"/>
              </w:rPr>
              <w:t>：</w:t>
            </w:r>
            <w:r>
              <w:rPr>
                <w:rFonts w:hint="eastAsia" w:ascii="宋体" w:hAnsi="宋体"/>
                <w:bCs/>
                <w:szCs w:val="21"/>
                <w:highlight w:val="none"/>
              </w:rPr>
              <w:t>指统计周期内</w:t>
            </w:r>
            <w:r>
              <w:rPr>
                <w:rFonts w:ascii="宋体" w:hAnsi="宋体"/>
                <w:bCs/>
                <w:szCs w:val="21"/>
                <w:highlight w:val="none"/>
              </w:rPr>
              <w:t>因乙方原因导致的</w:t>
            </w:r>
            <w:r>
              <w:rPr>
                <w:rFonts w:hint="eastAsia" w:ascii="宋体" w:hAnsi="宋体"/>
                <w:szCs w:val="21"/>
                <w:highlight w:val="none"/>
              </w:rPr>
              <w:t>系统运行维护故障</w:t>
            </w:r>
            <w:r>
              <w:rPr>
                <w:rFonts w:ascii="宋体" w:hAnsi="宋体"/>
                <w:szCs w:val="21"/>
                <w:highlight w:val="none"/>
              </w:rPr>
              <w:t>1次及以上，每发生一次扣除5分，最多扣10分。</w:t>
            </w:r>
          </w:p>
        </w:tc>
        <w:tc>
          <w:tcPr>
            <w:tcW w:w="2457" w:type="dxa"/>
            <w:tcBorders>
              <w:tl2br w:val="nil"/>
              <w:tr2bl w:val="nil"/>
            </w:tcBorders>
            <w:shd w:val="clear" w:color="auto" w:fill="auto"/>
            <w:vAlign w:val="center"/>
          </w:tcPr>
          <w:p w14:paraId="00A89693">
            <w:pPr>
              <w:ind w:left="0" w:firstLine="0" w:firstLineChars="0"/>
              <w:rPr>
                <w:rFonts w:ascii="宋体" w:hAnsi="宋体"/>
                <w:szCs w:val="21"/>
                <w:highlight w:val="none"/>
              </w:rPr>
            </w:pPr>
            <w:r>
              <w:rPr>
                <w:rFonts w:ascii="宋体" w:hAnsi="宋体"/>
                <w:bCs/>
                <w:szCs w:val="21"/>
                <w:highlight w:val="none"/>
              </w:rPr>
              <w:t>每出现一次因乙方原因导致的</w:t>
            </w:r>
            <w:r>
              <w:rPr>
                <w:rFonts w:hint="eastAsia" w:ascii="宋体" w:hAnsi="宋体"/>
                <w:szCs w:val="21"/>
                <w:highlight w:val="none"/>
              </w:rPr>
              <w:t>系统运行维护故障</w:t>
            </w:r>
            <w:r>
              <w:rPr>
                <w:rFonts w:ascii="宋体" w:hAnsi="宋体"/>
                <w:szCs w:val="21"/>
                <w:highlight w:val="none"/>
              </w:rPr>
              <w:t>扣除合同总金额的5%</w:t>
            </w:r>
            <w:r>
              <w:rPr>
                <w:rFonts w:hint="eastAsia" w:ascii="宋体" w:hAnsi="宋体"/>
                <w:szCs w:val="21"/>
                <w:highlight w:val="none"/>
              </w:rPr>
              <w:t>。</w:t>
            </w:r>
          </w:p>
        </w:tc>
      </w:tr>
      <w:tr w14:paraId="381C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224217A7">
            <w:pPr>
              <w:ind w:left="0" w:firstLine="0" w:firstLineChars="0"/>
              <w:rPr>
                <w:rFonts w:ascii="宋体" w:hAnsi="宋体"/>
                <w:szCs w:val="21"/>
                <w:highlight w:val="none"/>
              </w:rPr>
            </w:pPr>
            <w:r>
              <w:rPr>
                <w:rFonts w:ascii="宋体" w:hAnsi="宋体"/>
                <w:szCs w:val="21"/>
                <w:highlight w:val="none"/>
              </w:rPr>
              <w:t>5</w:t>
            </w:r>
          </w:p>
        </w:tc>
        <w:tc>
          <w:tcPr>
            <w:vMerge w:val="continue"/>
            <w:tcBorders>
              <w:tl2br w:val="nil"/>
              <w:tr2bl w:val="nil"/>
            </w:tcBorders>
            <w:shd w:val="clear" w:color="auto" w:fill="auto"/>
            <w:vAlign w:val="center"/>
          </w:tcPr>
          <w:p w14:paraId="552CE6F1"/>
        </w:tc>
        <w:tc>
          <w:tcPr>
            <w:tcW w:w="1123" w:type="dxa"/>
            <w:tcBorders>
              <w:tl2br w:val="nil"/>
              <w:tr2bl w:val="nil"/>
            </w:tcBorders>
            <w:shd w:val="clear" w:color="auto" w:fill="auto"/>
            <w:vAlign w:val="center"/>
          </w:tcPr>
          <w:p w14:paraId="30F0F8CA">
            <w:pPr>
              <w:ind w:left="0" w:firstLine="0" w:firstLineChars="0"/>
              <w:rPr>
                <w:rFonts w:ascii="宋体" w:hAnsi="宋体"/>
                <w:szCs w:val="21"/>
                <w:highlight w:val="none"/>
              </w:rPr>
            </w:pPr>
            <w:r>
              <w:rPr>
                <w:rFonts w:ascii="宋体" w:hAnsi="宋体"/>
                <w:szCs w:val="21"/>
                <w:highlight w:val="none"/>
              </w:rPr>
              <w:t>备件质量</w:t>
            </w:r>
          </w:p>
        </w:tc>
        <w:tc>
          <w:tcPr>
            <w:tcW w:w="2550" w:type="dxa"/>
            <w:tcBorders>
              <w:tl2br w:val="nil"/>
              <w:tr2bl w:val="nil"/>
            </w:tcBorders>
            <w:shd w:val="clear" w:color="auto" w:fill="auto"/>
            <w:vAlign w:val="center"/>
          </w:tcPr>
          <w:p w14:paraId="13B51809">
            <w:pPr>
              <w:ind w:left="0" w:firstLine="0" w:firstLineChars="0"/>
              <w:rPr>
                <w:rFonts w:ascii="宋体" w:hAnsi="宋体"/>
                <w:szCs w:val="21"/>
                <w:highlight w:val="none"/>
              </w:rPr>
            </w:pPr>
            <w:r>
              <w:rPr>
                <w:rFonts w:ascii="宋体" w:hAnsi="宋体"/>
                <w:szCs w:val="21"/>
                <w:highlight w:val="none"/>
              </w:rPr>
              <w:t>用于记录统计周期内乙方提供的备件质量情况</w:t>
            </w:r>
          </w:p>
        </w:tc>
        <w:tc>
          <w:tcPr>
            <w:tcW w:w="3447" w:type="dxa"/>
            <w:tcBorders>
              <w:tl2br w:val="nil"/>
              <w:tr2bl w:val="nil"/>
            </w:tcBorders>
            <w:shd w:val="clear" w:color="auto" w:fill="auto"/>
            <w:vAlign w:val="center"/>
          </w:tcPr>
          <w:p w14:paraId="177077FB">
            <w:pPr>
              <w:ind w:left="0" w:firstLine="0" w:firstLineChars="0"/>
              <w:rPr>
                <w:rFonts w:ascii="宋体" w:hAnsi="宋体"/>
                <w:bCs/>
                <w:szCs w:val="21"/>
                <w:highlight w:val="none"/>
              </w:rPr>
            </w:pPr>
            <w:r>
              <w:rPr>
                <w:rFonts w:ascii="宋体" w:hAnsi="宋体"/>
                <w:bCs/>
                <w:szCs w:val="21"/>
                <w:highlight w:val="none"/>
              </w:rPr>
              <w:t>故障处理过程中乙方提供的备件没有出现在3个月之内再次出现故障的情况。</w:t>
            </w:r>
          </w:p>
          <w:p w14:paraId="14426D13">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6E85900">
            <w:pPr>
              <w:ind w:left="0" w:firstLine="0" w:firstLineChars="0"/>
              <w:rPr>
                <w:rFonts w:ascii="宋体" w:hAnsi="宋体"/>
                <w:b/>
                <w:bCs/>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161F8BFC">
            <w:pPr>
              <w:ind w:left="0" w:firstLine="0" w:firstLineChars="0"/>
              <w:rPr>
                <w:rFonts w:ascii="宋体" w:hAnsi="宋体"/>
                <w:b/>
                <w:bCs/>
                <w:szCs w:val="21"/>
                <w:highlight w:val="none"/>
              </w:rPr>
            </w:pPr>
            <w:r>
              <w:rPr>
                <w:rFonts w:ascii="宋体" w:hAnsi="宋体"/>
                <w:bCs/>
                <w:szCs w:val="21"/>
                <w:highlight w:val="none"/>
              </w:rPr>
              <w:t>故障处理过程中乙方提供的备件在3个月之内再次出现故障的。每出现1次扣除合同总金额的5%。</w:t>
            </w:r>
          </w:p>
        </w:tc>
      </w:tr>
      <w:tr w14:paraId="543A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26D95472">
            <w:pPr>
              <w:ind w:left="0" w:firstLine="0" w:firstLineChars="0"/>
              <w:rPr>
                <w:rFonts w:ascii="宋体" w:hAnsi="宋体"/>
                <w:szCs w:val="21"/>
                <w:highlight w:val="none"/>
              </w:rPr>
            </w:pPr>
            <w:r>
              <w:rPr>
                <w:rFonts w:ascii="宋体" w:hAnsi="宋体"/>
                <w:szCs w:val="21"/>
                <w:highlight w:val="none"/>
              </w:rPr>
              <w:t>6</w:t>
            </w:r>
          </w:p>
        </w:tc>
        <w:tc>
          <w:tcPr>
            <w:tcW w:w="1145" w:type="dxa"/>
            <w:vMerge w:val="continue"/>
            <w:tcBorders>
              <w:tl2br w:val="nil"/>
              <w:tr2bl w:val="nil"/>
            </w:tcBorders>
            <w:shd w:val="clear" w:color="auto" w:fill="auto"/>
          </w:tcPr>
          <w:p w14:paraId="51FB92D8"/>
        </w:tc>
        <w:tc>
          <w:tcPr>
            <w:tcW w:w="1123" w:type="dxa"/>
            <w:tcBorders>
              <w:tl2br w:val="nil"/>
              <w:tr2bl w:val="nil"/>
            </w:tcBorders>
            <w:shd w:val="clear" w:color="auto" w:fill="auto"/>
            <w:vAlign w:val="center"/>
          </w:tcPr>
          <w:p w14:paraId="22D80097">
            <w:pPr>
              <w:ind w:left="0" w:firstLine="0" w:firstLineChars="0"/>
              <w:rPr>
                <w:rFonts w:ascii="宋体" w:hAnsi="宋体"/>
                <w:szCs w:val="21"/>
                <w:highlight w:val="none"/>
              </w:rPr>
            </w:pPr>
            <w:r>
              <w:rPr>
                <w:rFonts w:hint="eastAsia" w:ascii="宋体" w:hAnsi="宋体"/>
                <w:szCs w:val="21"/>
                <w:highlight w:val="none"/>
              </w:rPr>
              <w:t>故障解决率</w:t>
            </w:r>
          </w:p>
        </w:tc>
        <w:tc>
          <w:tcPr>
            <w:tcW w:w="2550" w:type="dxa"/>
            <w:tcBorders>
              <w:tl2br w:val="nil"/>
              <w:tr2bl w:val="nil"/>
            </w:tcBorders>
            <w:shd w:val="clear" w:color="auto" w:fill="auto"/>
            <w:vAlign w:val="center"/>
          </w:tcPr>
          <w:p w14:paraId="04B91080">
            <w:pPr>
              <w:ind w:left="0" w:firstLine="0" w:firstLineChars="0"/>
              <w:rPr>
                <w:rFonts w:ascii="宋体" w:hAnsi="宋体"/>
                <w:szCs w:val="21"/>
                <w:highlight w:val="none"/>
              </w:rPr>
            </w:pPr>
            <w:r>
              <w:rPr>
                <w:rFonts w:hint="eastAsia" w:ascii="宋体" w:hAnsi="宋体"/>
                <w:szCs w:val="21"/>
                <w:highlight w:val="none"/>
              </w:rPr>
              <w:t>用于记录当期采用根本解决方案已解决的信息系统运行维护故障数量，占当期发生的信息系统运行维护故障数量总数的比例</w:t>
            </w:r>
          </w:p>
        </w:tc>
        <w:tc>
          <w:tcPr>
            <w:tcW w:w="3447" w:type="dxa"/>
            <w:tcBorders>
              <w:tl2br w:val="nil"/>
              <w:tr2bl w:val="nil"/>
            </w:tcBorders>
            <w:shd w:val="clear" w:color="auto" w:fill="auto"/>
            <w:vAlign w:val="center"/>
          </w:tcPr>
          <w:p w14:paraId="66DB593D">
            <w:pPr>
              <w:ind w:left="0" w:firstLine="0" w:firstLineChars="0"/>
              <w:rPr>
                <w:rFonts w:ascii="宋体" w:hAnsi="宋体"/>
                <w:szCs w:val="21"/>
                <w:highlight w:val="none"/>
              </w:rPr>
            </w:pPr>
            <w:r>
              <w:rPr>
                <w:rFonts w:hint="eastAsia" w:ascii="宋体" w:hAnsi="宋体"/>
                <w:szCs w:val="21"/>
                <w:highlight w:val="none"/>
              </w:rPr>
              <w:t>故障解决率=当期采用根本解决方案已解决的信息系统运行维护故障数量/当期发生的信息系统运行维护故障总数</w:t>
            </w:r>
          </w:p>
          <w:p w14:paraId="42F70280">
            <w:pPr>
              <w:ind w:left="0" w:firstLine="0" w:firstLineChars="0"/>
              <w:rPr>
                <w:rFonts w:ascii="宋体" w:hAnsi="宋体"/>
                <w:b/>
                <w:bCs/>
                <w:szCs w:val="21"/>
                <w:highlight w:val="none"/>
              </w:rPr>
            </w:pPr>
            <w:r>
              <w:rPr>
                <w:rFonts w:ascii="宋体" w:hAnsi="宋体"/>
                <w:b/>
                <w:bCs/>
                <w:szCs w:val="21"/>
                <w:highlight w:val="none"/>
              </w:rPr>
              <w:t>10</w:t>
            </w:r>
            <w:r>
              <w:rPr>
                <w:rFonts w:hint="eastAsia" w:ascii="宋体" w:hAnsi="宋体"/>
                <w:b/>
                <w:bCs/>
                <w:szCs w:val="21"/>
                <w:highlight w:val="none"/>
              </w:rPr>
              <w:t>分【100%】</w:t>
            </w:r>
          </w:p>
          <w:p w14:paraId="7C3273E0">
            <w:pPr>
              <w:ind w:left="0" w:firstLine="0" w:firstLineChars="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分【95%及以上】</w:t>
            </w:r>
          </w:p>
          <w:p w14:paraId="2801C62B">
            <w:pPr>
              <w:ind w:left="0" w:firstLine="0" w:firstLineChars="0"/>
              <w:rPr>
                <w:rFonts w:ascii="宋体" w:hAnsi="宋体"/>
                <w:szCs w:val="21"/>
                <w:highlight w:val="none"/>
              </w:rPr>
            </w:pPr>
            <w:r>
              <w:rPr>
                <w:rFonts w:hint="eastAsia" w:ascii="宋体" w:hAnsi="宋体"/>
                <w:b/>
                <w:bCs/>
                <w:szCs w:val="21"/>
                <w:highlight w:val="none"/>
              </w:rPr>
              <w:t>0分【低于95%】</w:t>
            </w:r>
          </w:p>
        </w:tc>
        <w:tc>
          <w:tcPr>
            <w:tcW w:w="2457" w:type="dxa"/>
            <w:tcBorders>
              <w:tl2br w:val="nil"/>
              <w:tr2bl w:val="nil"/>
            </w:tcBorders>
            <w:shd w:val="clear" w:color="auto" w:fill="auto"/>
            <w:vAlign w:val="center"/>
          </w:tcPr>
          <w:p w14:paraId="3BE0843F">
            <w:pPr>
              <w:ind w:left="0" w:firstLine="0" w:firstLineChars="0"/>
              <w:rPr>
                <w:rFonts w:ascii="宋体" w:hAnsi="宋体"/>
                <w:b/>
                <w:bCs/>
                <w:szCs w:val="21"/>
                <w:highlight w:val="none"/>
              </w:rPr>
            </w:pPr>
            <w:r>
              <w:rPr>
                <w:rFonts w:hint="eastAsia" w:ascii="宋体" w:hAnsi="宋体"/>
                <w:szCs w:val="21"/>
                <w:highlight w:val="none"/>
              </w:rPr>
              <w:t>若故障解决率低于100%，扣除</w:t>
            </w:r>
            <w:r>
              <w:rPr>
                <w:rFonts w:ascii="宋体" w:hAnsi="宋体"/>
                <w:szCs w:val="21"/>
                <w:highlight w:val="none"/>
              </w:rPr>
              <w:t>合同总金额</w:t>
            </w:r>
            <w:r>
              <w:rPr>
                <w:rFonts w:hint="eastAsia" w:ascii="宋体" w:hAnsi="宋体"/>
                <w:szCs w:val="21"/>
                <w:highlight w:val="none"/>
              </w:rPr>
              <w:t>的10%。</w:t>
            </w:r>
          </w:p>
        </w:tc>
      </w:tr>
      <w:tr w14:paraId="0D58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7CF2E93">
            <w:pPr>
              <w:ind w:left="0" w:firstLine="0" w:firstLineChars="0"/>
              <w:rPr>
                <w:rFonts w:ascii="宋体" w:hAnsi="宋体"/>
                <w:szCs w:val="21"/>
                <w:highlight w:val="none"/>
              </w:rPr>
            </w:pPr>
            <w:r>
              <w:rPr>
                <w:rFonts w:ascii="宋体" w:hAnsi="宋体"/>
                <w:szCs w:val="21"/>
                <w:highlight w:val="none"/>
              </w:rPr>
              <w:t>7</w:t>
            </w:r>
          </w:p>
        </w:tc>
        <w:tc>
          <w:tcPr>
            <w:tcW w:w="1145" w:type="dxa"/>
            <w:vMerge w:val="restart"/>
            <w:tcBorders>
              <w:tl2br w:val="nil"/>
              <w:tr2bl w:val="nil"/>
            </w:tcBorders>
            <w:shd w:val="clear" w:color="auto" w:fill="auto"/>
            <w:vAlign w:val="center"/>
          </w:tcPr>
          <w:p w14:paraId="63154108">
            <w:pPr>
              <w:ind w:left="0" w:firstLine="0" w:firstLineChars="0"/>
              <w:jc w:val="left"/>
              <w:rPr>
                <w:rFonts w:ascii="宋体" w:hAnsi="宋体"/>
                <w:szCs w:val="21"/>
                <w:highlight w:val="none"/>
              </w:rPr>
            </w:pPr>
            <w:r>
              <w:rPr>
                <w:rFonts w:hint="eastAsia" w:ascii="宋体" w:hAnsi="宋体"/>
                <w:szCs w:val="21"/>
                <w:highlight w:val="none"/>
              </w:rPr>
              <w:t>协议履行</w:t>
            </w:r>
          </w:p>
        </w:tc>
        <w:tc>
          <w:tcPr>
            <w:tcW w:w="1123" w:type="dxa"/>
            <w:tcBorders>
              <w:tl2br w:val="nil"/>
              <w:tr2bl w:val="nil"/>
            </w:tcBorders>
            <w:shd w:val="clear" w:color="auto" w:fill="auto"/>
            <w:vAlign w:val="center"/>
          </w:tcPr>
          <w:p w14:paraId="0986D1E1">
            <w:pPr>
              <w:ind w:left="0" w:firstLine="0" w:firstLineChars="0"/>
              <w:rPr>
                <w:rFonts w:ascii="宋体" w:hAnsi="宋体"/>
                <w:strike/>
                <w:dstrike w:val="0"/>
                <w:szCs w:val="21"/>
                <w:highlight w:val="none"/>
              </w:rPr>
            </w:pPr>
            <w:r>
              <w:rPr>
                <w:rFonts w:ascii="宋体" w:hAnsi="宋体"/>
                <w:szCs w:val="21"/>
                <w:highlight w:val="none"/>
              </w:rPr>
              <w:t>重大事项报告</w:t>
            </w:r>
          </w:p>
        </w:tc>
        <w:tc>
          <w:tcPr>
            <w:tcW w:w="2550" w:type="dxa"/>
            <w:tcBorders>
              <w:tl2br w:val="nil"/>
              <w:tr2bl w:val="nil"/>
            </w:tcBorders>
            <w:shd w:val="clear" w:color="auto" w:fill="auto"/>
            <w:vAlign w:val="center"/>
          </w:tcPr>
          <w:p w14:paraId="0C4BA296">
            <w:pPr>
              <w:ind w:left="0" w:firstLine="0" w:firstLineChars="0"/>
              <w:rPr>
                <w:rFonts w:ascii="宋体" w:hAnsi="宋体"/>
                <w:strike/>
                <w:dstrike w:val="0"/>
                <w:szCs w:val="21"/>
                <w:highlight w:val="none"/>
              </w:rPr>
            </w:pPr>
            <w:r>
              <w:rPr>
                <w:rFonts w:hint="eastAsia" w:ascii="宋体" w:hAns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447" w:type="dxa"/>
            <w:tcBorders>
              <w:tl2br w:val="nil"/>
              <w:tr2bl w:val="nil"/>
            </w:tcBorders>
            <w:shd w:val="clear" w:color="auto" w:fill="auto"/>
            <w:vAlign w:val="center"/>
          </w:tcPr>
          <w:p w14:paraId="0ED2EF27">
            <w:pPr>
              <w:ind w:left="0" w:firstLine="0" w:firstLineChars="0"/>
              <w:rPr>
                <w:rFonts w:ascii="宋体" w:hAnsi="宋体"/>
                <w:szCs w:val="21"/>
                <w:highlight w:val="none"/>
              </w:rPr>
            </w:pPr>
            <w:r>
              <w:rPr>
                <w:rFonts w:hint="eastAsia" w:ascii="宋体" w:hAnsi="宋体"/>
                <w:b/>
                <w:bCs/>
                <w:szCs w:val="21"/>
                <w:highlight w:val="none"/>
              </w:rPr>
              <w:t>优秀：</w:t>
            </w:r>
            <w:r>
              <w:rPr>
                <w:rFonts w:hint="eastAsia" w:ascii="宋体" w:hAnsi="宋体"/>
                <w:szCs w:val="21"/>
                <w:highlight w:val="none"/>
              </w:rPr>
              <w:t>5分，</w:t>
            </w:r>
            <w:r>
              <w:rPr>
                <w:rFonts w:ascii="宋体" w:hAnsi="宋体"/>
                <w:szCs w:val="21"/>
                <w:highlight w:val="none"/>
              </w:rPr>
              <w:t>指无重大事项或当发生重大事项时，能够于24小时内</w:t>
            </w:r>
            <w:r>
              <w:rPr>
                <w:rFonts w:hint="eastAsia" w:ascii="宋体" w:hAnsi="宋体"/>
                <w:szCs w:val="21"/>
                <w:highlight w:val="none"/>
              </w:rPr>
              <w:t>告知甲方；</w:t>
            </w:r>
          </w:p>
          <w:p w14:paraId="2F271EF7">
            <w:pPr>
              <w:ind w:left="0" w:firstLine="0" w:firstLineChars="0"/>
              <w:rPr>
                <w:rFonts w:ascii="宋体" w:hAnsi="宋体"/>
                <w:szCs w:val="21"/>
                <w:highlight w:val="none"/>
              </w:rPr>
            </w:pPr>
            <w:r>
              <w:rPr>
                <w:rFonts w:hint="eastAsia" w:ascii="宋体" w:hAnsi="宋体"/>
                <w:b/>
                <w:bCs/>
                <w:szCs w:val="21"/>
                <w:highlight w:val="none"/>
              </w:rPr>
              <w:t>良好：</w:t>
            </w:r>
            <w:r>
              <w:rPr>
                <w:rFonts w:hint="eastAsia" w:ascii="宋体" w:hAnsi="宋体"/>
                <w:szCs w:val="21"/>
                <w:highlight w:val="none"/>
              </w:rPr>
              <w:t>4分，</w:t>
            </w:r>
            <w:r>
              <w:rPr>
                <w:rFonts w:ascii="宋体" w:hAnsi="宋体"/>
                <w:szCs w:val="21"/>
                <w:highlight w:val="none"/>
              </w:rPr>
              <w:t>指当发生重大事项时，能够于一周内告知</w:t>
            </w:r>
            <w:r>
              <w:rPr>
                <w:rFonts w:hint="eastAsia" w:ascii="宋体" w:hAnsi="宋体"/>
                <w:szCs w:val="21"/>
                <w:highlight w:val="none"/>
              </w:rPr>
              <w:t>甲方；</w:t>
            </w:r>
          </w:p>
          <w:p w14:paraId="74C517D8">
            <w:pPr>
              <w:ind w:left="0" w:firstLine="0" w:firstLineChars="0"/>
              <w:rPr>
                <w:rFonts w:ascii="宋体" w:hAnsi="宋体"/>
                <w:szCs w:val="21"/>
                <w:highlight w:val="none"/>
              </w:rPr>
            </w:pPr>
            <w:r>
              <w:rPr>
                <w:rFonts w:hint="eastAsia" w:ascii="宋体" w:hAnsi="宋体"/>
                <w:b/>
                <w:bCs/>
                <w:szCs w:val="21"/>
                <w:highlight w:val="none"/>
              </w:rPr>
              <w:t>合格：</w:t>
            </w:r>
            <w:r>
              <w:rPr>
                <w:rFonts w:hint="eastAsia" w:ascii="宋体" w:hAnsi="宋体"/>
                <w:szCs w:val="21"/>
                <w:highlight w:val="none"/>
              </w:rPr>
              <w:t>3分，</w:t>
            </w:r>
            <w:r>
              <w:rPr>
                <w:rFonts w:ascii="宋体" w:hAnsi="宋体"/>
                <w:szCs w:val="21"/>
                <w:highlight w:val="none"/>
              </w:rPr>
              <w:t>指当发生重大事项时，能够于一</w:t>
            </w:r>
            <w:r>
              <w:rPr>
                <w:rFonts w:hint="eastAsia" w:ascii="宋体" w:hAnsi="宋体"/>
                <w:szCs w:val="21"/>
                <w:highlight w:val="none"/>
              </w:rPr>
              <w:t>月</w:t>
            </w:r>
            <w:r>
              <w:rPr>
                <w:rFonts w:ascii="宋体" w:hAnsi="宋体"/>
                <w:szCs w:val="21"/>
                <w:highlight w:val="none"/>
              </w:rPr>
              <w:t>内告知</w:t>
            </w:r>
            <w:r>
              <w:rPr>
                <w:rFonts w:hint="eastAsia" w:ascii="宋体" w:hAnsi="宋体"/>
                <w:szCs w:val="21"/>
                <w:highlight w:val="none"/>
              </w:rPr>
              <w:t>甲方；</w:t>
            </w:r>
          </w:p>
          <w:p w14:paraId="34D6A3F3">
            <w:pPr>
              <w:ind w:left="0" w:firstLine="0" w:firstLineChars="0"/>
              <w:rPr>
                <w:rFonts w:ascii="宋体" w:hAnsi="宋体"/>
                <w:strike/>
                <w:dstrike w:val="0"/>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指当发生重大事项时，</w:t>
            </w:r>
            <w:r>
              <w:rPr>
                <w:rFonts w:hint="eastAsia" w:ascii="宋体" w:hAnsi="宋体"/>
                <w:szCs w:val="21"/>
                <w:highlight w:val="none"/>
              </w:rPr>
              <w:t>未</w:t>
            </w:r>
            <w:r>
              <w:rPr>
                <w:rFonts w:ascii="宋体" w:hAnsi="宋体"/>
                <w:szCs w:val="21"/>
                <w:highlight w:val="none"/>
              </w:rPr>
              <w:t>告知</w:t>
            </w:r>
            <w:r>
              <w:rPr>
                <w:rFonts w:hint="eastAsia" w:ascii="宋体" w:hAnsi="宋体"/>
                <w:szCs w:val="21"/>
                <w:highlight w:val="none"/>
              </w:rPr>
              <w:t>甲方。</w:t>
            </w:r>
          </w:p>
        </w:tc>
        <w:tc>
          <w:tcPr>
            <w:tcW w:w="2457" w:type="dxa"/>
            <w:tcBorders>
              <w:tl2br w:val="nil"/>
              <w:tr2bl w:val="nil"/>
            </w:tcBorders>
            <w:shd w:val="clear" w:color="auto" w:fill="auto"/>
            <w:vAlign w:val="center"/>
          </w:tcPr>
          <w:p w14:paraId="687C28CA">
            <w:pPr>
              <w:ind w:left="0" w:firstLine="0" w:firstLineChars="0"/>
              <w:rPr>
                <w:rFonts w:ascii="宋体" w:hAnsi="宋体"/>
                <w:strike/>
                <w:dstrike w:val="0"/>
                <w:szCs w:val="21"/>
                <w:highlight w:val="none"/>
              </w:rPr>
            </w:pPr>
            <w:r>
              <w:rPr>
                <w:rFonts w:hint="eastAsia" w:ascii="宋体" w:hAnsi="宋体"/>
                <w:szCs w:val="21"/>
                <w:highlight w:val="none"/>
              </w:rPr>
              <w:t>评价为较差/差时，甲方根据实际情况有权终止合同，并要求乙方赔偿实际损失。</w:t>
            </w:r>
          </w:p>
        </w:tc>
      </w:tr>
      <w:tr w14:paraId="70E5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6F420C3F">
            <w:pPr>
              <w:ind w:left="0" w:firstLine="0" w:firstLineChars="0"/>
              <w:rPr>
                <w:rFonts w:ascii="宋体" w:hAnsi="宋体"/>
                <w:szCs w:val="21"/>
                <w:highlight w:val="none"/>
              </w:rPr>
            </w:pPr>
            <w:r>
              <w:rPr>
                <w:rFonts w:ascii="宋体" w:hAnsi="宋体"/>
                <w:szCs w:val="21"/>
                <w:highlight w:val="none"/>
              </w:rPr>
              <w:t>8</w:t>
            </w:r>
          </w:p>
        </w:tc>
        <w:tc>
          <w:tcPr>
            <w:tcW w:w="1145" w:type="dxa"/>
            <w:vMerge w:val="continue"/>
            <w:tcBorders>
              <w:tl2br w:val="nil"/>
              <w:tr2bl w:val="nil"/>
            </w:tcBorders>
            <w:shd w:val="clear" w:color="auto" w:fill="auto"/>
          </w:tcPr>
          <w:p w14:paraId="47350524"/>
        </w:tc>
        <w:tc>
          <w:tcPr>
            <w:tcW w:w="1123" w:type="dxa"/>
            <w:tcBorders>
              <w:tl2br w:val="nil"/>
              <w:tr2bl w:val="nil"/>
            </w:tcBorders>
            <w:shd w:val="clear" w:color="auto" w:fill="auto"/>
            <w:vAlign w:val="center"/>
          </w:tcPr>
          <w:p w14:paraId="1802DEE3">
            <w:pPr>
              <w:ind w:left="0" w:firstLine="0" w:firstLineChars="0"/>
              <w:rPr>
                <w:rFonts w:ascii="宋体" w:hAnsi="宋体"/>
                <w:szCs w:val="21"/>
                <w:highlight w:val="none"/>
              </w:rPr>
            </w:pPr>
            <w:r>
              <w:rPr>
                <w:rFonts w:hint="eastAsia" w:ascii="宋体" w:hAnsi="宋体"/>
                <w:szCs w:val="21"/>
                <w:highlight w:val="none"/>
              </w:rPr>
              <w:t>响应与解决及时性</w:t>
            </w:r>
          </w:p>
        </w:tc>
        <w:tc>
          <w:tcPr>
            <w:tcW w:w="2550" w:type="dxa"/>
            <w:tcBorders>
              <w:tl2br w:val="nil"/>
              <w:tr2bl w:val="nil"/>
            </w:tcBorders>
            <w:shd w:val="clear" w:color="auto" w:fill="auto"/>
            <w:vAlign w:val="center"/>
          </w:tcPr>
          <w:p w14:paraId="5308A300">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或服务项目对</w:t>
            </w:r>
            <w:r>
              <w:rPr>
                <w:rFonts w:hint="eastAsia" w:ascii="宋体" w:hAnsi="宋体"/>
                <w:szCs w:val="21"/>
                <w:highlight w:val="none"/>
              </w:rPr>
              <w:t>甲方</w:t>
            </w:r>
            <w:r>
              <w:rPr>
                <w:rFonts w:ascii="宋体" w:hAnsi="宋体"/>
                <w:szCs w:val="21"/>
                <w:highlight w:val="none"/>
              </w:rPr>
              <w:t>的响应与解决的及时性</w:t>
            </w:r>
          </w:p>
        </w:tc>
        <w:tc>
          <w:tcPr>
            <w:tcW w:w="3447" w:type="dxa"/>
            <w:tcBorders>
              <w:tl2br w:val="nil"/>
              <w:tr2bl w:val="nil"/>
            </w:tcBorders>
            <w:shd w:val="clear" w:color="auto" w:fill="auto"/>
            <w:vAlign w:val="center"/>
          </w:tcPr>
          <w:p w14:paraId="2E8FF928">
            <w:pPr>
              <w:ind w:left="0" w:firstLine="0" w:firstLineChars="0"/>
              <w:rPr>
                <w:rFonts w:ascii="宋体" w:hAnsi="宋体"/>
                <w:szCs w:val="21"/>
                <w:highlight w:val="none"/>
              </w:rPr>
            </w:pPr>
            <w:r>
              <w:rPr>
                <w:rFonts w:hint="eastAsia" w:ascii="宋体" w:hAnsi="宋体"/>
                <w:szCs w:val="21"/>
                <w:highlight w:val="none"/>
              </w:rPr>
              <w:t>要求乙方</w:t>
            </w:r>
            <w:r>
              <w:rPr>
                <w:rFonts w:ascii="宋体" w:hAnsi="宋体"/>
                <w:szCs w:val="21"/>
                <w:highlight w:val="none"/>
              </w:rPr>
              <w:t>提供7</w:t>
            </w:r>
            <w:r>
              <w:rPr>
                <w:rFonts w:ascii="宋体" w:hAnsi="宋体" w:cs="Arial"/>
                <w:szCs w:val="21"/>
                <w:highlight w:val="none"/>
              </w:rPr>
              <w:t>×</w:t>
            </w:r>
            <w:r>
              <w:rPr>
                <w:rFonts w:ascii="宋体" w:hAnsi="宋体"/>
                <w:szCs w:val="21"/>
                <w:highlight w:val="none"/>
              </w:rPr>
              <w:t>24小时的远程响应和现场响应，其中电话响应不超过10分钟，现场响应不超过4小时</w:t>
            </w:r>
            <w:r>
              <w:rPr>
                <w:rFonts w:hint="eastAsia" w:ascii="宋体" w:hAnsi="宋体"/>
                <w:szCs w:val="21"/>
                <w:highlight w:val="none"/>
              </w:rPr>
              <w:t>。</w:t>
            </w:r>
          </w:p>
          <w:p w14:paraId="1AD35EBE">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或服务项目能够迅速响应需求，主动快速与</w:t>
            </w:r>
            <w:r>
              <w:rPr>
                <w:rFonts w:hint="eastAsia" w:ascii="宋体" w:hAnsi="宋体"/>
                <w:szCs w:val="21"/>
                <w:highlight w:val="none"/>
              </w:rPr>
              <w:t>甲方</w:t>
            </w:r>
            <w:r>
              <w:rPr>
                <w:rFonts w:ascii="宋体" w:hAnsi="宋体"/>
                <w:szCs w:val="21"/>
                <w:highlight w:val="none"/>
              </w:rPr>
              <w:t>进行有效的沟通，第一时间从专业角度给出解决方案并解决问题</w:t>
            </w:r>
            <w:r>
              <w:rPr>
                <w:rFonts w:hint="eastAsia" w:ascii="宋体" w:hAnsi="宋体"/>
                <w:szCs w:val="21"/>
                <w:highlight w:val="none"/>
              </w:rPr>
              <w:t>；</w:t>
            </w:r>
          </w:p>
          <w:p w14:paraId="2CCB974A">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或服务项目能够按要求响应需求，及时与</w:t>
            </w:r>
            <w:r>
              <w:rPr>
                <w:rFonts w:hint="eastAsia" w:ascii="宋体" w:hAnsi="宋体"/>
                <w:szCs w:val="21"/>
                <w:highlight w:val="none"/>
              </w:rPr>
              <w:t>甲方</w:t>
            </w:r>
            <w:r>
              <w:rPr>
                <w:rFonts w:ascii="宋体" w:hAnsi="宋体"/>
                <w:szCs w:val="21"/>
                <w:highlight w:val="none"/>
              </w:rPr>
              <w:t>进行有效的沟通，快速给出处理方案并解决问题</w:t>
            </w:r>
            <w:r>
              <w:rPr>
                <w:rFonts w:hint="eastAsia" w:ascii="宋体" w:hAnsi="宋体"/>
                <w:szCs w:val="21"/>
                <w:highlight w:val="none"/>
              </w:rPr>
              <w:t>；</w:t>
            </w:r>
          </w:p>
          <w:p w14:paraId="4AE9C201">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或服务项目能够基本按要求响应需求</w:t>
            </w:r>
            <w:r>
              <w:rPr>
                <w:rFonts w:hint="eastAsia" w:ascii="宋体" w:hAnsi="宋体"/>
                <w:szCs w:val="21"/>
                <w:highlight w:val="none"/>
              </w:rPr>
              <w:t>，</w:t>
            </w:r>
            <w:r>
              <w:rPr>
                <w:rFonts w:ascii="宋体" w:hAnsi="宋体"/>
                <w:szCs w:val="21"/>
                <w:highlight w:val="none"/>
              </w:rPr>
              <w:t>保持与</w:t>
            </w:r>
            <w:r>
              <w:rPr>
                <w:rFonts w:hint="eastAsia" w:ascii="宋体" w:hAnsi="宋体"/>
                <w:szCs w:val="21"/>
                <w:highlight w:val="none"/>
              </w:rPr>
              <w:t>甲方</w:t>
            </w:r>
            <w:r>
              <w:rPr>
                <w:rFonts w:ascii="宋体" w:hAnsi="宋体"/>
                <w:szCs w:val="21"/>
                <w:highlight w:val="none"/>
              </w:rPr>
              <w:t>的沟通，按时解决问题</w:t>
            </w:r>
            <w:r>
              <w:rPr>
                <w:rFonts w:hint="eastAsia" w:ascii="宋体" w:hAnsi="宋体"/>
                <w:szCs w:val="21"/>
                <w:highlight w:val="none"/>
              </w:rPr>
              <w:t>；</w:t>
            </w:r>
          </w:p>
          <w:p w14:paraId="3193DA18">
            <w:pPr>
              <w:ind w:left="0" w:firstLine="0" w:firstLineChars="0"/>
              <w:rPr>
                <w:rFonts w:ascii="宋体" w:hAnsi="宋体"/>
                <w:b/>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或服务项目未及时响应需求，或响应需求后无法</w:t>
            </w:r>
            <w:r>
              <w:rPr>
                <w:rFonts w:hint="eastAsia" w:ascii="宋体" w:hAnsi="宋体"/>
                <w:szCs w:val="21"/>
                <w:highlight w:val="none"/>
              </w:rPr>
              <w:t>及时</w:t>
            </w:r>
            <w:r>
              <w:rPr>
                <w:rFonts w:ascii="宋体" w:hAnsi="宋体"/>
                <w:szCs w:val="21"/>
                <w:highlight w:val="none"/>
              </w:rPr>
              <w:t>解决问题</w:t>
            </w:r>
            <w:r>
              <w:rPr>
                <w:rFonts w:hint="eastAsia" w:ascii="宋体" w:hAnsi="宋体"/>
                <w:szCs w:val="21"/>
                <w:highlight w:val="none"/>
              </w:rPr>
              <w:t>。</w:t>
            </w:r>
          </w:p>
        </w:tc>
        <w:tc>
          <w:tcPr>
            <w:tcW w:w="2457" w:type="dxa"/>
            <w:tcBorders>
              <w:tl2br w:val="nil"/>
              <w:tr2bl w:val="nil"/>
            </w:tcBorders>
            <w:shd w:val="clear" w:color="auto" w:fill="auto"/>
            <w:vAlign w:val="center"/>
          </w:tcPr>
          <w:p w14:paraId="3A3ED8A8">
            <w:pPr>
              <w:ind w:left="0" w:firstLine="0" w:firstLineChars="0"/>
              <w:rPr>
                <w:rFonts w:ascii="宋体" w:hAnsi="宋体"/>
                <w:szCs w:val="21"/>
                <w:highlight w:val="none"/>
              </w:rPr>
            </w:pPr>
            <w:r>
              <w:rPr>
                <w:rFonts w:hint="eastAsia" w:ascii="宋体" w:hAnsi="宋体"/>
                <w:szCs w:val="21"/>
                <w:highlight w:val="none"/>
              </w:rPr>
              <w:t>如违反承诺的响应时间要求，每次扣除乙方金额人民币1000元；</w:t>
            </w:r>
          </w:p>
          <w:p w14:paraId="484D76BC">
            <w:pPr>
              <w:ind w:left="0" w:firstLine="0" w:firstLineChars="0"/>
              <w:rPr>
                <w:rFonts w:ascii="宋体" w:hAnsi="宋体"/>
                <w:szCs w:val="21"/>
                <w:highlight w:val="none"/>
              </w:rPr>
            </w:pPr>
            <w:r>
              <w:rPr>
                <w:rFonts w:hint="eastAsia" w:ascii="宋体" w:hAnsi="宋体"/>
                <w:szCs w:val="21"/>
                <w:highlight w:val="none"/>
              </w:rPr>
              <w:t>出现故障未能及时给予有效的解决办法和预防措施或因严重违反响应时间导致事件升级，每次扣除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1</w:t>
            </w:r>
            <w:r>
              <w:rPr>
                <w:rFonts w:hint="eastAsia" w:ascii="宋体" w:hAnsi="宋体"/>
                <w:szCs w:val="21"/>
                <w:highlight w:val="none"/>
              </w:rPr>
              <w:t>0%。</w:t>
            </w:r>
          </w:p>
        </w:tc>
      </w:tr>
      <w:tr w14:paraId="22C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0D78F260">
            <w:pPr>
              <w:ind w:left="0" w:firstLine="0" w:firstLineChars="0"/>
              <w:rPr>
                <w:rFonts w:ascii="宋体" w:hAnsi="宋体"/>
                <w:szCs w:val="21"/>
                <w:highlight w:val="none"/>
              </w:rPr>
            </w:pPr>
            <w:r>
              <w:rPr>
                <w:rFonts w:ascii="宋体" w:hAnsi="宋体"/>
                <w:szCs w:val="21"/>
                <w:highlight w:val="none"/>
              </w:rPr>
              <w:t>9</w:t>
            </w:r>
          </w:p>
        </w:tc>
        <w:tc>
          <w:tcPr>
            <w:tcW w:w="1145" w:type="dxa"/>
            <w:vMerge w:val="continue"/>
            <w:tcBorders>
              <w:tl2br w:val="nil"/>
              <w:tr2bl w:val="nil"/>
            </w:tcBorders>
            <w:shd w:val="clear" w:color="auto" w:fill="auto"/>
          </w:tcPr>
          <w:p w14:paraId="4402F913"/>
        </w:tc>
        <w:tc>
          <w:tcPr>
            <w:tcW w:w="1123" w:type="dxa"/>
            <w:tcBorders>
              <w:tl2br w:val="nil"/>
              <w:tr2bl w:val="nil"/>
            </w:tcBorders>
            <w:shd w:val="clear" w:color="auto" w:fill="auto"/>
            <w:vAlign w:val="center"/>
          </w:tcPr>
          <w:p w14:paraId="5F11FA68">
            <w:pPr>
              <w:ind w:left="0" w:firstLine="0" w:firstLineChars="0"/>
              <w:rPr>
                <w:rFonts w:ascii="宋体" w:hAnsi="宋体"/>
                <w:szCs w:val="21"/>
                <w:highlight w:val="none"/>
              </w:rPr>
            </w:pPr>
            <w:r>
              <w:rPr>
                <w:rFonts w:ascii="宋体" w:hAnsi="宋体"/>
                <w:szCs w:val="21"/>
                <w:highlight w:val="none"/>
              </w:rPr>
              <w:t>项目经理和</w:t>
            </w:r>
            <w:r>
              <w:rPr>
                <w:rFonts w:hint="eastAsia" w:ascii="宋体" w:hAnsi="宋体"/>
                <w:szCs w:val="21"/>
                <w:highlight w:val="none"/>
              </w:rPr>
              <w:t>服务人员保证</w:t>
            </w:r>
          </w:p>
        </w:tc>
        <w:tc>
          <w:tcPr>
            <w:tcW w:w="2550" w:type="dxa"/>
            <w:tcBorders>
              <w:tl2br w:val="nil"/>
              <w:tr2bl w:val="nil"/>
            </w:tcBorders>
            <w:shd w:val="clear" w:color="auto" w:fill="auto"/>
            <w:vAlign w:val="center"/>
          </w:tcPr>
          <w:p w14:paraId="54B60813">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乙方</w:t>
            </w:r>
            <w:r>
              <w:rPr>
                <w:rFonts w:ascii="宋体" w:hAnsi="宋体"/>
                <w:szCs w:val="21"/>
                <w:highlight w:val="none"/>
              </w:rPr>
              <w:t>项目经理和</w:t>
            </w:r>
            <w:r>
              <w:rPr>
                <w:rFonts w:hint="eastAsia" w:ascii="宋体" w:hAnsi="宋体"/>
                <w:szCs w:val="21"/>
                <w:highlight w:val="none"/>
              </w:rPr>
              <w:t>服务</w:t>
            </w:r>
            <w:r>
              <w:rPr>
                <w:rFonts w:ascii="宋体" w:hAnsi="宋体"/>
                <w:szCs w:val="21"/>
                <w:highlight w:val="none"/>
              </w:rPr>
              <w:t>工程师</w:t>
            </w:r>
            <w:r>
              <w:rPr>
                <w:rFonts w:hint="eastAsia" w:ascii="宋体" w:hAnsi="宋体"/>
                <w:szCs w:val="21"/>
                <w:highlight w:val="none"/>
              </w:rPr>
              <w:t>人员保证</w:t>
            </w:r>
          </w:p>
        </w:tc>
        <w:tc>
          <w:tcPr>
            <w:tcW w:w="3447" w:type="dxa"/>
            <w:tcBorders>
              <w:tl2br w:val="nil"/>
              <w:tr2bl w:val="nil"/>
            </w:tcBorders>
            <w:shd w:val="clear" w:color="auto" w:fill="auto"/>
            <w:vAlign w:val="center"/>
          </w:tcPr>
          <w:p w14:paraId="5A2C2B56">
            <w:pPr>
              <w:ind w:left="0" w:firstLine="0" w:firstLineChars="0"/>
              <w:rPr>
                <w:rFonts w:ascii="宋体" w:hAnsi="宋体"/>
                <w:szCs w:val="21"/>
                <w:highlight w:val="none"/>
              </w:rPr>
            </w:pPr>
            <w:r>
              <w:rPr>
                <w:rFonts w:ascii="宋体" w:hAnsi="宋体"/>
                <w:szCs w:val="21"/>
                <w:highlight w:val="none"/>
              </w:rPr>
              <w:t>乙方</w:t>
            </w:r>
            <w:r>
              <w:rPr>
                <w:rFonts w:hint="eastAsia" w:ascii="宋体" w:hAnsi="宋体"/>
                <w:szCs w:val="21"/>
                <w:highlight w:val="none"/>
              </w:rPr>
              <w:t>根据合同要求</w:t>
            </w:r>
            <w:r>
              <w:rPr>
                <w:rFonts w:ascii="宋体" w:hAnsi="宋体"/>
                <w:szCs w:val="21"/>
                <w:highlight w:val="none"/>
              </w:rPr>
              <w:t>为项目提供1名项目经理和2名服务工程师且不存在人员变更情况。</w:t>
            </w:r>
          </w:p>
          <w:p w14:paraId="20ED9A95">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FA535F1">
            <w:pPr>
              <w:ind w:left="0" w:firstLine="0" w:firstLineChars="0"/>
              <w:rPr>
                <w:rFonts w:ascii="宋体" w:hAnsi="宋体"/>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2918C10C">
            <w:pPr>
              <w:ind w:left="0" w:firstLine="0" w:firstLineChars="0"/>
              <w:rPr>
                <w:rFonts w:ascii="宋体" w:hAnsi="宋体"/>
                <w:szCs w:val="21"/>
                <w:highlight w:val="none"/>
              </w:rPr>
            </w:pPr>
            <w:r>
              <w:rPr>
                <w:rFonts w:ascii="宋体" w:hAnsi="宋体"/>
                <w:szCs w:val="21"/>
                <w:highlight w:val="none"/>
              </w:rPr>
              <w:t>无法按照合同要求提供1名项目经理和2名服务工程师的，</w:t>
            </w:r>
            <w:r>
              <w:rPr>
                <w:rFonts w:hint="eastAsia" w:ascii="宋体" w:hAnsi="宋体"/>
                <w:szCs w:val="21"/>
                <w:highlight w:val="none"/>
              </w:rPr>
              <w:t>甲方根据实际情况有权终止合同，并要求乙方赔偿实际损失</w:t>
            </w:r>
            <w:r>
              <w:rPr>
                <w:rFonts w:ascii="宋体" w:hAnsi="宋体"/>
                <w:szCs w:val="21"/>
                <w:highlight w:val="none"/>
              </w:rPr>
              <w:t>；</w:t>
            </w:r>
          </w:p>
          <w:p w14:paraId="044F7B25">
            <w:pPr>
              <w:ind w:left="0" w:firstLine="0" w:firstLineChars="0"/>
              <w:rPr>
                <w:rFonts w:ascii="宋体" w:hAnsi="宋体"/>
                <w:szCs w:val="21"/>
                <w:highlight w:val="none"/>
              </w:rPr>
            </w:pPr>
            <w:r>
              <w:rPr>
                <w:rFonts w:ascii="宋体" w:hAnsi="宋体"/>
                <w:szCs w:val="21"/>
                <w:highlight w:val="none"/>
              </w:rPr>
              <w:t>服务过程中人员不为合同指定人员的，每出现一次扣除合同总金额的10%，出现两次及以上的</w:t>
            </w:r>
            <w:r>
              <w:rPr>
                <w:rFonts w:hint="eastAsia" w:ascii="宋体" w:hAnsi="宋体"/>
                <w:szCs w:val="21"/>
                <w:highlight w:val="none"/>
              </w:rPr>
              <w:t>甲方根据实际情况有权终止合同，并要求乙方赔偿实际损失。</w:t>
            </w:r>
          </w:p>
        </w:tc>
      </w:tr>
      <w:tr w14:paraId="1F84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499BE68B">
            <w:pPr>
              <w:ind w:left="0" w:firstLine="0" w:firstLineChars="0"/>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45" w:type="dxa"/>
            <w:tcBorders>
              <w:tl2br w:val="nil"/>
              <w:tr2bl w:val="nil"/>
            </w:tcBorders>
            <w:shd w:val="clear" w:color="auto" w:fill="auto"/>
          </w:tcPr>
          <w:p w14:paraId="18EAFFBA">
            <w:pPr>
              <w:ind w:left="0" w:firstLine="0" w:firstLineChars="0"/>
              <w:jc w:val="left"/>
              <w:rPr>
                <w:rFonts w:ascii="宋体" w:hAnsi="宋体"/>
                <w:szCs w:val="21"/>
                <w:highlight w:val="none"/>
              </w:rPr>
            </w:pPr>
            <w:r>
              <w:rPr>
                <w:rFonts w:hint="eastAsia" w:ascii="宋体" w:hAnsi="宋体"/>
                <w:szCs w:val="21"/>
                <w:highlight w:val="none"/>
              </w:rPr>
              <w:t>人员满意度</w:t>
            </w:r>
          </w:p>
        </w:tc>
        <w:tc>
          <w:tcPr>
            <w:tcW w:w="1123" w:type="dxa"/>
            <w:tcBorders>
              <w:tl2br w:val="nil"/>
              <w:tr2bl w:val="nil"/>
            </w:tcBorders>
            <w:shd w:val="clear" w:color="auto" w:fill="auto"/>
            <w:vAlign w:val="center"/>
          </w:tcPr>
          <w:p w14:paraId="328F6DEC">
            <w:pPr>
              <w:ind w:left="0" w:firstLine="0" w:firstLineChars="0"/>
              <w:rPr>
                <w:rFonts w:ascii="宋体" w:hAnsi="宋体"/>
                <w:szCs w:val="21"/>
                <w:highlight w:val="none"/>
              </w:rPr>
            </w:pPr>
            <w:r>
              <w:rPr>
                <w:rFonts w:hint="eastAsia" w:ascii="宋体" w:hAnsi="宋体"/>
                <w:szCs w:val="21"/>
                <w:highlight w:val="none"/>
              </w:rPr>
              <w:t>人员满意度评价</w:t>
            </w:r>
          </w:p>
        </w:tc>
        <w:tc>
          <w:tcPr>
            <w:tcW w:w="2550" w:type="dxa"/>
            <w:tcBorders>
              <w:tl2br w:val="nil"/>
              <w:tr2bl w:val="nil"/>
            </w:tcBorders>
            <w:shd w:val="clear" w:color="auto" w:fill="auto"/>
            <w:vAlign w:val="center"/>
          </w:tcPr>
          <w:p w14:paraId="593E6E97">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甲方</w:t>
            </w:r>
            <w:r>
              <w:rPr>
                <w:rFonts w:ascii="宋体" w:hAnsi="宋体"/>
                <w:szCs w:val="21"/>
                <w:highlight w:val="none"/>
              </w:rPr>
              <w:t>对</w:t>
            </w:r>
            <w:r>
              <w:rPr>
                <w:rFonts w:hint="eastAsia" w:ascii="宋体" w:hAnsi="宋体"/>
                <w:szCs w:val="21"/>
                <w:highlight w:val="none"/>
              </w:rPr>
              <w:t>乙方</w:t>
            </w:r>
            <w:r>
              <w:rPr>
                <w:rFonts w:ascii="宋体" w:hAnsi="宋体"/>
                <w:szCs w:val="21"/>
                <w:highlight w:val="none"/>
              </w:rPr>
              <w:t>外包人员表现的满意度评价</w:t>
            </w:r>
          </w:p>
        </w:tc>
        <w:tc>
          <w:tcPr>
            <w:tcW w:w="3447" w:type="dxa"/>
            <w:tcBorders>
              <w:tl2br w:val="nil"/>
              <w:tr2bl w:val="nil"/>
            </w:tcBorders>
            <w:shd w:val="clear" w:color="auto" w:fill="auto"/>
            <w:vAlign w:val="center"/>
          </w:tcPr>
          <w:p w14:paraId="2FB9DE78">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工作效率高，态度积极主动，</w:t>
            </w:r>
            <w:r>
              <w:rPr>
                <w:rFonts w:ascii="宋体" w:hAnsi="宋体"/>
                <w:szCs w:val="21"/>
                <w:highlight w:val="none"/>
              </w:rPr>
              <w:t>保质保量完成工作任务</w:t>
            </w:r>
            <w:r>
              <w:rPr>
                <w:rFonts w:hint="eastAsia" w:ascii="宋体" w:hAnsi="宋体"/>
                <w:szCs w:val="21"/>
                <w:highlight w:val="none"/>
              </w:rPr>
              <w:t>，</w:t>
            </w:r>
            <w:r>
              <w:rPr>
                <w:rFonts w:ascii="宋体" w:hAnsi="宋体"/>
                <w:szCs w:val="21"/>
                <w:highlight w:val="none"/>
              </w:rPr>
              <w:t>对团队有突出贡献，日常行为能起到模范带头作用</w:t>
            </w:r>
            <w:r>
              <w:rPr>
                <w:rFonts w:hint="eastAsia" w:ascii="宋体" w:hAnsi="宋体"/>
                <w:szCs w:val="21"/>
                <w:highlight w:val="none"/>
              </w:rPr>
              <w:t>的；</w:t>
            </w:r>
          </w:p>
          <w:p w14:paraId="5733B7D9">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工作效率较高，态度比较主动，较好</w:t>
            </w:r>
            <w:r>
              <w:rPr>
                <w:rFonts w:ascii="宋体" w:hAnsi="宋体"/>
                <w:szCs w:val="21"/>
                <w:highlight w:val="none"/>
              </w:rPr>
              <w:t>完成工作任务</w:t>
            </w:r>
            <w:r>
              <w:rPr>
                <w:rFonts w:hint="eastAsia" w:ascii="宋体" w:hAnsi="宋体"/>
                <w:szCs w:val="21"/>
                <w:highlight w:val="none"/>
              </w:rPr>
              <w:t>，</w:t>
            </w:r>
            <w:r>
              <w:rPr>
                <w:rFonts w:ascii="宋体" w:hAnsi="宋体"/>
                <w:szCs w:val="21"/>
                <w:highlight w:val="none"/>
              </w:rPr>
              <w:t>对团队有</w:t>
            </w:r>
            <w:r>
              <w:rPr>
                <w:rFonts w:hint="eastAsia" w:ascii="宋体" w:hAnsi="宋体"/>
                <w:szCs w:val="21"/>
                <w:highlight w:val="none"/>
              </w:rPr>
              <w:t>一定</w:t>
            </w:r>
            <w:r>
              <w:rPr>
                <w:rFonts w:ascii="宋体" w:hAnsi="宋体"/>
                <w:szCs w:val="21"/>
                <w:highlight w:val="none"/>
              </w:rPr>
              <w:t>贡献，日常行为</w:t>
            </w:r>
            <w:r>
              <w:rPr>
                <w:rFonts w:hint="eastAsia" w:ascii="宋体" w:hAnsi="宋体"/>
                <w:szCs w:val="21"/>
                <w:highlight w:val="none"/>
              </w:rPr>
              <w:t>表现较好的；</w:t>
            </w:r>
          </w:p>
          <w:p w14:paraId="540A1509">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工作效率一般，态度合格，能够按时</w:t>
            </w:r>
            <w:r>
              <w:rPr>
                <w:rFonts w:ascii="宋体" w:hAnsi="宋体"/>
                <w:szCs w:val="21"/>
                <w:highlight w:val="none"/>
              </w:rPr>
              <w:t>完成工作任务</w:t>
            </w:r>
            <w:r>
              <w:rPr>
                <w:rFonts w:hint="eastAsia" w:ascii="宋体" w:hAnsi="宋体"/>
                <w:szCs w:val="21"/>
                <w:highlight w:val="none"/>
              </w:rPr>
              <w:t>的；</w:t>
            </w:r>
          </w:p>
          <w:p w14:paraId="3C71D6EB">
            <w:pPr>
              <w:ind w:left="0" w:firstLine="0" w:firstLineChars="0"/>
              <w:rPr>
                <w:rFonts w:ascii="宋体" w:hAnsi="宋体"/>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工作效率低下，态度懈怠散漫，不能按时</w:t>
            </w:r>
            <w:r>
              <w:rPr>
                <w:rFonts w:ascii="宋体" w:hAnsi="宋体"/>
                <w:szCs w:val="21"/>
                <w:highlight w:val="none"/>
              </w:rPr>
              <w:t>完成工作任务</w:t>
            </w:r>
            <w:r>
              <w:rPr>
                <w:rFonts w:hint="eastAsia" w:ascii="宋体" w:hAnsi="宋体"/>
                <w:szCs w:val="21"/>
                <w:highlight w:val="none"/>
              </w:rPr>
              <w:t>的。</w:t>
            </w:r>
          </w:p>
        </w:tc>
        <w:tc>
          <w:tcPr>
            <w:tcW w:w="2457" w:type="dxa"/>
            <w:tcBorders>
              <w:tl2br w:val="nil"/>
              <w:tr2bl w:val="nil"/>
            </w:tcBorders>
            <w:shd w:val="clear" w:color="auto" w:fill="auto"/>
            <w:vAlign w:val="center"/>
          </w:tcPr>
          <w:p w14:paraId="647A69D6">
            <w:pPr>
              <w:ind w:left="0" w:firstLine="0" w:firstLineChars="0"/>
              <w:rPr>
                <w:rFonts w:ascii="宋体" w:hAnsi="宋体"/>
                <w:szCs w:val="21"/>
                <w:highlight w:val="none"/>
              </w:rPr>
            </w:pPr>
            <w:r>
              <w:rPr>
                <w:rFonts w:hint="eastAsia" w:ascii="宋体" w:hAnsi="宋体"/>
                <w:szCs w:val="21"/>
                <w:highlight w:val="none"/>
              </w:rPr>
              <w:t>评价为较差/差时，</w:t>
            </w:r>
            <w:r>
              <w:rPr>
                <w:rFonts w:ascii="宋体" w:hAnsi="宋体"/>
                <w:szCs w:val="21"/>
                <w:highlight w:val="none"/>
              </w:rPr>
              <w:t>扣除合同总金额的5%</w:t>
            </w:r>
            <w:r>
              <w:rPr>
                <w:rFonts w:hint="eastAsia" w:ascii="宋体" w:hAnsi="宋体"/>
                <w:szCs w:val="21"/>
                <w:highlight w:val="none"/>
              </w:rPr>
              <w:t>。</w:t>
            </w:r>
          </w:p>
        </w:tc>
      </w:tr>
    </w:tbl>
    <w:p w14:paraId="5F6A4B48">
      <w:pPr>
        <w:rPr>
          <w:highlight w:val="none"/>
          <w:lang w:val="zh-CN"/>
        </w:rPr>
        <w:sectPr>
          <w:pgSz w:w="11906" w:h="16838"/>
          <w:pgMar w:top="1440" w:right="1800" w:bottom="1440" w:left="1800" w:header="851" w:footer="992" w:gutter="0"/>
          <w:cols w:space="425" w:num="1"/>
          <w:docGrid w:type="lines" w:linePitch="312" w:charSpace="0"/>
        </w:sectPr>
      </w:pPr>
    </w:p>
    <w:p w14:paraId="4DBB23C7">
      <w:pPr>
        <w:pStyle w:val="33"/>
        <w:rPr>
          <w:highlight w:val="none"/>
        </w:rPr>
      </w:pPr>
      <w:r>
        <w:rPr>
          <w:rFonts w:hint="eastAsia"/>
          <w:highlight w:val="none"/>
          <w:lang w:val="zh-CN"/>
        </w:rPr>
        <w:t>（</w:t>
      </w:r>
      <w:r>
        <w:rPr>
          <w:highlight w:val="none"/>
          <w:lang w:val="zh-CN"/>
        </w:rPr>
        <w:t>三</w:t>
      </w:r>
      <w:r>
        <w:rPr>
          <w:rFonts w:hint="eastAsia"/>
          <w:highlight w:val="none"/>
          <w:lang w:val="zh-CN"/>
        </w:rPr>
        <w:t>）</w:t>
      </w:r>
      <w:r>
        <w:rPr>
          <w:highlight w:val="none"/>
          <w:lang w:val="zh-CN"/>
        </w:rPr>
        <w:t>服务连续性预</w:t>
      </w:r>
      <w:r>
        <w:rPr>
          <w:highlight w:val="none"/>
        </w:rPr>
        <w:t>案</w:t>
      </w:r>
    </w:p>
    <w:p w14:paraId="0D5AB471">
      <w:pPr>
        <w:ind w:firstLine="420" w:firstLineChars="200"/>
        <w:jc w:val="center"/>
        <w:rPr>
          <w:rFonts w:hint="eastAsia" w:hAnsi="宋体"/>
          <w:bCs/>
          <w:snapToGrid w:val="0"/>
          <w:highlight w:val="none"/>
        </w:rPr>
      </w:pPr>
      <w:r>
        <w:rPr>
          <w:rFonts w:hAnsi="宋体"/>
          <w:bCs/>
          <w:snapToGrid w:val="0"/>
          <w:highlight w:val="none"/>
        </w:rPr>
        <w:t>（</w:t>
      </w:r>
      <w:r>
        <w:rPr>
          <w:rFonts w:hint="eastAsia" w:hAnsi="宋体"/>
          <w:bCs/>
          <w:snapToGrid w:val="0"/>
          <w:highlight w:val="none"/>
        </w:rPr>
        <w:t>服务连续性预案应体现服务保障措施及考虑供应链风险产生的影响和保障措施）</w:t>
      </w:r>
    </w:p>
    <w:p w14:paraId="060D0454">
      <w:pPr>
        <w:ind w:firstLine="420" w:firstLineChars="200"/>
        <w:rPr>
          <w:rFonts w:hint="eastAsia" w:hAnsi="宋体"/>
          <w:bCs/>
          <w:snapToGrid w:val="0"/>
          <w:highlight w:val="none"/>
        </w:rPr>
      </w:pPr>
      <w:r>
        <w:rPr>
          <w:rFonts w:hint="eastAsia" w:hAnsi="宋体"/>
          <w:bCs/>
          <w:snapToGrid w:val="0"/>
          <w:highlight w:val="none"/>
        </w:rPr>
        <w:br w:type="page"/>
      </w:r>
    </w:p>
    <w:p w14:paraId="2034FF82">
      <w:pPr>
        <w:pStyle w:val="33"/>
        <w:rPr>
          <w:highlight w:val="none"/>
          <w:lang w:val="zh-CN"/>
        </w:rPr>
      </w:pPr>
      <w:r>
        <w:rPr>
          <w:rFonts w:hint="eastAsia"/>
          <w:highlight w:val="none"/>
          <w:lang w:val="zh-CN"/>
        </w:rPr>
        <w:t>（</w:t>
      </w:r>
      <w:r>
        <w:rPr>
          <w:highlight w:val="none"/>
          <w:lang w:val="zh-CN"/>
        </w:rPr>
        <w:t>四</w:t>
      </w:r>
      <w:r>
        <w:rPr>
          <w:rFonts w:hint="eastAsia"/>
          <w:highlight w:val="none"/>
          <w:lang w:val="zh-CN"/>
        </w:rPr>
        <w:t>）</w:t>
      </w:r>
      <w:r>
        <w:rPr>
          <w:highlight w:val="none"/>
        </w:rPr>
        <w:t>项目实施方案</w:t>
      </w:r>
    </w:p>
    <w:p w14:paraId="76E75AFF">
      <w:pPr>
        <w:ind w:firstLine="420" w:firstLineChars="200"/>
        <w:rPr>
          <w:rFonts w:hAnsi="宋体"/>
          <w:bCs/>
          <w:snapToGrid w:val="0"/>
          <w:highlight w:val="none"/>
          <w:lang w:val="zh-CN"/>
        </w:rPr>
      </w:pPr>
      <w:r>
        <w:rPr>
          <w:rFonts w:hAnsi="宋体"/>
          <w:bCs/>
          <w:snapToGrid w:val="0"/>
          <w:highlight w:val="none"/>
          <w:lang w:val="zh-CN"/>
        </w:rPr>
        <w:t>（</w:t>
      </w:r>
      <w:r>
        <w:rPr>
          <w:rFonts w:hint="eastAsia" w:hAnsi="宋体"/>
          <w:bCs/>
          <w:snapToGrid w:val="0"/>
          <w:highlight w:val="none"/>
        </w:rPr>
        <w:t>方案应包括包括履行合同的时间计划、提交资料、人员安排等内容</w:t>
      </w:r>
      <w:r>
        <w:rPr>
          <w:rFonts w:hAnsi="宋体"/>
          <w:bCs/>
          <w:snapToGrid w:val="0"/>
          <w:highlight w:val="none"/>
          <w:lang w:val="zh-CN"/>
        </w:rPr>
        <w:t>）</w:t>
      </w:r>
      <w:r>
        <w:rPr>
          <w:rFonts w:hAnsi="宋体"/>
          <w:bCs/>
          <w:snapToGrid w:val="0"/>
          <w:highlight w:val="none"/>
          <w:lang w:val="zh-CN"/>
        </w:rPr>
        <w:br w:type="page"/>
      </w:r>
    </w:p>
    <w:p w14:paraId="09A6D8E4">
      <w:pPr>
        <w:pStyle w:val="33"/>
        <w:rPr>
          <w:highlight w:val="none"/>
          <w:lang w:val="zh-CN"/>
        </w:rPr>
      </w:pPr>
      <w:r>
        <w:rPr>
          <w:rFonts w:hint="eastAsia"/>
          <w:highlight w:val="none"/>
          <w:lang w:val="zh-CN"/>
        </w:rPr>
        <w:t>（</w:t>
      </w:r>
      <w:r>
        <w:rPr>
          <w:highlight w:val="none"/>
          <w:lang w:val="zh-CN"/>
        </w:rPr>
        <w:t>五</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64643CF3">
      <w:pPr>
        <w:rPr>
          <w:highlight w:val="none"/>
          <w:lang w:val="zh-CN"/>
        </w:rPr>
      </w:pPr>
    </w:p>
    <w:p w14:paraId="53D697BD">
      <w:pPr>
        <w:rPr>
          <w:highlight w:val="none"/>
          <w:lang w:val="zh-CN"/>
        </w:rPr>
      </w:pPr>
    </w:p>
    <w:p w14:paraId="26B0C390">
      <w:pPr>
        <w:rPr>
          <w:highlight w:val="none"/>
          <w:lang w:val="zh-CN"/>
        </w:rPr>
        <w:sectPr>
          <w:pgSz w:w="11906" w:h="16838"/>
          <w:pgMar w:top="1440" w:right="1800" w:bottom="1440" w:left="1800" w:header="851" w:footer="992" w:gutter="0"/>
          <w:cols w:space="425" w:num="1"/>
          <w:docGrid w:type="lines" w:linePitch="312" w:charSpace="0"/>
        </w:sectPr>
      </w:pPr>
    </w:p>
    <w:p w14:paraId="11913757">
      <w:pPr>
        <w:widowControl/>
        <w:autoSpaceDE/>
        <w:autoSpaceDN/>
        <w:spacing w:line="240" w:lineRule="auto"/>
        <w:jc w:val="center"/>
        <w:outlineLvl w:val="1"/>
        <w:rPr>
          <w:highlight w:val="none"/>
        </w:rPr>
      </w:pPr>
      <w:r>
        <w:rPr>
          <w:rFonts w:hint="eastAsia"/>
          <w:highlight w:val="none"/>
          <w:lang w:val="en-US" w:eastAsia="zh-CN"/>
        </w:rPr>
        <w:t>六</w:t>
      </w:r>
      <w:r>
        <w:rPr>
          <w:highlight w:val="none"/>
        </w:rPr>
        <w:t>、其他（如有）</w:t>
      </w:r>
    </w:p>
    <w:p w14:paraId="2A50CAEB">
      <w:pPr>
        <w:rPr>
          <w:highlight w:val="none"/>
        </w:rPr>
      </w:pPr>
    </w:p>
    <w:p w14:paraId="7F737631">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C9B6">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49350" cy="345876"/>
                      </a:xfrm>
                      <a:prstGeom prst="rect">
                        <a:avLst/>
                      </a:prstGeom>
                      <a:noFill/>
                      <a:ln w="6350" cap="flat" cmpd="sng">
                        <a:noFill/>
                        <a:prstDash val="solid"/>
                        <a:round/>
                      </a:ln>
                    </wps:spPr>
                    <wps:txbx>
                      <w:txbxContent>
                        <w:p w14:paraId="11A87E6B">
                          <w:pPr>
                            <w:pStyle w:val="12"/>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0.5pt;mso-position-horizontal:center;mso-position-horizontal-relative:margin;mso-wrap-style:none;z-index:251659264;mso-width-relative:page;mso-height-relative:page;" filled="f" stroked="f" coordsize="21600,21600" o:gfxdata="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aul/XAAAABAEAAA8AAAAAAAAAAQAgAAAAIgAAAGRycy9k&#10;b3ducmV2LnhtbFBLAQIUABQAAAAIAIdO4kBN3UB0AwIAAPUDAAAOAAAAAAAAAAEAIAAAACYBAABk&#10;cnMvZTJvRG9jLnhtbFBLBQYAAAAABgAGAFkBAACbBQAAAAA=&#10;">
              <v:fill on="f" focussize="0,0"/>
              <v:stroke on="f" weight="0.5pt" joinstyle="round"/>
              <v:imagedata o:title=""/>
              <o:lock v:ext="edit" aspectratio="f"/>
              <v:textbox inset="0mm,0mm,0mm,0mm" style="mso-fit-shape-to-text:t;">
                <w:txbxContent>
                  <w:p w14:paraId="11A87E6B">
                    <w:pPr>
                      <w:pStyle w:val="12"/>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20E3">
    <w:pPr>
      <w:pStyle w:val="14"/>
      <w:jc w:val="center"/>
    </w:pPr>
    <w:r>
      <w:fldChar w:fldCharType="begin"/>
    </w:r>
    <w:r>
      <w:instrText xml:space="preserve"> PAGE   \* MERGEFORMAT </w:instrText>
    </w:r>
    <w:r>
      <w:fldChar w:fldCharType="separate"/>
    </w:r>
    <w:r>
      <w:rPr>
        <w:lang w:val="zh-CN" w:eastAsia="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37F5">
    <w:pPr>
      <w:pStyle w:val="12"/>
      <w:tabs>
        <w:tab w:val="right" w:pos="8390"/>
      </w:tabs>
      <w:wordWrap w:val="0"/>
      <w:autoSpaceDE w:val="0"/>
      <w:autoSpaceDN w:val="0"/>
      <w:ind w:right="26"/>
      <w:rPr>
        <w:sz w:val="18"/>
        <w:szCs w:val="18"/>
        <w:u w:val="single"/>
      </w:rPr>
    </w:pPr>
    <w:r>
      <w:rPr>
        <w:rFonts w:hint="eastAsia"/>
        <w:sz w:val="18"/>
        <w:szCs w:val="18"/>
        <w:u w:val="single"/>
      </w:rPr>
      <w:t>重庆三峡银行技术服务合同（</w:t>
    </w:r>
    <w:r>
      <w:rPr>
        <w:sz w:val="18"/>
        <w:szCs w:val="18"/>
        <w:u w:val="single"/>
      </w:rPr>
      <w:t>服务器</w:t>
    </w:r>
    <w:r>
      <w:rPr>
        <w:szCs w:val="18"/>
        <w:highlight w:val="none"/>
        <w:u w:val="single"/>
      </w:rPr>
      <w:t>2025-2026年度维保采购</w:t>
    </w:r>
    <w:r>
      <w:rPr>
        <w:rFonts w:hint="eastAsia"/>
        <w:szCs w:val="18"/>
        <w:highlight w:val="none"/>
        <w:u w:val="single"/>
      </w:rPr>
      <w:t>项目</w:t>
    </w:r>
    <w:r>
      <w:rPr>
        <w:rFonts w:hint="eastAsia"/>
        <w:sz w:val="18"/>
        <w:szCs w:val="18"/>
        <w:u w:val="single"/>
      </w:rPr>
      <w:t>）                    商业秘密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D7DE">
    <w:pPr>
      <w:pStyle w:val="12"/>
      <w:tabs>
        <w:tab w:val="right" w:pos="8390"/>
      </w:tabs>
      <w:wordWrap w:val="0"/>
      <w:autoSpaceDE w:val="0"/>
      <w:autoSpaceDN w:val="0"/>
      <w:ind w:right="26"/>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DB0AD07"/>
    <w:multiLevelType w:val="singleLevel"/>
    <w:tmpl w:val="0DB0AD07"/>
    <w:lvl w:ilvl="0" w:tentative="0">
      <w:start w:val="1"/>
      <w:numFmt w:val="decimal"/>
      <w:suff w:val="nothing"/>
      <w:lvlText w:val="%1、"/>
      <w:lvlJc w:val="left"/>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6">
    <w:nsid w:val="7B40780D"/>
    <w:multiLevelType w:val="multilevel"/>
    <w:tmpl w:val="7B4078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2EyMDhlMzk5OGQ3NzJjODU3MGIxZjllNmM4MGI4NTAifQ=="/>
  </w:docVars>
  <w:rsids>
    <w:rsidRoot w:val="00000000"/>
    <w:rsid w:val="012D0479"/>
    <w:rsid w:val="2EC4391B"/>
    <w:rsid w:val="32FD564D"/>
    <w:rsid w:val="3EAF5939"/>
    <w:rsid w:val="4910286C"/>
    <w:rsid w:val="498C221A"/>
    <w:rsid w:val="53964FD7"/>
    <w:rsid w:val="670E0D07"/>
    <w:rsid w:val="7F47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autoRedefine/>
    <w:qFormat/>
    <w:locked/>
    <w:uiPriority w:val="0"/>
    <w:pPr>
      <w:keepNext/>
      <w:keepLines/>
      <w:spacing w:before="240" w:after="64" w:line="317" w:lineRule="auto"/>
      <w:outlineLvl w:val="6"/>
    </w:pPr>
    <w:rPr>
      <w:b/>
    </w:rPr>
  </w:style>
  <w:style w:type="character" w:default="1" w:styleId="18">
    <w:name w:val="Default Paragraph Font"/>
    <w:autoRedefine/>
    <w:qFormat/>
    <w:uiPriority w:val="0"/>
  </w:style>
  <w:style w:type="table" w:default="1" w:styleId="17">
    <w:name w:val="Normal Table"/>
    <w:qFormat/>
    <w:uiPriority w:val="4294967295"/>
    <w:tblPr>
      <w:tblCellMar>
        <w:top w:w="0" w:type="dxa"/>
        <w:left w:w="108" w:type="dxa"/>
        <w:bottom w:w="0" w:type="dxa"/>
        <w:right w:w="108" w:type="dxa"/>
      </w:tblCellMar>
    </w:tblPr>
  </w:style>
  <w:style w:type="paragraph" w:styleId="9">
    <w:name w:val="annotation text"/>
    <w:basedOn w:val="1"/>
    <w:autoRedefine/>
    <w:qFormat/>
    <w:locked/>
    <w:uiPriority w:val="0"/>
    <w:pPr>
      <w:jc w:val="left"/>
    </w:pPr>
  </w:style>
  <w:style w:type="paragraph" w:styleId="10">
    <w:name w:val="Body Text"/>
    <w:basedOn w:val="1"/>
    <w:next w:val="1"/>
    <w:autoRedefine/>
    <w:qFormat/>
    <w:locked/>
    <w:uiPriority w:val="0"/>
    <w:pPr>
      <w:tabs>
        <w:tab w:val="center" w:pos="4201"/>
        <w:tab w:val="right" w:leader="dot" w:pos="9298"/>
      </w:tabs>
    </w:pPr>
    <w:rPr>
      <w:sz w:val="24"/>
    </w:rPr>
  </w:style>
  <w:style w:type="paragraph" w:styleId="11">
    <w:name w:val="Balloon Text"/>
    <w:basedOn w:val="1"/>
    <w:autoRedefine/>
    <w:qFormat/>
    <w:uiPriority w:val="0"/>
    <w:pPr>
      <w:spacing w:line="240" w:lineRule="auto"/>
    </w:pPr>
    <w:rPr>
      <w:sz w:val="18"/>
      <w:szCs w:val="18"/>
    </w:rPr>
  </w:style>
  <w:style w:type="paragraph" w:styleId="12">
    <w:name w:val="footer"/>
    <w:basedOn w:val="1"/>
    <w:autoRedefine/>
    <w:qFormat/>
    <w:locked/>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annotation subject"/>
    <w:basedOn w:val="9"/>
    <w:next w:val="9"/>
    <w:autoRedefine/>
    <w:qFormat/>
    <w:uiPriority w:val="0"/>
    <w:rPr>
      <w:b/>
      <w:bCs/>
    </w:rPr>
  </w:style>
  <w:style w:type="character" w:styleId="19">
    <w:name w:val="annotation reference"/>
    <w:basedOn w:val="18"/>
    <w:autoRedefine/>
    <w:qFormat/>
    <w:uiPriority w:val="0"/>
    <w:rPr>
      <w:sz w:val="21"/>
      <w:szCs w:val="21"/>
    </w:rPr>
  </w:style>
  <w:style w:type="character" w:customStyle="1" w:styleId="20">
    <w:name w:val="标题 2 Char"/>
    <w:basedOn w:val="18"/>
    <w:autoRedefine/>
    <w:qFormat/>
    <w:uiPriority w:val="0"/>
    <w:rPr>
      <w:rFonts w:ascii="Times New Roman" w:hAnsi="Times New Roman" w:eastAsia="宋体" w:cs="Times New Roman"/>
      <w:b/>
      <w:bCs/>
      <w:snapToGrid w:val="0"/>
      <w:szCs w:val="24"/>
    </w:rPr>
  </w:style>
  <w:style w:type="character" w:customStyle="1" w:styleId="21">
    <w:name w:val="标题 3 Char"/>
    <w:basedOn w:val="18"/>
    <w:autoRedefine/>
    <w:qFormat/>
    <w:uiPriority w:val="0"/>
    <w:rPr>
      <w:b/>
      <w:bCs/>
      <w:szCs w:val="32"/>
    </w:rPr>
  </w:style>
  <w:style w:type="character" w:customStyle="1" w:styleId="22">
    <w:name w:val="heading 1 Char"/>
    <w:basedOn w:val="18"/>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3">
    <w:name w:val="heading 2 Char"/>
    <w:basedOn w:val="18"/>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4">
    <w:name w:val="heading 3 Char"/>
    <w:basedOn w:val="18"/>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5">
    <w:name w:val="heading 4 Char"/>
    <w:basedOn w:val="18"/>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6">
    <w:name w:val="heading 5 Char"/>
    <w:basedOn w:val="18"/>
    <w:link w:val="6"/>
    <w:autoRedefine/>
    <w:qFormat/>
    <w:uiPriority w:val="0"/>
    <w:rPr>
      <w:rFonts w:ascii="Times New Roman" w:hAnsi="Times New Roman" w:eastAsia="宋体" w:cs="Cambria Math"/>
      <w:b/>
      <w:kern w:val="2"/>
      <w:sz w:val="28"/>
      <w:szCs w:val="20"/>
      <w:lang w:val="en-US" w:eastAsia="zh-CN" w:bidi="ar-SA"/>
    </w:rPr>
  </w:style>
  <w:style w:type="character" w:customStyle="1" w:styleId="27">
    <w:name w:val="heading 6 Char"/>
    <w:basedOn w:val="18"/>
    <w:link w:val="7"/>
    <w:autoRedefine/>
    <w:qFormat/>
    <w:uiPriority w:val="0"/>
    <w:rPr>
      <w:rFonts w:ascii="Times New Roman" w:hAnsi="Times New Roman" w:eastAsia="黑体" w:cs="Cambria Math"/>
      <w:b/>
      <w:kern w:val="2"/>
      <w:sz w:val="21"/>
      <w:szCs w:val="20"/>
      <w:lang w:val="en-US" w:eastAsia="zh-CN" w:bidi="ar-SA"/>
    </w:rPr>
  </w:style>
  <w:style w:type="character" w:customStyle="1" w:styleId="28">
    <w:name w:val="heading 7 Char"/>
    <w:basedOn w:val="18"/>
    <w:link w:val="8"/>
    <w:autoRedefine/>
    <w:qFormat/>
    <w:uiPriority w:val="0"/>
    <w:rPr>
      <w:rFonts w:ascii="Times New Roman" w:hAnsi="Times New Roman" w:eastAsia="宋体" w:cs="Cambria Math"/>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18"/>
    <w:autoRedefine/>
    <w:qFormat/>
    <w:uiPriority w:val="0"/>
    <w:rPr>
      <w:rFonts w:ascii="Times New Roman" w:hAnsi="Times New Roman" w:eastAsia="宋体" w:cs="等线 Light"/>
      <w:b/>
      <w:snapToGrid w:val="0"/>
      <w:kern w:val="0"/>
      <w:sz w:val="44"/>
      <w:szCs w:val="44"/>
    </w:rPr>
  </w:style>
  <w:style w:type="character" w:customStyle="1" w:styleId="31">
    <w:name w:val="标题 5 Char"/>
    <w:autoRedefine/>
    <w:qFormat/>
    <w:uiPriority w:val="0"/>
    <w:rPr>
      <w:rFonts w:ascii="Times New Roman" w:hAnsi="Times New Roman" w:eastAsia="宋体"/>
      <w:b/>
      <w:sz w:val="28"/>
    </w:rPr>
  </w:style>
  <w:style w:type="paragraph" w:customStyle="1" w:styleId="32">
    <w:name w:val="参选文件格式1"/>
    <w:basedOn w:val="1"/>
    <w:next w:val="1"/>
    <w:autoRedefine/>
    <w:qFormat/>
    <w:locked/>
    <w:uiPriority w:val="0"/>
    <w:pPr>
      <w:ind w:firstLine="0" w:firstLineChars="0"/>
      <w:jc w:val="center"/>
      <w:outlineLvl w:val="1"/>
    </w:pPr>
    <w:rPr>
      <w:b/>
      <w:sz w:val="28"/>
    </w:rPr>
  </w:style>
  <w:style w:type="paragraph" w:customStyle="1" w:styleId="33">
    <w:name w:val="参选文件格式2"/>
    <w:basedOn w:val="1"/>
    <w:next w:val="1"/>
    <w:autoRedefine/>
    <w:qFormat/>
    <w:locked/>
    <w:uiPriority w:val="0"/>
    <w:pPr>
      <w:ind w:firstLine="0" w:firstLineChars="0"/>
      <w:jc w:val="center"/>
      <w:outlineLvl w:val="2"/>
    </w:pPr>
    <w:rPr>
      <w:bCs/>
      <w:szCs w:val="32"/>
    </w:rPr>
  </w:style>
  <w:style w:type="paragraph" w:customStyle="1" w:styleId="34">
    <w:name w:val="参选文件格式3"/>
    <w:basedOn w:val="1"/>
    <w:link w:val="35"/>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5">
    <w:name w:val="参选文件格式3 Char"/>
    <w:basedOn w:val="18"/>
    <w:link w:val="34"/>
    <w:autoRedefine/>
    <w:qFormat/>
    <w:uiPriority w:val="0"/>
    <w:rPr>
      <w:rFonts w:ascii="宋体" w:hAnsi="宋体" w:eastAsia="宋体" w:cs="Cambria Math"/>
      <w:b/>
      <w:snapToGrid w:val="0"/>
      <w:kern w:val="0"/>
      <w:sz w:val="21"/>
      <w:szCs w:val="20"/>
      <w:lang w:val="en-US" w:eastAsia="zh-CN" w:bidi="ar-SA"/>
    </w:rPr>
  </w:style>
  <w:style w:type="character" w:customStyle="1" w:styleId="36">
    <w:name w:val="标题 4 字符"/>
    <w:autoRedefine/>
    <w:qFormat/>
    <w:uiPriority w:val="0"/>
    <w:rPr>
      <w:rFonts w:cs="Times New Roman"/>
      <w:bCs/>
      <w:szCs w:val="28"/>
    </w:rPr>
  </w:style>
  <w:style w:type="paragraph" w:customStyle="1" w:styleId="37">
    <w:name w:val="表格"/>
    <w:basedOn w:val="1"/>
    <w:qFormat/>
    <w:locked/>
    <w:uiPriority w:val="0"/>
    <w:pPr>
      <w:spacing w:line="240" w:lineRule="auto"/>
      <w:ind w:firstLine="0" w:firstLineChars="0"/>
    </w:pPr>
    <w:rPr>
      <w:bCs/>
      <w:szCs w:val="18"/>
    </w:rPr>
  </w:style>
  <w:style w:type="paragraph" w:customStyle="1" w:styleId="38">
    <w:name w:val="表格（标题）"/>
    <w:basedOn w:val="1"/>
    <w:qFormat/>
    <w:locked/>
    <w:uiPriority w:val="0"/>
    <w:pPr>
      <w:spacing w:line="240" w:lineRule="auto"/>
      <w:ind w:firstLine="0" w:firstLineChars="0"/>
      <w:jc w:val="center"/>
    </w:pPr>
    <w:rPr>
      <w:b/>
      <w:bCs/>
      <w:szCs w:val="18"/>
    </w:rPr>
  </w:style>
  <w:style w:type="paragraph" w:customStyle="1" w:styleId="39">
    <w:name w:val="标题2（无级别）"/>
    <w:basedOn w:val="1"/>
    <w:next w:val="1"/>
    <w:qFormat/>
    <w:locked/>
    <w:uiPriority w:val="0"/>
    <w:pPr>
      <w:ind w:firstLine="0" w:firstLineChars="0"/>
    </w:pPr>
    <w:rPr>
      <w:rFonts w:cs="Times New Roman"/>
      <w:b/>
      <w:bCs/>
      <w:snapToGrid w:val="0"/>
      <w:szCs w:val="24"/>
    </w:rPr>
  </w:style>
  <w:style w:type="paragraph" w:customStyle="1" w:styleId="40">
    <w:name w:val="标题3（无级别）"/>
    <w:basedOn w:val="1"/>
    <w:next w:val="1"/>
    <w:qFormat/>
    <w:locked/>
    <w:uiPriority w:val="0"/>
    <w:rPr>
      <w:b/>
      <w:bCs/>
      <w:szCs w:val="32"/>
    </w:rPr>
  </w:style>
  <w:style w:type="paragraph" w:customStyle="1" w:styleId="41">
    <w:name w:val="小五"/>
    <w:basedOn w:val="1"/>
    <w:next w:val="1"/>
    <w:qFormat/>
    <w:locked/>
    <w:uiPriority w:val="0"/>
    <w:pPr>
      <w:spacing w:line="240" w:lineRule="auto"/>
      <w:ind w:firstLine="0" w:firstLineChars="0"/>
    </w:pPr>
    <w:rPr>
      <w:rFonts w:cs="Times New Roman"/>
      <w:sz w:val="18"/>
      <w:szCs w:val="18"/>
    </w:rPr>
  </w:style>
  <w:style w:type="paragraph" w:customStyle="1" w:styleId="42">
    <w:name w:val="封面标题"/>
    <w:basedOn w:val="1"/>
    <w:qFormat/>
    <w:locked/>
    <w:uiPriority w:val="0"/>
    <w:pPr>
      <w:ind w:firstLine="0" w:firstLineChars="0"/>
      <w:jc w:val="center"/>
    </w:pPr>
    <w:rPr>
      <w:rFonts w:cs="Times New Roman"/>
      <w:b/>
      <w:snapToGrid w:val="0"/>
      <w:kern w:val="0"/>
      <w:sz w:val="48"/>
      <w:szCs w:val="84"/>
    </w:rPr>
  </w:style>
  <w:style w:type="paragraph" w:customStyle="1" w:styleId="43">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4">
    <w:name w:val="正文居中"/>
    <w:basedOn w:val="1"/>
    <w:qFormat/>
    <w:locked/>
    <w:uiPriority w:val="0"/>
    <w:pPr>
      <w:ind w:firstLine="0" w:firstLineChars="0"/>
      <w:jc w:val="center"/>
    </w:pPr>
  </w:style>
  <w:style w:type="paragraph" w:styleId="45">
    <w:name w:val="List Paragraph"/>
    <w:basedOn w:val="1"/>
    <w:qFormat/>
    <w:uiPriority w:val="0"/>
  </w:style>
  <w:style w:type="character" w:customStyle="1" w:styleId="46">
    <w:name w:val="font21"/>
    <w:basedOn w:val="18"/>
    <w:autoRedefine/>
    <w:qFormat/>
    <w:uiPriority w:val="0"/>
    <w:rPr>
      <w:rFonts w:ascii="宋体" w:hAnsi="宋体" w:eastAsia="宋体" w:cs="宋体"/>
      <w:color w:val="000000"/>
      <w:sz w:val="21"/>
      <w:szCs w:val="21"/>
      <w:u w:val="none"/>
    </w:rPr>
  </w:style>
  <w:style w:type="paragraph" w:customStyle="1" w:styleId="47">
    <w:name w:val="样式 正文缩进 + 小四 左侧:  2 字符"/>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3D2AD-DF00-4E61-89E8-03FBAE71B5D6}">
  <ds:schemaRefs/>
</ds:datastoreItem>
</file>

<file path=docProps/app.xml><?xml version="1.0" encoding="utf-8"?>
<Properties xmlns="http://schemas.openxmlformats.org/officeDocument/2006/extended-properties" xmlns:vt="http://schemas.openxmlformats.org/officeDocument/2006/docPropsVTypes">
  <Template>Normal.eit</Template>
  <Pages>78</Pages>
  <Words>2417</Words>
  <Characters>2606</Characters>
  <Lines>0</Lines>
  <Paragraphs>711</Paragraphs>
  <TotalTime>3</TotalTime>
  <ScaleCrop>false</ScaleCrop>
  <LinksUpToDate>false</LinksUpToDate>
  <CharactersWithSpaces>2686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2025-05-15T02:51:00Z</cp:lastPrinted>
  <dcterms:modified xsi:type="dcterms:W3CDTF">2025-06-12T03:11:28Z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3D1ED043D95E4FE397898CED3E3684C4_13</vt:lpwstr>
  </property>
  <property fmtid="{D5CDD505-2E9C-101B-9397-08002B2CF9AE}" pid="4" name="KSOTemplateDocerSaveRecord">
    <vt:lpwstr>eyJoZGlkIjoiYThmYmM2ZGU3Mjk4MzA4ZDkyYTRlNDQ1NGZiYzU0MzIiLCJ1c2VySWQiOiIxNjAxNzI3MDEzIn0=</vt:lpwstr>
  </property>
</Properties>
</file>