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6D62C">
      <w:pPr>
        <w:pStyle w:val="5"/>
      </w:pPr>
      <w:r>
        <w:t>重庆三峡银行2025年网络安全等级保护测评服务项目</w:t>
      </w:r>
      <w:r>
        <w:rPr>
          <w:rFonts w:hint="eastAsia"/>
        </w:rPr>
        <w:t>询比公告</w:t>
      </w:r>
    </w:p>
    <w:p w14:paraId="475D30D5">
      <w:pPr>
        <w:ind w:left="0" w:firstLine="420" w:firstLineChars="200"/>
        <w:jc w:val="both"/>
        <w:rPr>
          <w:highlight w:val="cyan"/>
        </w:rPr>
      </w:pPr>
      <w:bookmarkStart w:id="0" w:name="_Toc89675127"/>
      <w:bookmarkStart w:id="1" w:name="_Toc55379218"/>
      <w:r>
        <w:t>根据《网络安全法》《数据安全法》等法律法规和有关政策要求，为深入贯彻落实网络安全等级保护制度，须每年开展网络安全等级保护测评和突出隐患整改工作。现对重庆三峡银行2025年网络安全等级保护测评服务项目进行公开询比，特邀请有意向的潜在响应人参与响应。</w:t>
      </w:r>
    </w:p>
    <w:p w14:paraId="5025187B">
      <w:pPr>
        <w:pStyle w:val="6"/>
      </w:pPr>
      <w:r>
        <w:rPr>
          <w:rFonts w:hint="eastAsia"/>
        </w:rPr>
        <w:t>1. 询比项目内容</w:t>
      </w:r>
      <w:bookmarkEnd w:id="0"/>
      <w:bookmarkEnd w:id="1"/>
    </w:p>
    <w:p w14:paraId="73448EAB">
      <w:r>
        <w:t>1.1 项目名称</w:t>
      </w:r>
      <w:r>
        <w:rPr>
          <w:rFonts w:hint="eastAsia"/>
        </w:rPr>
        <w:t>：</w:t>
      </w:r>
      <w:r>
        <w:t>重庆三峡银行2025年网络安全等级保护测评服务项目</w:t>
      </w:r>
    </w:p>
    <w:p w14:paraId="7CCD4360">
      <w:r>
        <w:t>1.2 最高限价：网络安全等级保护测评各类别系统报价最高限价如下表：</w:t>
      </w:r>
    </w:p>
    <w:tbl>
      <w:tblPr>
        <w:tblStyle w:val="7"/>
        <w:tblW w:w="6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945"/>
        <w:gridCol w:w="2382"/>
      </w:tblGrid>
      <w:tr w14:paraId="1E5F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04C16FE8">
            <w:pPr>
              <w:pBdr>
                <w:top w:val="none" w:color="auto" w:sz="0" w:space="0"/>
                <w:left w:val="none" w:color="auto" w:sz="0" w:space="0"/>
                <w:bottom w:val="none" w:color="auto" w:sz="0" w:space="0"/>
                <w:right w:val="none" w:color="auto" w:sz="0" w:space="0"/>
              </w:pBdr>
              <w:ind w:firstLine="0" w:firstLineChars="0"/>
              <w:jc w:val="center"/>
            </w:pPr>
            <w:r>
              <w:rPr>
                <w:rFonts w:hint="eastAsia"/>
                <w:b/>
                <w:szCs w:val="18"/>
              </w:rPr>
              <w:t>序号</w:t>
            </w:r>
          </w:p>
        </w:tc>
        <w:tc>
          <w:tcPr>
            <w:tcW w:w="2945" w:type="dxa"/>
            <w:vAlign w:val="center"/>
          </w:tcPr>
          <w:p w14:paraId="4B5E93F4">
            <w:pPr>
              <w:pBdr>
                <w:top w:val="none" w:color="auto" w:sz="0" w:space="0"/>
                <w:left w:val="none" w:color="auto" w:sz="0" w:space="0"/>
                <w:bottom w:val="none" w:color="auto" w:sz="0" w:space="0"/>
                <w:right w:val="none" w:color="auto" w:sz="0" w:space="0"/>
              </w:pBdr>
              <w:ind w:firstLine="0" w:firstLineChars="0"/>
              <w:jc w:val="center"/>
            </w:pPr>
            <w:r>
              <w:rPr>
                <w:rFonts w:hint="eastAsia"/>
                <w:b/>
                <w:szCs w:val="18"/>
              </w:rPr>
              <w:t>类别</w:t>
            </w:r>
          </w:p>
        </w:tc>
        <w:tc>
          <w:tcPr>
            <w:tcW w:w="2382" w:type="dxa"/>
            <w:vAlign w:val="center"/>
          </w:tcPr>
          <w:p w14:paraId="64AE1F93">
            <w:pPr>
              <w:pBdr>
                <w:top w:val="none" w:color="auto" w:sz="0" w:space="0"/>
                <w:left w:val="none" w:color="auto" w:sz="0" w:space="0"/>
                <w:bottom w:val="none" w:color="auto" w:sz="0" w:space="0"/>
                <w:right w:val="none" w:color="auto" w:sz="0" w:space="0"/>
              </w:pBdr>
              <w:ind w:firstLine="0" w:firstLineChars="0"/>
              <w:jc w:val="center"/>
            </w:pPr>
            <w:r>
              <w:rPr>
                <w:rFonts w:hint="eastAsia"/>
                <w:b/>
                <w:szCs w:val="18"/>
              </w:rPr>
              <w:t>费用（万元/个）</w:t>
            </w:r>
            <w:r>
              <w:rPr>
                <w:b/>
                <w:szCs w:val="18"/>
              </w:rPr>
              <w:t>（含税）</w:t>
            </w:r>
          </w:p>
        </w:tc>
      </w:tr>
      <w:tr w14:paraId="6E9A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3577DDF8">
            <w:pPr>
              <w:pBdr>
                <w:top w:val="none" w:color="auto" w:sz="0" w:space="0"/>
                <w:left w:val="none" w:color="auto" w:sz="0" w:space="0"/>
                <w:bottom w:val="none" w:color="auto" w:sz="0" w:space="0"/>
                <w:right w:val="none" w:color="auto" w:sz="0" w:space="0"/>
              </w:pBdr>
              <w:ind w:firstLine="0" w:firstLineChars="0"/>
              <w:jc w:val="center"/>
            </w:pPr>
            <w:r>
              <w:t>1</w:t>
            </w:r>
          </w:p>
        </w:tc>
        <w:tc>
          <w:tcPr>
            <w:tcW w:w="2945" w:type="dxa"/>
            <w:tcBorders>
              <w:top w:val="single" w:color="auto" w:sz="4" w:space="0"/>
              <w:left w:val="single" w:color="auto" w:sz="4" w:space="0"/>
              <w:right w:val="single" w:color="auto" w:sz="4" w:space="0"/>
            </w:tcBorders>
            <w:vAlign w:val="center"/>
          </w:tcPr>
          <w:p w14:paraId="24FEC038">
            <w:pPr>
              <w:pBdr>
                <w:top w:val="none" w:color="auto" w:sz="0" w:space="0"/>
                <w:left w:val="none" w:color="auto" w:sz="0" w:space="0"/>
                <w:bottom w:val="none" w:color="auto" w:sz="0" w:space="0"/>
                <w:right w:val="none" w:color="auto" w:sz="0" w:space="0"/>
              </w:pBdr>
              <w:ind w:firstLine="0" w:firstLineChars="0"/>
              <w:jc w:val="center"/>
            </w:pPr>
            <w:r>
              <w:t>存量三级系统测评</w:t>
            </w:r>
          </w:p>
        </w:tc>
        <w:tc>
          <w:tcPr>
            <w:tcW w:w="2382" w:type="dxa"/>
            <w:vAlign w:val="center"/>
          </w:tcPr>
          <w:p w14:paraId="1C033FB1">
            <w:pPr>
              <w:pBdr>
                <w:top w:val="none" w:color="auto" w:sz="0" w:space="0"/>
                <w:left w:val="none" w:color="auto" w:sz="0" w:space="0"/>
                <w:bottom w:val="none" w:color="auto" w:sz="0" w:space="0"/>
                <w:right w:val="none" w:color="auto" w:sz="0" w:space="0"/>
              </w:pBdr>
              <w:ind w:firstLine="0" w:firstLineChars="0"/>
              <w:jc w:val="center"/>
            </w:pPr>
            <w:r>
              <w:t>5</w:t>
            </w:r>
          </w:p>
        </w:tc>
      </w:tr>
      <w:tr w14:paraId="1636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5C72DAF1">
            <w:pPr>
              <w:pBdr>
                <w:top w:val="none" w:color="auto" w:sz="0" w:space="0"/>
                <w:left w:val="none" w:color="auto" w:sz="0" w:space="0"/>
                <w:bottom w:val="none" w:color="auto" w:sz="0" w:space="0"/>
                <w:right w:val="none" w:color="auto" w:sz="0" w:space="0"/>
              </w:pBdr>
              <w:ind w:firstLine="0" w:firstLineChars="0"/>
              <w:jc w:val="center"/>
            </w:pPr>
            <w:r>
              <w:t>2</w:t>
            </w:r>
          </w:p>
        </w:tc>
        <w:tc>
          <w:tcPr>
            <w:tcW w:w="2945" w:type="dxa"/>
            <w:tcBorders>
              <w:top w:val="single" w:color="auto" w:sz="4" w:space="0"/>
              <w:left w:val="single" w:color="auto" w:sz="4" w:space="0"/>
              <w:right w:val="single" w:color="auto" w:sz="4" w:space="0"/>
            </w:tcBorders>
            <w:vAlign w:val="center"/>
          </w:tcPr>
          <w:p w14:paraId="5124569C">
            <w:pPr>
              <w:pBdr>
                <w:top w:val="none" w:color="auto" w:sz="0" w:space="0"/>
                <w:left w:val="none" w:color="auto" w:sz="0" w:space="0"/>
                <w:bottom w:val="none" w:color="auto" w:sz="0" w:space="0"/>
                <w:right w:val="none" w:color="auto" w:sz="0" w:space="0"/>
              </w:pBdr>
              <w:ind w:firstLine="0" w:firstLineChars="0"/>
              <w:jc w:val="center"/>
            </w:pPr>
            <w:r>
              <w:t>存量二级系统测评</w:t>
            </w:r>
          </w:p>
        </w:tc>
        <w:tc>
          <w:tcPr>
            <w:tcW w:w="2382" w:type="dxa"/>
            <w:vAlign w:val="center"/>
          </w:tcPr>
          <w:p w14:paraId="62D8A2B9">
            <w:pPr>
              <w:pBdr>
                <w:top w:val="none" w:color="auto" w:sz="0" w:space="0"/>
                <w:left w:val="none" w:color="auto" w:sz="0" w:space="0"/>
                <w:bottom w:val="none" w:color="auto" w:sz="0" w:space="0"/>
                <w:right w:val="none" w:color="auto" w:sz="0" w:space="0"/>
              </w:pBdr>
              <w:ind w:firstLine="0" w:firstLineChars="0"/>
              <w:jc w:val="center"/>
            </w:pPr>
            <w:r>
              <w:t>3</w:t>
            </w:r>
          </w:p>
        </w:tc>
      </w:tr>
      <w:tr w14:paraId="50A7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0C13DA03">
            <w:pPr>
              <w:pBdr>
                <w:top w:val="none" w:color="auto" w:sz="0" w:space="0"/>
                <w:left w:val="none" w:color="auto" w:sz="0" w:space="0"/>
                <w:bottom w:val="none" w:color="auto" w:sz="0" w:space="0"/>
                <w:right w:val="none" w:color="auto" w:sz="0" w:space="0"/>
              </w:pBdr>
              <w:ind w:firstLine="0" w:firstLineChars="0"/>
              <w:jc w:val="center"/>
            </w:pPr>
            <w:r>
              <w:t>3</w:t>
            </w:r>
          </w:p>
        </w:tc>
        <w:tc>
          <w:tcPr>
            <w:tcW w:w="2945" w:type="dxa"/>
            <w:tcBorders>
              <w:top w:val="single" w:color="auto" w:sz="4" w:space="0"/>
              <w:left w:val="single" w:color="auto" w:sz="4" w:space="0"/>
              <w:right w:val="single" w:color="auto" w:sz="4" w:space="0"/>
            </w:tcBorders>
            <w:vAlign w:val="center"/>
          </w:tcPr>
          <w:p w14:paraId="7EC093B9">
            <w:pPr>
              <w:pBdr>
                <w:top w:val="none" w:color="auto" w:sz="0" w:space="0"/>
                <w:left w:val="none" w:color="auto" w:sz="0" w:space="0"/>
                <w:bottom w:val="none" w:color="auto" w:sz="0" w:space="0"/>
                <w:right w:val="none" w:color="auto" w:sz="0" w:space="0"/>
              </w:pBdr>
              <w:ind w:firstLine="0" w:firstLineChars="0"/>
              <w:jc w:val="center"/>
            </w:pPr>
            <w:r>
              <w:t>新增三级系统备案及测评</w:t>
            </w:r>
          </w:p>
        </w:tc>
        <w:tc>
          <w:tcPr>
            <w:tcW w:w="2382" w:type="dxa"/>
            <w:vAlign w:val="center"/>
          </w:tcPr>
          <w:p w14:paraId="5FE8F47F">
            <w:pPr>
              <w:pBdr>
                <w:top w:val="none" w:color="auto" w:sz="0" w:space="0"/>
                <w:left w:val="none" w:color="auto" w:sz="0" w:space="0"/>
                <w:bottom w:val="none" w:color="auto" w:sz="0" w:space="0"/>
                <w:right w:val="none" w:color="auto" w:sz="0" w:space="0"/>
              </w:pBdr>
              <w:ind w:firstLine="0" w:firstLineChars="0"/>
              <w:jc w:val="center"/>
            </w:pPr>
            <w:r>
              <w:t>5.4</w:t>
            </w:r>
          </w:p>
        </w:tc>
      </w:tr>
      <w:tr w14:paraId="4E9A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53DC9947">
            <w:pPr>
              <w:pBdr>
                <w:top w:val="none" w:color="auto" w:sz="0" w:space="0"/>
                <w:left w:val="none" w:color="auto" w:sz="0" w:space="0"/>
                <w:bottom w:val="none" w:color="auto" w:sz="0" w:space="0"/>
                <w:right w:val="none" w:color="auto" w:sz="0" w:space="0"/>
              </w:pBdr>
              <w:ind w:firstLine="0" w:firstLineChars="0"/>
              <w:jc w:val="center"/>
            </w:pPr>
            <w:r>
              <w:t>4</w:t>
            </w:r>
          </w:p>
        </w:tc>
        <w:tc>
          <w:tcPr>
            <w:tcW w:w="2945" w:type="dxa"/>
            <w:tcBorders>
              <w:top w:val="single" w:color="auto" w:sz="4" w:space="0"/>
              <w:left w:val="single" w:color="auto" w:sz="4" w:space="0"/>
              <w:right w:val="single" w:color="auto" w:sz="4" w:space="0"/>
            </w:tcBorders>
            <w:vAlign w:val="center"/>
          </w:tcPr>
          <w:p w14:paraId="77FFC57A">
            <w:pPr>
              <w:pBdr>
                <w:top w:val="none" w:color="auto" w:sz="0" w:space="0"/>
                <w:left w:val="none" w:color="auto" w:sz="0" w:space="0"/>
                <w:bottom w:val="none" w:color="auto" w:sz="0" w:space="0"/>
                <w:right w:val="none" w:color="auto" w:sz="0" w:space="0"/>
              </w:pBdr>
              <w:ind w:firstLine="0" w:firstLineChars="0"/>
              <w:jc w:val="center"/>
            </w:pPr>
            <w:r>
              <w:t>新增二级系统备案及测评</w:t>
            </w:r>
          </w:p>
        </w:tc>
        <w:tc>
          <w:tcPr>
            <w:tcW w:w="2382" w:type="dxa"/>
            <w:vAlign w:val="center"/>
          </w:tcPr>
          <w:p w14:paraId="25C2B2FB">
            <w:pPr>
              <w:pBdr>
                <w:top w:val="none" w:color="auto" w:sz="0" w:space="0"/>
                <w:left w:val="none" w:color="auto" w:sz="0" w:space="0"/>
                <w:bottom w:val="none" w:color="auto" w:sz="0" w:space="0"/>
                <w:right w:val="none" w:color="auto" w:sz="0" w:space="0"/>
              </w:pBdr>
              <w:ind w:firstLine="0" w:firstLineChars="0"/>
              <w:jc w:val="center"/>
            </w:pPr>
            <w:r>
              <w:t>3.4</w:t>
            </w:r>
          </w:p>
        </w:tc>
      </w:tr>
    </w:tbl>
    <w:p w14:paraId="0F859606">
      <w:r>
        <w:t>1.3 成交供应商数量</w:t>
      </w:r>
      <w:r>
        <w:rPr>
          <w:rFonts w:hint="eastAsia"/>
        </w:rPr>
        <w:t>：</w:t>
      </w:r>
      <w:r>
        <w:t>1个</w:t>
      </w:r>
    </w:p>
    <w:p w14:paraId="2C14D714">
      <w:r>
        <w:t>1.4 成交供应商服务期限：三年</w:t>
      </w:r>
    </w:p>
    <w:p w14:paraId="2C87663B">
      <w:pPr>
        <w:pStyle w:val="6"/>
      </w:pPr>
      <w:bookmarkStart w:id="2" w:name="_Toc89675128"/>
      <w:bookmarkStart w:id="3" w:name="_Toc288224935"/>
      <w:bookmarkStart w:id="4" w:name="_Toc297817088"/>
      <w:bookmarkStart w:id="5" w:name="_Toc469574664"/>
      <w:bookmarkStart w:id="6" w:name="_Toc55379219"/>
      <w:r>
        <w:rPr>
          <w:rFonts w:hint="eastAsia"/>
        </w:rPr>
        <w:t>2. 响应人资格要求</w:t>
      </w:r>
      <w:bookmarkEnd w:id="2"/>
      <w:bookmarkEnd w:id="3"/>
      <w:bookmarkEnd w:id="4"/>
      <w:bookmarkEnd w:id="5"/>
      <w:bookmarkEnd w:id="6"/>
    </w:p>
    <w:p w14:paraId="58410CF2">
      <w:pPr>
        <w:rPr>
          <w:rFonts w:hint="eastAsia" w:eastAsia="宋体"/>
          <w:lang w:eastAsia="zh-CN"/>
        </w:rPr>
      </w:pPr>
      <w:bookmarkStart w:id="7" w:name="_Hlk55488870"/>
      <w:r>
        <w:rPr>
          <w:rFonts w:hint="eastAsia"/>
        </w:rPr>
        <w:t>2.1 具有独立承担民事责任的能力【提供：1、响应人有效营业执照（副本）或事业单位法人证书（副本）或个体工商户营业执照或有效的自然人身份证明；2、响应人法定代表人身份证明；3、法定代表人授权委托书（如有，适用于有委托代理人的情况时采用）。】</w:t>
      </w:r>
      <w:r>
        <w:rPr>
          <w:rFonts w:hint="eastAsia"/>
          <w:lang w:eastAsia="zh-CN"/>
        </w:rPr>
        <w:t>；</w:t>
      </w:r>
    </w:p>
    <w:p w14:paraId="3547B0DC">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0C425966">
      <w:pPr>
        <w:rPr>
          <w:rFonts w:hint="eastAsia" w:eastAsia="宋体"/>
          <w:lang w:eastAsia="zh-CN"/>
        </w:rPr>
      </w:pPr>
      <w:r>
        <w:rPr>
          <w:rFonts w:hint="eastAsia"/>
        </w:rPr>
        <w:t>2.3 本项目不允许任何形式的转包【提供书面声明】</w:t>
      </w:r>
      <w:r>
        <w:rPr>
          <w:rFonts w:hint="eastAsia"/>
          <w:lang w:eastAsia="zh-CN"/>
        </w:rPr>
        <w:t>；</w:t>
      </w:r>
    </w:p>
    <w:p w14:paraId="10156F02">
      <w:r>
        <w:rPr>
          <w:rFonts w:hint="eastAsia"/>
        </w:rPr>
        <w:t>2.4 法人及法定代表人没有被人民法院列为失信被执行人名单【提供：1、法人在</w:t>
      </w:r>
      <w:r>
        <w:t>中国执行信息公开网</w:t>
      </w:r>
      <w:r>
        <w:rPr>
          <w:rFonts w:hint="eastAsia"/>
        </w:rPr>
        <w:t>（中国执行信息公开网网址：https://zxgk.court.gov.cn/）的查询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3A12EF2E">
      <w:pPr>
        <w:rPr>
          <w:rFonts w:hint="eastAsia" w:eastAsia="宋体"/>
          <w:lang w:eastAsia="zh-CN"/>
        </w:rPr>
      </w:pPr>
      <w:r>
        <w:rPr>
          <w:rFonts w:hint="eastAsia"/>
        </w:rPr>
        <w:t>2.5 本次询比不接受联合体响应</w:t>
      </w:r>
      <w:r>
        <w:rPr>
          <w:rFonts w:hint="eastAsia"/>
          <w:lang w:eastAsia="zh-CN"/>
        </w:rPr>
        <w:t>；</w:t>
      </w:r>
    </w:p>
    <w:p w14:paraId="2E3B711E">
      <w:pPr>
        <w:jc w:val="both"/>
        <w:rPr>
          <w:rFonts w:hint="eastAsia" w:eastAsia="宋体"/>
          <w:highlight w:val="cyan"/>
          <w:lang w:eastAsia="zh-CN"/>
        </w:rPr>
      </w:pPr>
      <w:r>
        <w:rPr>
          <w:rFonts w:hint="eastAsia"/>
        </w:rPr>
        <w:t>2.6 2022年1月1日至今（以合同签订时间为准），具有国内银行金融机构（含分行）网络安全等级保护测评服务相关实施案例不少于3个，同一银行只提供一个案例，低于3个案例（不含3个）取消响应资质【提供：1、合同关键页（合同关键页包含：甲乙双方名称、双方印章、项目名称、合同签订时间、服务范围。）；2、项目简介（格式自拟）；3、合同对应的发票之一（网上税务系统查询（https://inv-veri.chinatax.gov.cn/）该发票的截图，发票开具日期须晚于合同签订日期、发票购买方须与合同买方一致、发票销售方须与合同卖方（响应人）一致）】</w:t>
      </w:r>
      <w:r>
        <w:rPr>
          <w:rFonts w:hint="eastAsia"/>
          <w:lang w:eastAsia="zh-CN"/>
        </w:rPr>
        <w:t>；</w:t>
      </w:r>
    </w:p>
    <w:p w14:paraId="651E537C">
      <w:pPr>
        <w:rPr>
          <w:rStyle w:val="9"/>
          <w:rFonts w:hint="eastAsia" w:eastAsia="宋体"/>
          <w:lang w:eastAsia="zh-CN"/>
        </w:rPr>
      </w:pPr>
      <w:r>
        <w:rPr>
          <w:rFonts w:hint="eastAsia"/>
        </w:rPr>
        <w:t xml:space="preserve">2.7 </w:t>
      </w:r>
      <w:r>
        <w:rPr>
          <w:rStyle w:val="9"/>
          <w:rFonts w:hint="eastAsia"/>
        </w:rPr>
        <w:t>响应人应具有公安部第三研究所认证发放的《网络安全等级测评与检测评估机构服务认证证书》【提供证书复印件和中国网络安全等级保护网官方截图并加盖供应商公章】</w:t>
      </w:r>
      <w:r>
        <w:rPr>
          <w:rStyle w:val="9"/>
          <w:rFonts w:hint="eastAsia"/>
          <w:lang w:eastAsia="zh-CN"/>
        </w:rPr>
        <w:t>；</w:t>
      </w:r>
    </w:p>
    <w:p w14:paraId="0EB10FA0">
      <w:pPr>
        <w:rPr>
          <w:rStyle w:val="9"/>
          <w:rFonts w:hint="eastAsia" w:eastAsia="宋体"/>
          <w:lang w:eastAsia="zh-CN"/>
        </w:rPr>
      </w:pPr>
      <w:r>
        <w:rPr>
          <w:rStyle w:val="9"/>
          <w:rFonts w:hint="eastAsia"/>
        </w:rPr>
        <w:t>2.8 响应人具备中国合格评定国家认可委员会颁发的检验机构认可证书（CNAS），</w:t>
      </w:r>
      <w:r>
        <w:rPr>
          <w:rStyle w:val="9"/>
          <w:rFonts w:hint="eastAsia"/>
          <w:lang w:val="en-US" w:eastAsia="zh-CN"/>
        </w:rPr>
        <w:t>证书</w:t>
      </w:r>
      <w:r>
        <w:rPr>
          <w:rStyle w:val="9"/>
          <w:rFonts w:hint="eastAsia"/>
        </w:rPr>
        <w:t>认可的检验能力范围为“网络安全等级保护测评”【提供：1、检验机构认可证书复印件并加盖公章；2、</w:t>
      </w:r>
      <w:r>
        <w:rPr>
          <w:rStyle w:val="9"/>
          <w:rFonts w:hint="eastAsia"/>
          <w:lang w:val="en-US" w:eastAsia="zh-CN"/>
        </w:rPr>
        <w:t>证书认可的</w:t>
      </w:r>
      <w:r>
        <w:rPr>
          <w:rStyle w:val="9"/>
          <w:rFonts w:hint="eastAsia"/>
        </w:rPr>
        <w:t>检验能力范围证明并加盖公章】</w:t>
      </w:r>
      <w:r>
        <w:rPr>
          <w:rStyle w:val="9"/>
          <w:rFonts w:hint="eastAsia"/>
          <w:lang w:eastAsia="zh-CN"/>
        </w:rPr>
        <w:t>；</w:t>
      </w:r>
    </w:p>
    <w:p w14:paraId="3EDE710D">
      <w:pPr>
        <w:rPr>
          <w:rStyle w:val="9"/>
          <w:rFonts w:hint="eastAsia"/>
        </w:rPr>
      </w:pPr>
      <w:r>
        <w:rPr>
          <w:rStyle w:val="9"/>
          <w:rFonts w:hint="eastAsia"/>
        </w:rPr>
        <w:t>2.</w:t>
      </w:r>
      <w:r>
        <w:rPr>
          <w:rStyle w:val="9"/>
        </w:rPr>
        <w:t>9</w:t>
      </w:r>
      <w:r>
        <w:rPr>
          <w:rStyle w:val="9"/>
          <w:rFonts w:hint="eastAsia"/>
        </w:rPr>
        <w:t xml:space="preserve"> 为确保服务质量，响应人须具备良好的测评实力和稳定的服务能力，在近五年不得存在因违规经营受到通报批评或者暂停资质使用、经济处罚、暂停业务、责令整改、吊销资质等处罚情况【提供书面声明】。</w:t>
      </w:r>
    </w:p>
    <w:p w14:paraId="679D128E">
      <w:pPr>
        <w:rPr>
          <w:highlight w:val="cyan"/>
        </w:rPr>
      </w:pPr>
      <w:r>
        <w:rPr>
          <w:rStyle w:val="9"/>
          <w:rFonts w:hint="eastAsia"/>
        </w:rPr>
        <w:t>注</w:t>
      </w:r>
      <w:r>
        <w:rPr>
          <w:rFonts w:hint="eastAsia"/>
          <w:highlight w:val="none"/>
        </w:rPr>
        <w:t>:</w:t>
      </w:r>
      <w:r>
        <w:rPr>
          <w:rStyle w:val="9"/>
          <w:rFonts w:hint="eastAsia"/>
        </w:rPr>
        <w:t>以上处罚不限于业务类型和资质种类，一旦存在任何处罚不得参与此项目。</w:t>
      </w:r>
    </w:p>
    <w:p w14:paraId="3EBD9972">
      <w:r>
        <w:rPr>
          <w:rFonts w:hint="eastAsia"/>
        </w:rPr>
        <w:t>注</w:t>
      </w:r>
      <w:r>
        <w:rPr>
          <w:rFonts w:hint="eastAsia"/>
          <w:highlight w:val="none"/>
        </w:rPr>
        <w:t>:</w:t>
      </w:r>
      <w:r>
        <w:rPr>
          <w:rFonts w:hint="eastAsia"/>
        </w:rPr>
        <w:t>以上证明文件若采购人存疑，响应人需提供原件备查，响应文件中须附相关证明文件复印件并逐页加盖公章。</w:t>
      </w:r>
    </w:p>
    <w:p w14:paraId="76D7E40E">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7"/>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1B5A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4538E8D7">
            <w:pPr>
              <w:pStyle w:val="10"/>
            </w:pPr>
            <w:r>
              <w:rPr>
                <w:rFonts w:hint="eastAsia"/>
              </w:rPr>
              <w:t>序号</w:t>
            </w:r>
          </w:p>
        </w:tc>
        <w:tc>
          <w:tcPr>
            <w:tcW w:w="4933" w:type="dxa"/>
          </w:tcPr>
          <w:p w14:paraId="6A9BAC4E">
            <w:pPr>
              <w:pStyle w:val="10"/>
            </w:pPr>
            <w:r>
              <w:rPr>
                <w:rFonts w:hint="eastAsia"/>
              </w:rPr>
              <w:t>公司</w:t>
            </w:r>
          </w:p>
        </w:tc>
      </w:tr>
      <w:tr w14:paraId="18F1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6F50ADB6">
            <w:pPr>
              <w:pStyle w:val="11"/>
              <w:jc w:val="center"/>
            </w:pPr>
            <w:r>
              <w:rPr>
                <w:rFonts w:hint="eastAsia" w:cs="宋体"/>
                <w:szCs w:val="21"/>
              </w:rPr>
              <w:t>1</w:t>
            </w:r>
          </w:p>
        </w:tc>
        <w:tc>
          <w:tcPr>
            <w:tcW w:w="4933" w:type="dxa"/>
          </w:tcPr>
          <w:p w14:paraId="1C2AE362">
            <w:pPr>
              <w:pStyle w:val="11"/>
              <w:jc w:val="center"/>
            </w:pPr>
            <w:r>
              <w:rPr>
                <w:rFonts w:hint="eastAsia" w:cs="宋体"/>
                <w:szCs w:val="21"/>
              </w:rPr>
              <w:t>依米康软件技术（深圳）有限责任公司</w:t>
            </w:r>
          </w:p>
        </w:tc>
      </w:tr>
    </w:tbl>
    <w:p w14:paraId="525F7ACC"/>
    <w:bookmarkEnd w:id="7"/>
    <w:p w14:paraId="417185E1">
      <w:pPr>
        <w:pStyle w:val="6"/>
      </w:pPr>
      <w:bookmarkStart w:id="8" w:name="_Toc55379220"/>
      <w:bookmarkStart w:id="9" w:name="_Toc297817090"/>
      <w:bookmarkStart w:id="10" w:name="_Toc89675130"/>
      <w:bookmarkStart w:id="11" w:name="_Toc469574667"/>
      <w:r>
        <w:rPr>
          <w:rFonts w:hint="eastAsia"/>
        </w:rPr>
        <w:t>3. 询比文件的获取</w:t>
      </w:r>
      <w:bookmarkEnd w:id="8"/>
    </w:p>
    <w:p w14:paraId="743BAF5F">
      <w:r>
        <w:rPr>
          <w:rFonts w:hint="eastAsia"/>
        </w:rPr>
        <w:t>3.1 响应截止时间：</w:t>
      </w:r>
      <w:r>
        <w:rPr>
          <w:rFonts w:hint="eastAsia"/>
          <w:u w:val="single"/>
          <w:lang w:val="en-US" w:eastAsia="zh-CN"/>
        </w:rPr>
        <w:t>2025</w:t>
      </w:r>
      <w:r>
        <w:rPr>
          <w:rFonts w:hint="eastAsia"/>
          <w:u w:val="single"/>
        </w:rPr>
        <w:t>年</w:t>
      </w:r>
      <w:r>
        <w:rPr>
          <w:rFonts w:hint="eastAsia"/>
          <w:u w:val="single"/>
          <w:lang w:val="en-US" w:eastAsia="zh-CN"/>
        </w:rPr>
        <w:t>7</w:t>
      </w:r>
      <w:r>
        <w:rPr>
          <w:rFonts w:hint="eastAsia"/>
          <w:u w:val="single"/>
        </w:rPr>
        <w:t>月</w:t>
      </w:r>
      <w:r>
        <w:rPr>
          <w:rFonts w:hint="eastAsia"/>
          <w:u w:val="single"/>
          <w:lang w:val="en-US" w:eastAsia="zh-CN"/>
        </w:rPr>
        <w:t>1</w:t>
      </w:r>
      <w:r>
        <w:rPr>
          <w:rFonts w:hint="eastAsia"/>
          <w:u w:val="single"/>
        </w:rPr>
        <w:t>日</w:t>
      </w:r>
      <w:r>
        <w:rPr>
          <w:rFonts w:hint="eastAsia"/>
          <w:u w:val="single"/>
          <w:lang w:val="en-US" w:eastAsia="zh-CN"/>
        </w:rPr>
        <w:t>9</w:t>
      </w:r>
      <w:r>
        <w:rPr>
          <w:rFonts w:hint="eastAsia"/>
          <w:u w:val="single"/>
        </w:rPr>
        <w:t>时</w:t>
      </w:r>
      <w:r>
        <w:rPr>
          <w:rFonts w:hint="eastAsia"/>
          <w:u w:val="single"/>
          <w:lang w:val="en-US" w:eastAsia="zh-CN"/>
        </w:rPr>
        <w:t>30</w:t>
      </w:r>
      <w:r>
        <w:rPr>
          <w:rFonts w:hint="eastAsia"/>
          <w:u w:val="single"/>
        </w:rPr>
        <w:t>分</w:t>
      </w:r>
      <w:r>
        <w:rPr>
          <w:rFonts w:hint="eastAsia"/>
        </w:rPr>
        <w:t>（北京时间）</w:t>
      </w:r>
    </w:p>
    <w:p w14:paraId="475FF48F">
      <w:r>
        <w:rPr>
          <w:rFonts w:hint="eastAsia"/>
        </w:rPr>
        <w:t>3.2 获取时间和方式：从</w:t>
      </w:r>
      <w:r>
        <w:rPr>
          <w:rFonts w:hint="eastAsia"/>
          <w:u w:val="single"/>
          <w:lang w:val="en-US" w:eastAsia="zh-CN"/>
        </w:rPr>
        <w:t>2025</w:t>
      </w:r>
      <w:r>
        <w:rPr>
          <w:rFonts w:hint="eastAsia"/>
          <w:u w:val="single"/>
        </w:rPr>
        <w:t>年</w:t>
      </w:r>
      <w:r>
        <w:rPr>
          <w:rFonts w:hint="eastAsia"/>
          <w:u w:val="single"/>
          <w:lang w:val="en-US" w:eastAsia="zh-CN"/>
        </w:rPr>
        <w:t>6</w:t>
      </w:r>
      <w:r>
        <w:rPr>
          <w:rFonts w:hint="eastAsia"/>
          <w:u w:val="single"/>
        </w:rPr>
        <w:t>月</w:t>
      </w:r>
      <w:r>
        <w:rPr>
          <w:rFonts w:hint="eastAsia"/>
          <w:u w:val="single"/>
          <w:lang w:val="en-US" w:eastAsia="zh-CN"/>
        </w:rPr>
        <w:t>12</w:t>
      </w:r>
      <w:r>
        <w:rPr>
          <w:rFonts w:hint="eastAsia"/>
          <w:u w:val="single"/>
        </w:rPr>
        <w:t>日</w:t>
      </w:r>
      <w:r>
        <w:rPr>
          <w:rFonts w:hint="eastAsia"/>
        </w:rPr>
        <w:t>到响应截止时间，在重庆市公共资源交易网（www.cqggzy.com）下载询比文件。</w:t>
      </w:r>
    </w:p>
    <w:p w14:paraId="168D5EC2">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lang w:val="en-US" w:eastAsia="zh-CN"/>
        </w:rPr>
        <w:t>2025</w:t>
      </w:r>
      <w:r>
        <w:rPr>
          <w:rFonts w:hint="eastAsia"/>
          <w:u w:val="single"/>
        </w:rPr>
        <w:t>年</w:t>
      </w:r>
      <w:r>
        <w:rPr>
          <w:rFonts w:hint="eastAsia"/>
          <w:u w:val="single"/>
          <w:lang w:val="en-US" w:eastAsia="zh-CN"/>
        </w:rPr>
        <w:t>6</w:t>
      </w:r>
      <w:r>
        <w:rPr>
          <w:rFonts w:hint="eastAsia"/>
          <w:u w:val="single"/>
        </w:rPr>
        <w:t>月</w:t>
      </w:r>
      <w:r>
        <w:rPr>
          <w:rFonts w:hint="eastAsia"/>
          <w:u w:val="single"/>
          <w:lang w:val="en-US" w:eastAsia="zh-CN"/>
        </w:rPr>
        <w:t>15</w:t>
      </w:r>
      <w:r>
        <w:rPr>
          <w:rFonts w:hint="eastAsia"/>
          <w:u w:val="single"/>
        </w:rPr>
        <w:t>日</w:t>
      </w:r>
      <w:r>
        <w:rPr>
          <w:rFonts w:hint="eastAsia"/>
          <w:u w:val="single"/>
          <w:lang w:val="en-US" w:eastAsia="zh-CN"/>
        </w:rPr>
        <w:t>17</w:t>
      </w:r>
      <w:r>
        <w:rPr>
          <w:rFonts w:hint="eastAsia"/>
          <w:u w:val="single"/>
        </w:rPr>
        <w:t>时</w:t>
      </w:r>
      <w:r>
        <w:rPr>
          <w:rFonts w:hint="eastAsia"/>
          <w:u w:val="single"/>
          <w:lang w:val="en-US" w:eastAsia="zh-CN"/>
        </w:rPr>
        <w:t>00</w:t>
      </w:r>
      <w:r>
        <w:rPr>
          <w:rFonts w:hint="eastAsia"/>
          <w:u w:val="single"/>
        </w:rPr>
        <w:t>分</w:t>
      </w:r>
      <w:r>
        <w:rPr>
          <w:rFonts w:hint="eastAsia"/>
        </w:rPr>
        <w:t>（北京时间）前自行在重庆市公共资源交易网（http://www.cqggzy.com/）询比公告的“我要提问”栏目匿名提出。响应人未提出，则视为响应人已全面确认询比文件内容。</w:t>
      </w:r>
    </w:p>
    <w:p w14:paraId="7E408278">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20454C96">
      <w:pPr>
        <w:pStyle w:val="6"/>
      </w:pPr>
      <w:bookmarkStart w:id="12" w:name="_Toc55379221"/>
      <w:r>
        <w:rPr>
          <w:rFonts w:hint="eastAsia"/>
        </w:rPr>
        <w:t>4. 响应保证金的递交</w:t>
      </w:r>
      <w:bookmarkEnd w:id="9"/>
      <w:bookmarkEnd w:id="10"/>
      <w:bookmarkEnd w:id="11"/>
      <w:bookmarkEnd w:id="12"/>
    </w:p>
    <w:p w14:paraId="7AD21053">
      <w:bookmarkStart w:id="13" w:name="_Toc89675131"/>
      <w:bookmarkStart w:id="14" w:name="_Toc469574668"/>
      <w:bookmarkStart w:id="15" w:name="_Toc55379222"/>
      <w:bookmarkStart w:id="16" w:name="_Toc297817091"/>
      <w:r>
        <w:rPr>
          <w:rFonts w:hint="eastAsia"/>
        </w:rPr>
        <w:t>4.1 响应保证金的金额：</w:t>
      </w:r>
      <w:r>
        <w:rPr>
          <w:rFonts w:hint="eastAsia"/>
          <w:b/>
          <w:bCs/>
          <w:u w:val="single"/>
        </w:rPr>
        <w:t xml:space="preserve"> </w:t>
      </w:r>
      <w:r>
        <w:rPr>
          <w:b/>
          <w:bCs/>
          <w:u w:val="single"/>
        </w:rPr>
        <w:t>5600</w:t>
      </w:r>
      <w:r>
        <w:rPr>
          <w:rFonts w:hint="eastAsia"/>
          <w:b/>
          <w:bCs/>
          <w:u w:val="single"/>
        </w:rPr>
        <w:t>元整（大写：</w:t>
      </w:r>
      <w:r>
        <w:rPr>
          <w:b/>
          <w:bCs/>
          <w:u w:val="single"/>
        </w:rPr>
        <w:t>伍仟陆佰元整</w:t>
      </w:r>
      <w:r>
        <w:rPr>
          <w:rFonts w:hint="eastAsia"/>
          <w:b/>
          <w:bCs/>
          <w:u w:val="single"/>
        </w:rPr>
        <w:t xml:space="preserve"> ）</w:t>
      </w:r>
      <w:r>
        <w:rPr>
          <w:rFonts w:hint="eastAsia"/>
        </w:rPr>
        <w:t>。</w:t>
      </w:r>
    </w:p>
    <w:p w14:paraId="4DE1B931">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23E94768">
      <w:pPr>
        <w:rPr>
          <w:b/>
          <w:bCs/>
        </w:rPr>
      </w:pPr>
      <w:r>
        <w:rPr>
          <w:rFonts w:hint="eastAsia"/>
          <w:b/>
          <w:bCs/>
        </w:rPr>
        <w:t>响应人</w:t>
      </w:r>
      <w:r>
        <w:rPr>
          <w:rFonts w:hint="eastAsia"/>
          <w:b/>
          <w:bCs/>
          <w:lang w:val="en-US" w:eastAsia="zh-CN"/>
        </w:rPr>
        <w:t>可</w:t>
      </w:r>
      <w:r>
        <w:rPr>
          <w:rFonts w:hint="eastAsia"/>
          <w:b/>
          <w:bCs/>
        </w:rPr>
        <w:t>在付款凭证备注栏中注明项目简称。可简写成：</w:t>
      </w:r>
      <w:r>
        <w:rPr>
          <w:b/>
          <w:bCs/>
          <w:u w:val="single"/>
        </w:rPr>
        <w:t>2025年网络安全等级保护测评服务</w:t>
      </w:r>
      <w:r>
        <w:rPr>
          <w:rFonts w:hint="eastAsia"/>
          <w:b/>
          <w:bCs/>
          <w:u w:val="single"/>
        </w:rPr>
        <w:t>项目</w:t>
      </w:r>
      <w:r>
        <w:rPr>
          <w:rFonts w:hint="eastAsia"/>
          <w:b/>
          <w:bCs/>
        </w:rPr>
        <w:t>。</w:t>
      </w:r>
    </w:p>
    <w:p w14:paraId="7A4B6356">
      <w:r>
        <w:rPr>
          <w:rFonts w:hint="eastAsia"/>
        </w:rPr>
        <w:t>4.3 响应保证金递交的截止时间同响应截止时间。响应保证金以重庆市公共资源交易中心询比现场展示的保证金交纳情况为准。</w:t>
      </w:r>
    </w:p>
    <w:p w14:paraId="5EFB3166">
      <w:r>
        <w:rPr>
          <w:rFonts w:hint="eastAsia"/>
        </w:rPr>
        <w:t>4.</w:t>
      </w:r>
      <w:r>
        <w:t>4</w:t>
      </w:r>
      <w:r>
        <w:rPr>
          <w:rFonts w:hint="eastAsia"/>
        </w:rPr>
        <w:t xml:space="preserve"> 响应保证金专用账户如下：</w:t>
      </w:r>
    </w:p>
    <w:p w14:paraId="01C774B0">
      <w:r>
        <w:rPr>
          <w:rFonts w:hint="eastAsia"/>
        </w:rPr>
        <w:t>详见重庆市公共资源交易网（www.cqggzy.com）对应本项目询比公告信息栏中的保证金信息。</w:t>
      </w:r>
    </w:p>
    <w:p w14:paraId="45903FF5">
      <w:pPr>
        <w:pStyle w:val="6"/>
      </w:pPr>
      <w:r>
        <w:rPr>
          <w:rFonts w:hint="eastAsia"/>
        </w:rPr>
        <w:t>5. 市场主体信息登记</w:t>
      </w:r>
    </w:p>
    <w:p w14:paraId="3CF7C933">
      <w:pPr>
        <w:jc w:val="both"/>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3"/>
    <w:bookmarkEnd w:id="14"/>
    <w:bookmarkEnd w:id="15"/>
    <w:bookmarkEnd w:id="16"/>
    <w:p w14:paraId="3E6274DC">
      <w:pPr>
        <w:pStyle w:val="6"/>
      </w:pPr>
      <w:r>
        <w:rPr>
          <w:rFonts w:hint="eastAsia"/>
        </w:rPr>
        <w:t>6. 响应文件的递交</w:t>
      </w:r>
    </w:p>
    <w:p w14:paraId="4DBBB2CC">
      <w:bookmarkStart w:id="17" w:name="_Toc55379223"/>
      <w:bookmarkStart w:id="18" w:name="_Toc469574669"/>
      <w:bookmarkStart w:id="19" w:name="_Toc89675132"/>
      <w:r>
        <w:rPr>
          <w:rFonts w:hint="eastAsia"/>
        </w:rPr>
        <w:t>6.1 响应文件现场递交时间为</w:t>
      </w:r>
      <w:r>
        <w:rPr>
          <w:rFonts w:hint="eastAsia"/>
          <w:u w:val="single"/>
          <w:lang w:val="en-US" w:eastAsia="zh-CN"/>
        </w:rPr>
        <w:t>2025</w:t>
      </w:r>
      <w:r>
        <w:rPr>
          <w:rFonts w:hint="eastAsia"/>
          <w:u w:val="single"/>
        </w:rPr>
        <w:t>年</w:t>
      </w:r>
      <w:r>
        <w:rPr>
          <w:rFonts w:hint="eastAsia"/>
          <w:u w:val="single"/>
          <w:lang w:val="en-US" w:eastAsia="zh-CN"/>
        </w:rPr>
        <w:t>7</w:t>
      </w:r>
      <w:r>
        <w:rPr>
          <w:rFonts w:hint="eastAsia"/>
          <w:u w:val="single"/>
        </w:rPr>
        <w:t>月</w:t>
      </w:r>
      <w:r>
        <w:rPr>
          <w:rFonts w:hint="eastAsia"/>
          <w:u w:val="single"/>
          <w:lang w:val="en-US" w:eastAsia="zh-CN"/>
        </w:rPr>
        <w:t>1</w:t>
      </w:r>
      <w:r>
        <w:rPr>
          <w:rFonts w:hint="eastAsia"/>
          <w:u w:val="single"/>
        </w:rPr>
        <w:t>日</w:t>
      </w:r>
      <w:r>
        <w:rPr>
          <w:rFonts w:hint="eastAsia"/>
          <w:u w:val="single"/>
          <w:lang w:val="en-US" w:eastAsia="zh-CN"/>
        </w:rPr>
        <w:t>9</w:t>
      </w:r>
      <w:r>
        <w:rPr>
          <w:rFonts w:hint="eastAsia"/>
          <w:u w:val="single"/>
        </w:rPr>
        <w:t>时</w:t>
      </w:r>
      <w:r>
        <w:rPr>
          <w:rFonts w:hint="eastAsia"/>
          <w:u w:val="single"/>
          <w:lang w:val="en-US" w:eastAsia="zh-CN"/>
        </w:rPr>
        <w:t>00</w:t>
      </w:r>
      <w:r>
        <w:rPr>
          <w:rFonts w:hint="eastAsia"/>
          <w:u w:val="single"/>
        </w:rPr>
        <w:t>分</w:t>
      </w:r>
      <w:r>
        <w:rPr>
          <w:rFonts w:hint="eastAsia"/>
        </w:rPr>
        <w:t>(北京时间)至响应截止时间。</w:t>
      </w:r>
    </w:p>
    <w:p w14:paraId="035C611E">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4068E34B">
      <w:r>
        <w:rPr>
          <w:rFonts w:hint="eastAsia"/>
        </w:rPr>
        <w:t>6.3 逾期送达的响应文件，不予接收。</w:t>
      </w:r>
    </w:p>
    <w:p w14:paraId="339383AB">
      <w:pPr>
        <w:pStyle w:val="6"/>
      </w:pPr>
      <w:r>
        <w:rPr>
          <w:rFonts w:hint="eastAsia"/>
        </w:rPr>
        <w:t>7. 发布公告的媒介</w:t>
      </w:r>
      <w:bookmarkEnd w:id="17"/>
      <w:bookmarkEnd w:id="18"/>
      <w:bookmarkEnd w:id="19"/>
    </w:p>
    <w:p w14:paraId="585006BA">
      <w:bookmarkStart w:id="20" w:name="_Toc55379224"/>
      <w:bookmarkStart w:id="21" w:name="_Toc469574670"/>
      <w:bookmarkStart w:id="22" w:name="_Toc89675133"/>
      <w:bookmarkStart w:id="23" w:name="_Toc250565211"/>
      <w:r>
        <w:rPr>
          <w:rFonts w:hint="eastAsia"/>
        </w:rPr>
        <w:t>本次询比公告同时在《重庆市公共资源交易网（www.cqggzy.com）》《重庆三峡银行官网（https://www.ccqtgb.com）》和《中国招标投标公共服务平台（http://www.cebpubservice.com）》上发布。</w:t>
      </w:r>
    </w:p>
    <w:p w14:paraId="18554E59">
      <w:pPr>
        <w:pStyle w:val="6"/>
      </w:pPr>
      <w:r>
        <w:rPr>
          <w:rFonts w:hint="eastAsia"/>
        </w:rPr>
        <w:t>8. 联系方式</w:t>
      </w:r>
      <w:bookmarkEnd w:id="20"/>
      <w:bookmarkEnd w:id="21"/>
      <w:bookmarkEnd w:id="22"/>
      <w:bookmarkEnd w:id="23"/>
    </w:p>
    <w:p w14:paraId="3B0771E5"/>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1364B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04FF2BA">
            <w:pPr>
              <w:ind w:firstLine="0" w:firstLineChars="0"/>
              <w:jc w:val="left"/>
            </w:pPr>
            <w:r>
              <w:rPr>
                <w:rFonts w:hint="eastAsia"/>
              </w:rPr>
              <w:t>8.1 项目需求咨询</w:t>
            </w:r>
          </w:p>
        </w:tc>
      </w:tr>
      <w:tr w14:paraId="6B121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364484F">
            <w:pPr>
              <w:ind w:firstLine="0" w:firstLineChars="0"/>
              <w:jc w:val="left"/>
              <w:rPr>
                <w:rFonts w:cs="宋体"/>
                <w:szCs w:val="21"/>
              </w:rPr>
            </w:pPr>
            <w:r>
              <w:rPr>
                <w:rFonts w:hint="eastAsia"/>
              </w:rPr>
              <w:t>项目联系人：</w:t>
            </w:r>
            <w:r>
              <w:t>易春霞</w:t>
            </w:r>
          </w:p>
        </w:tc>
        <w:tc>
          <w:tcPr>
            <w:tcW w:w="4480" w:type="dxa"/>
            <w:tcBorders>
              <w:top w:val="nil"/>
              <w:left w:val="nil"/>
              <w:bottom w:val="nil"/>
              <w:right w:val="single" w:color="auto" w:sz="4" w:space="0"/>
            </w:tcBorders>
          </w:tcPr>
          <w:p w14:paraId="7D0AF9CA">
            <w:pPr>
              <w:ind w:firstLine="0" w:firstLineChars="0"/>
              <w:jc w:val="left"/>
              <w:rPr>
                <w:rFonts w:cs="宋体"/>
                <w:szCs w:val="21"/>
              </w:rPr>
            </w:pPr>
            <w:r>
              <w:rPr>
                <w:rFonts w:hint="eastAsia"/>
              </w:rPr>
              <w:t>联系方式：</w:t>
            </w:r>
            <w:r>
              <w:t>18855483825</w:t>
            </w:r>
          </w:p>
        </w:tc>
      </w:tr>
      <w:tr w14:paraId="63AB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06B4FBD">
            <w:pPr>
              <w:ind w:firstLine="0" w:firstLineChars="0"/>
              <w:jc w:val="left"/>
            </w:pPr>
          </w:p>
        </w:tc>
      </w:tr>
      <w:tr w14:paraId="72C1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0C674D9">
            <w:pPr>
              <w:ind w:firstLine="0" w:firstLineChars="0"/>
              <w:jc w:val="left"/>
            </w:pPr>
            <w:r>
              <w:rPr>
                <w:rFonts w:hint="eastAsia"/>
              </w:rPr>
              <w:t>8.2 项目流程咨询</w:t>
            </w:r>
          </w:p>
        </w:tc>
      </w:tr>
      <w:tr w14:paraId="5061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1C3C07C">
            <w:pPr>
              <w:ind w:firstLine="0" w:firstLineChars="0"/>
              <w:jc w:val="left"/>
            </w:pPr>
            <w:r>
              <w:rPr>
                <w:rFonts w:hint="eastAsia"/>
              </w:rPr>
              <w:t>平台服务机构：重庆联合产权交易所集团股份有限公司</w:t>
            </w:r>
          </w:p>
        </w:tc>
      </w:tr>
      <w:tr w14:paraId="3A70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BF91105">
            <w:pPr>
              <w:ind w:firstLine="0" w:firstLineChars="0"/>
              <w:jc w:val="left"/>
              <w:rPr>
                <w:rFonts w:cs="宋体"/>
                <w:szCs w:val="21"/>
              </w:rPr>
            </w:pPr>
            <w:r>
              <w:rPr>
                <w:rFonts w:hint="eastAsia"/>
              </w:rPr>
              <w:t>平台联系人：</w:t>
            </w:r>
            <w:r>
              <w:rPr>
                <w:rFonts w:hint="eastAsia"/>
                <w:highlight w:val="none"/>
                <w:lang w:val="en-US" w:eastAsia="zh-CN"/>
              </w:rPr>
              <w:t>罗老师、杜老师</w:t>
            </w:r>
          </w:p>
        </w:tc>
        <w:tc>
          <w:tcPr>
            <w:tcW w:w="4480" w:type="dxa"/>
            <w:tcBorders>
              <w:top w:val="nil"/>
              <w:left w:val="nil"/>
              <w:bottom w:val="nil"/>
              <w:right w:val="single" w:color="auto" w:sz="4" w:space="0"/>
            </w:tcBorders>
          </w:tcPr>
          <w:p w14:paraId="27CF128D">
            <w:pPr>
              <w:ind w:firstLine="0" w:firstLineChars="0"/>
              <w:jc w:val="left"/>
              <w:rPr>
                <w:rFonts w:cs="宋体"/>
                <w:szCs w:val="21"/>
              </w:rPr>
            </w:pPr>
            <w:r>
              <w:rPr>
                <w:rFonts w:hint="eastAsia"/>
              </w:rPr>
              <w:t>联系方式：</w:t>
            </w:r>
            <w:r>
              <w:t>023-63621694</w:t>
            </w:r>
          </w:p>
        </w:tc>
      </w:tr>
      <w:tr w14:paraId="13D73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F8779FB">
            <w:pPr>
              <w:ind w:firstLine="0" w:firstLineChars="0"/>
              <w:jc w:val="left"/>
            </w:pPr>
          </w:p>
        </w:tc>
      </w:tr>
      <w:tr w14:paraId="72D2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B40D7FD">
            <w:pPr>
              <w:ind w:firstLine="0" w:firstLineChars="0"/>
              <w:jc w:val="left"/>
            </w:pPr>
            <w:r>
              <w:rPr>
                <w:rFonts w:hint="eastAsia"/>
              </w:rPr>
              <w:t>8.3 采购人联系方式</w:t>
            </w:r>
          </w:p>
        </w:tc>
      </w:tr>
      <w:tr w14:paraId="1B61C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A3FFB05">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491D03DB">
            <w:pPr>
              <w:ind w:firstLine="0" w:firstLineChars="0"/>
              <w:jc w:val="left"/>
              <w:rPr>
                <w:rFonts w:cs="宋体"/>
                <w:szCs w:val="21"/>
              </w:rPr>
            </w:pPr>
            <w:r>
              <w:rPr>
                <w:rFonts w:hint="eastAsia"/>
              </w:rPr>
              <w:t>联系方式：023-88890395</w:t>
            </w:r>
          </w:p>
        </w:tc>
      </w:tr>
      <w:tr w14:paraId="23E4D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06CCB81">
            <w:pPr>
              <w:ind w:firstLine="0" w:firstLineChars="0"/>
              <w:jc w:val="left"/>
            </w:pPr>
            <w:r>
              <w:rPr>
                <w:rFonts w:hint="eastAsia"/>
              </w:rPr>
              <w:t>采购人地址：重庆市渝北区嘉州路88号中渝国际都会4号写字楼21层</w:t>
            </w:r>
          </w:p>
        </w:tc>
      </w:tr>
    </w:tbl>
    <w:p w14:paraId="0541E3C7"/>
    <w:p w14:paraId="242AAAC9">
      <w:pPr>
        <w:pStyle w:val="2"/>
      </w:pPr>
    </w:p>
    <w:p w14:paraId="72707027">
      <w:pPr>
        <w:pStyle w:val="4"/>
        <w:rPr>
          <w:rFonts w:hint="default" w:eastAsia="宋体"/>
          <w:lang w:val="en-US" w:eastAsia="zh-CN"/>
        </w:rPr>
      </w:pPr>
      <w:r>
        <w:rPr>
          <w:rFonts w:hint="eastAsia"/>
          <w:lang w:val="en-US" w:eastAsia="zh-CN"/>
        </w:rPr>
        <w:t>附件：</w:t>
      </w:r>
      <w:r>
        <w:t>重庆三峡银行2025年网络安全等级保护测评服务项目</w:t>
      </w:r>
      <w:r>
        <w:rPr>
          <w:rFonts w:hint="eastAsia"/>
          <w:lang w:val="en-US" w:eastAsia="zh-CN"/>
        </w:rPr>
        <w:t>询比文件</w:t>
      </w:r>
    </w:p>
    <w:p w14:paraId="6616E649">
      <w:pPr>
        <w:spacing w:line="240" w:lineRule="auto"/>
        <w:ind w:firstLine="0" w:firstLineChars="0"/>
        <w:jc w:val="right"/>
      </w:pPr>
      <w:r>
        <w:rPr>
          <w:rFonts w:hint="eastAsia"/>
        </w:rPr>
        <w:t>重庆三峡银行股份有限公司</w:t>
      </w:r>
    </w:p>
    <w:p w14:paraId="0A7D23F0">
      <w:pPr>
        <w:jc w:val="right"/>
      </w:pPr>
      <w:r>
        <w:rPr>
          <w:rFonts w:hint="eastAsia"/>
        </w:rPr>
        <w:t>202</w:t>
      </w:r>
      <w:r>
        <w:rPr>
          <w:rFonts w:hint="eastAsia"/>
          <w:lang w:val="en-US" w:eastAsia="zh-CN"/>
        </w:rPr>
        <w:t>5</w:t>
      </w:r>
      <w:r>
        <w:rPr>
          <w:rFonts w:hint="eastAsia"/>
        </w:rPr>
        <w:t>年</w:t>
      </w:r>
      <w:r>
        <w:rPr>
          <w:rFonts w:hint="eastAsia"/>
          <w:lang w:val="en-US" w:eastAsia="zh-CN"/>
        </w:rPr>
        <w:t>6</w:t>
      </w:r>
      <w:r>
        <w:rPr>
          <w:rFonts w:hint="eastAsia"/>
        </w:rPr>
        <w:t>月</w:t>
      </w:r>
      <w:r>
        <w:rPr>
          <w:rFonts w:hint="eastAsia"/>
          <w:lang w:val="en-US" w:eastAsia="zh-CN"/>
        </w:rPr>
        <w:t>12</w:t>
      </w:r>
      <w:r>
        <w:rPr>
          <w:rFonts w:hint="eastAsia"/>
        </w:rPr>
        <w:t>日</w:t>
      </w:r>
    </w:p>
    <w:p w14:paraId="12294006">
      <w:pPr>
        <w:jc w:val="right"/>
      </w:pPr>
      <w:bookmarkStart w:id="24" w:name="_GoBack"/>
      <w:bookmarkEnd w:id="24"/>
    </w:p>
    <w:p w14:paraId="119A38B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altName w:val="Times New Roman"/>
    <w:panose1 w:val="00000000000000000000"/>
    <w:charset w:val="00"/>
    <w:family w:val="roman"/>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2258AB"/>
    <w:rsid w:val="79F02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1"/>
      <w:lang w:val="en-US" w:eastAsia="zh-CN" w:bidi="ar-SA"/>
    </w:rPr>
  </w:style>
  <w:style w:type="paragraph" w:styleId="5">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6">
    <w:name w:val="heading 2"/>
    <w:basedOn w:val="1"/>
    <w:next w:val="1"/>
    <w:qFormat/>
    <w:uiPriority w:val="0"/>
    <w:pPr>
      <w:spacing w:line="600" w:lineRule="exact"/>
      <w:ind w:firstLine="0" w:firstLineChars="0"/>
      <w:outlineLvl w:val="1"/>
    </w:pPr>
    <w:rPr>
      <w:rFonts w:cs="Times New Roman"/>
      <w:b/>
      <w:bCs/>
      <w:snapToGrid w:val="0"/>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100" w:firstLineChars="100"/>
    </w:pPr>
    <w:rPr>
      <w:rFonts w:ascii="仿宋_GB2312" w:hAnsi="仿宋_GB2312"/>
      <w:sz w:val="21"/>
    </w:rPr>
  </w:style>
  <w:style w:type="paragraph" w:styleId="3">
    <w:name w:val="Body Text"/>
    <w:basedOn w:val="1"/>
    <w:next w:val="1"/>
    <w:qFormat/>
    <w:uiPriority w:val="0"/>
    <w:pPr>
      <w:widowControl/>
      <w:spacing w:line="288" w:lineRule="auto"/>
      <w:ind w:left="624"/>
      <w:jc w:val="both"/>
    </w:pPr>
    <w:rPr>
      <w:rFonts w:ascii="CG Times" w:hAnsi="CG Times" w:eastAsia="宋体" w:cs="Times New Roman"/>
      <w:kern w:val="0"/>
      <w:sz w:val="24"/>
      <w:szCs w:val="20"/>
      <w:lang w:val="en-GB" w:bidi="ar-SA"/>
    </w:rPr>
  </w:style>
  <w:style w:type="paragraph" w:styleId="4">
    <w:name w:val="Balloon Text"/>
    <w:basedOn w:val="1"/>
    <w:qFormat/>
    <w:uiPriority w:val="0"/>
    <w:pPr>
      <w:spacing w:line="240" w:lineRule="auto"/>
    </w:pPr>
    <w:rPr>
      <w:sz w:val="18"/>
      <w:szCs w:val="18"/>
    </w:rPr>
  </w:style>
  <w:style w:type="character" w:styleId="9">
    <w:name w:val="annotation reference"/>
    <w:basedOn w:val="8"/>
    <w:qFormat/>
    <w:uiPriority w:val="0"/>
    <w:rPr>
      <w:sz w:val="21"/>
      <w:szCs w:val="21"/>
    </w:rPr>
  </w:style>
  <w:style w:type="paragraph" w:customStyle="1" w:styleId="10">
    <w:name w:val="表格（标题）"/>
    <w:basedOn w:val="1"/>
    <w:qFormat/>
    <w:uiPriority w:val="0"/>
    <w:pPr>
      <w:spacing w:line="240" w:lineRule="auto"/>
      <w:ind w:firstLine="0" w:firstLineChars="0"/>
      <w:jc w:val="center"/>
    </w:pPr>
    <w:rPr>
      <w:b/>
      <w:bCs/>
      <w:szCs w:val="18"/>
    </w:rPr>
  </w:style>
  <w:style w:type="paragraph" w:customStyle="1" w:styleId="11">
    <w:name w:val="表格"/>
    <w:basedOn w:val="1"/>
    <w:qFormat/>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2622</Words>
  <Characters>3010</Characters>
  <Lines>0</Lines>
  <Paragraphs>0</Paragraphs>
  <TotalTime>0</TotalTime>
  <ScaleCrop>false</ScaleCrop>
  <LinksUpToDate>false</LinksUpToDate>
  <CharactersWithSpaces>3110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2025-06-11T02:53:00Z</dcterms:created>
  <dc:creator>admin</dc:creator>
  <cp:lastModifiedBy>杜玲_企采</cp:lastModifiedBy>
  <dcterms:modified xsi:type="dcterms:W3CDTF">2025-06-12T03:27:36Z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eyJoZGlkIjoiMjE4MmQxZjA1Y2YxYjcxZTkzZjljNGM2ODFmNzIxYzciLCJ1c2VySWQiOiIxNTcyMDkyNzExIn0=</vt:lpwstr>
  </property>
  <property fmtid="{D5CDD505-2E9C-101B-9397-08002B2CF9AE}" pid="4" name="ICV">
    <vt:lpwstr>B69ABAAB92CF4D7AB7728DA71EEA7F57_12</vt:lpwstr>
  </property>
</Properties>
</file>