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E596">
      <w:pPr>
        <w:rPr>
          <w:color w:val="auto"/>
          <w:highlight w:val="none"/>
        </w:rPr>
      </w:pPr>
    </w:p>
    <w:p w14:paraId="18697E76">
      <w:pPr>
        <w:rPr>
          <w:color w:val="auto"/>
          <w:highlight w:val="none"/>
        </w:rPr>
      </w:pPr>
    </w:p>
    <w:p w14:paraId="3D0A3429">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28EE2145">
      <w:pPr>
        <w:ind w:firstLine="0" w:firstLineChars="0"/>
        <w:jc w:val="center"/>
        <w:rPr>
          <w:rFonts w:cs="Times New Roman"/>
          <w:b/>
          <w:snapToGrid w:val="0"/>
          <w:color w:val="auto"/>
          <w:kern w:val="0"/>
          <w:sz w:val="48"/>
          <w:szCs w:val="84"/>
          <w:highlight w:val="none"/>
          <w:u w:val="none"/>
        </w:rPr>
      </w:pPr>
      <w:r>
        <w:rPr>
          <w:rFonts w:hint="eastAsia" w:cs="Times New Roman"/>
          <w:b/>
          <w:snapToGrid w:val="0"/>
          <w:color w:val="auto"/>
          <w:kern w:val="0"/>
          <w:sz w:val="48"/>
          <w:szCs w:val="84"/>
          <w:highlight w:val="none"/>
          <w:u w:val="none"/>
        </w:rPr>
        <w:t>分布式块存储</w:t>
      </w:r>
      <w:r>
        <w:rPr>
          <w:rFonts w:cs="Times New Roman"/>
          <w:b/>
          <w:snapToGrid w:val="0"/>
          <w:color w:val="auto"/>
          <w:kern w:val="0"/>
          <w:sz w:val="48"/>
          <w:szCs w:val="84"/>
          <w:highlight w:val="none"/>
          <w:u w:val="none"/>
        </w:rPr>
        <w:t>项目</w:t>
      </w:r>
    </w:p>
    <w:p w14:paraId="38BFEA51">
      <w:pPr>
        <w:rPr>
          <w:color w:val="auto"/>
          <w:highlight w:val="none"/>
        </w:rPr>
      </w:pPr>
    </w:p>
    <w:p w14:paraId="253BA198">
      <w:pPr>
        <w:rPr>
          <w:color w:val="auto"/>
          <w:highlight w:val="none"/>
        </w:rPr>
      </w:pPr>
    </w:p>
    <w:p w14:paraId="4ECA9987">
      <w:pPr>
        <w:rPr>
          <w:color w:val="auto"/>
          <w:highlight w:val="none"/>
        </w:rPr>
      </w:pPr>
    </w:p>
    <w:p w14:paraId="6F90DAB8">
      <w:pPr>
        <w:rPr>
          <w:color w:val="auto"/>
          <w:highlight w:val="none"/>
        </w:rPr>
      </w:pPr>
    </w:p>
    <w:p w14:paraId="27C0724A">
      <w:pPr>
        <w:rPr>
          <w:color w:val="auto"/>
          <w:highlight w:val="none"/>
        </w:rPr>
      </w:pPr>
    </w:p>
    <w:p w14:paraId="17420723">
      <w:pPr>
        <w:rPr>
          <w:color w:val="auto"/>
          <w:highlight w:val="none"/>
        </w:rPr>
      </w:pPr>
    </w:p>
    <w:p w14:paraId="3C86C7D8">
      <w:pPr>
        <w:rPr>
          <w:color w:val="auto"/>
          <w:highlight w:val="none"/>
        </w:rPr>
      </w:pPr>
    </w:p>
    <w:p w14:paraId="03329CF4">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0086B1B1">
      <w:pPr>
        <w:rPr>
          <w:color w:val="auto"/>
          <w:highlight w:val="none"/>
        </w:rPr>
      </w:pPr>
    </w:p>
    <w:p w14:paraId="5C4E6231">
      <w:pPr>
        <w:rPr>
          <w:color w:val="auto"/>
          <w:highlight w:val="none"/>
        </w:rPr>
      </w:pPr>
    </w:p>
    <w:p w14:paraId="376C2D2A">
      <w:pPr>
        <w:rPr>
          <w:color w:val="auto"/>
          <w:highlight w:val="none"/>
        </w:rPr>
      </w:pPr>
    </w:p>
    <w:p w14:paraId="363C069D">
      <w:pPr>
        <w:rPr>
          <w:color w:val="auto"/>
          <w:highlight w:val="none"/>
        </w:rPr>
      </w:pPr>
    </w:p>
    <w:p w14:paraId="29209B00">
      <w:pPr>
        <w:rPr>
          <w:color w:val="auto"/>
          <w:highlight w:val="none"/>
        </w:rPr>
      </w:pPr>
    </w:p>
    <w:p w14:paraId="791D5C35">
      <w:pPr>
        <w:rPr>
          <w:color w:val="auto"/>
          <w:highlight w:val="none"/>
        </w:rPr>
      </w:pPr>
    </w:p>
    <w:p w14:paraId="1FD77398">
      <w:pPr>
        <w:rPr>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AF4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0A087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7E98D7E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43A656B5">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5EC1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7DEE0F7">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0CA6B52">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0</w:t>
            </w:r>
            <w:r>
              <w:rPr>
                <w:rFonts w:hint="eastAsia" w:cs="Times New Roman"/>
                <w:b/>
                <w:snapToGrid w:val="0"/>
                <w:color w:val="auto"/>
                <w:kern w:val="0"/>
                <w:sz w:val="30"/>
                <w:szCs w:val="30"/>
                <w:highlight w:val="none"/>
                <w:lang w:val="en-US" w:eastAsia="zh-CN"/>
              </w:rPr>
              <w:t>7</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13B4639D">
            <w:pPr>
              <w:rPr>
                <w:color w:val="auto"/>
                <w:highlight w:val="none"/>
              </w:rPr>
            </w:pPr>
          </w:p>
        </w:tc>
      </w:tr>
    </w:tbl>
    <w:p w14:paraId="20088A06">
      <w:pPr>
        <w:rPr>
          <w:rFonts w:cs="Times New Roman"/>
          <w:b/>
          <w:snapToGrid w:val="0"/>
          <w:color w:val="auto"/>
          <w:kern w:val="0"/>
          <w:sz w:val="30"/>
          <w:szCs w:val="30"/>
          <w:highlight w:val="none"/>
        </w:rPr>
      </w:pPr>
    </w:p>
    <w:p w14:paraId="76167A7C">
      <w:pPr>
        <w:rPr>
          <w:color w:val="auto"/>
          <w:highlight w:val="none"/>
        </w:rPr>
        <w:sectPr>
          <w:pgSz w:w="11906" w:h="16838"/>
          <w:pgMar w:top="1440" w:right="1800" w:bottom="1440" w:left="1800" w:header="851" w:footer="992" w:gutter="0"/>
          <w:pgNumType w:start="1"/>
          <w:cols w:space="720" w:num="1"/>
          <w:docGrid w:type="lines" w:linePitch="312" w:charSpace="0"/>
        </w:sectPr>
      </w:pPr>
    </w:p>
    <w:p w14:paraId="4B1835D9">
      <w:pPr>
        <w:pStyle w:val="39"/>
        <w:rPr>
          <w:color w:val="auto"/>
          <w:highlight w:val="none"/>
        </w:rPr>
      </w:pPr>
      <w:r>
        <w:rPr>
          <w:color w:val="auto"/>
          <w:highlight w:val="none"/>
        </w:rPr>
        <w:t>目录</w:t>
      </w:r>
    </w:p>
    <w:p w14:paraId="106BB6D5">
      <w:pPr>
        <w:pStyle w:val="14"/>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_Toc32495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_Toc32495 \h </w:instrText>
      </w:r>
      <w:r>
        <w:fldChar w:fldCharType="separate"/>
      </w:r>
      <w:r>
        <w:t>1</w:t>
      </w:r>
      <w:r>
        <w:fldChar w:fldCharType="end"/>
      </w:r>
      <w:r>
        <w:rPr>
          <w:rFonts w:ascii="宋体" w:hAnsi="宋体"/>
          <w:snapToGrid w:val="0"/>
          <w:color w:val="auto"/>
          <w:kern w:val="0"/>
          <w:szCs w:val="24"/>
          <w:highlight w:val="none"/>
        </w:rPr>
        <w:fldChar w:fldCharType="end"/>
      </w:r>
    </w:p>
    <w:p w14:paraId="23C0FAED">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_Toc13800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_Toc13800 \h </w:instrText>
      </w:r>
      <w:r>
        <w:fldChar w:fldCharType="separate"/>
      </w:r>
      <w:r>
        <w:t>5</w:t>
      </w:r>
      <w:r>
        <w:fldChar w:fldCharType="end"/>
      </w:r>
      <w:r>
        <w:rPr>
          <w:rFonts w:ascii="宋体" w:hAnsi="宋体"/>
          <w:snapToGrid w:val="0"/>
          <w:color w:val="auto"/>
          <w:kern w:val="0"/>
          <w:szCs w:val="24"/>
          <w:highlight w:val="none"/>
        </w:rPr>
        <w:fldChar w:fldCharType="end"/>
      </w:r>
    </w:p>
    <w:p w14:paraId="672C7AEF">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_Toc16882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_Toc16882 \h </w:instrText>
      </w:r>
      <w:r>
        <w:fldChar w:fldCharType="separate"/>
      </w:r>
      <w:r>
        <w:t>12</w:t>
      </w:r>
      <w:r>
        <w:fldChar w:fldCharType="end"/>
      </w:r>
      <w:r>
        <w:rPr>
          <w:rFonts w:ascii="宋体" w:hAnsi="宋体"/>
          <w:snapToGrid w:val="0"/>
          <w:color w:val="auto"/>
          <w:kern w:val="0"/>
          <w:szCs w:val="24"/>
          <w:highlight w:val="none"/>
        </w:rPr>
        <w:fldChar w:fldCharType="end"/>
      </w:r>
    </w:p>
    <w:p w14:paraId="535E7F07">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_Toc552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_Toc552 \h </w:instrText>
      </w:r>
      <w:r>
        <w:fldChar w:fldCharType="separate"/>
      </w:r>
      <w:r>
        <w:t>17</w:t>
      </w:r>
      <w:r>
        <w:fldChar w:fldCharType="end"/>
      </w:r>
      <w:r>
        <w:rPr>
          <w:rFonts w:ascii="宋体" w:hAnsi="宋体"/>
          <w:snapToGrid w:val="0"/>
          <w:color w:val="auto"/>
          <w:kern w:val="0"/>
          <w:szCs w:val="24"/>
          <w:highlight w:val="none"/>
        </w:rPr>
        <w:fldChar w:fldCharType="end"/>
      </w:r>
    </w:p>
    <w:p w14:paraId="226B273F">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_Toc28410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_Toc28410 \h </w:instrText>
      </w:r>
      <w:r>
        <w:fldChar w:fldCharType="separate"/>
      </w:r>
      <w:r>
        <w:t>24</w:t>
      </w:r>
      <w:r>
        <w:fldChar w:fldCharType="end"/>
      </w:r>
      <w:r>
        <w:rPr>
          <w:rFonts w:ascii="宋体" w:hAnsi="宋体"/>
          <w:snapToGrid w:val="0"/>
          <w:color w:val="auto"/>
          <w:kern w:val="0"/>
          <w:szCs w:val="24"/>
          <w:highlight w:val="none"/>
        </w:rPr>
        <w:fldChar w:fldCharType="end"/>
      </w:r>
    </w:p>
    <w:p w14:paraId="6EBAB8DA">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_Toc20694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_Toc20694 \h </w:instrText>
      </w:r>
      <w:r>
        <w:fldChar w:fldCharType="separate"/>
      </w:r>
      <w:r>
        <w:t>34</w:t>
      </w:r>
      <w:r>
        <w:fldChar w:fldCharType="end"/>
      </w:r>
      <w:r>
        <w:rPr>
          <w:rFonts w:ascii="宋体" w:hAnsi="宋体"/>
          <w:snapToGrid w:val="0"/>
          <w:color w:val="auto"/>
          <w:kern w:val="0"/>
          <w:szCs w:val="24"/>
          <w:highlight w:val="none"/>
        </w:rPr>
        <w:fldChar w:fldCharType="end"/>
      </w:r>
    </w:p>
    <w:p w14:paraId="6AE58E3A">
      <w:pPr>
        <w:pStyle w:val="14"/>
        <w:tabs>
          <w:tab w:val="right" w:leader="dot" w:pos="8306"/>
        </w:tabs>
        <w:rPr>
          <w:color w:val="auto"/>
          <w:highlight w:val="none"/>
        </w:rPr>
      </w:pPr>
      <w:r>
        <w:rPr>
          <w:rFonts w:ascii="宋体" w:hAnsi="宋体"/>
          <w:snapToGrid w:val="0"/>
          <w:color w:val="auto"/>
          <w:kern w:val="0"/>
          <w:szCs w:val="24"/>
          <w:highlight w:val="none"/>
        </w:rPr>
        <w:fldChar w:fldCharType="end"/>
      </w:r>
    </w:p>
    <w:p w14:paraId="7F8D8184">
      <w:pPr>
        <w:widowControl/>
        <w:jc w:val="left"/>
        <w:rPr>
          <w:rFonts w:ascii="宋体" w:hAnsi="宋体"/>
          <w:snapToGrid w:val="0"/>
          <w:color w:val="auto"/>
          <w:kern w:val="0"/>
          <w:sz w:val="24"/>
          <w:szCs w:val="24"/>
          <w:highlight w:val="none"/>
        </w:rPr>
      </w:pPr>
    </w:p>
    <w:p w14:paraId="3676A206">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33C57EE7">
      <w:pPr>
        <w:pStyle w:val="2"/>
        <w:rPr>
          <w:color w:val="auto"/>
          <w:highlight w:val="none"/>
        </w:rPr>
      </w:pPr>
      <w:bookmarkStart w:id="0" w:name="_Toc440628903"/>
      <w:bookmarkStart w:id="1" w:name="_Toc469574661"/>
      <w:bookmarkStart w:id="2" w:name="_Toc6745"/>
      <w:bookmarkStart w:id="3" w:name="_Toc32495"/>
      <w:bookmarkStart w:id="4" w:name="_Toc25883"/>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bookmarkEnd w:id="4"/>
    </w:p>
    <w:p w14:paraId="295D1E4C">
      <w:pPr>
        <w:rPr>
          <w:color w:val="auto"/>
          <w:highlight w:val="none"/>
        </w:rPr>
      </w:pPr>
      <w:bookmarkStart w:id="5" w:name="_Toc55379218"/>
      <w:bookmarkStart w:id="6" w:name="_Toc89675127"/>
      <w:r>
        <w:rPr>
          <w:rFonts w:hint="eastAsia"/>
          <w:color w:val="auto"/>
          <w:highlight w:val="none"/>
          <w:shd w:val="clear" w:color="auto" w:fill="auto"/>
        </w:rPr>
        <w:t>为丰富当前数据中</w:t>
      </w:r>
      <w:bookmarkStart w:id="270" w:name="_GoBack"/>
      <w:bookmarkEnd w:id="270"/>
      <w:r>
        <w:rPr>
          <w:rFonts w:hint="eastAsia"/>
          <w:color w:val="auto"/>
          <w:highlight w:val="none"/>
          <w:shd w:val="clear" w:color="auto" w:fill="auto"/>
        </w:rPr>
        <w:t>心块存储架构，对集中式块存储进行补充，需要采购分布式块存储。</w:t>
      </w:r>
      <w:r>
        <w:rPr>
          <w:rFonts w:hint="eastAsia"/>
          <w:color w:val="auto"/>
          <w:highlight w:val="none"/>
        </w:rPr>
        <w:t>现对</w:t>
      </w:r>
      <w:r>
        <w:rPr>
          <w:rFonts w:hint="eastAsia"/>
          <w:color w:val="auto"/>
          <w:highlight w:val="none"/>
          <w:u w:val="none"/>
        </w:rPr>
        <w:t>重庆三峡银行</w:t>
      </w:r>
      <w:r>
        <w:rPr>
          <w:rFonts w:hint="eastAsia"/>
          <w:color w:val="auto"/>
          <w:highlight w:val="none"/>
          <w:shd w:val="clear" w:color="auto" w:fill="auto"/>
        </w:rPr>
        <w:t>分布式块存储</w:t>
      </w:r>
      <w:r>
        <w:rPr>
          <w:rFonts w:hint="eastAsia"/>
          <w:color w:val="auto"/>
          <w:highlight w:val="none"/>
          <w:u w:val="none"/>
        </w:rPr>
        <w:t>项目</w:t>
      </w:r>
      <w:r>
        <w:rPr>
          <w:rFonts w:hint="eastAsia"/>
          <w:color w:val="auto"/>
          <w:highlight w:val="none"/>
        </w:rPr>
        <w:t>进行公开询比，</w:t>
      </w:r>
      <w:r>
        <w:rPr>
          <w:color w:val="auto"/>
          <w:highlight w:val="none"/>
        </w:rPr>
        <w:t>特邀请有</w:t>
      </w:r>
      <w:bookmarkStart w:id="7" w:name="_Hlk59455120"/>
      <w:r>
        <w:rPr>
          <w:color w:val="auto"/>
          <w:highlight w:val="none"/>
        </w:rPr>
        <w:t>意向</w:t>
      </w:r>
      <w:bookmarkEnd w:id="7"/>
      <w:r>
        <w:rPr>
          <w:color w:val="auto"/>
          <w:highlight w:val="none"/>
        </w:rPr>
        <w:t>的潜在</w:t>
      </w:r>
      <w:r>
        <w:rPr>
          <w:rFonts w:hint="eastAsia"/>
          <w:color w:val="auto"/>
          <w:highlight w:val="none"/>
        </w:rPr>
        <w:t>响应人参与响应</w:t>
      </w:r>
      <w:r>
        <w:rPr>
          <w:color w:val="auto"/>
          <w:highlight w:val="none"/>
        </w:rPr>
        <w:t>。</w:t>
      </w:r>
    </w:p>
    <w:p w14:paraId="7FE3FCEB">
      <w:pPr>
        <w:pStyle w:val="3"/>
        <w:rPr>
          <w:color w:val="auto"/>
          <w:highlight w:val="none"/>
        </w:rPr>
      </w:pPr>
      <w:r>
        <w:rPr>
          <w:rFonts w:hint="eastAsia"/>
          <w:color w:val="auto"/>
          <w:highlight w:val="none"/>
        </w:rPr>
        <w:t>1. 询比项目内容</w:t>
      </w:r>
      <w:bookmarkEnd w:id="5"/>
      <w:bookmarkEnd w:id="6"/>
    </w:p>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12"/>
        <w:gridCol w:w="1926"/>
        <w:gridCol w:w="1563"/>
        <w:gridCol w:w="1706"/>
      </w:tblGrid>
      <w:tr w14:paraId="740D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C080FBA">
            <w:pPr>
              <w:pStyle w:val="35"/>
              <w:rPr>
                <w:color w:val="auto"/>
                <w:highlight w:val="none"/>
              </w:rPr>
            </w:pPr>
            <w:r>
              <w:rPr>
                <w:rFonts w:hint="eastAsia"/>
                <w:color w:val="auto"/>
                <w:highlight w:val="none"/>
              </w:rPr>
              <w:t>序号</w:t>
            </w:r>
          </w:p>
        </w:tc>
        <w:tc>
          <w:tcPr>
            <w:tcW w:w="3212" w:type="dxa"/>
            <w:tcBorders>
              <w:top w:val="single" w:color="auto" w:sz="4" w:space="0"/>
              <w:left w:val="single" w:color="auto" w:sz="4" w:space="0"/>
              <w:bottom w:val="single" w:color="auto" w:sz="4" w:space="0"/>
              <w:right w:val="single" w:color="auto" w:sz="4" w:space="0"/>
            </w:tcBorders>
            <w:vAlign w:val="center"/>
          </w:tcPr>
          <w:p w14:paraId="4248E78C">
            <w:pPr>
              <w:pStyle w:val="35"/>
              <w:rPr>
                <w:color w:val="auto"/>
                <w:highlight w:val="none"/>
              </w:rPr>
            </w:pPr>
            <w:r>
              <w:rPr>
                <w:rFonts w:hint="eastAsia"/>
                <w:color w:val="auto"/>
                <w:highlight w:val="none"/>
              </w:rPr>
              <w:t>项目名称</w:t>
            </w:r>
          </w:p>
        </w:tc>
        <w:tc>
          <w:tcPr>
            <w:tcW w:w="1926" w:type="dxa"/>
            <w:tcBorders>
              <w:top w:val="single" w:color="auto" w:sz="4" w:space="0"/>
              <w:left w:val="single" w:color="auto" w:sz="4" w:space="0"/>
              <w:bottom w:val="single" w:color="auto" w:sz="4" w:space="0"/>
              <w:right w:val="single" w:color="auto" w:sz="4" w:space="0"/>
            </w:tcBorders>
            <w:vAlign w:val="center"/>
          </w:tcPr>
          <w:p w14:paraId="08458BC6">
            <w:pPr>
              <w:pStyle w:val="35"/>
              <w:rPr>
                <w:color w:val="auto"/>
                <w:highlight w:val="none"/>
              </w:rPr>
            </w:pPr>
            <w:r>
              <w:rPr>
                <w:rFonts w:hint="eastAsia"/>
                <w:color w:val="auto"/>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4683664E">
            <w:pPr>
              <w:pStyle w:val="35"/>
              <w:rPr>
                <w:color w:val="auto"/>
                <w:highlight w:val="none"/>
              </w:rPr>
            </w:pPr>
            <w:r>
              <w:rPr>
                <w:rFonts w:hint="eastAsia"/>
                <w:color w:val="auto"/>
                <w:highlight w:val="none"/>
              </w:rPr>
              <w:t>成交供应商</w:t>
            </w:r>
          </w:p>
          <w:p w14:paraId="64F6148F">
            <w:pPr>
              <w:pStyle w:val="35"/>
              <w:rPr>
                <w:color w:val="auto"/>
                <w:highlight w:val="none"/>
              </w:rPr>
            </w:pPr>
            <w:r>
              <w:rPr>
                <w:rFonts w:hint="eastAsia"/>
                <w:color w:val="auto"/>
                <w:highlight w:val="none"/>
              </w:rPr>
              <w:t>数量</w:t>
            </w:r>
          </w:p>
        </w:tc>
        <w:tc>
          <w:tcPr>
            <w:tcW w:w="1706" w:type="dxa"/>
            <w:tcBorders>
              <w:top w:val="single" w:color="auto" w:sz="4" w:space="0"/>
              <w:left w:val="single" w:color="auto" w:sz="4" w:space="0"/>
              <w:bottom w:val="single" w:color="auto" w:sz="4" w:space="0"/>
              <w:right w:val="single" w:color="auto" w:sz="4" w:space="0"/>
            </w:tcBorders>
            <w:vAlign w:val="center"/>
          </w:tcPr>
          <w:p w14:paraId="75D07AAC">
            <w:pPr>
              <w:pStyle w:val="35"/>
              <w:rPr>
                <w:color w:val="auto"/>
                <w:highlight w:val="none"/>
              </w:rPr>
            </w:pPr>
            <w:r>
              <w:rPr>
                <w:rFonts w:hint="eastAsia"/>
                <w:color w:val="auto"/>
                <w:highlight w:val="none"/>
              </w:rPr>
              <w:t>备注</w:t>
            </w:r>
          </w:p>
        </w:tc>
      </w:tr>
      <w:tr w14:paraId="065A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2A73CE0">
            <w:pPr>
              <w:pStyle w:val="35"/>
              <w:rPr>
                <w:color w:val="auto"/>
                <w:highlight w:val="none"/>
              </w:rPr>
            </w:pPr>
            <w:r>
              <w:rPr>
                <w:rFonts w:hint="eastAsia"/>
                <w:color w:val="auto"/>
                <w:highlight w:val="none"/>
              </w:rPr>
              <w:t>1</w:t>
            </w:r>
          </w:p>
        </w:tc>
        <w:tc>
          <w:tcPr>
            <w:tcW w:w="3212" w:type="dxa"/>
            <w:tcBorders>
              <w:top w:val="single" w:color="auto" w:sz="4" w:space="0"/>
              <w:left w:val="single" w:color="auto" w:sz="4" w:space="0"/>
              <w:bottom w:val="single" w:color="auto" w:sz="4" w:space="0"/>
              <w:right w:val="single" w:color="auto" w:sz="4" w:space="0"/>
            </w:tcBorders>
            <w:vAlign w:val="center"/>
          </w:tcPr>
          <w:p w14:paraId="048028AF">
            <w:pPr>
              <w:pStyle w:val="35"/>
              <w:rPr>
                <w:color w:val="auto"/>
                <w:highlight w:val="none"/>
              </w:rPr>
            </w:pPr>
            <w:r>
              <w:rPr>
                <w:b w:val="0"/>
                <w:bCs w:val="0"/>
                <w:color w:val="auto"/>
                <w:highlight w:val="none"/>
              </w:rPr>
              <w:t>重庆三峡银行分布式块存储项目</w:t>
            </w:r>
          </w:p>
        </w:tc>
        <w:tc>
          <w:tcPr>
            <w:tcW w:w="1926" w:type="dxa"/>
            <w:tcBorders>
              <w:top w:val="single" w:color="auto" w:sz="4" w:space="0"/>
              <w:left w:val="single" w:color="auto" w:sz="4" w:space="0"/>
              <w:bottom w:val="single" w:color="auto" w:sz="4" w:space="0"/>
              <w:right w:val="single" w:color="auto" w:sz="4" w:space="0"/>
            </w:tcBorders>
            <w:vAlign w:val="center"/>
          </w:tcPr>
          <w:p w14:paraId="3CF50429">
            <w:pPr>
              <w:pStyle w:val="35"/>
              <w:rPr>
                <w:color w:val="auto"/>
                <w:highlight w:val="none"/>
              </w:rPr>
            </w:pPr>
            <w:r>
              <w:rPr>
                <w:color w:val="auto"/>
                <w:highlight w:val="none"/>
              </w:rPr>
              <w:t>37万元</w:t>
            </w:r>
          </w:p>
        </w:tc>
        <w:tc>
          <w:tcPr>
            <w:tcW w:w="1563" w:type="dxa"/>
            <w:tcBorders>
              <w:top w:val="single" w:color="auto" w:sz="4" w:space="0"/>
              <w:left w:val="single" w:color="auto" w:sz="4" w:space="0"/>
              <w:bottom w:val="single" w:color="auto" w:sz="4" w:space="0"/>
              <w:right w:val="single" w:color="auto" w:sz="4" w:space="0"/>
            </w:tcBorders>
            <w:vAlign w:val="center"/>
          </w:tcPr>
          <w:p w14:paraId="76FEDF4F">
            <w:pPr>
              <w:pStyle w:val="35"/>
              <w:rPr>
                <w:color w:val="auto"/>
                <w:highlight w:val="none"/>
              </w:rPr>
            </w:pPr>
            <w:r>
              <w:rPr>
                <w:color w:val="auto"/>
                <w:highlight w:val="none"/>
              </w:rPr>
              <w:t>1</w:t>
            </w:r>
          </w:p>
        </w:tc>
        <w:tc>
          <w:tcPr>
            <w:tcW w:w="1706" w:type="dxa"/>
            <w:tcBorders>
              <w:top w:val="single" w:color="auto" w:sz="4" w:space="0"/>
              <w:left w:val="single" w:color="auto" w:sz="4" w:space="0"/>
              <w:bottom w:val="single" w:color="auto" w:sz="4" w:space="0"/>
              <w:right w:val="single" w:color="auto" w:sz="4" w:space="0"/>
            </w:tcBorders>
            <w:vAlign w:val="center"/>
          </w:tcPr>
          <w:p w14:paraId="1A2B7AE7">
            <w:pPr>
              <w:pStyle w:val="35"/>
              <w:jc w:val="left"/>
              <w:rPr>
                <w:color w:val="auto"/>
                <w:highlight w:val="none"/>
              </w:rPr>
            </w:pPr>
            <w:r>
              <w:rPr>
                <w:b w:val="0"/>
                <w:bCs w:val="0"/>
                <w:color w:val="auto"/>
                <w:highlight w:val="none"/>
              </w:rPr>
              <w:t>包含370T裸容量授权及三年原厂维保</w:t>
            </w:r>
          </w:p>
        </w:tc>
      </w:tr>
    </w:tbl>
    <w:p w14:paraId="0545CCFA">
      <w:pPr>
        <w:pStyle w:val="3"/>
        <w:rPr>
          <w:color w:val="auto"/>
          <w:highlight w:val="none"/>
        </w:rPr>
      </w:pPr>
      <w:bookmarkStart w:id="8" w:name="_Toc288224935"/>
      <w:bookmarkStart w:id="9" w:name="_Toc297817088"/>
      <w:bookmarkStart w:id="10" w:name="_Toc89675128"/>
      <w:bookmarkStart w:id="11" w:name="_Toc469574664"/>
      <w:bookmarkStart w:id="12" w:name="_Toc55379219"/>
      <w:r>
        <w:rPr>
          <w:rFonts w:hint="eastAsia"/>
          <w:color w:val="auto"/>
          <w:highlight w:val="none"/>
        </w:rPr>
        <w:t>2. 响应人资格要求</w:t>
      </w:r>
      <w:bookmarkEnd w:id="8"/>
      <w:bookmarkEnd w:id="9"/>
      <w:bookmarkEnd w:id="10"/>
      <w:bookmarkEnd w:id="11"/>
      <w:bookmarkEnd w:id="12"/>
    </w:p>
    <w:p w14:paraId="0E8C59B3">
      <w:pPr>
        <w:rPr>
          <w:color w:val="auto"/>
          <w:highlight w:val="none"/>
        </w:rPr>
      </w:pPr>
      <w:bookmarkStart w:id="13" w:name="_Hlk55488870"/>
      <w:r>
        <w:rPr>
          <w:rFonts w:hint="eastAsia"/>
          <w:color w:val="auto"/>
          <w:highlight w:val="none"/>
        </w:rPr>
        <w:t>2.1 具有独立承担民事责任的能力</w:t>
      </w:r>
    </w:p>
    <w:p w14:paraId="6EC35DF2">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A21CA26">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A6188AA">
      <w:pPr>
        <w:rPr>
          <w:color w:val="auto"/>
          <w:highlight w:val="none"/>
        </w:rPr>
      </w:pPr>
      <w:r>
        <w:rPr>
          <w:rFonts w:hint="eastAsia"/>
          <w:color w:val="auto"/>
          <w:highlight w:val="none"/>
        </w:rPr>
        <w:t>2.3 本项目不允许任何形式的转包【提供书面声明】。</w:t>
      </w:r>
    </w:p>
    <w:p w14:paraId="1EA30BE8">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0B50B530">
      <w:pPr>
        <w:rPr>
          <w:color w:val="auto"/>
          <w:highlight w:val="none"/>
        </w:rPr>
      </w:pPr>
      <w:r>
        <w:rPr>
          <w:rFonts w:hint="eastAsia"/>
          <w:color w:val="auto"/>
          <w:highlight w:val="none"/>
        </w:rPr>
        <w:t>2.5 本次询比不接受联合体响应。</w:t>
      </w:r>
    </w:p>
    <w:p w14:paraId="1FD36531">
      <w:pPr>
        <w:rPr>
          <w:color w:val="auto"/>
          <w:highlight w:val="none"/>
        </w:rPr>
      </w:pPr>
      <w:r>
        <w:rPr>
          <w:rFonts w:hint="eastAsia"/>
          <w:color w:val="auto"/>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原厂商</w:t>
      </w:r>
      <w:r>
        <w:rPr>
          <w:rFonts w:hint="eastAsia"/>
          <w:color w:val="auto"/>
          <w:highlight w:val="none"/>
        </w:rPr>
        <w:t>具有</w:t>
      </w:r>
      <w:r>
        <w:rPr>
          <w:color w:val="auto"/>
          <w:highlight w:val="none"/>
        </w:rPr>
        <w:t>金融行业总部（银行、保险、证券、期货等）</w:t>
      </w:r>
      <w:r>
        <w:rPr>
          <w:rFonts w:hint="eastAsia"/>
          <w:color w:val="auto"/>
          <w:highlight w:val="none"/>
        </w:rPr>
        <w:t>相关实施案例不少于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合同内容产品列表中明确包含“</w:t>
      </w:r>
      <w:r>
        <w:rPr>
          <w:rFonts w:hint="eastAsia" w:hAnsi="仿宋"/>
          <w:bCs/>
          <w:color w:val="auto"/>
          <w:szCs w:val="18"/>
          <w:highlight w:val="none"/>
        </w:rPr>
        <w:t>分布式块存储</w:t>
      </w:r>
      <w:r>
        <w:rPr>
          <w:rFonts w:hAnsi="仿宋"/>
          <w:bCs/>
          <w:color w:val="auto"/>
          <w:szCs w:val="18"/>
          <w:highlight w:val="none"/>
        </w:rPr>
        <w:t>或超融合</w:t>
      </w:r>
      <w:r>
        <w:rPr>
          <w:rFonts w:hint="eastAsia" w:hAnsi="仿宋"/>
          <w:bCs/>
          <w:color w:val="auto"/>
          <w:szCs w:val="18"/>
          <w:highlight w:val="none"/>
        </w:rPr>
        <w:t>或超融合存储</w:t>
      </w:r>
      <w:r>
        <w:rPr>
          <w:rFonts w:hint="eastAsia" w:hAnsi="仿宋"/>
          <w:color w:val="auto"/>
          <w:szCs w:val="18"/>
          <w:highlight w:val="none"/>
        </w:rPr>
        <w:t>”等关键字</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67176F60">
      <w:pPr>
        <w:jc w:val="left"/>
        <w:rPr>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w:t>
      </w:r>
      <w:r>
        <w:rPr>
          <w:rFonts w:hint="eastAsia" w:cs="Cambria"/>
          <w:color w:val="auto"/>
          <w:highlight w:val="none"/>
        </w:rPr>
        <w:t>为厂商直投或其合法代理商；</w:t>
      </w:r>
    </w:p>
    <w:p w14:paraId="4F9CE7AB">
      <w:pPr>
        <w:rPr>
          <w:rFonts w:hint="eastAsia"/>
          <w:color w:val="auto"/>
          <w:highlight w:val="none"/>
          <w:lang w:eastAsia="zh-CN"/>
        </w:rPr>
      </w:pPr>
      <w:r>
        <w:rPr>
          <w:rFonts w:hint="eastAsia"/>
          <w:color w:val="auto"/>
          <w:highlight w:val="none"/>
        </w:rPr>
        <w:t>（1）响应人若为厂商直接参与询比，</w:t>
      </w:r>
      <w:r>
        <w:rPr>
          <w:rFonts w:hint="eastAsia"/>
          <w:color w:val="auto"/>
          <w:highlight w:val="none"/>
          <w:lang w:val="en-US" w:eastAsia="zh-CN"/>
        </w:rPr>
        <w:t>须</w:t>
      </w:r>
      <w:r>
        <w:rPr>
          <w:rFonts w:hint="eastAsia"/>
          <w:color w:val="auto"/>
          <w:highlight w:val="none"/>
        </w:rPr>
        <w:t>提供售后服务承诺函原件。</w:t>
      </w:r>
      <w:r>
        <w:rPr>
          <w:rFonts w:hint="eastAsia"/>
          <w:color w:val="auto"/>
          <w:highlight w:val="none"/>
          <w:lang w:eastAsia="zh-CN"/>
        </w:rPr>
        <w:t>【</w:t>
      </w:r>
      <w:r>
        <w:rPr>
          <w:rFonts w:hint="eastAsia"/>
          <w:color w:val="auto"/>
          <w:highlight w:val="none"/>
        </w:rPr>
        <w:t>提供售后服务承诺函原件</w:t>
      </w:r>
      <w:r>
        <w:rPr>
          <w:rFonts w:hint="eastAsia"/>
          <w:color w:val="auto"/>
          <w:highlight w:val="none"/>
          <w:lang w:eastAsia="zh-CN"/>
        </w:rPr>
        <w:t>】</w:t>
      </w:r>
    </w:p>
    <w:p w14:paraId="387EC368">
      <w:pPr>
        <w:rPr>
          <w:rFonts w:hint="eastAsia"/>
          <w:color w:val="auto"/>
          <w:highlight w:val="none"/>
          <w:lang w:eastAsia="zh-CN"/>
        </w:rPr>
      </w:pPr>
      <w:r>
        <w:rPr>
          <w:rFonts w:hint="eastAsia"/>
          <w:color w:val="auto"/>
          <w:highlight w:val="none"/>
        </w:rPr>
        <w:t>（2）响应人若为代理商参</w:t>
      </w:r>
      <w:r>
        <w:rPr>
          <w:rFonts w:hint="eastAsia"/>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color w:val="auto"/>
          <w:highlight w:val="none"/>
          <w:lang w:eastAsia="zh-CN"/>
        </w:rPr>
        <w:t>【</w:t>
      </w:r>
      <w:r>
        <w:rPr>
          <w:rFonts w:hint="eastAsia"/>
          <w:color w:val="auto"/>
          <w:highlight w:val="none"/>
        </w:rPr>
        <w:t>提供原</w:t>
      </w:r>
      <w:r>
        <w:rPr>
          <w:rFonts w:hint="eastAsia"/>
          <w:color w:val="auto"/>
          <w:highlight w:val="none"/>
          <w:lang w:val="en-US" w:eastAsia="zh-CN"/>
        </w:rPr>
        <w:t>厂</w:t>
      </w:r>
      <w:r>
        <w:rPr>
          <w:rFonts w:hint="eastAsia"/>
          <w:color w:val="auto"/>
          <w:highlight w:val="none"/>
        </w:rPr>
        <w:t>对本项目的授权函原件及售后服务承诺函原件</w:t>
      </w:r>
      <w:r>
        <w:rPr>
          <w:rFonts w:hint="eastAsia"/>
          <w:color w:val="auto"/>
          <w:highlight w:val="none"/>
          <w:lang w:eastAsia="zh-CN"/>
        </w:rPr>
        <w:t>】</w:t>
      </w:r>
    </w:p>
    <w:p w14:paraId="0AEEA7AF">
      <w:pPr>
        <w:rPr>
          <w:rFonts w:hint="eastAsia"/>
          <w:color w:val="auto"/>
          <w:highlight w:val="none"/>
          <w:lang w:eastAsia="zh-CN"/>
        </w:rPr>
      </w:pPr>
      <w:r>
        <w:rPr>
          <w:rFonts w:hint="eastAsia"/>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1C3D5D1C">
      <w:pPr>
        <w:rPr>
          <w:rFonts w:hint="eastAsia"/>
          <w:color w:val="auto"/>
          <w:highlight w:val="none"/>
        </w:rPr>
      </w:pPr>
      <w:r>
        <w:rPr>
          <w:rFonts w:hint="eastAsia"/>
          <w:color w:val="auto"/>
          <w:highlight w:val="none"/>
        </w:rPr>
        <w:t>（3）同一品牌的原制造商和代理商不能同时参与询比。</w:t>
      </w:r>
    </w:p>
    <w:p w14:paraId="58453F36">
      <w:pPr>
        <w:rPr>
          <w:rFonts w:hint="eastAsia"/>
          <w:color w:val="auto"/>
          <w:highlight w:val="none"/>
        </w:rPr>
      </w:pPr>
      <w:r>
        <w:rPr>
          <w:rFonts w:hint="eastAsia"/>
          <w:color w:val="auto"/>
          <w:highlight w:val="none"/>
        </w:rPr>
        <w:t>注:以上证明文件若采购人存疑，响应人需提供原件备查，响应文件中须附相关证明文件复印件并逐页加盖公章。</w:t>
      </w:r>
    </w:p>
    <w:p w14:paraId="0338F7AC">
      <w:pPr>
        <w:rPr>
          <w:color w:val="auto"/>
          <w:highlight w:val="none"/>
        </w:rPr>
      </w:pPr>
      <w:r>
        <w:rPr>
          <w:rFonts w:hint="eastAsia"/>
          <w:color w:val="auto"/>
          <w:highlight w:val="none"/>
        </w:rPr>
        <w:t>本次询比不接受曾因响应人的违约行为与采购人发生过纠纷的响应人；不接受与采购人合作过程中不遵守询比文件及合同约定的响应人；不接受曾在采购人项目中存在弄虚作假行为的响应人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641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47B1E81C">
            <w:pPr>
              <w:pStyle w:val="35"/>
              <w:rPr>
                <w:color w:val="auto"/>
                <w:highlight w:val="none"/>
              </w:rPr>
            </w:pPr>
            <w:r>
              <w:rPr>
                <w:rFonts w:hint="eastAsia"/>
                <w:color w:val="auto"/>
                <w:highlight w:val="none"/>
              </w:rPr>
              <w:t>序号</w:t>
            </w:r>
          </w:p>
        </w:tc>
        <w:tc>
          <w:tcPr>
            <w:tcW w:w="4933" w:type="dxa"/>
          </w:tcPr>
          <w:p w14:paraId="5C8B4447">
            <w:pPr>
              <w:pStyle w:val="35"/>
              <w:rPr>
                <w:color w:val="auto"/>
                <w:highlight w:val="none"/>
              </w:rPr>
            </w:pPr>
            <w:r>
              <w:rPr>
                <w:rFonts w:hint="eastAsia"/>
                <w:color w:val="auto"/>
                <w:highlight w:val="none"/>
              </w:rPr>
              <w:t>公司</w:t>
            </w:r>
          </w:p>
        </w:tc>
      </w:tr>
      <w:tr w14:paraId="7982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5642B20">
            <w:pPr>
              <w:pStyle w:val="34"/>
              <w:rPr>
                <w:color w:val="auto"/>
                <w:highlight w:val="none"/>
              </w:rPr>
            </w:pPr>
            <w:r>
              <w:rPr>
                <w:rFonts w:hint="eastAsia" w:cs="宋体"/>
                <w:color w:val="auto"/>
                <w:szCs w:val="21"/>
                <w:highlight w:val="none"/>
              </w:rPr>
              <w:t>1</w:t>
            </w:r>
          </w:p>
        </w:tc>
        <w:tc>
          <w:tcPr>
            <w:tcW w:w="4933" w:type="dxa"/>
          </w:tcPr>
          <w:p w14:paraId="76454149">
            <w:pPr>
              <w:pStyle w:val="34"/>
              <w:rPr>
                <w:color w:val="auto"/>
                <w:highlight w:val="none"/>
              </w:rPr>
            </w:pPr>
            <w:r>
              <w:rPr>
                <w:rFonts w:hint="eastAsia" w:cs="宋体"/>
                <w:color w:val="auto"/>
                <w:szCs w:val="21"/>
                <w:highlight w:val="none"/>
              </w:rPr>
              <w:t>依米康软件技术（深圳）有限责任公司</w:t>
            </w:r>
          </w:p>
        </w:tc>
      </w:tr>
    </w:tbl>
    <w:p w14:paraId="0D1AA88A">
      <w:pPr>
        <w:rPr>
          <w:color w:val="auto"/>
          <w:highlight w:val="none"/>
        </w:rPr>
      </w:pPr>
    </w:p>
    <w:bookmarkEnd w:id="13"/>
    <w:p w14:paraId="39C390E8">
      <w:pPr>
        <w:pStyle w:val="3"/>
        <w:rPr>
          <w:color w:val="auto"/>
          <w:highlight w:val="none"/>
        </w:rPr>
      </w:pPr>
      <w:bookmarkStart w:id="14" w:name="_Toc55379220"/>
      <w:bookmarkStart w:id="15" w:name="_Toc297817090"/>
      <w:bookmarkStart w:id="16" w:name="_Toc469574667"/>
      <w:bookmarkStart w:id="17" w:name="_Toc89675130"/>
      <w:r>
        <w:rPr>
          <w:rFonts w:hint="eastAsia"/>
          <w:color w:val="auto"/>
          <w:highlight w:val="none"/>
        </w:rPr>
        <w:t>3. 询比文件的获取</w:t>
      </w:r>
      <w:bookmarkEnd w:id="14"/>
    </w:p>
    <w:p w14:paraId="24EDDFE0">
      <w:pPr>
        <w:rPr>
          <w:color w:val="auto"/>
          <w:highlight w:val="none"/>
        </w:rPr>
      </w:pPr>
      <w:r>
        <w:rPr>
          <w:rFonts w:hint="eastAsia"/>
          <w:color w:val="auto"/>
          <w:highlight w:val="none"/>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68E95EBF">
      <w:pPr>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15</w:t>
      </w:r>
      <w:r>
        <w:rPr>
          <w:rFonts w:hint="eastAsia"/>
          <w:color w:val="auto"/>
          <w:highlight w:val="none"/>
        </w:rPr>
        <w:t>日到响应截止时间，在重庆市公共资源交易网（www.cqggzy.com）下载询比文件。</w:t>
      </w:r>
    </w:p>
    <w:p w14:paraId="406EC945">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66C9E2EB">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2A4F7EA">
      <w:pPr>
        <w:pStyle w:val="3"/>
        <w:rPr>
          <w:color w:val="auto"/>
          <w:highlight w:val="none"/>
        </w:rPr>
      </w:pPr>
      <w:bookmarkStart w:id="18" w:name="_Toc55379221"/>
      <w:r>
        <w:rPr>
          <w:rFonts w:hint="eastAsia"/>
          <w:color w:val="auto"/>
          <w:highlight w:val="none"/>
        </w:rPr>
        <w:t>4. 响应保证金的递交</w:t>
      </w:r>
      <w:bookmarkEnd w:id="15"/>
      <w:bookmarkEnd w:id="16"/>
      <w:bookmarkEnd w:id="17"/>
      <w:bookmarkEnd w:id="18"/>
    </w:p>
    <w:p w14:paraId="5E873120">
      <w:pPr>
        <w:rPr>
          <w:color w:val="auto"/>
          <w:highlight w:val="none"/>
        </w:rPr>
      </w:pPr>
      <w:bookmarkStart w:id="19" w:name="_Toc469574668"/>
      <w:bookmarkStart w:id="20" w:name="_Toc55379222"/>
      <w:bookmarkStart w:id="21" w:name="_Toc89675131"/>
      <w:bookmarkStart w:id="22" w:name="_Toc297817091"/>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7,400</w:t>
      </w:r>
      <w:r>
        <w:rPr>
          <w:rFonts w:hint="eastAsia"/>
          <w:b/>
          <w:bCs/>
          <w:color w:val="auto"/>
          <w:highlight w:val="none"/>
          <w:u w:val="single"/>
        </w:rPr>
        <w:t>元整（大写：</w:t>
      </w:r>
      <w:r>
        <w:rPr>
          <w:b/>
          <w:bCs/>
          <w:color w:val="auto"/>
          <w:highlight w:val="none"/>
          <w:u w:val="single"/>
        </w:rPr>
        <w:t>柒仟肆佰元整</w:t>
      </w:r>
      <w:r>
        <w:rPr>
          <w:rFonts w:hint="eastAsia"/>
          <w:b/>
          <w:bCs/>
          <w:color w:val="auto"/>
          <w:highlight w:val="none"/>
          <w:u w:val="single"/>
        </w:rPr>
        <w:t xml:space="preserve"> ）</w:t>
      </w:r>
      <w:r>
        <w:rPr>
          <w:rFonts w:hint="eastAsia"/>
          <w:color w:val="auto"/>
          <w:highlight w:val="none"/>
        </w:rPr>
        <w:t>。</w:t>
      </w:r>
    </w:p>
    <w:p w14:paraId="682308A0">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785B357">
      <w:pPr>
        <w:rPr>
          <w:b/>
          <w:bCs/>
          <w:color w:val="auto"/>
          <w:highlight w:val="none"/>
        </w:rPr>
      </w:pPr>
      <w:r>
        <w:rPr>
          <w:rFonts w:hint="eastAsia"/>
          <w:b/>
          <w:bCs/>
          <w:color w:val="auto"/>
          <w:highlight w:val="none"/>
        </w:rPr>
        <w:t>响应人必须在付款凭证备注栏中注明项目简称。可简写成：</w:t>
      </w:r>
      <w:r>
        <w:rPr>
          <w:b w:val="0"/>
          <w:bCs w:val="0"/>
          <w:color w:val="auto"/>
          <w:highlight w:val="none"/>
          <w:u w:val="single"/>
        </w:rPr>
        <w:t>重庆三峡银行分布式块存储</w:t>
      </w:r>
      <w:r>
        <w:rPr>
          <w:rFonts w:hint="eastAsia"/>
          <w:b w:val="0"/>
          <w:bCs w:val="0"/>
          <w:color w:val="auto"/>
          <w:highlight w:val="none"/>
          <w:u w:val="single"/>
        </w:rPr>
        <w:t>项目</w:t>
      </w:r>
      <w:r>
        <w:rPr>
          <w:rFonts w:hint="eastAsia"/>
          <w:b/>
          <w:bCs/>
          <w:color w:val="auto"/>
          <w:highlight w:val="none"/>
        </w:rPr>
        <w:t>。</w:t>
      </w:r>
    </w:p>
    <w:p w14:paraId="669F2C1F">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3ADD8C52">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1A4FA3E0">
      <w:pPr>
        <w:rPr>
          <w:color w:val="auto"/>
          <w:highlight w:val="none"/>
        </w:rPr>
      </w:pPr>
      <w:r>
        <w:rPr>
          <w:rFonts w:hint="eastAsia"/>
          <w:color w:val="auto"/>
          <w:highlight w:val="none"/>
        </w:rPr>
        <w:t>详见重庆市公共资源交易网（www.cqggzy.com）对应本项目询比公告信息栏中的保证金信息。</w:t>
      </w:r>
    </w:p>
    <w:p w14:paraId="78FC8B3B">
      <w:pPr>
        <w:pStyle w:val="3"/>
        <w:rPr>
          <w:color w:val="auto"/>
          <w:highlight w:val="none"/>
        </w:rPr>
      </w:pPr>
      <w:r>
        <w:rPr>
          <w:rFonts w:hint="eastAsia"/>
          <w:color w:val="auto"/>
          <w:highlight w:val="none"/>
        </w:rPr>
        <w:t>5. 市场主体信息登记</w:t>
      </w:r>
    </w:p>
    <w:p w14:paraId="5B8CF63B">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2988AFA5">
      <w:pPr>
        <w:pStyle w:val="3"/>
        <w:rPr>
          <w:color w:val="auto"/>
          <w:highlight w:val="none"/>
        </w:rPr>
      </w:pPr>
      <w:r>
        <w:rPr>
          <w:rFonts w:hint="eastAsia"/>
          <w:color w:val="auto"/>
          <w:highlight w:val="none"/>
        </w:rPr>
        <w:t>6. 响应文件的递交</w:t>
      </w:r>
    </w:p>
    <w:p w14:paraId="18ABEA5C">
      <w:pPr>
        <w:rPr>
          <w:color w:val="auto"/>
          <w:highlight w:val="none"/>
        </w:rPr>
      </w:pPr>
      <w:bookmarkStart w:id="23" w:name="_Toc55379223"/>
      <w:bookmarkStart w:id="24" w:name="_Toc469574669"/>
      <w:bookmarkStart w:id="25" w:name="_Toc89675132"/>
      <w:r>
        <w:rPr>
          <w:rFonts w:hint="eastAsia"/>
          <w:color w:val="auto"/>
          <w:highlight w:val="none"/>
        </w:rPr>
        <w:t>6.1 响应文件现场递交时间为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分(北京时间)至响应截止时间。</w:t>
      </w:r>
    </w:p>
    <w:p w14:paraId="28D8E01F">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9284E6B">
      <w:pPr>
        <w:rPr>
          <w:color w:val="auto"/>
          <w:highlight w:val="none"/>
        </w:rPr>
      </w:pPr>
      <w:r>
        <w:rPr>
          <w:rFonts w:hint="eastAsia"/>
          <w:color w:val="auto"/>
          <w:highlight w:val="none"/>
        </w:rPr>
        <w:t>6.3 逾期送达的响应文件，不予接收。</w:t>
      </w:r>
    </w:p>
    <w:p w14:paraId="558DD000">
      <w:pPr>
        <w:pStyle w:val="3"/>
        <w:rPr>
          <w:color w:val="auto"/>
          <w:highlight w:val="none"/>
        </w:rPr>
      </w:pPr>
      <w:r>
        <w:rPr>
          <w:rFonts w:hint="eastAsia"/>
          <w:color w:val="auto"/>
          <w:highlight w:val="none"/>
        </w:rPr>
        <w:t>7. 发布公告的媒介</w:t>
      </w:r>
      <w:bookmarkEnd w:id="23"/>
      <w:bookmarkEnd w:id="24"/>
      <w:bookmarkEnd w:id="25"/>
    </w:p>
    <w:p w14:paraId="20F3E75C">
      <w:pPr>
        <w:rPr>
          <w:color w:val="auto"/>
          <w:highlight w:val="none"/>
        </w:rPr>
      </w:pPr>
      <w:bookmarkStart w:id="26" w:name="_Toc55379224"/>
      <w:bookmarkStart w:id="27" w:name="_Toc469574670"/>
      <w:bookmarkStart w:id="28" w:name="_Toc89675133"/>
      <w:bookmarkStart w:id="29" w:name="_Toc250565211"/>
      <w:r>
        <w:rPr>
          <w:rFonts w:hint="eastAsia"/>
          <w:color w:val="auto"/>
          <w:highlight w:val="none"/>
        </w:rPr>
        <w:t>本次询比公告同时在《重庆市公共资源交易网（www.cqggzy.com）》《重庆三峡银行官网（https://www.ccqtgb.com）》和《中国招标投标公共服务平台（http://www.cebpubservice.com）》上发布。</w:t>
      </w:r>
    </w:p>
    <w:p w14:paraId="16EF8262">
      <w:pPr>
        <w:pStyle w:val="3"/>
        <w:rPr>
          <w:color w:val="auto"/>
          <w:highlight w:val="none"/>
        </w:rPr>
      </w:pPr>
      <w:r>
        <w:rPr>
          <w:rFonts w:hint="eastAsia"/>
          <w:color w:val="auto"/>
          <w:highlight w:val="none"/>
        </w:rPr>
        <w:t>8. 联系方式</w:t>
      </w:r>
      <w:bookmarkEnd w:id="26"/>
      <w:bookmarkEnd w:id="27"/>
      <w:bookmarkEnd w:id="28"/>
      <w:bookmarkEnd w:id="29"/>
    </w:p>
    <w:p w14:paraId="4A555574">
      <w:pPr>
        <w:rPr>
          <w:color w:val="auto"/>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885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FFC6A23">
            <w:pPr>
              <w:ind w:firstLine="0" w:firstLineChars="0"/>
              <w:jc w:val="left"/>
              <w:rPr>
                <w:color w:val="auto"/>
                <w:highlight w:val="none"/>
              </w:rPr>
            </w:pPr>
            <w:r>
              <w:rPr>
                <w:rFonts w:hint="eastAsia"/>
                <w:color w:val="auto"/>
                <w:highlight w:val="none"/>
              </w:rPr>
              <w:t>8.1 项目需求咨询</w:t>
            </w:r>
          </w:p>
        </w:tc>
      </w:tr>
      <w:tr w14:paraId="52D6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4B6D8BC">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李老师</w:t>
            </w:r>
          </w:p>
        </w:tc>
        <w:tc>
          <w:tcPr>
            <w:tcW w:w="4480" w:type="dxa"/>
            <w:tcBorders>
              <w:top w:val="nil"/>
              <w:left w:val="nil"/>
              <w:bottom w:val="nil"/>
              <w:right w:val="single" w:color="auto" w:sz="4" w:space="0"/>
            </w:tcBorders>
          </w:tcPr>
          <w:p w14:paraId="7B6E4AE1">
            <w:pPr>
              <w:ind w:firstLine="0" w:firstLineChars="0"/>
              <w:jc w:val="left"/>
              <w:rPr>
                <w:rFonts w:cs="宋体"/>
                <w:color w:val="auto"/>
                <w:szCs w:val="21"/>
                <w:highlight w:val="none"/>
              </w:rPr>
            </w:pPr>
            <w:r>
              <w:rPr>
                <w:rFonts w:hint="eastAsia"/>
                <w:color w:val="auto"/>
                <w:highlight w:val="none"/>
              </w:rPr>
              <w:t>联系方式：</w:t>
            </w:r>
            <w:r>
              <w:rPr>
                <w:color w:val="auto"/>
                <w:highlight w:val="none"/>
              </w:rPr>
              <w:t>18996169865</w:t>
            </w:r>
          </w:p>
        </w:tc>
      </w:tr>
      <w:tr w14:paraId="75BD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443FBC">
            <w:pPr>
              <w:ind w:firstLine="0" w:firstLineChars="0"/>
              <w:jc w:val="left"/>
              <w:rPr>
                <w:color w:val="auto"/>
                <w:highlight w:val="none"/>
              </w:rPr>
            </w:pPr>
          </w:p>
        </w:tc>
      </w:tr>
      <w:tr w14:paraId="2D80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38613D">
            <w:pPr>
              <w:ind w:firstLine="0" w:firstLineChars="0"/>
              <w:jc w:val="left"/>
              <w:rPr>
                <w:color w:val="auto"/>
                <w:highlight w:val="none"/>
              </w:rPr>
            </w:pPr>
            <w:r>
              <w:rPr>
                <w:rFonts w:hint="eastAsia"/>
                <w:color w:val="auto"/>
                <w:highlight w:val="none"/>
              </w:rPr>
              <w:t>8.2 项目流程咨询</w:t>
            </w:r>
          </w:p>
        </w:tc>
      </w:tr>
      <w:tr w14:paraId="69C2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688BFB">
            <w:pPr>
              <w:ind w:firstLine="0" w:firstLineChars="0"/>
              <w:jc w:val="left"/>
              <w:rPr>
                <w:color w:val="auto"/>
                <w:highlight w:val="none"/>
              </w:rPr>
            </w:pPr>
            <w:r>
              <w:rPr>
                <w:rFonts w:hint="eastAsia"/>
                <w:color w:val="auto"/>
                <w:highlight w:val="none"/>
              </w:rPr>
              <w:t>平台服务机构：重庆联合产权交易所集团股份有限公司</w:t>
            </w:r>
          </w:p>
        </w:tc>
      </w:tr>
      <w:tr w14:paraId="25A2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FD7D7FB">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tcPr>
          <w:p w14:paraId="49B81787">
            <w:pPr>
              <w:ind w:firstLine="0" w:firstLineChars="0"/>
              <w:jc w:val="left"/>
              <w:rPr>
                <w:rFonts w:cs="宋体"/>
                <w:color w:val="auto"/>
                <w:szCs w:val="21"/>
                <w:highlight w:val="none"/>
              </w:rPr>
            </w:pPr>
            <w:r>
              <w:rPr>
                <w:rFonts w:hint="eastAsia"/>
                <w:color w:val="auto"/>
                <w:highlight w:val="none"/>
              </w:rPr>
              <w:t>联系方式：023-63621694</w:t>
            </w:r>
          </w:p>
        </w:tc>
      </w:tr>
      <w:tr w14:paraId="5B87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3BF4B97">
            <w:pPr>
              <w:ind w:firstLine="0" w:firstLineChars="0"/>
              <w:jc w:val="left"/>
              <w:rPr>
                <w:color w:val="auto"/>
                <w:highlight w:val="none"/>
              </w:rPr>
            </w:pPr>
          </w:p>
        </w:tc>
      </w:tr>
      <w:tr w14:paraId="61A7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32B308CA">
            <w:pPr>
              <w:ind w:firstLine="0" w:firstLineChars="0"/>
              <w:jc w:val="left"/>
              <w:rPr>
                <w:color w:val="auto"/>
                <w:highlight w:val="none"/>
              </w:rPr>
            </w:pPr>
            <w:r>
              <w:rPr>
                <w:rFonts w:hint="eastAsia"/>
                <w:color w:val="auto"/>
                <w:highlight w:val="none"/>
              </w:rPr>
              <w:t>8.3 采购人联系方式</w:t>
            </w:r>
          </w:p>
        </w:tc>
      </w:tr>
      <w:tr w14:paraId="4341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A70683">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2952EF89">
            <w:pPr>
              <w:ind w:firstLine="0" w:firstLineChars="0"/>
              <w:jc w:val="left"/>
              <w:rPr>
                <w:rFonts w:cs="宋体"/>
                <w:color w:val="auto"/>
                <w:szCs w:val="21"/>
                <w:highlight w:val="none"/>
              </w:rPr>
            </w:pPr>
            <w:r>
              <w:rPr>
                <w:rFonts w:hint="eastAsia"/>
                <w:color w:val="auto"/>
                <w:highlight w:val="none"/>
              </w:rPr>
              <w:t>联系方式：023-88890395</w:t>
            </w:r>
          </w:p>
        </w:tc>
      </w:tr>
      <w:tr w14:paraId="25EF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9F3E1D0">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4520CE16">
      <w:pPr>
        <w:rPr>
          <w:rFonts w:hint="eastAsia"/>
          <w:color w:val="auto"/>
          <w:highlight w:val="none"/>
          <w:lang w:val="en-US" w:eastAsia="zh-CN"/>
        </w:rPr>
      </w:pPr>
    </w:p>
    <w:p w14:paraId="27EDC995">
      <w:pPr>
        <w:rPr>
          <w:rFonts w:hint="default"/>
          <w:b w:val="0"/>
          <w:bCs w:val="0"/>
          <w:color w:val="auto"/>
          <w:highlight w:val="none"/>
          <w:lang w:val="en-US" w:eastAsia="zh-CN"/>
        </w:rPr>
      </w:pPr>
    </w:p>
    <w:p w14:paraId="09F96210">
      <w:pPr>
        <w:spacing w:line="240" w:lineRule="auto"/>
        <w:ind w:firstLine="0" w:firstLineChars="0"/>
        <w:jc w:val="right"/>
        <w:rPr>
          <w:color w:val="auto"/>
          <w:highlight w:val="none"/>
        </w:rPr>
      </w:pPr>
      <w:r>
        <w:rPr>
          <w:rFonts w:hint="eastAsia"/>
          <w:color w:val="auto"/>
          <w:highlight w:val="none"/>
        </w:rPr>
        <w:t>重庆三峡银行股份有限公司</w:t>
      </w:r>
    </w:p>
    <w:p w14:paraId="14A03C2A">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7</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4C458305">
      <w:pPr>
        <w:rPr>
          <w:color w:val="auto"/>
          <w:highlight w:val="none"/>
        </w:rPr>
      </w:pPr>
    </w:p>
    <w:p w14:paraId="405095CD">
      <w:pPr>
        <w:ind w:firstLine="0" w:firstLineChars="0"/>
        <w:rPr>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bookmarkStart w:id="30" w:name="_Toc303066033"/>
      <w:bookmarkStart w:id="31" w:name="_Toc89675159"/>
    </w:p>
    <w:p w14:paraId="585D651C">
      <w:pPr>
        <w:pStyle w:val="2"/>
        <w:rPr>
          <w:color w:val="auto"/>
          <w:highlight w:val="none"/>
        </w:rPr>
      </w:pPr>
      <w:bookmarkStart w:id="32" w:name="_Toc10417"/>
      <w:bookmarkStart w:id="33" w:name="_Toc13800"/>
      <w:r>
        <w:rPr>
          <w:rFonts w:hint="eastAsia"/>
          <w:color w:val="auto"/>
          <w:highlight w:val="none"/>
        </w:rPr>
        <w:t>第二章 响应人须知</w:t>
      </w:r>
      <w:bookmarkEnd w:id="30"/>
      <w:bookmarkEnd w:id="31"/>
      <w:bookmarkEnd w:id="32"/>
      <w:bookmarkEnd w:id="33"/>
    </w:p>
    <w:p w14:paraId="055EFF7B">
      <w:pPr>
        <w:pStyle w:val="3"/>
        <w:rPr>
          <w:color w:val="auto"/>
          <w:highlight w:val="none"/>
        </w:rPr>
      </w:pPr>
      <w:bookmarkStart w:id="34" w:name="_Toc89675160"/>
      <w:r>
        <w:rPr>
          <w:rFonts w:hint="eastAsia"/>
          <w:color w:val="auto"/>
          <w:highlight w:val="none"/>
        </w:rPr>
        <w:t>1. 采购人</w:t>
      </w:r>
    </w:p>
    <w:p w14:paraId="5368A8C3">
      <w:pPr>
        <w:rPr>
          <w:color w:val="auto"/>
          <w:highlight w:val="none"/>
        </w:rPr>
      </w:pPr>
      <w:r>
        <w:rPr>
          <w:color w:val="auto"/>
          <w:highlight w:val="none"/>
        </w:rPr>
        <w:t>重庆三峡银行股份有限公司</w:t>
      </w:r>
      <w:r>
        <w:rPr>
          <w:rFonts w:hint="eastAsia"/>
          <w:color w:val="auto"/>
          <w:highlight w:val="none"/>
        </w:rPr>
        <w:t>。</w:t>
      </w:r>
    </w:p>
    <w:bookmarkEnd w:id="34"/>
    <w:p w14:paraId="684D96A4">
      <w:pPr>
        <w:pStyle w:val="3"/>
        <w:rPr>
          <w:color w:val="auto"/>
          <w:highlight w:val="none"/>
        </w:rPr>
      </w:pPr>
      <w:bookmarkStart w:id="35" w:name="_Toc89675161"/>
      <w:r>
        <w:rPr>
          <w:rFonts w:hint="eastAsia"/>
          <w:color w:val="auto"/>
          <w:highlight w:val="none"/>
        </w:rPr>
        <w:t xml:space="preserve">2. </w:t>
      </w:r>
      <w:bookmarkEnd w:id="35"/>
      <w:r>
        <w:rPr>
          <w:rFonts w:hint="eastAsia"/>
          <w:color w:val="auto"/>
          <w:highlight w:val="none"/>
        </w:rPr>
        <w:t>响应人</w:t>
      </w:r>
    </w:p>
    <w:p w14:paraId="4AA920E6">
      <w:pPr>
        <w:rPr>
          <w:color w:val="auto"/>
          <w:highlight w:val="none"/>
        </w:rPr>
      </w:pPr>
      <w:r>
        <w:rPr>
          <w:rFonts w:hint="eastAsia"/>
          <w:color w:val="auto"/>
          <w:highlight w:val="none"/>
        </w:rPr>
        <w:t>为采购人提供工程、货物和服务的承包商、供货商和服务商。</w:t>
      </w:r>
    </w:p>
    <w:p w14:paraId="5F7E73C2">
      <w:pPr>
        <w:pStyle w:val="4"/>
        <w:rPr>
          <w:color w:val="auto"/>
          <w:highlight w:val="none"/>
        </w:rPr>
      </w:pPr>
      <w:r>
        <w:rPr>
          <w:rFonts w:hint="eastAsia"/>
          <w:color w:val="auto"/>
          <w:highlight w:val="none"/>
        </w:rPr>
        <w:t>2.1 合格响应人条件</w:t>
      </w:r>
    </w:p>
    <w:p w14:paraId="76B51A8A">
      <w:pPr>
        <w:rPr>
          <w:color w:val="auto"/>
          <w:highlight w:val="none"/>
        </w:rPr>
      </w:pPr>
      <w:r>
        <w:rPr>
          <w:rFonts w:hint="eastAsia"/>
          <w:color w:val="auto"/>
          <w:highlight w:val="none"/>
        </w:rPr>
        <w:t>合格响应人应完全符合询比文件第一章中规定的响应人资格条件，并对询比文件作出实质性响应。</w:t>
      </w:r>
    </w:p>
    <w:p w14:paraId="76B404E0">
      <w:pPr>
        <w:pStyle w:val="4"/>
        <w:rPr>
          <w:color w:val="auto"/>
          <w:highlight w:val="none"/>
        </w:rPr>
      </w:pPr>
      <w:r>
        <w:rPr>
          <w:rFonts w:hint="eastAsia"/>
          <w:color w:val="auto"/>
          <w:highlight w:val="none"/>
        </w:rPr>
        <w:t>2.2 响应人的风险</w:t>
      </w:r>
    </w:p>
    <w:p w14:paraId="5584DC05">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443A11F8">
      <w:pPr>
        <w:pStyle w:val="3"/>
        <w:rPr>
          <w:color w:val="auto"/>
          <w:highlight w:val="none"/>
        </w:rPr>
      </w:pPr>
      <w:bookmarkStart w:id="36" w:name="_Toc89675162"/>
      <w:r>
        <w:rPr>
          <w:rFonts w:hint="eastAsia"/>
          <w:color w:val="auto"/>
          <w:highlight w:val="none"/>
        </w:rPr>
        <w:t xml:space="preserve">3. </w:t>
      </w:r>
      <w:bookmarkEnd w:id="36"/>
      <w:r>
        <w:rPr>
          <w:rFonts w:hint="eastAsia"/>
          <w:color w:val="auto"/>
          <w:highlight w:val="none"/>
        </w:rPr>
        <w:t>询比文件</w:t>
      </w:r>
    </w:p>
    <w:p w14:paraId="523D7B29">
      <w:pPr>
        <w:rPr>
          <w:color w:val="auto"/>
          <w:highlight w:val="none"/>
        </w:rPr>
      </w:pPr>
      <w:r>
        <w:rPr>
          <w:rFonts w:hint="eastAsia"/>
          <w:color w:val="auto"/>
          <w:highlight w:val="none"/>
        </w:rPr>
        <w:t>采购人根据自身采购方案或需求编制的采购文件。</w:t>
      </w:r>
    </w:p>
    <w:p w14:paraId="51F855EB">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227AF621">
      <w:pPr>
        <w:rPr>
          <w:color w:val="auto"/>
          <w:highlight w:val="none"/>
        </w:rPr>
      </w:pPr>
      <w:r>
        <w:rPr>
          <w:rFonts w:hint="eastAsia"/>
          <w:color w:val="auto"/>
          <w:highlight w:val="none"/>
        </w:rPr>
        <w:t>采购人对询比文件所作的一切有效的书面通知、修改及补充，都是询比文件不可分割的部分。</w:t>
      </w:r>
    </w:p>
    <w:p w14:paraId="6CA78669">
      <w:pPr>
        <w:pStyle w:val="3"/>
        <w:rPr>
          <w:color w:val="auto"/>
          <w:highlight w:val="none"/>
        </w:rPr>
      </w:pPr>
      <w:bookmarkStart w:id="37" w:name="_Toc89675163"/>
      <w:r>
        <w:rPr>
          <w:rFonts w:hint="eastAsia"/>
          <w:color w:val="auto"/>
          <w:highlight w:val="none"/>
        </w:rPr>
        <w:t xml:space="preserve">4. </w:t>
      </w:r>
      <w:bookmarkEnd w:id="37"/>
      <w:r>
        <w:rPr>
          <w:rFonts w:hint="eastAsia"/>
          <w:color w:val="auto"/>
          <w:highlight w:val="none"/>
        </w:rPr>
        <w:t>响应</w:t>
      </w:r>
    </w:p>
    <w:p w14:paraId="722B7DA0">
      <w:pPr>
        <w:rPr>
          <w:color w:val="auto"/>
          <w:highlight w:val="none"/>
        </w:rPr>
      </w:pPr>
      <w:r>
        <w:rPr>
          <w:rFonts w:hint="eastAsia"/>
          <w:color w:val="auto"/>
          <w:highlight w:val="none"/>
        </w:rPr>
        <w:t>响应人应当按照询比文件的要求编制响应文件，并对询比文件提出的要求和条件作出实质性响应。</w:t>
      </w:r>
    </w:p>
    <w:p w14:paraId="65997377">
      <w:pPr>
        <w:pStyle w:val="4"/>
        <w:rPr>
          <w:color w:val="auto"/>
          <w:highlight w:val="none"/>
        </w:rPr>
      </w:pPr>
      <w:r>
        <w:rPr>
          <w:rFonts w:hint="eastAsia"/>
          <w:color w:val="auto"/>
          <w:highlight w:val="none"/>
        </w:rPr>
        <w:t>4.1 响应文件</w:t>
      </w:r>
    </w:p>
    <w:p w14:paraId="492A59C6">
      <w:pPr>
        <w:rPr>
          <w:color w:val="auto"/>
          <w:highlight w:val="none"/>
        </w:rPr>
      </w:pPr>
      <w:r>
        <w:rPr>
          <w:rFonts w:hint="eastAsia"/>
          <w:color w:val="auto"/>
          <w:highlight w:val="none"/>
        </w:rPr>
        <w:t>参与询比活动的响应人按照询比文件的要求编制提交的要约文件的统称。</w:t>
      </w:r>
    </w:p>
    <w:p w14:paraId="556D5277">
      <w:pPr>
        <w:pStyle w:val="4"/>
        <w:rPr>
          <w:color w:val="auto"/>
          <w:highlight w:val="none"/>
        </w:rPr>
      </w:pPr>
      <w:r>
        <w:rPr>
          <w:rFonts w:hint="eastAsia"/>
          <w:color w:val="auto"/>
          <w:highlight w:val="none"/>
        </w:rPr>
        <w:t>4.2 响应文件组成</w:t>
      </w:r>
    </w:p>
    <w:p w14:paraId="3ACDC8A6">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5261F99D">
      <w:pPr>
        <w:pStyle w:val="4"/>
        <w:rPr>
          <w:color w:val="auto"/>
          <w:highlight w:val="none"/>
        </w:rPr>
      </w:pPr>
      <w:r>
        <w:rPr>
          <w:rFonts w:hint="eastAsia"/>
          <w:color w:val="auto"/>
          <w:highlight w:val="none"/>
        </w:rPr>
        <w:t>4.3 联合响应</w:t>
      </w:r>
    </w:p>
    <w:p w14:paraId="066248C1">
      <w:pPr>
        <w:rPr>
          <w:color w:val="auto"/>
          <w:highlight w:val="none"/>
        </w:rPr>
      </w:pPr>
      <w:r>
        <w:rPr>
          <w:rFonts w:hint="eastAsia"/>
          <w:color w:val="auto"/>
          <w:highlight w:val="none"/>
        </w:rPr>
        <w:t>本询比项目不接受联合响应</w:t>
      </w:r>
    </w:p>
    <w:p w14:paraId="3F06752E">
      <w:pPr>
        <w:pStyle w:val="4"/>
        <w:rPr>
          <w:color w:val="auto"/>
          <w:highlight w:val="none"/>
        </w:rPr>
      </w:pPr>
      <w:r>
        <w:rPr>
          <w:rFonts w:hint="eastAsia"/>
          <w:color w:val="auto"/>
          <w:highlight w:val="none"/>
        </w:rPr>
        <w:t>4.4 响应有效期</w:t>
      </w:r>
    </w:p>
    <w:p w14:paraId="298B92EB">
      <w:pPr>
        <w:rPr>
          <w:color w:val="auto"/>
          <w:highlight w:val="none"/>
        </w:rPr>
      </w:pPr>
      <w:r>
        <w:rPr>
          <w:rFonts w:hint="eastAsia"/>
          <w:color w:val="auto"/>
          <w:highlight w:val="none"/>
        </w:rPr>
        <w:t>响应有效期为响应截止时间后90天内。</w:t>
      </w:r>
    </w:p>
    <w:p w14:paraId="5B0DE3F1">
      <w:pPr>
        <w:pStyle w:val="4"/>
        <w:rPr>
          <w:color w:val="auto"/>
          <w:highlight w:val="none"/>
        </w:rPr>
      </w:pPr>
      <w:r>
        <w:rPr>
          <w:rFonts w:hint="eastAsia"/>
          <w:color w:val="auto"/>
          <w:highlight w:val="none"/>
        </w:rPr>
        <w:t>4.5 响应保证金</w:t>
      </w:r>
    </w:p>
    <w:p w14:paraId="7CC40971">
      <w:pPr>
        <w:rPr>
          <w:color w:val="auto"/>
          <w:highlight w:val="none"/>
        </w:rPr>
      </w:pPr>
      <w:r>
        <w:rPr>
          <w:rFonts w:hint="eastAsia"/>
          <w:color w:val="auto"/>
          <w:highlight w:val="none"/>
        </w:rPr>
        <w:t>4.5.1 响应人应在响应截止时间前，按询比文件第一章规定向采购人缴纳响应保证金。</w:t>
      </w:r>
    </w:p>
    <w:p w14:paraId="1A8059D7">
      <w:pPr>
        <w:rPr>
          <w:color w:val="auto"/>
          <w:highlight w:val="none"/>
        </w:rPr>
      </w:pPr>
      <w:r>
        <w:rPr>
          <w:rFonts w:hint="eastAsia"/>
          <w:color w:val="auto"/>
          <w:highlight w:val="none"/>
        </w:rPr>
        <w:t>4.5.2 响应保证金为响应的有效约束条件。</w:t>
      </w:r>
    </w:p>
    <w:p w14:paraId="51F0D5F5">
      <w:pPr>
        <w:rPr>
          <w:color w:val="auto"/>
          <w:highlight w:val="none"/>
        </w:rPr>
      </w:pPr>
      <w:r>
        <w:rPr>
          <w:rFonts w:hint="eastAsia"/>
          <w:color w:val="auto"/>
          <w:highlight w:val="none"/>
        </w:rPr>
        <w:t>4.5.3 响应保证金有效期与响应文件有效期一致。</w:t>
      </w:r>
    </w:p>
    <w:p w14:paraId="3F8523A2">
      <w:pPr>
        <w:rPr>
          <w:color w:val="auto"/>
          <w:highlight w:val="none"/>
        </w:rPr>
      </w:pPr>
      <w:r>
        <w:rPr>
          <w:rFonts w:hint="eastAsia"/>
          <w:color w:val="auto"/>
          <w:highlight w:val="none"/>
        </w:rPr>
        <w:t>4.5.4 响应保证金币种应与响应报价币种相同。</w:t>
      </w:r>
    </w:p>
    <w:p w14:paraId="7E5B9289">
      <w:pPr>
        <w:rPr>
          <w:color w:val="auto"/>
          <w:highlight w:val="none"/>
        </w:rPr>
      </w:pPr>
      <w:r>
        <w:rPr>
          <w:rFonts w:hint="eastAsia"/>
          <w:color w:val="auto"/>
          <w:highlight w:val="none"/>
        </w:rPr>
        <w:t>4.5.5 响应保证金的退还：</w:t>
      </w:r>
    </w:p>
    <w:p w14:paraId="1DC7C1F0">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DDAD287">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B0C6B31">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745F5B68">
      <w:pPr>
        <w:rPr>
          <w:color w:val="auto"/>
          <w:highlight w:val="none"/>
        </w:rPr>
      </w:pPr>
      <w:r>
        <w:rPr>
          <w:rFonts w:hint="eastAsia"/>
          <w:color w:val="auto"/>
          <w:highlight w:val="none"/>
        </w:rPr>
        <w:t>4.5.6 响应人有下列情形之一的，响应保证金将不予退还：</w:t>
      </w:r>
    </w:p>
    <w:p w14:paraId="28B33891">
      <w:pPr>
        <w:rPr>
          <w:color w:val="auto"/>
          <w:highlight w:val="none"/>
        </w:rPr>
      </w:pPr>
      <w:r>
        <w:rPr>
          <w:rFonts w:hint="eastAsia"/>
          <w:color w:val="auto"/>
          <w:highlight w:val="none"/>
        </w:rPr>
        <w:t>4.5.6.1 响应人在响应有效期内撤销响应文件的；</w:t>
      </w:r>
    </w:p>
    <w:p w14:paraId="3E89104B">
      <w:pPr>
        <w:rPr>
          <w:color w:val="auto"/>
          <w:highlight w:val="none"/>
        </w:rPr>
      </w:pPr>
      <w:r>
        <w:rPr>
          <w:rFonts w:hint="eastAsia"/>
          <w:color w:val="auto"/>
          <w:highlight w:val="none"/>
        </w:rPr>
        <w:t>4.5.6.2 响应人在响应过程中弄虚作假，提供虚假材料的；</w:t>
      </w:r>
    </w:p>
    <w:p w14:paraId="653E42CD">
      <w:pPr>
        <w:rPr>
          <w:color w:val="auto"/>
          <w:highlight w:val="none"/>
        </w:rPr>
      </w:pPr>
      <w:r>
        <w:rPr>
          <w:rFonts w:hint="eastAsia"/>
          <w:color w:val="auto"/>
          <w:highlight w:val="none"/>
        </w:rPr>
        <w:t>4.5.6.3 成交供应商无故弃选或无正当理由不与采购人签订合同的；</w:t>
      </w:r>
    </w:p>
    <w:p w14:paraId="275E55DF">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2E9E34F">
      <w:pPr>
        <w:rPr>
          <w:color w:val="auto"/>
          <w:highlight w:val="none"/>
        </w:rPr>
      </w:pPr>
      <w:r>
        <w:rPr>
          <w:rFonts w:hint="eastAsia"/>
          <w:color w:val="auto"/>
          <w:highlight w:val="none"/>
        </w:rPr>
        <w:t>4.5.6.5 成交供应商拒绝履行合同义务的；</w:t>
      </w:r>
    </w:p>
    <w:p w14:paraId="6DCF1F8E">
      <w:pPr>
        <w:rPr>
          <w:color w:val="auto"/>
          <w:highlight w:val="none"/>
        </w:rPr>
      </w:pPr>
      <w:r>
        <w:rPr>
          <w:rFonts w:hint="eastAsia"/>
          <w:color w:val="auto"/>
          <w:highlight w:val="none"/>
        </w:rPr>
        <w:t>4.5.6.6 其他严重扰乱询比程序的；</w:t>
      </w:r>
    </w:p>
    <w:p w14:paraId="7E8F4C0F">
      <w:pPr>
        <w:pStyle w:val="4"/>
        <w:rPr>
          <w:color w:val="auto"/>
          <w:highlight w:val="none"/>
        </w:rPr>
      </w:pPr>
      <w:r>
        <w:rPr>
          <w:rFonts w:hint="eastAsia"/>
          <w:color w:val="auto"/>
          <w:highlight w:val="none"/>
        </w:rPr>
        <w:t>4.6 响应文件的份数和签署</w:t>
      </w:r>
    </w:p>
    <w:p w14:paraId="718E3B3F">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BE982D6">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08FFD695">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4080EDF6">
      <w:pPr>
        <w:rPr>
          <w:color w:val="auto"/>
          <w:highlight w:val="none"/>
        </w:rPr>
      </w:pPr>
      <w:r>
        <w:rPr>
          <w:rFonts w:hint="eastAsia"/>
          <w:color w:val="auto"/>
          <w:highlight w:val="none"/>
        </w:rPr>
        <w:t>4.6.4 电报、电话、邮寄、传真形式的响应文件概不接受。</w:t>
      </w:r>
    </w:p>
    <w:p w14:paraId="06045AE3">
      <w:pPr>
        <w:pStyle w:val="4"/>
        <w:rPr>
          <w:color w:val="auto"/>
          <w:highlight w:val="none"/>
        </w:rPr>
      </w:pPr>
      <w:r>
        <w:rPr>
          <w:rFonts w:hint="eastAsia"/>
          <w:color w:val="auto"/>
          <w:highlight w:val="none"/>
        </w:rPr>
        <w:t>4.7 响应文件的密封与标记</w:t>
      </w:r>
    </w:p>
    <w:p w14:paraId="09163462">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5C268C1D">
      <w:pPr>
        <w:rPr>
          <w:color w:val="auto"/>
          <w:highlight w:val="none"/>
        </w:rPr>
      </w:pPr>
      <w:r>
        <w:rPr>
          <w:rFonts w:hint="eastAsia"/>
          <w:color w:val="auto"/>
          <w:highlight w:val="none"/>
        </w:rPr>
        <w:t>如果未按上述规定进行密封和标记，则其响应将作为无效响应处理。</w:t>
      </w:r>
    </w:p>
    <w:p w14:paraId="45C0B604">
      <w:pPr>
        <w:pStyle w:val="4"/>
        <w:rPr>
          <w:color w:val="auto"/>
          <w:highlight w:val="none"/>
        </w:rPr>
      </w:pPr>
      <w:r>
        <w:rPr>
          <w:rFonts w:hint="eastAsia"/>
          <w:color w:val="auto"/>
          <w:highlight w:val="none"/>
        </w:rPr>
        <w:t>4.8 响应报价</w:t>
      </w:r>
    </w:p>
    <w:p w14:paraId="52D9745B">
      <w:pPr>
        <w:rPr>
          <w:color w:val="auto"/>
          <w:highlight w:val="none"/>
        </w:rPr>
      </w:pPr>
      <w:r>
        <w:rPr>
          <w:rFonts w:hint="eastAsia"/>
          <w:color w:val="auto"/>
          <w:highlight w:val="none"/>
        </w:rPr>
        <w:t>4.8.1 响应人应严格按照“响应文件格式”填写报价。</w:t>
      </w:r>
    </w:p>
    <w:p w14:paraId="200CBD9A">
      <w:pPr>
        <w:rPr>
          <w:color w:val="auto"/>
          <w:highlight w:val="none"/>
        </w:rPr>
      </w:pPr>
      <w:r>
        <w:rPr>
          <w:rFonts w:hint="eastAsia"/>
          <w:color w:val="auto"/>
          <w:highlight w:val="none"/>
        </w:rPr>
        <w:t>4.8.2 响应人的报价为一次性报价，即在响应有效期内响应价格固定不变。</w:t>
      </w:r>
    </w:p>
    <w:p w14:paraId="7B73814C">
      <w:pPr>
        <w:rPr>
          <w:color w:val="auto"/>
          <w:highlight w:val="none"/>
        </w:rPr>
      </w:pPr>
      <w:r>
        <w:rPr>
          <w:rFonts w:hint="eastAsia"/>
          <w:color w:val="auto"/>
          <w:highlight w:val="none"/>
        </w:rPr>
        <w:t>4.8.3 本项目只接受一个响应报价，有选择的或有条件的响应将不予接受。</w:t>
      </w:r>
    </w:p>
    <w:p w14:paraId="5C94B10A">
      <w:pPr>
        <w:rPr>
          <w:color w:val="auto"/>
          <w:highlight w:val="none"/>
        </w:rPr>
      </w:pPr>
      <w:r>
        <w:rPr>
          <w:rFonts w:hint="eastAsia"/>
          <w:color w:val="auto"/>
          <w:highlight w:val="none"/>
        </w:rPr>
        <w:t>4.8.4 响应报价不得高于最高限价。</w:t>
      </w:r>
    </w:p>
    <w:p w14:paraId="7D9E792D">
      <w:pPr>
        <w:pStyle w:val="4"/>
        <w:rPr>
          <w:color w:val="auto"/>
          <w:highlight w:val="none"/>
        </w:rPr>
      </w:pPr>
      <w:r>
        <w:rPr>
          <w:rFonts w:hint="eastAsia"/>
          <w:color w:val="auto"/>
          <w:highlight w:val="none"/>
        </w:rPr>
        <w:t>4.9 修正错误</w:t>
      </w:r>
    </w:p>
    <w:p w14:paraId="6B464682">
      <w:pPr>
        <w:rPr>
          <w:color w:val="auto"/>
          <w:highlight w:val="none"/>
        </w:rPr>
      </w:pPr>
      <w:r>
        <w:rPr>
          <w:rFonts w:hint="eastAsia"/>
          <w:color w:val="auto"/>
          <w:highlight w:val="none"/>
        </w:rPr>
        <w:t>若响应文件出现计算或表达上的错误，修正错误的原则如下：</w:t>
      </w:r>
    </w:p>
    <w:p w14:paraId="2C071546">
      <w:pPr>
        <w:rPr>
          <w:color w:val="auto"/>
          <w:highlight w:val="none"/>
        </w:rPr>
      </w:pPr>
      <w:r>
        <w:rPr>
          <w:rFonts w:hint="eastAsia"/>
          <w:color w:val="auto"/>
          <w:highlight w:val="none"/>
        </w:rPr>
        <w:t>4.9.1 响应文件的大写金额和小写金额不一致的，以大写金额为准；</w:t>
      </w:r>
    </w:p>
    <w:p w14:paraId="03E2114F">
      <w:pPr>
        <w:rPr>
          <w:color w:val="auto"/>
          <w:highlight w:val="none"/>
        </w:rPr>
      </w:pPr>
      <w:r>
        <w:rPr>
          <w:rFonts w:hint="eastAsia"/>
          <w:color w:val="auto"/>
          <w:highlight w:val="none"/>
        </w:rPr>
        <w:t>4.9.2 总价金额与按单价汇总金额不一致的，以单价金额计算结果为准；</w:t>
      </w:r>
    </w:p>
    <w:p w14:paraId="1452BC2B">
      <w:pPr>
        <w:rPr>
          <w:color w:val="auto"/>
          <w:highlight w:val="none"/>
        </w:rPr>
      </w:pPr>
      <w:r>
        <w:rPr>
          <w:rFonts w:hint="eastAsia"/>
          <w:color w:val="auto"/>
          <w:highlight w:val="none"/>
        </w:rPr>
        <w:t>4.9.3 单价金额小数点有明显错位的，应以总价为准，并修正单价；</w:t>
      </w:r>
    </w:p>
    <w:p w14:paraId="40CB860B">
      <w:pPr>
        <w:rPr>
          <w:color w:val="auto"/>
          <w:highlight w:val="none"/>
        </w:rPr>
      </w:pPr>
      <w:r>
        <w:rPr>
          <w:rFonts w:hint="eastAsia"/>
          <w:color w:val="auto"/>
          <w:highlight w:val="none"/>
        </w:rPr>
        <w:t>4.9.4 对不同文字文本响应文件的解释发生异议的，以中文文本为准。</w:t>
      </w:r>
    </w:p>
    <w:p w14:paraId="28CD7897">
      <w:pPr>
        <w:rPr>
          <w:color w:val="auto"/>
          <w:highlight w:val="none"/>
        </w:rPr>
      </w:pPr>
      <w:r>
        <w:rPr>
          <w:rFonts w:hint="eastAsia"/>
          <w:color w:val="auto"/>
          <w:highlight w:val="none"/>
        </w:rPr>
        <w:t>4.9.5 含税金额与不含税金额不一致的，以含税金额为准。</w:t>
      </w:r>
    </w:p>
    <w:p w14:paraId="1D9FB9CB">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6181300">
      <w:pPr>
        <w:pStyle w:val="3"/>
        <w:rPr>
          <w:color w:val="auto"/>
          <w:highlight w:val="none"/>
        </w:rPr>
      </w:pPr>
      <w:bookmarkStart w:id="38" w:name="_Toc89675166"/>
      <w:r>
        <w:rPr>
          <w:rFonts w:hint="eastAsia"/>
          <w:color w:val="auto"/>
          <w:highlight w:val="none"/>
        </w:rPr>
        <w:t>5. 询比程序</w:t>
      </w:r>
    </w:p>
    <w:p w14:paraId="31925A64">
      <w:pPr>
        <w:rPr>
          <w:color w:val="auto"/>
          <w:highlight w:val="none"/>
        </w:rPr>
      </w:pPr>
      <w:r>
        <w:rPr>
          <w:rFonts w:hint="eastAsia"/>
          <w:color w:val="auto"/>
          <w:highlight w:val="none"/>
        </w:rPr>
        <w:t>主持人按下列程序进行询比：</w:t>
      </w:r>
    </w:p>
    <w:p w14:paraId="43C2A37C">
      <w:pPr>
        <w:rPr>
          <w:color w:val="auto"/>
          <w:highlight w:val="none"/>
        </w:rPr>
      </w:pPr>
      <w:r>
        <w:rPr>
          <w:rFonts w:hint="eastAsia"/>
          <w:color w:val="auto"/>
          <w:highlight w:val="none"/>
        </w:rPr>
        <w:t>5.1 宣布询比纪律；</w:t>
      </w:r>
    </w:p>
    <w:p w14:paraId="647E0AB7">
      <w:pPr>
        <w:rPr>
          <w:color w:val="auto"/>
          <w:highlight w:val="none"/>
        </w:rPr>
      </w:pPr>
      <w:r>
        <w:rPr>
          <w:rFonts w:hint="eastAsia"/>
          <w:color w:val="auto"/>
          <w:highlight w:val="none"/>
        </w:rPr>
        <w:t>5.2 宣布采购人、唱标人、记录人、监督人等有关人员姓名；</w:t>
      </w:r>
    </w:p>
    <w:p w14:paraId="12B4C3DE">
      <w:pPr>
        <w:rPr>
          <w:color w:val="auto"/>
          <w:highlight w:val="none"/>
        </w:rPr>
      </w:pPr>
      <w:r>
        <w:rPr>
          <w:rFonts w:hint="eastAsia"/>
          <w:color w:val="auto"/>
          <w:highlight w:val="none"/>
        </w:rPr>
        <w:t>5.3 公布在响应截止时间前递交响应文件的响应人名称，并点名确认响应人是否派人到场；</w:t>
      </w:r>
    </w:p>
    <w:p w14:paraId="2B9CC3FD">
      <w:pPr>
        <w:rPr>
          <w:color w:val="auto"/>
          <w:highlight w:val="none"/>
        </w:rPr>
      </w:pPr>
      <w:r>
        <w:rPr>
          <w:rFonts w:hint="eastAsia"/>
          <w:color w:val="auto"/>
          <w:highlight w:val="none"/>
        </w:rPr>
        <w:t>5.4 展示响应保证金，响应保证金缴款不全或有误的，则记录在案交由评审委员会评审；</w:t>
      </w:r>
    </w:p>
    <w:p w14:paraId="2BB76AA6">
      <w:pPr>
        <w:rPr>
          <w:color w:val="auto"/>
          <w:highlight w:val="none"/>
        </w:rPr>
      </w:pPr>
      <w:r>
        <w:rPr>
          <w:rFonts w:hint="eastAsia"/>
          <w:color w:val="auto"/>
          <w:highlight w:val="none"/>
        </w:rPr>
        <w:t>5.5 封装情况检查：响应人或者其推选的代表检查各响应文件的封装情况并确认；</w:t>
      </w:r>
    </w:p>
    <w:p w14:paraId="4ED9EF4E">
      <w:pPr>
        <w:rPr>
          <w:color w:val="auto"/>
          <w:highlight w:val="none"/>
        </w:rPr>
      </w:pPr>
      <w:r>
        <w:rPr>
          <w:rFonts w:hint="eastAsia"/>
          <w:color w:val="auto"/>
          <w:highlight w:val="none"/>
        </w:rPr>
        <w:t>5.6 设有最高限价的，公布最高限价；</w:t>
      </w:r>
    </w:p>
    <w:p w14:paraId="047485D1">
      <w:pPr>
        <w:rPr>
          <w:color w:val="auto"/>
          <w:highlight w:val="none"/>
        </w:rPr>
      </w:pPr>
      <w:r>
        <w:rPr>
          <w:rFonts w:hint="eastAsia"/>
          <w:color w:val="auto"/>
          <w:highlight w:val="none"/>
        </w:rPr>
        <w:t>5.7 开启响应文件；</w:t>
      </w:r>
    </w:p>
    <w:p w14:paraId="125873E3">
      <w:pPr>
        <w:rPr>
          <w:color w:val="auto"/>
          <w:highlight w:val="none"/>
        </w:rPr>
      </w:pPr>
      <w:r>
        <w:rPr>
          <w:rFonts w:hint="eastAsia"/>
          <w:color w:val="auto"/>
          <w:highlight w:val="none"/>
        </w:rPr>
        <w:t>5.8 采购人代表、响应人代表、监督人、记录人等有关人员在询比记录上签字确认；</w:t>
      </w:r>
    </w:p>
    <w:p w14:paraId="489E185F">
      <w:pPr>
        <w:rPr>
          <w:color w:val="auto"/>
          <w:highlight w:val="none"/>
        </w:rPr>
      </w:pPr>
      <w:r>
        <w:rPr>
          <w:rFonts w:hint="eastAsia"/>
          <w:color w:val="auto"/>
          <w:highlight w:val="none"/>
        </w:rPr>
        <w:t>5.9 询比结束。</w:t>
      </w:r>
    </w:p>
    <w:p w14:paraId="49F86D42">
      <w:pPr>
        <w:pStyle w:val="3"/>
        <w:rPr>
          <w:color w:val="auto"/>
          <w:highlight w:val="none"/>
        </w:rPr>
      </w:pPr>
      <w:r>
        <w:rPr>
          <w:rFonts w:hint="eastAsia"/>
          <w:color w:val="auto"/>
          <w:highlight w:val="none"/>
        </w:rPr>
        <w:t>6. 评审</w:t>
      </w:r>
    </w:p>
    <w:p w14:paraId="0C817506">
      <w:pPr>
        <w:rPr>
          <w:color w:val="auto"/>
          <w:highlight w:val="none"/>
        </w:rPr>
      </w:pPr>
      <w:r>
        <w:rPr>
          <w:rFonts w:hint="eastAsia"/>
          <w:color w:val="auto"/>
          <w:highlight w:val="none"/>
        </w:rPr>
        <w:t>见第四章内容。</w:t>
      </w:r>
    </w:p>
    <w:p w14:paraId="1AE114A2">
      <w:pPr>
        <w:pStyle w:val="3"/>
        <w:rPr>
          <w:color w:val="auto"/>
          <w:highlight w:val="none"/>
        </w:rPr>
      </w:pPr>
      <w:r>
        <w:rPr>
          <w:rFonts w:hint="eastAsia"/>
          <w:color w:val="auto"/>
          <w:highlight w:val="none"/>
        </w:rPr>
        <w:t xml:space="preserve">7. </w:t>
      </w:r>
      <w:bookmarkEnd w:id="38"/>
      <w:r>
        <w:rPr>
          <w:rFonts w:hint="eastAsia"/>
          <w:color w:val="auto"/>
          <w:highlight w:val="none"/>
        </w:rPr>
        <w:t>确定成交供应商</w:t>
      </w:r>
    </w:p>
    <w:p w14:paraId="7E429B7F">
      <w:pPr>
        <w:rPr>
          <w:color w:val="auto"/>
          <w:highlight w:val="none"/>
        </w:rPr>
      </w:pPr>
      <w:r>
        <w:rPr>
          <w:rFonts w:hint="eastAsia"/>
          <w:color w:val="auto"/>
          <w:highlight w:val="none"/>
        </w:rPr>
        <w:t>7.1 确定成交供应商原则</w:t>
      </w:r>
    </w:p>
    <w:p w14:paraId="5933788A">
      <w:pPr>
        <w:rPr>
          <w:color w:val="auto"/>
          <w:highlight w:val="none"/>
        </w:rPr>
      </w:pPr>
      <w:r>
        <w:rPr>
          <w:rFonts w:hint="eastAsia"/>
          <w:color w:val="auto"/>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3FBC1A8">
      <w:pPr>
        <w:rPr>
          <w:color w:val="auto"/>
          <w:highlight w:val="none"/>
        </w:rPr>
      </w:pPr>
      <w:r>
        <w:rPr>
          <w:rFonts w:hint="eastAsia"/>
          <w:color w:val="auto"/>
          <w:highlight w:val="none"/>
        </w:rPr>
        <w:t>7.2 不承诺最低价格成交。</w:t>
      </w:r>
    </w:p>
    <w:p w14:paraId="72E24617">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C78E21">
      <w:pPr>
        <w:pStyle w:val="3"/>
        <w:rPr>
          <w:color w:val="auto"/>
          <w:highlight w:val="none"/>
        </w:rPr>
      </w:pPr>
      <w:bookmarkStart w:id="39" w:name="_Toc89675168"/>
      <w:bookmarkStart w:id="40" w:name="_Toc12245"/>
      <w:r>
        <w:rPr>
          <w:rFonts w:hint="eastAsia"/>
          <w:color w:val="auto"/>
          <w:highlight w:val="none"/>
        </w:rPr>
        <w:t>8. 签订合同</w:t>
      </w:r>
      <w:bookmarkEnd w:id="39"/>
      <w:bookmarkEnd w:id="40"/>
    </w:p>
    <w:p w14:paraId="678402CE">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61062B2">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31B8FD">
      <w:pPr>
        <w:rPr>
          <w:color w:val="auto"/>
          <w:highlight w:val="none"/>
        </w:rPr>
      </w:pPr>
      <w:r>
        <w:rPr>
          <w:rFonts w:hint="eastAsia"/>
          <w:color w:val="auto"/>
          <w:highlight w:val="none"/>
        </w:rPr>
        <w:t>8.3 询比文件、成交供应商的响应文件及澄清文件等，均为签订合同的依据。</w:t>
      </w:r>
    </w:p>
    <w:p w14:paraId="7D84A8C1">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56C46140">
      <w:pPr>
        <w:rPr>
          <w:color w:val="auto"/>
          <w:highlight w:val="none"/>
        </w:rPr>
      </w:pPr>
      <w:r>
        <w:rPr>
          <w:color w:val="auto"/>
          <w:highlight w:val="none"/>
        </w:rPr>
        <w:t>8.5</w:t>
      </w:r>
      <w:r>
        <w:rPr>
          <w:rFonts w:hint="eastAsia"/>
          <w:color w:val="auto"/>
          <w:highlight w:val="none"/>
        </w:rPr>
        <w:t>签订合同前，采购人可以要求响应人就第四章评审办法，第2.2条详细评审商务技术部分评分规则中“关键技术指标”的三项指标进行测试，测试结果必须符合响应人的响应应答，如果出现测试结果低于响应结果，采购人可以废除成交供应商资格，</w:t>
      </w:r>
      <w:r>
        <w:rPr>
          <w:color w:val="auto"/>
          <w:highlight w:val="none"/>
        </w:rPr>
        <w:t>并有权将响应人及产品厂商纳入黑名单，同时采购人</w:t>
      </w:r>
      <w:r>
        <w:rPr>
          <w:rFonts w:hint="eastAsia"/>
          <w:color w:val="auto"/>
          <w:highlight w:val="none"/>
        </w:rPr>
        <w:t>可选择按照成交候选人顺位与下一候选人</w:t>
      </w:r>
      <w:r>
        <w:rPr>
          <w:color w:val="auto"/>
          <w:highlight w:val="none"/>
        </w:rPr>
        <w:t>进行测试与</w:t>
      </w:r>
      <w:r>
        <w:rPr>
          <w:rFonts w:hint="eastAsia"/>
          <w:color w:val="auto"/>
          <w:highlight w:val="none"/>
        </w:rPr>
        <w:t>签订合同。</w:t>
      </w:r>
    </w:p>
    <w:p w14:paraId="6AAE7975">
      <w:pPr>
        <w:rPr>
          <w:color w:val="auto"/>
          <w:highlight w:val="none"/>
        </w:rPr>
      </w:pPr>
      <w:r>
        <w:rPr>
          <w:rFonts w:hint="eastAsia"/>
          <w:color w:val="auto"/>
          <w:highlight w:val="none"/>
        </w:rPr>
        <w:t>8.6 该项目不允许任何形式的转包。</w:t>
      </w:r>
    </w:p>
    <w:p w14:paraId="2AA7BDC4">
      <w:pPr>
        <w:pStyle w:val="3"/>
        <w:rPr>
          <w:color w:val="auto"/>
          <w:highlight w:val="none"/>
        </w:rPr>
      </w:pPr>
      <w:r>
        <w:rPr>
          <w:rFonts w:hint="eastAsia"/>
          <w:color w:val="auto"/>
          <w:highlight w:val="none"/>
        </w:rPr>
        <w:t>9. 纪律与要求</w:t>
      </w:r>
    </w:p>
    <w:p w14:paraId="2E12DA1F">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689057FD">
      <w:pPr>
        <w:rPr>
          <w:color w:val="auto"/>
          <w:highlight w:val="none"/>
        </w:rPr>
      </w:pPr>
      <w:r>
        <w:rPr>
          <w:rFonts w:hint="eastAsia"/>
          <w:color w:val="auto"/>
          <w:highlight w:val="none"/>
        </w:rPr>
        <w:t>9.1 有下列情形之一的，属于响应人相互串通响应：</w:t>
      </w:r>
    </w:p>
    <w:p w14:paraId="6CB24C0F">
      <w:pPr>
        <w:rPr>
          <w:color w:val="auto"/>
          <w:highlight w:val="none"/>
        </w:rPr>
      </w:pPr>
      <w:r>
        <w:rPr>
          <w:rFonts w:hint="eastAsia"/>
          <w:color w:val="auto"/>
          <w:highlight w:val="none"/>
        </w:rPr>
        <w:t>9.1.1 响应人之间协商响应报价等响应文件的实质性内容；</w:t>
      </w:r>
    </w:p>
    <w:p w14:paraId="1841B234">
      <w:pPr>
        <w:rPr>
          <w:color w:val="auto"/>
          <w:highlight w:val="none"/>
        </w:rPr>
      </w:pPr>
      <w:r>
        <w:rPr>
          <w:rFonts w:hint="eastAsia"/>
          <w:color w:val="auto"/>
          <w:highlight w:val="none"/>
        </w:rPr>
        <w:t>9.1.2 响应人之间约定成交供应商；</w:t>
      </w:r>
    </w:p>
    <w:p w14:paraId="4C49025C">
      <w:pPr>
        <w:rPr>
          <w:color w:val="auto"/>
          <w:highlight w:val="none"/>
        </w:rPr>
      </w:pPr>
      <w:r>
        <w:rPr>
          <w:rFonts w:hint="eastAsia"/>
          <w:color w:val="auto"/>
          <w:highlight w:val="none"/>
        </w:rPr>
        <w:t>9.1.3 响应人之间约定部分响应人放弃响应或者成交；</w:t>
      </w:r>
    </w:p>
    <w:p w14:paraId="3A25DF17">
      <w:pPr>
        <w:rPr>
          <w:color w:val="auto"/>
          <w:highlight w:val="none"/>
        </w:rPr>
      </w:pPr>
      <w:r>
        <w:rPr>
          <w:rFonts w:hint="eastAsia"/>
          <w:color w:val="auto"/>
          <w:highlight w:val="none"/>
        </w:rPr>
        <w:t>9.1.4 属于同一集团、协会、商会等组织成员的响应人按照该组织要求协同响应；</w:t>
      </w:r>
    </w:p>
    <w:p w14:paraId="1F29E249">
      <w:pPr>
        <w:rPr>
          <w:color w:val="auto"/>
          <w:highlight w:val="none"/>
        </w:rPr>
      </w:pPr>
      <w:r>
        <w:rPr>
          <w:rFonts w:hint="eastAsia"/>
          <w:color w:val="auto"/>
          <w:highlight w:val="none"/>
        </w:rPr>
        <w:t>9.1.5 响应人之间为谋取成交或者排斥特定响应人而采取的其他联合行动。</w:t>
      </w:r>
    </w:p>
    <w:p w14:paraId="7BE26ECD">
      <w:pPr>
        <w:rPr>
          <w:color w:val="auto"/>
          <w:highlight w:val="none"/>
        </w:rPr>
      </w:pPr>
      <w:r>
        <w:rPr>
          <w:rFonts w:hint="eastAsia"/>
          <w:color w:val="auto"/>
          <w:highlight w:val="none"/>
        </w:rPr>
        <w:t>9.2 有下列情形之一的，视为响应人相互串通响应：</w:t>
      </w:r>
    </w:p>
    <w:p w14:paraId="687413ED">
      <w:pPr>
        <w:rPr>
          <w:color w:val="auto"/>
          <w:highlight w:val="none"/>
        </w:rPr>
      </w:pPr>
      <w:r>
        <w:rPr>
          <w:rFonts w:hint="eastAsia"/>
          <w:color w:val="auto"/>
          <w:highlight w:val="none"/>
        </w:rPr>
        <w:t>9.2.1 不同响应人的响应文件由同一单位或者个人编制；</w:t>
      </w:r>
    </w:p>
    <w:p w14:paraId="45CAA2C4">
      <w:pPr>
        <w:rPr>
          <w:color w:val="auto"/>
          <w:highlight w:val="none"/>
        </w:rPr>
      </w:pPr>
      <w:r>
        <w:rPr>
          <w:rFonts w:hint="eastAsia"/>
          <w:color w:val="auto"/>
          <w:highlight w:val="none"/>
        </w:rPr>
        <w:t>9.2.2 不同响应人委托同一单位或者个人办理响应事宜；</w:t>
      </w:r>
    </w:p>
    <w:p w14:paraId="0C603AB8">
      <w:pPr>
        <w:rPr>
          <w:color w:val="auto"/>
          <w:highlight w:val="none"/>
        </w:rPr>
      </w:pPr>
      <w:r>
        <w:rPr>
          <w:rFonts w:hint="eastAsia"/>
          <w:color w:val="auto"/>
          <w:highlight w:val="none"/>
        </w:rPr>
        <w:t>9.2.3 不同响应人的响应文件载明的项目管理成员为同一人；</w:t>
      </w:r>
    </w:p>
    <w:p w14:paraId="3085F915">
      <w:pPr>
        <w:rPr>
          <w:color w:val="auto"/>
          <w:highlight w:val="none"/>
        </w:rPr>
      </w:pPr>
      <w:r>
        <w:rPr>
          <w:rFonts w:hint="eastAsia"/>
          <w:color w:val="auto"/>
          <w:highlight w:val="none"/>
        </w:rPr>
        <w:t>9.2.4 不同响应人的响应文件相互混装；</w:t>
      </w:r>
    </w:p>
    <w:p w14:paraId="0AA15B5E">
      <w:pPr>
        <w:rPr>
          <w:color w:val="auto"/>
          <w:highlight w:val="none"/>
        </w:rPr>
      </w:pPr>
      <w:r>
        <w:rPr>
          <w:rFonts w:hint="eastAsia"/>
          <w:color w:val="auto"/>
          <w:highlight w:val="none"/>
        </w:rPr>
        <w:t>9.2.5 不同响应人的响应保证金从同一单位或者个人的账户转出。</w:t>
      </w:r>
    </w:p>
    <w:p w14:paraId="3EEAE947">
      <w:pPr>
        <w:rPr>
          <w:color w:val="auto"/>
          <w:highlight w:val="none"/>
        </w:rPr>
      </w:pPr>
      <w:r>
        <w:rPr>
          <w:rFonts w:hint="eastAsia"/>
          <w:color w:val="auto"/>
          <w:highlight w:val="none"/>
        </w:rPr>
        <w:t>9.3 使用通过受让或者租借等方式获取的资格、资质证书响应的，属于以他人名义响应。</w:t>
      </w:r>
    </w:p>
    <w:p w14:paraId="0254FB8C">
      <w:pPr>
        <w:rPr>
          <w:color w:val="auto"/>
          <w:highlight w:val="none"/>
        </w:rPr>
      </w:pPr>
      <w:r>
        <w:rPr>
          <w:rFonts w:hint="eastAsia"/>
          <w:color w:val="auto"/>
          <w:highlight w:val="none"/>
        </w:rPr>
        <w:t>9.4 响应人有下列情形之一的，属于弄虚作假的行为：</w:t>
      </w:r>
    </w:p>
    <w:p w14:paraId="0E909FA3">
      <w:pPr>
        <w:rPr>
          <w:color w:val="auto"/>
          <w:highlight w:val="none"/>
        </w:rPr>
      </w:pPr>
      <w:r>
        <w:rPr>
          <w:rFonts w:hint="eastAsia"/>
          <w:color w:val="auto"/>
          <w:highlight w:val="none"/>
        </w:rPr>
        <w:t>9.4.1 使用伪造、变造的许可证件；</w:t>
      </w:r>
    </w:p>
    <w:p w14:paraId="335B985D">
      <w:pPr>
        <w:rPr>
          <w:color w:val="auto"/>
          <w:highlight w:val="none"/>
        </w:rPr>
      </w:pPr>
      <w:r>
        <w:rPr>
          <w:rFonts w:hint="eastAsia"/>
          <w:color w:val="auto"/>
          <w:highlight w:val="none"/>
        </w:rPr>
        <w:t>9.4.2 提供虚假的财务状况或者虚假业绩；</w:t>
      </w:r>
    </w:p>
    <w:p w14:paraId="506BB10E">
      <w:pPr>
        <w:rPr>
          <w:color w:val="auto"/>
          <w:highlight w:val="none"/>
        </w:rPr>
      </w:pPr>
      <w:r>
        <w:rPr>
          <w:rFonts w:hint="eastAsia"/>
          <w:color w:val="auto"/>
          <w:highlight w:val="none"/>
        </w:rPr>
        <w:t>9.4.3 提供虚假的项目负责人或者主要技术人员简历、劳动关系证明；</w:t>
      </w:r>
    </w:p>
    <w:p w14:paraId="5A3AD213">
      <w:pPr>
        <w:rPr>
          <w:color w:val="auto"/>
          <w:highlight w:val="none"/>
        </w:rPr>
      </w:pPr>
      <w:r>
        <w:rPr>
          <w:rFonts w:hint="eastAsia"/>
          <w:color w:val="auto"/>
          <w:highlight w:val="none"/>
        </w:rPr>
        <w:t>9.4.4 提供虚假的信用状况；</w:t>
      </w:r>
    </w:p>
    <w:p w14:paraId="2704E36A">
      <w:pPr>
        <w:rPr>
          <w:color w:val="auto"/>
          <w:highlight w:val="none"/>
        </w:rPr>
      </w:pPr>
      <w:r>
        <w:rPr>
          <w:rFonts w:hint="eastAsia"/>
          <w:color w:val="auto"/>
          <w:highlight w:val="none"/>
        </w:rPr>
        <w:t>9.4.5 其它弄虚作假的行为。</w:t>
      </w:r>
    </w:p>
    <w:p w14:paraId="40381929">
      <w:pPr>
        <w:rPr>
          <w:color w:val="auto"/>
          <w:highlight w:val="none"/>
        </w:rPr>
      </w:pPr>
      <w:r>
        <w:rPr>
          <w:rFonts w:hint="eastAsia"/>
          <w:color w:val="auto"/>
          <w:highlight w:val="none"/>
        </w:rPr>
        <w:t>针对以上情况，采购人有权没收响应人的响应保证金，并保留进一步追究由此带来损失的权利。</w:t>
      </w:r>
    </w:p>
    <w:p w14:paraId="69D492C4">
      <w:pPr>
        <w:pStyle w:val="3"/>
        <w:rPr>
          <w:color w:val="auto"/>
          <w:highlight w:val="none"/>
        </w:rPr>
      </w:pPr>
      <w:bookmarkStart w:id="41" w:name="_Toc89675169"/>
      <w:r>
        <w:rPr>
          <w:rFonts w:hint="eastAsia"/>
          <w:color w:val="auto"/>
          <w:highlight w:val="none"/>
        </w:rPr>
        <w:t>10. 提问、质疑、投诉</w:t>
      </w:r>
    </w:p>
    <w:p w14:paraId="3E4BF296">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1168A8FB">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19EB752">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420F757F">
      <w:pPr>
        <w:rPr>
          <w:color w:val="auto"/>
          <w:highlight w:val="none"/>
        </w:rPr>
      </w:pPr>
      <w:r>
        <w:rPr>
          <w:rFonts w:hint="eastAsia"/>
          <w:color w:val="auto"/>
          <w:highlight w:val="none"/>
        </w:rPr>
        <w:t>10.4 响应人对采购人的答复不满意或者有质疑，可向采购人纪检监察部投诉。</w:t>
      </w:r>
    </w:p>
    <w:p w14:paraId="734F8657">
      <w:pPr>
        <w:rPr>
          <w:color w:val="auto"/>
          <w:highlight w:val="none"/>
        </w:rPr>
      </w:pPr>
      <w:r>
        <w:rPr>
          <w:rFonts w:hint="eastAsia"/>
          <w:color w:val="auto"/>
          <w:highlight w:val="none"/>
        </w:rPr>
        <w:t>采购质疑邮箱：</w:t>
      </w:r>
      <w:r>
        <w:rPr>
          <w:color w:val="auto"/>
          <w:highlight w:val="none"/>
        </w:rPr>
        <w:t>sx.jcb@ccqtgb.com</w:t>
      </w:r>
    </w:p>
    <w:p w14:paraId="08399558">
      <w:pPr>
        <w:rPr>
          <w:color w:val="auto"/>
          <w:highlight w:val="none"/>
        </w:rPr>
      </w:pPr>
      <w:r>
        <w:rPr>
          <w:rFonts w:hint="eastAsia"/>
          <w:color w:val="auto"/>
          <w:highlight w:val="none"/>
        </w:rPr>
        <w:t>采购投诉邮箱：</w:t>
      </w:r>
      <w:bookmarkStart w:id="42" w:name="_Hlk74215856"/>
      <w:r>
        <w:rPr>
          <w:rFonts w:hint="eastAsia"/>
          <w:color w:val="auto"/>
          <w:highlight w:val="none"/>
        </w:rPr>
        <w:t>sxyhjjz@</w:t>
      </w:r>
      <w:r>
        <w:rPr>
          <w:color w:val="auto"/>
          <w:highlight w:val="none"/>
        </w:rPr>
        <w:t>ccqtgb</w:t>
      </w:r>
      <w:r>
        <w:rPr>
          <w:rFonts w:hint="eastAsia"/>
          <w:color w:val="auto"/>
          <w:highlight w:val="none"/>
        </w:rPr>
        <w:t>.com</w:t>
      </w:r>
      <w:bookmarkEnd w:id="42"/>
    </w:p>
    <w:p w14:paraId="766E2B63">
      <w:pPr>
        <w:pStyle w:val="3"/>
        <w:rPr>
          <w:color w:val="auto"/>
          <w:highlight w:val="none"/>
        </w:rPr>
      </w:pPr>
      <w:bookmarkStart w:id="43" w:name="_Toc15059431"/>
      <w:bookmarkStart w:id="44" w:name="_Toc440628924"/>
      <w:bookmarkStart w:id="45" w:name="_Toc11439"/>
      <w:bookmarkStart w:id="46" w:name="_Toc89675157"/>
      <w:bookmarkStart w:id="47" w:name="_Toc275199618"/>
      <w:r>
        <w:rPr>
          <w:rFonts w:hint="eastAsia"/>
          <w:color w:val="auto"/>
          <w:highlight w:val="none"/>
        </w:rPr>
        <w:t>11. 无效响应条款</w:t>
      </w:r>
      <w:bookmarkEnd w:id="43"/>
      <w:bookmarkEnd w:id="44"/>
      <w:bookmarkEnd w:id="45"/>
      <w:bookmarkEnd w:id="46"/>
      <w:bookmarkEnd w:id="47"/>
    </w:p>
    <w:p w14:paraId="11176FE9">
      <w:pPr>
        <w:rPr>
          <w:color w:val="auto"/>
          <w:highlight w:val="none"/>
        </w:rPr>
      </w:pPr>
      <w:r>
        <w:rPr>
          <w:rFonts w:hint="eastAsia"/>
          <w:color w:val="auto"/>
          <w:highlight w:val="none"/>
        </w:rPr>
        <w:t>响应人或其响应文件出现下列情况之一者，应为无效响应：</w:t>
      </w:r>
    </w:p>
    <w:p w14:paraId="3F32D20C">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1917A43B">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480B78CF">
      <w:pPr>
        <w:rPr>
          <w:color w:val="auto"/>
          <w:highlight w:val="none"/>
        </w:rPr>
      </w:pPr>
      <w:r>
        <w:rPr>
          <w:rFonts w:hint="eastAsia"/>
          <w:color w:val="auto"/>
          <w:highlight w:val="none"/>
        </w:rPr>
        <w:t>11.3 响应人超出其营业执照或事业单位法人证书上经营范围（业务范围）响应的。</w:t>
      </w:r>
    </w:p>
    <w:p w14:paraId="2A953C74">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013A923B">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2DD59B3C">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848BE32">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2169FAB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67FF9DEC">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2C10AAC5">
      <w:pPr>
        <w:rPr>
          <w:color w:val="auto"/>
          <w:highlight w:val="none"/>
        </w:rPr>
      </w:pPr>
      <w:r>
        <w:rPr>
          <w:rFonts w:hint="eastAsia"/>
          <w:color w:val="auto"/>
          <w:highlight w:val="none"/>
        </w:rPr>
        <w:t>11.10 出现影响询比公正的违法、违规行为的。</w:t>
      </w:r>
    </w:p>
    <w:p w14:paraId="2DD49ABD">
      <w:pPr>
        <w:rPr>
          <w:color w:val="auto"/>
          <w:highlight w:val="none"/>
        </w:rPr>
      </w:pPr>
      <w:r>
        <w:rPr>
          <w:rFonts w:hint="eastAsia"/>
          <w:color w:val="auto"/>
          <w:highlight w:val="none"/>
        </w:rPr>
        <w:t>11.11 与采购人、评审专家、其他响应人恶意串通。</w:t>
      </w:r>
    </w:p>
    <w:p w14:paraId="05946F2D">
      <w:pPr>
        <w:rPr>
          <w:color w:val="auto"/>
          <w:highlight w:val="none"/>
        </w:rPr>
      </w:pPr>
      <w:r>
        <w:rPr>
          <w:rFonts w:hint="eastAsia"/>
          <w:color w:val="auto"/>
          <w:highlight w:val="none"/>
        </w:rPr>
        <w:t>11.12 参与响应的法人发生合并、分立、破产等重大变化后，不再具备询比要求的资格条件的。</w:t>
      </w:r>
    </w:p>
    <w:p w14:paraId="3320D029">
      <w:pPr>
        <w:rPr>
          <w:color w:val="auto"/>
          <w:highlight w:val="none"/>
        </w:rPr>
      </w:pPr>
      <w:r>
        <w:rPr>
          <w:rFonts w:hint="eastAsia"/>
          <w:color w:val="auto"/>
          <w:highlight w:val="none"/>
        </w:rPr>
        <w:t>11.13 提供虚假材料谋取成交资格的。</w:t>
      </w:r>
    </w:p>
    <w:p w14:paraId="3F356DD9">
      <w:pPr>
        <w:rPr>
          <w:color w:val="auto"/>
          <w:highlight w:val="none"/>
        </w:rPr>
      </w:pPr>
      <w:r>
        <w:rPr>
          <w:rFonts w:hint="eastAsia"/>
          <w:color w:val="auto"/>
          <w:highlight w:val="none"/>
        </w:rPr>
        <w:t>11.14 响应文件含有采购人不能接受的附件条件的。</w:t>
      </w:r>
    </w:p>
    <w:p w14:paraId="31B3BCCF">
      <w:pPr>
        <w:pStyle w:val="3"/>
        <w:rPr>
          <w:color w:val="auto"/>
          <w:highlight w:val="none"/>
        </w:rPr>
      </w:pPr>
      <w:r>
        <w:rPr>
          <w:rFonts w:hint="eastAsia"/>
          <w:color w:val="auto"/>
          <w:highlight w:val="none"/>
        </w:rPr>
        <w:t>12. 询比失败情形</w:t>
      </w:r>
    </w:p>
    <w:p w14:paraId="7AF9586F">
      <w:pPr>
        <w:rPr>
          <w:color w:val="auto"/>
          <w:highlight w:val="none"/>
        </w:rPr>
      </w:pPr>
      <w:r>
        <w:rPr>
          <w:rFonts w:hint="eastAsia"/>
          <w:color w:val="auto"/>
          <w:highlight w:val="none"/>
        </w:rPr>
        <w:t>12.1 出现以下情形本次询比失败：</w:t>
      </w:r>
    </w:p>
    <w:p w14:paraId="45BB960E">
      <w:pPr>
        <w:rPr>
          <w:color w:val="auto"/>
          <w:highlight w:val="none"/>
        </w:rPr>
      </w:pPr>
      <w:r>
        <w:rPr>
          <w:rFonts w:hint="eastAsia"/>
          <w:color w:val="auto"/>
          <w:highlight w:val="none"/>
        </w:rPr>
        <w:t>12.1.1 首次询比的项目，截至响应截止时间，响应人少于3个的。</w:t>
      </w:r>
    </w:p>
    <w:p w14:paraId="4B76B39D">
      <w:pPr>
        <w:rPr>
          <w:color w:val="auto"/>
          <w:highlight w:val="none"/>
        </w:rPr>
      </w:pPr>
      <w:r>
        <w:rPr>
          <w:rFonts w:hint="eastAsia"/>
          <w:color w:val="auto"/>
          <w:highlight w:val="none"/>
        </w:rPr>
        <w:t>12.1.2 经评审委员会评审后否决所有响应的。</w:t>
      </w:r>
    </w:p>
    <w:p w14:paraId="595B9A48">
      <w:pPr>
        <w:rPr>
          <w:color w:val="auto"/>
          <w:highlight w:val="none"/>
        </w:rPr>
      </w:pPr>
      <w:r>
        <w:rPr>
          <w:rFonts w:hint="eastAsia"/>
          <w:color w:val="auto"/>
          <w:highlight w:val="none"/>
        </w:rPr>
        <w:t>12.1.3 法律法规规定的其他情形。</w:t>
      </w:r>
    </w:p>
    <w:p w14:paraId="495BD963">
      <w:pPr>
        <w:rPr>
          <w:color w:val="auto"/>
          <w:highlight w:val="none"/>
        </w:rPr>
      </w:pPr>
      <w:r>
        <w:rPr>
          <w:rFonts w:hint="eastAsia"/>
          <w:color w:val="auto"/>
          <w:highlight w:val="none"/>
        </w:rPr>
        <w:t>12.2 重新询比和不再询比</w:t>
      </w:r>
    </w:p>
    <w:p w14:paraId="4266123B">
      <w:pPr>
        <w:rPr>
          <w:color w:val="auto"/>
          <w:highlight w:val="none"/>
        </w:rPr>
      </w:pPr>
      <w:r>
        <w:rPr>
          <w:color w:val="auto"/>
          <w:highlight w:val="none"/>
        </w:rPr>
        <w:t>重新</w:t>
      </w:r>
      <w:r>
        <w:rPr>
          <w:rFonts w:hint="eastAsia"/>
          <w:color w:val="auto"/>
          <w:highlight w:val="none"/>
        </w:rPr>
        <w:t>询比（如第二次询比）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成交候选人</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6081E39E">
      <w:pPr>
        <w:pStyle w:val="3"/>
        <w:rPr>
          <w:color w:val="auto"/>
          <w:highlight w:val="none"/>
        </w:rPr>
      </w:pPr>
      <w:r>
        <w:rPr>
          <w:rFonts w:hint="eastAsia"/>
          <w:color w:val="auto"/>
          <w:highlight w:val="none"/>
        </w:rPr>
        <w:t>13. 终止</w:t>
      </w:r>
      <w:bookmarkEnd w:id="41"/>
      <w:r>
        <w:rPr>
          <w:rFonts w:hint="eastAsia"/>
          <w:color w:val="auto"/>
          <w:highlight w:val="none"/>
        </w:rPr>
        <w:t>询比</w:t>
      </w:r>
    </w:p>
    <w:p w14:paraId="7D110F3E">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35280CE">
      <w:pPr>
        <w:rPr>
          <w:color w:val="auto"/>
          <w:highlight w:val="none"/>
        </w:rPr>
      </w:pPr>
      <w:r>
        <w:rPr>
          <w:rFonts w:hint="eastAsia"/>
          <w:color w:val="auto"/>
          <w:highlight w:val="none"/>
        </w:rPr>
        <w:t>13.2 签订合同之前，采购人发现成交候选人经营、财务状况发生较大变化或存在违法行为，采购人认为可能影响其履约能力的，采购人可废除成交供应商或成交候选人资格。</w:t>
      </w:r>
    </w:p>
    <w:p w14:paraId="31F96661">
      <w:pPr>
        <w:pStyle w:val="3"/>
        <w:rPr>
          <w:color w:val="auto"/>
          <w:highlight w:val="none"/>
        </w:rPr>
      </w:pPr>
      <w:r>
        <w:rPr>
          <w:rFonts w:hint="eastAsia"/>
          <w:color w:val="auto"/>
          <w:highlight w:val="none"/>
        </w:rPr>
        <w:t>14. 参与项目费用</w:t>
      </w:r>
    </w:p>
    <w:p w14:paraId="16E46920">
      <w:pPr>
        <w:rPr>
          <w:color w:val="auto"/>
          <w:highlight w:val="none"/>
        </w:rPr>
      </w:pPr>
      <w:r>
        <w:rPr>
          <w:rFonts w:hint="eastAsia"/>
          <w:color w:val="auto"/>
          <w:highlight w:val="none"/>
        </w:rPr>
        <w:t>响应人参与本询比项目时，一切与响应有关的费用均由响应人自理。</w:t>
      </w:r>
    </w:p>
    <w:p w14:paraId="083CB0AE">
      <w:pPr>
        <w:rPr>
          <w:color w:val="auto"/>
          <w:highlight w:val="none"/>
        </w:rPr>
      </w:pPr>
      <w:r>
        <w:rPr>
          <w:rFonts w:hint="eastAsia"/>
          <w:color w:val="auto"/>
          <w:highlight w:val="none"/>
        </w:rPr>
        <w:t>本项目平台服务费为</w:t>
      </w:r>
      <w:r>
        <w:rPr>
          <w:rFonts w:hint="eastAsia"/>
          <w:color w:val="auto"/>
          <w:highlight w:val="none"/>
          <w:lang w:val="en-US" w:eastAsia="zh-CN"/>
        </w:rPr>
        <w:t>8000.00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5B0993E0">
      <w:pPr>
        <w:rPr>
          <w:color w:val="auto"/>
          <w:highlight w:val="none"/>
        </w:rPr>
      </w:pPr>
      <w:r>
        <w:rPr>
          <w:color w:val="auto"/>
          <w:highlight w:val="none"/>
        </w:rPr>
        <w:br w:type="page"/>
      </w:r>
    </w:p>
    <w:p w14:paraId="2EA75117">
      <w:pPr>
        <w:pStyle w:val="2"/>
        <w:rPr>
          <w:color w:val="auto"/>
          <w:highlight w:val="none"/>
        </w:rPr>
      </w:pPr>
      <w:bookmarkStart w:id="48" w:name="_Toc16882"/>
      <w:bookmarkStart w:id="49" w:name="_Toc30519"/>
      <w:r>
        <w:rPr>
          <w:rFonts w:hint="eastAsia"/>
          <w:color w:val="auto"/>
          <w:highlight w:val="none"/>
        </w:rPr>
        <w:t>第三章 项目要求</w:t>
      </w:r>
      <w:bookmarkEnd w:id="48"/>
      <w:bookmarkEnd w:id="49"/>
    </w:p>
    <w:p w14:paraId="5133516C">
      <w:pPr>
        <w:pStyle w:val="3"/>
        <w:numPr>
          <w:ilvl w:val="0"/>
          <w:numId w:val="1"/>
        </w:numPr>
        <w:rPr>
          <w:color w:val="auto"/>
          <w:highlight w:val="none"/>
        </w:rPr>
      </w:pPr>
      <w:r>
        <w:rPr>
          <w:rFonts w:hint="eastAsia"/>
          <w:color w:val="auto"/>
          <w:highlight w:val="none"/>
        </w:rPr>
        <w:t>总体要求</w:t>
      </w:r>
    </w:p>
    <w:p w14:paraId="1BF8D55F">
      <w:pPr>
        <w:jc w:val="left"/>
        <w:rPr>
          <w:rFonts w:hint="eastAsia"/>
          <w:color w:val="auto"/>
          <w:highlight w:val="none"/>
        </w:rPr>
      </w:pPr>
      <w:r>
        <w:rPr>
          <w:color w:val="auto"/>
          <w:highlight w:val="none"/>
        </w:rPr>
        <w:t>响应</w:t>
      </w:r>
      <w:r>
        <w:rPr>
          <w:rFonts w:hint="eastAsia"/>
          <w:color w:val="auto"/>
          <w:highlight w:val="none"/>
        </w:rPr>
        <w:t>人提供的软件授权必须满足以下条件：</w:t>
      </w:r>
    </w:p>
    <w:p w14:paraId="558C5B5B">
      <w:pPr>
        <w:jc w:val="left"/>
        <w:rPr>
          <w:rFonts w:hint="eastAsia"/>
          <w:color w:val="auto"/>
          <w:highlight w:val="none"/>
        </w:rPr>
      </w:pPr>
      <w:r>
        <w:rPr>
          <w:rFonts w:hint="eastAsia"/>
          <w:color w:val="auto"/>
          <w:highlight w:val="none"/>
        </w:rPr>
        <w:t>1.1 包含</w:t>
      </w:r>
      <w:r>
        <w:rPr>
          <w:color w:val="auto"/>
          <w:highlight w:val="none"/>
        </w:rPr>
        <w:t>370TB裸容量的软件授权及</w:t>
      </w:r>
      <w:r>
        <w:rPr>
          <w:rFonts w:hint="eastAsia"/>
          <w:color w:val="auto"/>
          <w:highlight w:val="none"/>
        </w:rPr>
        <w:t>相应集成部署服务</w:t>
      </w:r>
    </w:p>
    <w:p w14:paraId="708AD6AC">
      <w:pPr>
        <w:jc w:val="left"/>
        <w:rPr>
          <w:rFonts w:hint="eastAsia"/>
          <w:color w:val="auto"/>
          <w:highlight w:val="none"/>
        </w:rPr>
      </w:pPr>
      <w:r>
        <w:rPr>
          <w:rFonts w:hint="eastAsia"/>
          <w:color w:val="auto"/>
          <w:highlight w:val="none"/>
        </w:rPr>
        <w:t>1.2 包含3年原厂技术支持服务</w:t>
      </w:r>
    </w:p>
    <w:p w14:paraId="59D1EDDD">
      <w:pPr>
        <w:jc w:val="left"/>
        <w:rPr>
          <w:color w:val="auto"/>
          <w:highlight w:val="none"/>
        </w:rPr>
      </w:pPr>
      <w:r>
        <w:rPr>
          <w:rFonts w:hint="eastAsia"/>
          <w:color w:val="auto"/>
          <w:highlight w:val="none"/>
        </w:rPr>
        <w:t>1.3</w:t>
      </w:r>
      <w:r>
        <w:rPr>
          <w:color w:val="auto"/>
          <w:highlight w:val="none"/>
        </w:rPr>
        <w:t xml:space="preserve"> 容量授权</w:t>
      </w:r>
      <w:r>
        <w:rPr>
          <w:rFonts w:hint="eastAsia"/>
          <w:color w:val="auto"/>
          <w:highlight w:val="none"/>
        </w:rPr>
        <w:t>支持拆分使用</w:t>
      </w:r>
      <w:r>
        <w:rPr>
          <w:color w:val="auto"/>
          <w:highlight w:val="none"/>
        </w:rPr>
        <w:t>，即多套环境共享容量授权。</w:t>
      </w:r>
    </w:p>
    <w:p w14:paraId="7FD82A78">
      <w:pPr>
        <w:pStyle w:val="3"/>
        <w:numPr>
          <w:ilvl w:val="0"/>
          <w:numId w:val="1"/>
        </w:numPr>
        <w:rPr>
          <w:color w:val="auto"/>
          <w:highlight w:val="none"/>
        </w:rPr>
      </w:pPr>
      <w:r>
        <w:rPr>
          <w:rFonts w:hint="eastAsia"/>
          <w:color w:val="auto"/>
          <w:highlight w:val="none"/>
        </w:rPr>
        <w:t>项目要求</w:t>
      </w:r>
    </w:p>
    <w:p w14:paraId="2CD179A6">
      <w:pPr>
        <w:rPr>
          <w:color w:val="auto"/>
          <w:highlight w:val="none"/>
        </w:rPr>
      </w:pPr>
      <w:r>
        <w:rPr>
          <w:rFonts w:hint="eastAsia"/>
          <w:color w:val="auto"/>
          <w:highlight w:val="none"/>
        </w:rPr>
        <w:t>2</w:t>
      </w:r>
      <w:r>
        <w:rPr>
          <w:color w:val="auto"/>
          <w:highlight w:val="none"/>
        </w:rPr>
        <w:t xml:space="preserve">.1 </w:t>
      </w:r>
      <w:r>
        <w:rPr>
          <w:rFonts w:hint="eastAsia"/>
          <w:color w:val="auto"/>
          <w:highlight w:val="none"/>
        </w:rPr>
        <w:t>项目要求</w:t>
      </w:r>
    </w:p>
    <w:p w14:paraId="0D8FEF2B">
      <w:pPr>
        <w:spacing w:line="360" w:lineRule="auto"/>
        <w:jc w:val="left"/>
        <w:rPr>
          <w:rFonts w:hint="eastAsia"/>
          <w:color w:val="auto"/>
          <w:highlight w:val="none"/>
        </w:rPr>
      </w:pPr>
      <w:r>
        <w:rPr>
          <w:rFonts w:hint="eastAsia"/>
          <w:color w:val="auto"/>
          <w:highlight w:val="none"/>
        </w:rPr>
        <w:t>2.1.</w:t>
      </w:r>
      <w:r>
        <w:rPr>
          <w:color w:val="auto"/>
          <w:highlight w:val="none"/>
        </w:rPr>
        <w:t xml:space="preserve">1 </w:t>
      </w:r>
      <w:r>
        <w:rPr>
          <w:rFonts w:hint="eastAsia"/>
          <w:color w:val="auto"/>
          <w:highlight w:val="none"/>
        </w:rPr>
        <w:t>本项目采购的软件授权应当为灵活授权，</w:t>
      </w:r>
      <w:r>
        <w:rPr>
          <w:color w:val="auto"/>
          <w:highlight w:val="none"/>
        </w:rPr>
        <w:t>即多套环境共享容量授权</w:t>
      </w:r>
      <w:r>
        <w:rPr>
          <w:rFonts w:hint="eastAsia"/>
          <w:color w:val="auto"/>
          <w:highlight w:val="none"/>
        </w:rPr>
        <w:t>；</w:t>
      </w:r>
    </w:p>
    <w:p w14:paraId="4731617F">
      <w:pPr>
        <w:spacing w:line="360" w:lineRule="auto"/>
        <w:jc w:val="left"/>
        <w:rPr>
          <w:rFonts w:hint="eastAsia" w:eastAsia="宋体"/>
          <w:color w:val="auto"/>
          <w:highlight w:val="none"/>
          <w:lang w:eastAsia="zh-CN"/>
        </w:rPr>
      </w:pPr>
      <w:r>
        <w:rPr>
          <w:rFonts w:hint="eastAsia"/>
          <w:color w:val="auto"/>
          <w:highlight w:val="none"/>
        </w:rPr>
        <w:t>2.1.</w:t>
      </w:r>
      <w:r>
        <w:rPr>
          <w:color w:val="auto"/>
          <w:highlight w:val="none"/>
        </w:rPr>
        <w:t>2</w:t>
      </w:r>
      <w:r>
        <w:rPr>
          <w:rFonts w:hint="eastAsia"/>
          <w:color w:val="auto"/>
          <w:highlight w:val="none"/>
        </w:rPr>
        <w:t xml:space="preserve"> 本项目须保证</w:t>
      </w:r>
      <w:r>
        <w:rPr>
          <w:color w:val="auto"/>
          <w:highlight w:val="none"/>
        </w:rPr>
        <w:t>响应</w:t>
      </w:r>
      <w:r>
        <w:rPr>
          <w:rFonts w:hint="eastAsia"/>
          <w:color w:val="auto"/>
          <w:highlight w:val="none"/>
        </w:rPr>
        <w:t>人出具本项目的原厂授权函及原厂售后服务承诺函（需明显标注原厂维保级别为7*24*</w:t>
      </w:r>
      <w:r>
        <w:rPr>
          <w:color w:val="auto"/>
          <w:highlight w:val="none"/>
        </w:rPr>
        <w:t>4</w:t>
      </w:r>
      <w:r>
        <w:rPr>
          <w:rFonts w:hint="eastAsia"/>
          <w:color w:val="auto"/>
          <w:highlight w:val="none"/>
        </w:rPr>
        <w:t>，即每周7天，每天24小时，</w:t>
      </w:r>
      <w:r>
        <w:rPr>
          <w:color w:val="auto"/>
          <w:highlight w:val="none"/>
        </w:rPr>
        <w:t>4</w:t>
      </w:r>
      <w:r>
        <w:rPr>
          <w:rFonts w:hint="eastAsia"/>
          <w:color w:val="auto"/>
          <w:highlight w:val="none"/>
        </w:rPr>
        <w:t>小时内达到现场，并加盖原厂鲜章）。</w:t>
      </w:r>
      <w:r>
        <w:rPr>
          <w:rFonts w:hint="eastAsia"/>
          <w:color w:val="auto"/>
          <w:highlight w:val="none"/>
          <w:lang w:eastAsia="zh-CN"/>
        </w:rPr>
        <w:t>【</w:t>
      </w:r>
      <w:r>
        <w:rPr>
          <w:rFonts w:hint="eastAsia"/>
          <w:color w:val="auto"/>
          <w:highlight w:val="none"/>
          <w:lang w:val="en-US" w:eastAsia="zh-CN"/>
        </w:rPr>
        <w:t>提供</w:t>
      </w:r>
      <w:r>
        <w:rPr>
          <w:rFonts w:hint="eastAsia"/>
          <w:color w:val="auto"/>
          <w:highlight w:val="none"/>
        </w:rPr>
        <w:t>原厂售后服务承诺函</w:t>
      </w:r>
      <w:r>
        <w:rPr>
          <w:rFonts w:hint="eastAsia"/>
          <w:color w:val="auto"/>
          <w:highlight w:val="none"/>
          <w:lang w:eastAsia="zh-CN"/>
        </w:rPr>
        <w:t>，</w:t>
      </w:r>
      <w:r>
        <w:rPr>
          <w:rFonts w:hint="eastAsia"/>
          <w:color w:val="auto"/>
          <w:highlight w:val="none"/>
          <w:lang w:val="en-US" w:eastAsia="zh-CN"/>
        </w:rPr>
        <w:t>若为代理商参与，还需提供</w:t>
      </w:r>
      <w:r>
        <w:rPr>
          <w:rFonts w:hint="eastAsia"/>
          <w:color w:val="auto"/>
          <w:highlight w:val="none"/>
        </w:rPr>
        <w:t>原厂授权函</w:t>
      </w:r>
      <w:r>
        <w:rPr>
          <w:rFonts w:hint="eastAsia"/>
          <w:color w:val="auto"/>
          <w:highlight w:val="none"/>
          <w:lang w:eastAsia="zh-CN"/>
        </w:rPr>
        <w:t>】</w:t>
      </w:r>
    </w:p>
    <w:p w14:paraId="720BE75F">
      <w:pPr>
        <w:spacing w:line="360" w:lineRule="auto"/>
        <w:jc w:val="left"/>
        <w:rPr>
          <w:rFonts w:hint="eastAsia"/>
          <w:color w:val="auto"/>
          <w:highlight w:val="none"/>
        </w:rPr>
      </w:pPr>
      <w:r>
        <w:rPr>
          <w:rFonts w:hint="eastAsia"/>
          <w:color w:val="auto"/>
          <w:highlight w:val="none"/>
        </w:rPr>
        <w:t>2.2其他要求</w:t>
      </w:r>
    </w:p>
    <w:p w14:paraId="7C4C4979">
      <w:pPr>
        <w:spacing w:line="360" w:lineRule="auto"/>
        <w:jc w:val="left"/>
        <w:rPr>
          <w:rFonts w:hint="eastAsia"/>
          <w:color w:val="auto"/>
          <w:highlight w:val="none"/>
        </w:rPr>
      </w:pPr>
      <w:r>
        <w:rPr>
          <w:rFonts w:hint="eastAsia"/>
          <w:color w:val="auto"/>
          <w:highlight w:val="none"/>
          <w:lang w:val="en-US" w:eastAsia="zh-CN"/>
        </w:rPr>
        <w:t>2.2.1</w:t>
      </w:r>
      <w:r>
        <w:rPr>
          <w:rFonts w:hint="eastAsia"/>
          <w:color w:val="auto"/>
          <w:highlight w:val="none"/>
        </w:rPr>
        <w:t>若续保7*24*4（4小时到达现场）级别原厂维保服务，年维保费不超过产品响应价格总金额的13%</w:t>
      </w:r>
      <w:r>
        <w:rPr>
          <w:rFonts w:hint="eastAsia"/>
          <w:color w:val="auto"/>
          <w:highlight w:val="none"/>
          <w:lang w:eastAsia="zh-CN"/>
        </w:rPr>
        <w:t>，</w:t>
      </w:r>
      <w:r>
        <w:rPr>
          <w:rFonts w:hint="eastAsia"/>
          <w:color w:val="auto"/>
          <w:highlight w:val="none"/>
          <w:lang w:val="en-US" w:eastAsia="zh-CN"/>
        </w:rPr>
        <w:t>需原厂提供保费承诺函</w:t>
      </w:r>
      <w:r>
        <w:rPr>
          <w:rFonts w:hint="eastAsia"/>
          <w:color w:val="auto"/>
          <w:highlight w:val="none"/>
          <w:lang w:eastAsia="zh-CN"/>
        </w:rPr>
        <w:t>【</w:t>
      </w:r>
      <w:r>
        <w:rPr>
          <w:rFonts w:hint="eastAsia"/>
          <w:color w:val="auto"/>
          <w:highlight w:val="none"/>
          <w:lang w:val="en-US" w:eastAsia="zh-CN"/>
        </w:rPr>
        <w:t>提供续保保费承诺函</w:t>
      </w:r>
      <w:r>
        <w:rPr>
          <w:rFonts w:hint="eastAsia"/>
          <w:color w:val="auto"/>
          <w:highlight w:val="none"/>
          <w:lang w:eastAsia="zh-CN"/>
        </w:rPr>
        <w:t>】</w:t>
      </w:r>
    </w:p>
    <w:p w14:paraId="1F1DE676">
      <w:pPr>
        <w:pStyle w:val="3"/>
        <w:numPr>
          <w:ilvl w:val="0"/>
          <w:numId w:val="1"/>
        </w:numPr>
        <w:rPr>
          <w:color w:val="auto"/>
          <w:highlight w:val="none"/>
        </w:rPr>
      </w:pPr>
      <w:r>
        <w:rPr>
          <w:color w:val="auto"/>
          <w:highlight w:val="none"/>
        </w:rPr>
        <w:t>技术</w:t>
      </w:r>
      <w:r>
        <w:rPr>
          <w:rFonts w:hint="eastAsia"/>
          <w:color w:val="auto"/>
          <w:highlight w:val="none"/>
        </w:rPr>
        <w:t>要求</w:t>
      </w:r>
    </w:p>
    <w:p w14:paraId="7FC9E652">
      <w:pPr>
        <w:jc w:val="left"/>
        <w:rPr>
          <w:color w:val="auto"/>
          <w:highlight w:val="none"/>
        </w:rPr>
      </w:pPr>
      <w:r>
        <w:rPr>
          <w:rFonts w:hint="eastAsia"/>
          <w:snapToGrid w:val="0"/>
          <w:color w:val="auto"/>
          <w:szCs w:val="24"/>
          <w:highlight w:val="none"/>
        </w:rPr>
        <w:t>本项目所购产品</w:t>
      </w:r>
      <w:r>
        <w:rPr>
          <w:snapToGrid w:val="0"/>
          <w:color w:val="auto"/>
          <w:szCs w:val="24"/>
          <w:highlight w:val="none"/>
        </w:rPr>
        <w:t>必须</w:t>
      </w:r>
      <w:r>
        <w:rPr>
          <w:rFonts w:hint="eastAsia"/>
          <w:snapToGrid w:val="0"/>
          <w:color w:val="auto"/>
          <w:szCs w:val="24"/>
          <w:highlight w:val="none"/>
        </w:rPr>
        <w:t>满足以下技术参数</w:t>
      </w:r>
    </w:p>
    <w:tbl>
      <w:tblPr>
        <w:tblStyle w:val="20"/>
        <w:tblW w:w="8790" w:type="dxa"/>
        <w:tblInd w:w="-1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981"/>
        <w:gridCol w:w="1896"/>
        <w:gridCol w:w="5913"/>
      </w:tblGrid>
      <w:tr w14:paraId="58CDB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BAB285">
            <w:pPr>
              <w:ind w:firstLine="210" w:firstLineChars="100"/>
              <w:jc w:val="left"/>
              <w:rPr>
                <w:rFonts w:cs="Times New Roman"/>
                <w:color w:val="auto"/>
                <w:szCs w:val="21"/>
                <w:highlight w:val="none"/>
              </w:rPr>
            </w:pPr>
            <w:r>
              <w:rPr>
                <w:rFonts w:cs="Times New Roman"/>
                <w:color w:val="auto"/>
                <w:szCs w:val="21"/>
                <w:highlight w:val="none"/>
              </w:rPr>
              <w:t>类别</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24D984">
            <w:pPr>
              <w:jc w:val="left"/>
              <w:rPr>
                <w:rFonts w:cs="Times New Roman"/>
                <w:color w:val="auto"/>
                <w:szCs w:val="21"/>
                <w:highlight w:val="none"/>
              </w:rPr>
            </w:pPr>
            <w:r>
              <w:rPr>
                <w:rFonts w:cs="Times New Roman"/>
                <w:color w:val="auto"/>
                <w:szCs w:val="21"/>
                <w:highlight w:val="none"/>
              </w:rPr>
              <w:t>子类别</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F38D79">
            <w:pPr>
              <w:jc w:val="left"/>
              <w:rPr>
                <w:rFonts w:cs="Times New Roman"/>
                <w:color w:val="auto"/>
                <w:szCs w:val="21"/>
                <w:highlight w:val="none"/>
              </w:rPr>
            </w:pPr>
            <w:r>
              <w:rPr>
                <w:rFonts w:cs="Times New Roman"/>
                <w:color w:val="auto"/>
                <w:szCs w:val="21"/>
                <w:highlight w:val="none"/>
              </w:rPr>
              <w:t>参数</w:t>
            </w:r>
          </w:p>
        </w:tc>
      </w:tr>
      <w:tr w14:paraId="306D2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D879A02">
            <w:pPr>
              <w:ind w:firstLine="0" w:firstLineChars="0"/>
              <w:jc w:val="left"/>
              <w:rPr>
                <w:rFonts w:cs="Times New Roman"/>
                <w:color w:val="auto"/>
                <w:szCs w:val="21"/>
                <w:highlight w:val="none"/>
              </w:rPr>
            </w:pPr>
            <w:r>
              <w:rPr>
                <w:rFonts w:cs="Times New Roman"/>
                <w:color w:val="auto"/>
                <w:szCs w:val="21"/>
                <w:highlight w:val="none"/>
              </w:rPr>
              <w:t>通用</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4AE4D4">
            <w:pPr>
              <w:rPr>
                <w:rFonts w:cs="Times New Roman"/>
                <w:color w:val="auto"/>
                <w:szCs w:val="21"/>
                <w:highlight w:val="none"/>
              </w:rPr>
            </w:pPr>
            <w:r>
              <w:rPr>
                <w:rFonts w:cs="Times New Roman"/>
                <w:color w:val="auto"/>
                <w:szCs w:val="21"/>
                <w:highlight w:val="none"/>
              </w:rPr>
              <w:t>架构要求</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D492F0">
            <w:pPr>
              <w:ind w:firstLine="0" w:firstLineChars="0"/>
              <w:jc w:val="left"/>
              <w:rPr>
                <w:rFonts w:cs="Times New Roman"/>
                <w:color w:val="auto"/>
                <w:szCs w:val="21"/>
                <w:highlight w:val="none"/>
              </w:rPr>
            </w:pPr>
            <w:r>
              <w:rPr>
                <w:rFonts w:cs="Times New Roman"/>
                <w:color w:val="auto"/>
                <w:szCs w:val="21"/>
                <w:highlight w:val="none"/>
              </w:rPr>
              <w:t>采用支持分布式存储特性的架构将所有节点的存储空间无缝融合为单一的存储池并支持单一存储池内横向扩展,节点间无主次之分，无存储、管理节点之分，每个节点提供存储服务，无专用 SAN 存储</w:t>
            </w:r>
          </w:p>
        </w:tc>
      </w:tr>
      <w:tr w14:paraId="6383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55A25DE4">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3DBB2">
            <w:pPr>
              <w:rPr>
                <w:rFonts w:cs="Times New Roman"/>
                <w:color w:val="auto"/>
                <w:szCs w:val="21"/>
                <w:highlight w:val="none"/>
              </w:rPr>
            </w:pPr>
            <w:r>
              <w:rPr>
                <w:rFonts w:cs="Times New Roman"/>
                <w:color w:val="auto"/>
                <w:szCs w:val="21"/>
                <w:highlight w:val="none"/>
              </w:rPr>
              <w:t>统一存储</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B1917">
            <w:pPr>
              <w:ind w:firstLine="0" w:firstLineChars="0"/>
              <w:jc w:val="left"/>
              <w:rPr>
                <w:rFonts w:cs="Times New Roman"/>
                <w:color w:val="auto"/>
                <w:szCs w:val="21"/>
                <w:highlight w:val="none"/>
              </w:rPr>
            </w:pPr>
            <w:r>
              <w:rPr>
                <w:rFonts w:cs="Times New Roman"/>
                <w:color w:val="auto"/>
                <w:szCs w:val="21"/>
                <w:highlight w:val="none"/>
              </w:rPr>
              <w:t>支持单一存储池内同时支持块存储和文件存储。</w:t>
            </w:r>
          </w:p>
        </w:tc>
      </w:tr>
      <w:tr w14:paraId="0270D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60AAA628">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1DDF37">
            <w:pPr>
              <w:rPr>
                <w:rFonts w:cs="Times New Roman"/>
                <w:color w:val="auto"/>
                <w:szCs w:val="21"/>
                <w:highlight w:val="none"/>
              </w:rPr>
            </w:pPr>
            <w:r>
              <w:rPr>
                <w:rFonts w:cs="Times New Roman"/>
                <w:color w:val="auto"/>
                <w:szCs w:val="21"/>
                <w:highlight w:val="none"/>
              </w:rPr>
              <w:t>信创</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F18492">
            <w:pPr>
              <w:ind w:firstLine="0" w:firstLineChars="0"/>
              <w:jc w:val="left"/>
              <w:rPr>
                <w:rFonts w:cs="Times New Roman"/>
                <w:color w:val="auto"/>
                <w:szCs w:val="21"/>
                <w:highlight w:val="none"/>
              </w:rPr>
            </w:pPr>
            <w:r>
              <w:rPr>
                <w:rFonts w:cs="Times New Roman"/>
                <w:color w:val="auto"/>
                <w:szCs w:val="21"/>
                <w:highlight w:val="none"/>
              </w:rPr>
              <w:t>存储软件支持多种 CPU 架构，支持包括但不仅限于 Intel、海光、鲲鹏等 CPU，兼容性需在厂商官网可查询。</w:t>
            </w:r>
          </w:p>
        </w:tc>
      </w:tr>
      <w:tr w14:paraId="3E5C6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45C43CA">
            <w:pPr>
              <w:ind w:firstLine="0" w:firstLineChars="0"/>
              <w:jc w:val="left"/>
              <w:rPr>
                <w:rFonts w:cs="Times New Roman"/>
                <w:color w:val="auto"/>
                <w:szCs w:val="21"/>
                <w:highlight w:val="none"/>
              </w:rPr>
            </w:pPr>
            <w:r>
              <w:rPr>
                <w:rFonts w:cs="Times New Roman"/>
                <w:color w:val="auto"/>
                <w:szCs w:val="21"/>
                <w:highlight w:val="none"/>
              </w:rPr>
              <w:t>可靠性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5BE9">
            <w:pPr>
              <w:rPr>
                <w:rFonts w:cs="Times New Roman"/>
                <w:color w:val="auto"/>
                <w:szCs w:val="21"/>
                <w:highlight w:val="none"/>
              </w:rPr>
            </w:pPr>
            <w:r>
              <w:rPr>
                <w:rFonts w:cs="Times New Roman"/>
                <w:color w:val="auto"/>
                <w:szCs w:val="21"/>
                <w:highlight w:val="none"/>
              </w:rPr>
              <w:t>数据冗余</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97394">
            <w:pPr>
              <w:ind w:firstLine="0" w:firstLineChars="0"/>
              <w:jc w:val="left"/>
              <w:rPr>
                <w:rFonts w:cs="Times New Roman"/>
                <w:color w:val="auto"/>
                <w:szCs w:val="21"/>
                <w:highlight w:val="none"/>
              </w:rPr>
            </w:pPr>
            <w:r>
              <w:rPr>
                <w:rFonts w:cs="Times New Roman"/>
                <w:color w:val="auto"/>
                <w:szCs w:val="21"/>
                <w:highlight w:val="none"/>
              </w:rPr>
              <w:t>块存储和文件存储均可提供 2 副本（所有数据写 2 份）和 3 副本的数据冗余保护策略，并支持副本升级操作（2 副本升级 3 副本）</w:t>
            </w:r>
          </w:p>
        </w:tc>
      </w:tr>
      <w:tr w14:paraId="0DF4B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5713FEEF">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063BB0">
            <w:pPr>
              <w:rPr>
                <w:rFonts w:cs="Times New Roman"/>
                <w:color w:val="auto"/>
                <w:szCs w:val="21"/>
                <w:highlight w:val="none"/>
              </w:rPr>
            </w:pPr>
            <w:r>
              <w:rPr>
                <w:rFonts w:cs="Times New Roman"/>
                <w:color w:val="auto"/>
                <w:szCs w:val="21"/>
                <w:highlight w:val="none"/>
              </w:rPr>
              <w:t>纠删码</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167CDF">
            <w:pPr>
              <w:ind w:firstLine="0" w:firstLineChars="0"/>
              <w:jc w:val="left"/>
              <w:rPr>
                <w:rFonts w:cs="Times New Roman"/>
                <w:color w:val="auto"/>
                <w:szCs w:val="21"/>
                <w:highlight w:val="none"/>
              </w:rPr>
            </w:pPr>
            <w:r>
              <w:rPr>
                <w:rFonts w:cs="Times New Roman"/>
                <w:color w:val="auto"/>
                <w:szCs w:val="21"/>
                <w:highlight w:val="none"/>
              </w:rPr>
              <w:t>块存储和文件存储均可纠删码数据冗余保护策略，空间利用率最高支持 90% 以上。</w:t>
            </w:r>
          </w:p>
        </w:tc>
      </w:tr>
      <w:tr w14:paraId="414DF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3DDD19E4">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79104">
            <w:pPr>
              <w:rPr>
                <w:rFonts w:cs="Times New Roman"/>
                <w:color w:val="auto"/>
                <w:szCs w:val="21"/>
                <w:highlight w:val="none"/>
              </w:rPr>
            </w:pPr>
            <w:r>
              <w:rPr>
                <w:rFonts w:cs="Times New Roman"/>
                <w:color w:val="auto"/>
                <w:szCs w:val="21"/>
                <w:highlight w:val="none"/>
              </w:rPr>
              <w:t>数据巡检</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FD45F">
            <w:pPr>
              <w:ind w:firstLine="0" w:firstLineChars="0"/>
              <w:jc w:val="left"/>
              <w:rPr>
                <w:rFonts w:cs="Times New Roman"/>
                <w:color w:val="auto"/>
                <w:szCs w:val="21"/>
                <w:highlight w:val="none"/>
              </w:rPr>
            </w:pPr>
            <w:r>
              <w:rPr>
                <w:rFonts w:cs="Times New Roman"/>
                <w:color w:val="auto"/>
                <w:szCs w:val="21"/>
                <w:highlight w:val="none"/>
              </w:rPr>
              <w:t>存储支持数据巡检，在检测到数据异常后可自动触发数据恢复，可确保数据的一致性和完整性。</w:t>
            </w:r>
          </w:p>
        </w:tc>
      </w:tr>
      <w:tr w14:paraId="12DF7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9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407E3D75">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ACD27">
            <w:pPr>
              <w:ind w:firstLine="0" w:firstLineChars="0"/>
              <w:rPr>
                <w:rFonts w:cs="Times New Roman"/>
                <w:color w:val="auto"/>
                <w:szCs w:val="21"/>
                <w:highlight w:val="none"/>
              </w:rPr>
            </w:pPr>
            <w:r>
              <w:rPr>
                <w:rFonts w:cs="Times New Roman"/>
                <w:color w:val="auto"/>
                <w:szCs w:val="21"/>
                <w:highlight w:val="none"/>
              </w:rPr>
              <w:t>智能调整数据恢复速度</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D9FAC">
            <w:pPr>
              <w:ind w:firstLine="0" w:firstLineChars="0"/>
              <w:jc w:val="left"/>
              <w:rPr>
                <w:rFonts w:cs="Times New Roman"/>
                <w:color w:val="auto"/>
                <w:szCs w:val="21"/>
                <w:highlight w:val="none"/>
              </w:rPr>
            </w:pPr>
            <w:r>
              <w:rPr>
                <w:rFonts w:cs="Times New Roman"/>
                <w:color w:val="auto"/>
                <w:szCs w:val="21"/>
                <w:highlight w:val="none"/>
              </w:rPr>
              <w:t>支持基于业务优先的智能恢复策略，在集群业务负载较低时，系统自动周期性的增大数据恢复的速度，确保数据恢复的快速完成，当存储系统检测到业务的 IO 较大时，能快速将数据恢复的速度降至合理的数值，确保业务的正常运行。</w:t>
            </w:r>
          </w:p>
        </w:tc>
      </w:tr>
      <w:tr w14:paraId="1383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3C10C9AD">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128085">
            <w:pPr>
              <w:ind w:firstLine="0" w:firstLineChars="0"/>
              <w:rPr>
                <w:rFonts w:cs="Times New Roman"/>
                <w:color w:val="auto"/>
                <w:szCs w:val="21"/>
                <w:highlight w:val="none"/>
              </w:rPr>
            </w:pPr>
            <w:r>
              <w:rPr>
                <w:rFonts w:cs="Times New Roman"/>
                <w:color w:val="auto"/>
                <w:szCs w:val="21"/>
                <w:highlight w:val="none"/>
              </w:rPr>
              <w:t>容量高使用率场景稳定性</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1390A8">
            <w:pPr>
              <w:ind w:firstLine="0" w:firstLineChars="0"/>
              <w:jc w:val="left"/>
              <w:rPr>
                <w:rFonts w:cs="Times New Roman"/>
                <w:color w:val="auto"/>
                <w:szCs w:val="21"/>
                <w:highlight w:val="none"/>
              </w:rPr>
            </w:pPr>
            <w:r>
              <w:rPr>
                <w:rFonts w:cs="Times New Roman"/>
                <w:color w:val="auto"/>
                <w:szCs w:val="21"/>
                <w:highlight w:val="none"/>
              </w:rPr>
              <w:t>当存储池容量使用率高于 80% ，</w:t>
            </w:r>
            <w:r>
              <w:rPr>
                <w:rFonts w:hint="eastAsia" w:cs="Times New Roman"/>
                <w:color w:val="auto"/>
                <w:szCs w:val="21"/>
                <w:highlight w:val="none"/>
              </w:rPr>
              <w:t>大I</w:t>
            </w:r>
            <w:r>
              <w:rPr>
                <w:rFonts w:cs="Times New Roman"/>
                <w:color w:val="auto"/>
                <w:szCs w:val="21"/>
                <w:highlight w:val="none"/>
              </w:rPr>
              <w:t>O</w:t>
            </w:r>
            <w:r>
              <w:rPr>
                <w:rFonts w:hint="eastAsia" w:cs="Times New Roman"/>
                <w:color w:val="auto"/>
                <w:szCs w:val="21"/>
                <w:highlight w:val="none"/>
              </w:rPr>
              <w:t>业务下</w:t>
            </w:r>
            <w:r>
              <w:rPr>
                <w:rFonts w:cs="Times New Roman"/>
                <w:color w:val="auto"/>
                <w:szCs w:val="21"/>
                <w:highlight w:val="none"/>
              </w:rPr>
              <w:t>存储池性能下降不超过 5%</w:t>
            </w:r>
          </w:p>
        </w:tc>
      </w:tr>
      <w:tr w14:paraId="6733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E17AB27">
            <w:pPr>
              <w:ind w:firstLine="0" w:firstLineChars="0"/>
              <w:jc w:val="left"/>
              <w:rPr>
                <w:rFonts w:cs="Times New Roman"/>
                <w:color w:val="auto"/>
                <w:szCs w:val="21"/>
                <w:highlight w:val="none"/>
              </w:rPr>
            </w:pPr>
            <w:r>
              <w:rPr>
                <w:rFonts w:cs="Times New Roman"/>
                <w:color w:val="auto"/>
                <w:szCs w:val="21"/>
                <w:highlight w:val="none"/>
              </w:rPr>
              <w:t>性能</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BE6E87">
            <w:pPr>
              <w:ind w:firstLine="0" w:firstLineChars="0"/>
              <w:rPr>
                <w:rFonts w:cs="Times New Roman"/>
                <w:color w:val="auto"/>
                <w:szCs w:val="21"/>
                <w:highlight w:val="none"/>
              </w:rPr>
            </w:pPr>
            <w:r>
              <w:rPr>
                <w:rFonts w:cs="Times New Roman"/>
                <w:color w:val="auto"/>
                <w:szCs w:val="21"/>
                <w:highlight w:val="none"/>
              </w:rPr>
              <w:t>全闪存储</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D7FD43">
            <w:pPr>
              <w:ind w:firstLine="0" w:firstLineChars="0"/>
              <w:jc w:val="left"/>
              <w:rPr>
                <w:rFonts w:cs="Times New Roman"/>
                <w:color w:val="auto"/>
                <w:szCs w:val="21"/>
                <w:highlight w:val="none"/>
              </w:rPr>
            </w:pPr>
            <w:r>
              <w:rPr>
                <w:rFonts w:cs="Times New Roman"/>
                <w:color w:val="auto"/>
                <w:szCs w:val="21"/>
                <w:highlight w:val="none"/>
              </w:rPr>
              <w:t>支持创建 NVMe SSD 全闪存储池</w:t>
            </w:r>
          </w:p>
        </w:tc>
      </w:tr>
      <w:tr w14:paraId="35AD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34B5C05C">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1A87DC">
            <w:pPr>
              <w:ind w:firstLine="0" w:firstLineChars="0"/>
              <w:rPr>
                <w:rFonts w:cs="Times New Roman"/>
                <w:color w:val="auto"/>
                <w:szCs w:val="21"/>
                <w:highlight w:val="none"/>
              </w:rPr>
            </w:pPr>
            <w:r>
              <w:rPr>
                <w:rFonts w:cs="Times New Roman"/>
                <w:color w:val="auto"/>
                <w:szCs w:val="21"/>
                <w:highlight w:val="none"/>
              </w:rPr>
              <w:t>RDMA 存储网络</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87B118">
            <w:pPr>
              <w:ind w:firstLine="0" w:firstLineChars="0"/>
              <w:jc w:val="left"/>
              <w:rPr>
                <w:rFonts w:cs="Times New Roman"/>
                <w:color w:val="auto"/>
                <w:szCs w:val="21"/>
                <w:highlight w:val="none"/>
              </w:rPr>
            </w:pPr>
            <w:r>
              <w:rPr>
                <w:rFonts w:cs="Times New Roman"/>
                <w:color w:val="auto"/>
                <w:szCs w:val="21"/>
                <w:highlight w:val="none"/>
              </w:rPr>
              <w:t>支持使用 RDMA 协议进行存储节点间数据传输，降低访问延时</w:t>
            </w:r>
          </w:p>
        </w:tc>
      </w:tr>
      <w:tr w14:paraId="05739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023BB7E">
            <w:pPr>
              <w:ind w:firstLine="0" w:firstLineChars="0"/>
              <w:jc w:val="left"/>
              <w:rPr>
                <w:rFonts w:cs="Times New Roman"/>
                <w:color w:val="auto"/>
                <w:szCs w:val="21"/>
                <w:highlight w:val="none"/>
              </w:rPr>
            </w:pPr>
            <w:r>
              <w:rPr>
                <w:rFonts w:cs="Times New Roman"/>
                <w:color w:val="auto"/>
                <w:szCs w:val="21"/>
                <w:highlight w:val="none"/>
              </w:rPr>
              <w:t>扩展性</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511399">
            <w:pPr>
              <w:ind w:firstLine="0" w:firstLineChars="0"/>
              <w:rPr>
                <w:rFonts w:cs="Times New Roman"/>
                <w:color w:val="auto"/>
                <w:szCs w:val="21"/>
                <w:highlight w:val="none"/>
              </w:rPr>
            </w:pPr>
            <w:r>
              <w:rPr>
                <w:rFonts w:cs="Times New Roman"/>
                <w:color w:val="auto"/>
                <w:szCs w:val="21"/>
                <w:highlight w:val="none"/>
              </w:rPr>
              <w:t>横向扩展</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ECFD5">
            <w:pPr>
              <w:ind w:firstLine="0" w:firstLineChars="0"/>
              <w:jc w:val="left"/>
              <w:rPr>
                <w:rFonts w:cs="Times New Roman"/>
                <w:color w:val="auto"/>
                <w:szCs w:val="21"/>
                <w:highlight w:val="none"/>
              </w:rPr>
            </w:pPr>
            <w:r>
              <w:rPr>
                <w:rFonts w:cs="Times New Roman"/>
                <w:color w:val="auto"/>
                <w:szCs w:val="21"/>
                <w:highlight w:val="none"/>
              </w:rPr>
              <w:t>可以在不中断业务的情况下通过管理界面将新节点加入现有集群中，实现存储资源的无缝扩展，并将数据重新自动分布至均衡状态。</w:t>
            </w:r>
          </w:p>
        </w:tc>
      </w:tr>
      <w:tr w14:paraId="0F5D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9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43995414">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07B8B">
            <w:pPr>
              <w:ind w:firstLine="0" w:firstLineChars="0"/>
              <w:rPr>
                <w:rFonts w:cs="Times New Roman"/>
                <w:color w:val="auto"/>
                <w:szCs w:val="21"/>
                <w:highlight w:val="none"/>
              </w:rPr>
            </w:pPr>
            <w:r>
              <w:rPr>
                <w:rFonts w:cs="Times New Roman"/>
                <w:color w:val="auto"/>
                <w:szCs w:val="21"/>
                <w:highlight w:val="none"/>
              </w:rPr>
              <w:t>扩展性能损耗</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9DD2A">
            <w:pPr>
              <w:ind w:firstLine="0" w:firstLineChars="0"/>
              <w:jc w:val="left"/>
              <w:rPr>
                <w:rFonts w:cs="Times New Roman"/>
                <w:color w:val="auto"/>
                <w:szCs w:val="21"/>
                <w:highlight w:val="none"/>
              </w:rPr>
            </w:pPr>
            <w:r>
              <w:rPr>
                <w:rFonts w:cs="Times New Roman"/>
                <w:color w:val="auto"/>
                <w:szCs w:val="21"/>
                <w:highlight w:val="none"/>
              </w:rPr>
              <w:t>节点扩展整个过程以及扩展完成后一小时内，扩容操作不会对集群性能产生负面影响，性能下降幅度不大于 5%</w:t>
            </w:r>
          </w:p>
        </w:tc>
      </w:tr>
      <w:tr w14:paraId="5C62C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F884581">
            <w:pPr>
              <w:ind w:firstLine="0" w:firstLineChars="0"/>
              <w:jc w:val="left"/>
              <w:rPr>
                <w:rFonts w:cs="Times New Roman"/>
                <w:color w:val="auto"/>
                <w:szCs w:val="21"/>
                <w:highlight w:val="none"/>
              </w:rPr>
            </w:pPr>
            <w:r>
              <w:rPr>
                <w:rFonts w:cs="Times New Roman"/>
                <w:color w:val="auto"/>
                <w:szCs w:val="21"/>
                <w:highlight w:val="none"/>
              </w:rPr>
              <w:t>数据保护</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A193F">
            <w:pPr>
              <w:ind w:firstLine="0" w:firstLineChars="0"/>
              <w:rPr>
                <w:rFonts w:cs="Times New Roman"/>
                <w:color w:val="auto"/>
                <w:szCs w:val="21"/>
                <w:highlight w:val="none"/>
              </w:rPr>
            </w:pPr>
            <w:r>
              <w:rPr>
                <w:rFonts w:cs="Times New Roman"/>
                <w:color w:val="auto"/>
                <w:szCs w:val="21"/>
                <w:highlight w:val="none"/>
              </w:rPr>
              <w:t>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310D8">
            <w:pPr>
              <w:ind w:firstLine="0" w:firstLineChars="0"/>
              <w:jc w:val="left"/>
              <w:rPr>
                <w:rFonts w:cs="Times New Roman"/>
                <w:color w:val="auto"/>
                <w:szCs w:val="21"/>
                <w:highlight w:val="none"/>
              </w:rPr>
            </w:pPr>
            <w:r>
              <w:rPr>
                <w:rFonts w:cs="Times New Roman"/>
                <w:color w:val="auto"/>
                <w:szCs w:val="21"/>
                <w:highlight w:val="none"/>
              </w:rPr>
              <w:t>支持以卷/iSCSI LUN为中心的快照；</w:t>
            </w:r>
          </w:p>
        </w:tc>
      </w:tr>
      <w:tr w14:paraId="43FE0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42B56E3A">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71DF2">
            <w:pPr>
              <w:ind w:firstLine="0" w:firstLineChars="0"/>
              <w:rPr>
                <w:rFonts w:cs="Times New Roman"/>
                <w:color w:val="auto"/>
                <w:szCs w:val="21"/>
                <w:highlight w:val="none"/>
              </w:rPr>
            </w:pPr>
            <w:r>
              <w:rPr>
                <w:rFonts w:cs="Times New Roman"/>
                <w:color w:val="auto"/>
                <w:szCs w:val="21"/>
                <w:highlight w:val="none"/>
              </w:rPr>
              <w:t>一致性快照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F0093">
            <w:pPr>
              <w:ind w:firstLine="0" w:firstLineChars="0"/>
              <w:jc w:val="left"/>
              <w:rPr>
                <w:rFonts w:cs="Times New Roman"/>
                <w:color w:val="auto"/>
                <w:szCs w:val="21"/>
                <w:highlight w:val="none"/>
              </w:rPr>
            </w:pPr>
            <w:r>
              <w:rPr>
                <w:rFonts w:cs="Times New Roman"/>
                <w:color w:val="auto"/>
                <w:szCs w:val="21"/>
                <w:highlight w:val="none"/>
              </w:rPr>
              <w:t>支持同一个时刻对多个存储对象进行快照和回滚。</w:t>
            </w:r>
          </w:p>
        </w:tc>
      </w:tr>
      <w:tr w14:paraId="0F754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521C1F1E">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BEAAE">
            <w:pPr>
              <w:ind w:firstLine="0" w:firstLineChars="0"/>
              <w:rPr>
                <w:rFonts w:cs="Times New Roman"/>
                <w:color w:val="auto"/>
                <w:szCs w:val="21"/>
                <w:highlight w:val="none"/>
              </w:rPr>
            </w:pPr>
            <w:r>
              <w:rPr>
                <w:rFonts w:cs="Times New Roman"/>
                <w:color w:val="auto"/>
                <w:szCs w:val="21"/>
                <w:highlight w:val="none"/>
              </w:rPr>
              <w:t>快速克隆</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12AC">
            <w:pPr>
              <w:ind w:firstLine="0" w:firstLineChars="0"/>
              <w:jc w:val="left"/>
              <w:rPr>
                <w:rFonts w:eastAsia="宋体" w:cs="Times New Roman"/>
                <w:color w:val="auto"/>
                <w:szCs w:val="21"/>
                <w:highlight w:val="none"/>
                <w:lang w:val="en-US" w:eastAsia="zh-CN"/>
              </w:rPr>
            </w:pPr>
            <w:r>
              <w:rPr>
                <w:rFonts w:cs="Times New Roman"/>
                <w:color w:val="auto"/>
                <w:szCs w:val="21"/>
                <w:highlight w:val="none"/>
              </w:rPr>
              <w:t>存储卷支持快速克隆</w:t>
            </w:r>
            <w:r>
              <w:rPr>
                <w:rFonts w:hint="eastAsia" w:cs="Times New Roman"/>
                <w:color w:val="auto"/>
                <w:szCs w:val="21"/>
                <w:highlight w:val="none"/>
                <w:lang w:eastAsia="zh-CN"/>
              </w:rPr>
              <w:t>，</w:t>
            </w:r>
            <w:r>
              <w:rPr>
                <w:rFonts w:hint="eastAsia" w:cs="Times New Roman"/>
                <w:color w:val="auto"/>
                <w:szCs w:val="21"/>
                <w:highlight w:val="none"/>
                <w:lang w:val="en-US" w:eastAsia="zh-CN"/>
              </w:rPr>
              <w:t>可在秒级完成</w:t>
            </w:r>
          </w:p>
        </w:tc>
      </w:tr>
      <w:tr w14:paraId="0DF37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84" w:hRule="atLeast"/>
        </w:trPr>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976A5">
            <w:pPr>
              <w:ind w:firstLine="0" w:firstLineChars="0"/>
              <w:jc w:val="left"/>
              <w:rPr>
                <w:rFonts w:cs="Times New Roman"/>
                <w:color w:val="auto"/>
                <w:szCs w:val="21"/>
                <w:highlight w:val="none"/>
              </w:rPr>
            </w:pPr>
            <w:r>
              <w:rPr>
                <w:rFonts w:cs="Times New Roman"/>
                <w:color w:val="auto"/>
                <w:szCs w:val="21"/>
                <w:highlight w:val="none"/>
              </w:rPr>
              <w:t>空间利用率</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06F6D">
            <w:pPr>
              <w:ind w:firstLine="0" w:firstLineChars="0"/>
              <w:jc w:val="left"/>
              <w:rPr>
                <w:rFonts w:cs="Times New Roman"/>
                <w:color w:val="auto"/>
                <w:szCs w:val="21"/>
                <w:highlight w:val="none"/>
              </w:rPr>
            </w:pPr>
            <w:r>
              <w:rPr>
                <w:rFonts w:cs="Times New Roman"/>
                <w:color w:val="auto"/>
                <w:szCs w:val="21"/>
                <w:highlight w:val="none"/>
              </w:rPr>
              <w:t>TRIM/UNMAP</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92A5">
            <w:pPr>
              <w:ind w:firstLine="0" w:firstLineChars="0"/>
              <w:jc w:val="left"/>
              <w:rPr>
                <w:rFonts w:cs="Times New Roman"/>
                <w:color w:val="auto"/>
                <w:szCs w:val="21"/>
                <w:highlight w:val="none"/>
              </w:rPr>
            </w:pPr>
            <w:r>
              <w:rPr>
                <w:rFonts w:cs="Times New Roman"/>
                <w:color w:val="auto"/>
                <w:szCs w:val="21"/>
                <w:highlight w:val="none"/>
              </w:rPr>
              <w:t>对于精简置备的存储卷，在客户端操作系统层面删除文件后释放空间后，可通过</w:t>
            </w:r>
            <w:r>
              <w:rPr>
                <w:rFonts w:hint="eastAsia" w:cs="Times New Roman"/>
                <w:color w:val="auto"/>
                <w:szCs w:val="21"/>
                <w:highlight w:val="none"/>
                <w:lang w:val="en-US" w:eastAsia="zh-CN"/>
              </w:rPr>
              <w:t>相关技术回收空间，</w:t>
            </w:r>
            <w:r>
              <w:rPr>
                <w:rFonts w:cs="Times New Roman"/>
                <w:color w:val="auto"/>
                <w:szCs w:val="21"/>
                <w:highlight w:val="none"/>
              </w:rPr>
              <w:t>以节省存储空间</w:t>
            </w:r>
          </w:p>
        </w:tc>
      </w:tr>
      <w:tr w14:paraId="152F8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4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2FB8E54">
            <w:pPr>
              <w:ind w:firstLine="0" w:firstLineChars="0"/>
              <w:jc w:val="left"/>
              <w:rPr>
                <w:rFonts w:cs="Times New Roman"/>
                <w:color w:val="auto"/>
                <w:szCs w:val="21"/>
                <w:highlight w:val="none"/>
              </w:rPr>
            </w:pPr>
            <w:r>
              <w:rPr>
                <w:rFonts w:cs="Times New Roman"/>
                <w:color w:val="auto"/>
                <w:szCs w:val="21"/>
                <w:highlight w:val="none"/>
              </w:rPr>
              <w:t>兼容性</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97985A">
            <w:pPr>
              <w:ind w:firstLine="0" w:firstLineChars="0"/>
              <w:rPr>
                <w:rFonts w:cs="Times New Roman"/>
                <w:color w:val="auto"/>
                <w:szCs w:val="21"/>
                <w:highlight w:val="none"/>
              </w:rPr>
            </w:pPr>
            <w:r>
              <w:rPr>
                <w:rFonts w:cs="Times New Roman"/>
                <w:color w:val="auto"/>
                <w:szCs w:val="21"/>
                <w:highlight w:val="none"/>
              </w:rPr>
              <w:t>云平台支持</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7FD175">
            <w:pPr>
              <w:ind w:firstLine="0" w:firstLineChars="0"/>
              <w:jc w:val="left"/>
              <w:rPr>
                <w:rFonts w:cs="Times New Roman"/>
                <w:color w:val="auto"/>
                <w:szCs w:val="21"/>
                <w:highlight w:val="none"/>
              </w:rPr>
            </w:pPr>
            <w:r>
              <w:rPr>
                <w:rFonts w:cs="Times New Roman"/>
                <w:color w:val="auto"/>
                <w:szCs w:val="21"/>
                <w:highlight w:val="none"/>
              </w:rPr>
              <w:t>无缝支持开源 OpenStack 框架，并提供 Cinder 驱动，无需做二次开发就可以实现对资源的部署和调用。</w:t>
            </w:r>
          </w:p>
        </w:tc>
      </w:tr>
      <w:tr w14:paraId="083E1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12509D20">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6D133C">
            <w:pPr>
              <w:ind w:firstLine="0" w:firstLineChars="0"/>
              <w:rPr>
                <w:rFonts w:cs="Times New Roman"/>
                <w:color w:val="auto"/>
                <w:szCs w:val="21"/>
                <w:highlight w:val="none"/>
              </w:rPr>
            </w:pPr>
            <w:r>
              <w:rPr>
                <w:rFonts w:cs="Times New Roman"/>
                <w:color w:val="auto"/>
                <w:szCs w:val="21"/>
                <w:highlight w:val="none"/>
              </w:rPr>
              <w:t>容器平台支持</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B0F5D7">
            <w:pPr>
              <w:ind w:firstLine="0" w:firstLineChars="0"/>
              <w:jc w:val="left"/>
              <w:rPr>
                <w:rFonts w:cs="Times New Roman"/>
                <w:color w:val="auto"/>
                <w:szCs w:val="21"/>
                <w:highlight w:val="none"/>
              </w:rPr>
            </w:pPr>
            <w:r>
              <w:rPr>
                <w:rFonts w:cs="Times New Roman"/>
                <w:color w:val="auto"/>
                <w:szCs w:val="21"/>
                <w:highlight w:val="none"/>
              </w:rPr>
              <w:t>提供 K8s 认证的 CSI 驱动，支持通过 CSI 接口提供给 Kubernetes 和 OpenShift 作为持久化存储</w:t>
            </w:r>
          </w:p>
        </w:tc>
      </w:tr>
      <w:tr w14:paraId="5DAE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C6FFC7D">
            <w:pPr>
              <w:ind w:firstLine="0" w:firstLineChars="0"/>
              <w:jc w:val="left"/>
              <w:rPr>
                <w:rFonts w:cs="Times New Roman"/>
                <w:color w:val="auto"/>
                <w:szCs w:val="21"/>
                <w:highlight w:val="none"/>
              </w:rPr>
            </w:pPr>
            <w:r>
              <w:rPr>
                <w:rFonts w:cs="Times New Roman"/>
                <w:color w:val="auto"/>
                <w:szCs w:val="21"/>
                <w:highlight w:val="none"/>
              </w:rPr>
              <w:t>运维</w:t>
            </w: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B9B275">
            <w:pPr>
              <w:ind w:firstLine="0" w:firstLineChars="0"/>
              <w:rPr>
                <w:rFonts w:cs="Times New Roman"/>
                <w:color w:val="auto"/>
                <w:szCs w:val="21"/>
                <w:highlight w:val="none"/>
              </w:rPr>
            </w:pPr>
            <w:r>
              <w:rPr>
                <w:rFonts w:cs="Times New Roman"/>
                <w:color w:val="auto"/>
                <w:szCs w:val="21"/>
                <w:highlight w:val="none"/>
              </w:rPr>
              <w:t>磁盘异常检测</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13D41F">
            <w:pPr>
              <w:ind w:firstLine="0" w:firstLineChars="0"/>
              <w:jc w:val="left"/>
              <w:rPr>
                <w:rFonts w:cs="Times New Roman"/>
                <w:color w:val="auto"/>
                <w:szCs w:val="21"/>
                <w:highlight w:val="none"/>
              </w:rPr>
            </w:pPr>
            <w:r>
              <w:rPr>
                <w:rFonts w:cs="Times New Roman"/>
                <w:color w:val="auto"/>
                <w:szCs w:val="21"/>
                <w:highlight w:val="none"/>
              </w:rPr>
              <w:t>支持磁盘状态的智能精准探测，可对不健康盘和亚健康盘进行自动隔离。</w:t>
            </w:r>
          </w:p>
        </w:tc>
      </w:tr>
      <w:tr w14:paraId="2E818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389AFD65">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43264E">
            <w:pPr>
              <w:ind w:firstLine="0" w:firstLineChars="0"/>
              <w:rPr>
                <w:rFonts w:cs="Times New Roman"/>
                <w:color w:val="auto"/>
                <w:szCs w:val="21"/>
                <w:highlight w:val="none"/>
              </w:rPr>
            </w:pPr>
            <w:r>
              <w:rPr>
                <w:rFonts w:cs="Times New Roman"/>
                <w:color w:val="auto"/>
                <w:szCs w:val="21"/>
                <w:highlight w:val="none"/>
              </w:rPr>
              <w:t>固态硬盘寿命警告</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6FCA2A">
            <w:pPr>
              <w:ind w:firstLine="0" w:firstLineChars="0"/>
              <w:jc w:val="left"/>
              <w:rPr>
                <w:rFonts w:cs="Times New Roman"/>
                <w:color w:val="auto"/>
                <w:szCs w:val="21"/>
                <w:highlight w:val="none"/>
              </w:rPr>
            </w:pPr>
            <w:r>
              <w:rPr>
                <w:rFonts w:cs="Times New Roman"/>
                <w:color w:val="auto"/>
                <w:szCs w:val="21"/>
                <w:highlight w:val="none"/>
              </w:rPr>
              <w:t>支持固态硬盘使用寿命的持续监控，对寿命不足硬盘自动触发警告</w:t>
            </w:r>
          </w:p>
        </w:tc>
      </w:tr>
      <w:tr w14:paraId="0CC8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2E3B9572">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722730">
            <w:pPr>
              <w:ind w:firstLine="0" w:firstLineChars="0"/>
              <w:rPr>
                <w:rFonts w:cs="Times New Roman"/>
                <w:color w:val="auto"/>
                <w:szCs w:val="21"/>
                <w:highlight w:val="none"/>
              </w:rPr>
            </w:pPr>
            <w:r>
              <w:rPr>
                <w:rFonts w:cs="Times New Roman"/>
                <w:color w:val="auto"/>
                <w:szCs w:val="21"/>
                <w:highlight w:val="none"/>
              </w:rPr>
              <w:t>网络异常检测</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000309">
            <w:pPr>
              <w:ind w:firstLine="0" w:firstLineChars="0"/>
              <w:jc w:val="left"/>
              <w:rPr>
                <w:rFonts w:cs="Times New Roman"/>
                <w:color w:val="auto"/>
                <w:szCs w:val="21"/>
                <w:highlight w:val="none"/>
              </w:rPr>
            </w:pPr>
            <w:r>
              <w:rPr>
                <w:rFonts w:cs="Times New Roman"/>
                <w:color w:val="auto"/>
                <w:szCs w:val="21"/>
                <w:highlight w:val="none"/>
              </w:rPr>
              <w:t>支持网络异常检测，可对存储网络和接入网络进行周期性网络异常检测，并自动隔离亚健康节点和网口，以降低对存储系统性能的影响</w:t>
            </w:r>
          </w:p>
        </w:tc>
      </w:tr>
      <w:tr w14:paraId="546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16679F60">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32E845">
            <w:pPr>
              <w:ind w:firstLine="0" w:firstLineChars="0"/>
              <w:rPr>
                <w:rFonts w:cs="Times New Roman"/>
                <w:color w:val="auto"/>
                <w:szCs w:val="21"/>
                <w:highlight w:val="none"/>
              </w:rPr>
            </w:pPr>
            <w:r>
              <w:rPr>
                <w:rFonts w:cs="Times New Roman"/>
                <w:color w:val="auto"/>
                <w:szCs w:val="21"/>
                <w:highlight w:val="none"/>
              </w:rPr>
              <w:t>统一管理平台</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1F1CD1">
            <w:pPr>
              <w:ind w:firstLine="0" w:firstLineChars="0"/>
              <w:jc w:val="left"/>
              <w:rPr>
                <w:rFonts w:cs="Times New Roman"/>
                <w:color w:val="auto"/>
                <w:szCs w:val="21"/>
                <w:highlight w:val="none"/>
              </w:rPr>
            </w:pPr>
            <w:r>
              <w:rPr>
                <w:rFonts w:cs="Times New Roman"/>
                <w:color w:val="auto"/>
                <w:szCs w:val="21"/>
                <w:highlight w:val="none"/>
              </w:rPr>
              <w:t>支持不同 CPU 架构的多集群统一界面管理；支持通过统一管理界面升级存储软件；</w:t>
            </w:r>
          </w:p>
        </w:tc>
      </w:tr>
      <w:tr w14:paraId="7A283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55BA41FE">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70F438">
            <w:pPr>
              <w:ind w:firstLine="0" w:firstLineChars="0"/>
              <w:rPr>
                <w:rFonts w:cs="Times New Roman"/>
                <w:color w:val="auto"/>
                <w:szCs w:val="21"/>
                <w:highlight w:val="none"/>
              </w:rPr>
            </w:pPr>
            <w:r>
              <w:rPr>
                <w:rFonts w:cs="Times New Roman"/>
                <w:color w:val="auto"/>
                <w:szCs w:val="21"/>
                <w:highlight w:val="none"/>
              </w:rPr>
              <w:t>监控分析</w:t>
            </w:r>
          </w:p>
        </w:tc>
        <w:tc>
          <w:tcPr>
            <w:tcW w:w="591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3F041B">
            <w:pPr>
              <w:ind w:firstLine="0" w:firstLineChars="0"/>
              <w:jc w:val="left"/>
              <w:rPr>
                <w:rFonts w:cs="Times New Roman"/>
                <w:color w:val="auto"/>
                <w:szCs w:val="21"/>
                <w:highlight w:val="none"/>
              </w:rPr>
            </w:pPr>
            <w:r>
              <w:rPr>
                <w:rFonts w:cs="Times New Roman"/>
                <w:color w:val="auto"/>
                <w:szCs w:val="21"/>
                <w:highlight w:val="none"/>
              </w:rPr>
              <w:t>支持在图形界面上自定义创建集群、主机、卷等多种对象的监控图表，分组展示包括存储容量、存储服务、IOPS、延迟等指标数据。</w:t>
            </w:r>
          </w:p>
        </w:tc>
      </w:tr>
      <w:tr w14:paraId="2180F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7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438B2572">
            <w:pPr>
              <w:rPr>
                <w:color w:val="auto"/>
                <w:highlight w:val="none"/>
              </w:rPr>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06BA0">
            <w:pPr>
              <w:ind w:firstLine="0" w:firstLineChars="0"/>
              <w:rPr>
                <w:rFonts w:cs="Times New Roman"/>
                <w:color w:val="auto"/>
                <w:szCs w:val="21"/>
                <w:highlight w:val="none"/>
              </w:rPr>
            </w:pPr>
            <w:r>
              <w:rPr>
                <w:rFonts w:cs="Times New Roman"/>
                <w:color w:val="auto"/>
                <w:szCs w:val="21"/>
                <w:highlight w:val="none"/>
              </w:rPr>
              <w:t>维护模式</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FF934">
            <w:pPr>
              <w:ind w:firstLine="0" w:firstLineChars="0"/>
              <w:jc w:val="left"/>
              <w:rPr>
                <w:rFonts w:cs="Times New Roman"/>
                <w:color w:val="auto"/>
                <w:szCs w:val="21"/>
                <w:highlight w:val="none"/>
              </w:rPr>
            </w:pPr>
            <w:r>
              <w:rPr>
                <w:rFonts w:cs="Times New Roman"/>
                <w:color w:val="auto"/>
                <w:szCs w:val="21"/>
                <w:highlight w:val="none"/>
              </w:rPr>
              <w:t>支持存储主机维护模式功能，可在主机硬件维护过程中降低安全风险，减少数据恢复量。</w:t>
            </w:r>
          </w:p>
        </w:tc>
      </w:tr>
    </w:tbl>
    <w:p w14:paraId="306EC402">
      <w:pPr>
        <w:pStyle w:val="3"/>
        <w:numPr>
          <w:ilvl w:val="0"/>
          <w:numId w:val="1"/>
        </w:numPr>
        <w:rPr>
          <w:color w:val="auto"/>
          <w:highlight w:val="none"/>
        </w:rPr>
      </w:pPr>
      <w:bookmarkStart w:id="50" w:name="_Toc89675144"/>
      <w:bookmarkStart w:id="51" w:name="_Toc15059418"/>
      <w:r>
        <w:rPr>
          <w:rFonts w:hint="eastAsia"/>
          <w:color w:val="auto"/>
          <w:highlight w:val="none"/>
        </w:rPr>
        <w:t>交付周期、地点</w:t>
      </w:r>
      <w:bookmarkEnd w:id="50"/>
      <w:bookmarkEnd w:id="51"/>
    </w:p>
    <w:p w14:paraId="4C91FC25">
      <w:pPr>
        <w:pStyle w:val="4"/>
        <w:rPr>
          <w:color w:val="auto"/>
          <w:highlight w:val="none"/>
        </w:rPr>
      </w:pPr>
      <w:bookmarkStart w:id="52" w:name="_Toc89675146"/>
      <w:bookmarkStart w:id="53" w:name="_Toc15059420"/>
      <w:bookmarkStart w:id="54" w:name="_Toc440628915"/>
      <w:bookmarkStart w:id="55" w:name="_Toc387826347"/>
      <w:bookmarkStart w:id="56" w:name="_Toc432254881"/>
      <w:bookmarkStart w:id="57" w:name="_Toc1125"/>
      <w:r>
        <w:rPr>
          <w:color w:val="auto"/>
          <w:highlight w:val="none"/>
        </w:rPr>
        <w:t>4</w:t>
      </w:r>
      <w:r>
        <w:rPr>
          <w:rFonts w:hint="eastAsia"/>
          <w:color w:val="auto"/>
          <w:highlight w:val="none"/>
        </w:rPr>
        <w:t>.1 交付时间</w:t>
      </w:r>
    </w:p>
    <w:p w14:paraId="66101BCF">
      <w:pPr>
        <w:rPr>
          <w:color w:val="auto"/>
          <w:highlight w:val="none"/>
        </w:rPr>
      </w:pPr>
      <w:r>
        <w:rPr>
          <w:rFonts w:hint="eastAsia"/>
          <w:color w:val="auto"/>
          <w:highlight w:val="none"/>
        </w:rPr>
        <w:t>本项目设备的交付周期为45个自然日，原则上以</w:t>
      </w:r>
      <w:r>
        <w:rPr>
          <w:color w:val="auto"/>
          <w:highlight w:val="none"/>
        </w:rPr>
        <w:t>合同签订</w:t>
      </w:r>
      <w:r>
        <w:rPr>
          <w:rFonts w:hint="eastAsia"/>
          <w:color w:val="auto"/>
          <w:highlight w:val="none"/>
        </w:rPr>
        <w:t>之日起开始计算。</w:t>
      </w:r>
    </w:p>
    <w:p w14:paraId="0659B69C">
      <w:pPr>
        <w:pStyle w:val="4"/>
        <w:rPr>
          <w:color w:val="auto"/>
          <w:highlight w:val="none"/>
        </w:rPr>
      </w:pPr>
      <w:r>
        <w:rPr>
          <w:color w:val="auto"/>
          <w:highlight w:val="none"/>
        </w:rPr>
        <w:t>4</w:t>
      </w:r>
      <w:r>
        <w:rPr>
          <w:rFonts w:hint="eastAsia"/>
          <w:color w:val="auto"/>
          <w:highlight w:val="none"/>
        </w:rPr>
        <w:t>.2 实施及交付地点</w:t>
      </w:r>
    </w:p>
    <w:p w14:paraId="33C5C868">
      <w:pPr>
        <w:rPr>
          <w:color w:val="auto"/>
          <w:highlight w:val="none"/>
        </w:rPr>
      </w:pPr>
      <w:r>
        <w:rPr>
          <w:rFonts w:hint="eastAsia"/>
          <w:color w:val="auto"/>
          <w:highlight w:val="none"/>
        </w:rPr>
        <w:t>重庆市。</w:t>
      </w:r>
    </w:p>
    <w:p w14:paraId="5CE46B5A">
      <w:pPr>
        <w:pStyle w:val="3"/>
        <w:numPr>
          <w:ilvl w:val="0"/>
          <w:numId w:val="1"/>
        </w:numPr>
        <w:rPr>
          <w:color w:val="auto"/>
          <w:highlight w:val="none"/>
        </w:rPr>
      </w:pPr>
      <w:r>
        <w:rPr>
          <w:rFonts w:hint="eastAsia"/>
          <w:color w:val="auto"/>
          <w:highlight w:val="none"/>
        </w:rPr>
        <w:t>售后服务和支持</w:t>
      </w:r>
    </w:p>
    <w:p w14:paraId="2E36B39A">
      <w:pPr>
        <w:jc w:val="left"/>
        <w:rPr>
          <w:rFonts w:hAnsi="Times New Roman"/>
          <w:color w:val="auto"/>
          <w:highlight w:val="none"/>
        </w:rPr>
      </w:pPr>
      <w:r>
        <w:rPr>
          <w:rFonts w:hAnsi="Times New Roman"/>
          <w:color w:val="auto"/>
          <w:highlight w:val="none"/>
        </w:rPr>
        <w:t>1）</w:t>
      </w:r>
      <w:r>
        <w:rPr>
          <w:rFonts w:hint="eastAsia" w:hAnsi="Times New Roman"/>
          <w:color w:val="auto"/>
          <w:highlight w:val="none"/>
        </w:rPr>
        <w:t>遵守《中华人民共和国产品质量法》和《消费者权益保护法》的相关规定，</w:t>
      </w:r>
      <w:r>
        <w:rPr>
          <w:rFonts w:hint="eastAsia"/>
          <w:color w:val="auto"/>
          <w:highlight w:val="none"/>
          <w:lang w:val="en-US" w:eastAsia="zh-CN"/>
        </w:rPr>
        <w:t>响应人</w:t>
      </w:r>
      <w:r>
        <w:rPr>
          <w:rFonts w:hint="eastAsia" w:hAnsi="Times New Roman"/>
          <w:color w:val="auto"/>
          <w:highlight w:val="none"/>
        </w:rPr>
        <w:t>应提供服务标准可高于以上规定，但不得降低。</w:t>
      </w:r>
    </w:p>
    <w:p w14:paraId="2270BB97">
      <w:pPr>
        <w:jc w:val="left"/>
        <w:rPr>
          <w:rFonts w:hAnsi="Times New Roman"/>
          <w:color w:val="auto"/>
          <w:highlight w:val="none"/>
        </w:rPr>
      </w:pPr>
      <w:r>
        <w:rPr>
          <w:rFonts w:hAnsi="Times New Roman"/>
          <w:color w:val="auto"/>
          <w:highlight w:val="none"/>
        </w:rPr>
        <w:t>2）</w:t>
      </w:r>
      <w:r>
        <w:rPr>
          <w:rFonts w:hint="eastAsia" w:hAnsi="Times New Roman"/>
          <w:color w:val="auto"/>
          <w:highlight w:val="none"/>
        </w:rPr>
        <w:t>为采购人提供维保前咨询服务。</w:t>
      </w:r>
    </w:p>
    <w:p w14:paraId="625E1D24">
      <w:pPr>
        <w:jc w:val="left"/>
        <w:rPr>
          <w:rFonts w:hint="eastAsia" w:hAnsi="Times New Roman"/>
          <w:color w:val="auto"/>
          <w:highlight w:val="none"/>
        </w:rPr>
      </w:pPr>
      <w:r>
        <w:rPr>
          <w:rFonts w:hAnsi="Times New Roman"/>
          <w:color w:val="auto"/>
          <w:highlight w:val="none"/>
        </w:rPr>
        <w:t>3）</w:t>
      </w:r>
      <w:r>
        <w:rPr>
          <w:rFonts w:hint="eastAsia" w:hAnsi="Times New Roman"/>
          <w:color w:val="auto"/>
          <w:highlight w:val="none"/>
        </w:rPr>
        <w:t>维保服务质量保证期以生产企业的有效承诺为准。</w:t>
      </w:r>
    </w:p>
    <w:p w14:paraId="24C6431C">
      <w:pPr>
        <w:jc w:val="left"/>
        <w:rPr>
          <w:rFonts w:hint="eastAsia" w:eastAsia="宋体"/>
          <w:color w:val="auto"/>
          <w:highlight w:val="none"/>
          <w:lang w:eastAsia="zh-CN"/>
        </w:rPr>
      </w:pPr>
      <w:r>
        <w:rPr>
          <w:rFonts w:hint="eastAsia" w:hAnsi="Times New Roman" w:cs="宋体"/>
          <w:snapToGrid w:val="0"/>
          <w:color w:val="auto"/>
          <w:highlight w:val="none"/>
        </w:rPr>
        <w:t>4）</w:t>
      </w:r>
      <w:r>
        <w:rPr>
          <w:rFonts w:hint="eastAsia" w:cs="宋体"/>
          <w:snapToGrid w:val="0"/>
          <w:color w:val="auto"/>
          <w:highlight w:val="none"/>
        </w:rPr>
        <w:t>本项目采购的软件授权需要含三年原厂维保，售后服务起始时间为验收后次日起，结束时间需为维保到期当年的6月30日或12月31日中较近日期。维保级别为7*24*4（每周7天，每天24小时，4小时内到达现场），维保期内每季度提供一次现场巡检服务，并出具巡检报告。</w:t>
      </w:r>
    </w:p>
    <w:p w14:paraId="2C547D6C">
      <w:pPr>
        <w:pStyle w:val="3"/>
        <w:numPr>
          <w:ilvl w:val="0"/>
          <w:numId w:val="1"/>
        </w:numPr>
        <w:rPr>
          <w:color w:val="auto"/>
          <w:highlight w:val="none"/>
        </w:rPr>
      </w:pPr>
      <w:r>
        <w:rPr>
          <w:rFonts w:hint="eastAsia"/>
          <w:color w:val="auto"/>
          <w:highlight w:val="none"/>
        </w:rPr>
        <w:t>服务连续性预案</w:t>
      </w:r>
    </w:p>
    <w:p w14:paraId="400E1706">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13273CB6">
      <w:pPr>
        <w:pStyle w:val="3"/>
        <w:numPr>
          <w:ilvl w:val="0"/>
          <w:numId w:val="1"/>
        </w:numPr>
        <w:rPr>
          <w:color w:val="auto"/>
          <w:highlight w:val="none"/>
        </w:rPr>
      </w:pPr>
      <w:r>
        <w:rPr>
          <w:rFonts w:hint="eastAsia"/>
          <w:color w:val="auto"/>
          <w:highlight w:val="none"/>
        </w:rPr>
        <w:t>项目实施方案</w:t>
      </w:r>
    </w:p>
    <w:p w14:paraId="6C8442D4">
      <w:pPr>
        <w:rPr>
          <w:color w:val="auto"/>
          <w:highlight w:val="none"/>
        </w:rPr>
      </w:pPr>
      <w:r>
        <w:rPr>
          <w:rFonts w:hint="eastAsia"/>
          <w:color w:val="auto"/>
          <w:highlight w:val="none"/>
        </w:rPr>
        <w:t>在本次询比中，响应人应在响应文件中提供项目实施方案供采购人查看，方案应包括包括履行合同的时间计划、提交资料、人员安排等内容。【提供项目实施方案】</w:t>
      </w:r>
    </w:p>
    <w:bookmarkEnd w:id="52"/>
    <w:bookmarkEnd w:id="53"/>
    <w:p w14:paraId="6F1BF99B">
      <w:pPr>
        <w:pStyle w:val="3"/>
        <w:numPr>
          <w:ilvl w:val="0"/>
          <w:numId w:val="1"/>
        </w:numPr>
        <w:rPr>
          <w:color w:val="auto"/>
          <w:highlight w:val="none"/>
        </w:rPr>
      </w:pPr>
      <w:bookmarkStart w:id="58" w:name="_Toc15059422"/>
      <w:bookmarkStart w:id="59" w:name="_Toc89675148"/>
      <w:r>
        <w:rPr>
          <w:rFonts w:hint="eastAsia"/>
          <w:color w:val="auto"/>
          <w:highlight w:val="none"/>
        </w:rPr>
        <w:t>付款方式</w:t>
      </w:r>
      <w:bookmarkEnd w:id="58"/>
      <w:bookmarkEnd w:id="59"/>
    </w:p>
    <w:p w14:paraId="2A1F553F">
      <w:pPr>
        <w:widowControl/>
        <w:spacing w:before="60" w:line="360" w:lineRule="auto"/>
        <w:jc w:val="left"/>
        <w:rPr>
          <w:rFonts w:hint="eastAsia" w:cs="宋体"/>
          <w:color w:val="auto"/>
          <w:highlight w:val="none"/>
        </w:rPr>
      </w:pPr>
      <w:bookmarkStart w:id="60" w:name="_Toc89675147"/>
      <w:bookmarkStart w:id="61" w:name="_Toc15059421"/>
      <w:bookmarkStart w:id="62" w:name="_Toc89675149"/>
      <w:r>
        <w:rPr>
          <w:rFonts w:hint="eastAsia" w:cs="宋体"/>
          <w:color w:val="auto"/>
          <w:highlight w:val="none"/>
        </w:rPr>
        <w:t>本项目采用分阶段按比例后付款，具体要求如下：</w:t>
      </w:r>
    </w:p>
    <w:p w14:paraId="354F1943">
      <w:pPr>
        <w:widowControl/>
        <w:spacing w:before="60" w:line="360" w:lineRule="auto"/>
        <w:jc w:val="left"/>
        <w:rPr>
          <w:rFonts w:cs="宋体"/>
          <w:color w:val="auto"/>
          <w:highlight w:val="none"/>
        </w:rPr>
      </w:pPr>
      <w:r>
        <w:rPr>
          <w:rFonts w:hint="eastAsia" w:cs="宋体"/>
          <w:color w:val="auto"/>
          <w:highlight w:val="none"/>
        </w:rPr>
        <w:t>合同签订后，采购人收到许可文件并确认能正常使用，且平台试运行3个月完成验收后，响应人提出申请并开具、送达合法足额增值税专用发票，以上材料经采购人审核无误后30个工作日内，采购人将合同项下金额的95%支付给响应人。</w:t>
      </w:r>
    </w:p>
    <w:p w14:paraId="539B5F3D">
      <w:pPr>
        <w:widowControl/>
        <w:spacing w:before="60"/>
        <w:jc w:val="left"/>
        <w:rPr>
          <w:rFonts w:hint="eastAsia" w:cs="宋体"/>
          <w:color w:val="auto"/>
          <w:highlight w:val="none"/>
        </w:rPr>
      </w:pPr>
      <w:r>
        <w:rPr>
          <w:rFonts w:hint="eastAsia" w:cs="宋体"/>
          <w:color w:val="auto"/>
          <w:highlight w:val="none"/>
        </w:rPr>
        <w:t>在服务期满之后，由</w:t>
      </w:r>
      <w:r>
        <w:rPr>
          <w:rFonts w:cs="宋体"/>
          <w:color w:val="auto"/>
          <w:highlight w:val="none"/>
        </w:rPr>
        <w:t>响应人</w:t>
      </w:r>
      <w:r>
        <w:rPr>
          <w:rFonts w:hint="eastAsia" w:cs="宋体"/>
          <w:color w:val="auto"/>
          <w:highlight w:val="none"/>
        </w:rPr>
        <w:t>方提出申请，经过</w:t>
      </w:r>
      <w:r>
        <w:rPr>
          <w:rFonts w:cs="宋体"/>
          <w:color w:val="auto"/>
          <w:highlight w:val="none"/>
        </w:rPr>
        <w:t>采购</w:t>
      </w:r>
      <w:r>
        <w:rPr>
          <w:rFonts w:hint="eastAsia" w:cs="宋体"/>
          <w:color w:val="auto"/>
          <w:highlight w:val="none"/>
        </w:rPr>
        <w:t>人确认符合合同约定的要求后，</w:t>
      </w:r>
      <w:r>
        <w:rPr>
          <w:rFonts w:cs="宋体"/>
          <w:color w:val="auto"/>
          <w:highlight w:val="none"/>
        </w:rPr>
        <w:t>响应人</w:t>
      </w:r>
      <w:r>
        <w:rPr>
          <w:rFonts w:hint="eastAsia" w:cs="宋体"/>
          <w:color w:val="auto"/>
          <w:highlight w:val="none"/>
        </w:rPr>
        <w:t>出具合法足额增值税专用发票给</w:t>
      </w:r>
      <w:r>
        <w:rPr>
          <w:rFonts w:cs="宋体"/>
          <w:color w:val="auto"/>
          <w:highlight w:val="none"/>
        </w:rPr>
        <w:t>采购</w:t>
      </w:r>
      <w:r>
        <w:rPr>
          <w:rFonts w:hint="eastAsia" w:cs="宋体"/>
          <w:color w:val="auto"/>
          <w:highlight w:val="none"/>
        </w:rPr>
        <w:t>人，</w:t>
      </w:r>
      <w:r>
        <w:rPr>
          <w:rFonts w:cs="宋体"/>
          <w:color w:val="auto"/>
          <w:highlight w:val="none"/>
        </w:rPr>
        <w:t>采购</w:t>
      </w:r>
      <w:r>
        <w:rPr>
          <w:rFonts w:hint="eastAsia" w:cs="宋体"/>
          <w:color w:val="auto"/>
          <w:highlight w:val="none"/>
        </w:rPr>
        <w:t>人于收到发票 30个工作日内，将合同项下金额的5%支付给</w:t>
      </w:r>
      <w:bookmarkEnd w:id="60"/>
      <w:bookmarkEnd w:id="61"/>
      <w:bookmarkEnd w:id="62"/>
      <w:r>
        <w:rPr>
          <w:rFonts w:cs="宋体"/>
          <w:color w:val="auto"/>
          <w:highlight w:val="none"/>
        </w:rPr>
        <w:t>响应人</w:t>
      </w:r>
      <w:r>
        <w:rPr>
          <w:rFonts w:hint="eastAsia" w:hAnsi="Times New Roman"/>
          <w:color w:val="auto"/>
          <w:highlight w:val="none"/>
        </w:rPr>
        <w:t>。</w:t>
      </w:r>
    </w:p>
    <w:p w14:paraId="6C364F3F">
      <w:pPr>
        <w:pStyle w:val="3"/>
        <w:numPr>
          <w:ilvl w:val="0"/>
          <w:numId w:val="1"/>
        </w:numPr>
        <w:rPr>
          <w:color w:val="auto"/>
          <w:highlight w:val="none"/>
        </w:rPr>
      </w:pPr>
      <w:bookmarkStart w:id="63" w:name="_Toc15059424"/>
      <w:bookmarkStart w:id="64" w:name="_Toc89675150"/>
      <w:r>
        <w:rPr>
          <w:rFonts w:hint="eastAsia"/>
          <w:color w:val="auto"/>
          <w:highlight w:val="none"/>
        </w:rPr>
        <w:t>文档和培训</w:t>
      </w:r>
    </w:p>
    <w:p w14:paraId="102274C9">
      <w:pPr>
        <w:pStyle w:val="4"/>
        <w:jc w:val="left"/>
        <w:rPr>
          <w:rFonts w:hint="eastAsia" w:cs="宋体"/>
          <w:snapToGrid w:val="0"/>
          <w:color w:val="auto"/>
          <w:highlight w:val="none"/>
        </w:rPr>
      </w:pPr>
      <w:r>
        <w:rPr>
          <w:rFonts w:hint="eastAsia" w:cs="宋体"/>
          <w:snapToGrid w:val="0"/>
          <w:color w:val="auto"/>
          <w:highlight w:val="none"/>
        </w:rPr>
        <w:t>9.1 文档</w:t>
      </w:r>
    </w:p>
    <w:p w14:paraId="0A02207B">
      <w:pPr>
        <w:jc w:val="left"/>
        <w:rPr>
          <w:rFonts w:hint="eastAsia" w:cs="宋体"/>
          <w:color w:val="auto"/>
          <w:highlight w:val="none"/>
        </w:rPr>
      </w:pPr>
      <w:r>
        <w:rPr>
          <w:rFonts w:hint="eastAsia" w:cs="宋体"/>
          <w:color w:val="auto"/>
          <w:highlight w:val="none"/>
        </w:rPr>
        <w:t>1）文档范围</w:t>
      </w:r>
    </w:p>
    <w:p w14:paraId="39309177">
      <w:pPr>
        <w:jc w:val="left"/>
        <w:rPr>
          <w:rFonts w:hint="eastAsia" w:cs="宋体"/>
          <w:color w:val="auto"/>
          <w:highlight w:val="none"/>
        </w:rPr>
      </w:pPr>
      <w:r>
        <w:rPr>
          <w:rFonts w:hint="eastAsia" w:cs="宋体"/>
          <w:color w:val="auto"/>
          <w:highlight w:val="none"/>
        </w:rPr>
        <w:t>包括成交供应商收集整理的系统建设中所形成的全部文字记载、录音和照片等，项目验收后由成交供应商向采购人提供。</w:t>
      </w:r>
    </w:p>
    <w:p w14:paraId="787B0EB8">
      <w:pPr>
        <w:jc w:val="left"/>
        <w:rPr>
          <w:rFonts w:hint="eastAsia" w:cs="宋体"/>
          <w:color w:val="auto"/>
          <w:highlight w:val="none"/>
        </w:rPr>
      </w:pPr>
      <w:r>
        <w:rPr>
          <w:rFonts w:hint="eastAsia" w:cs="宋体"/>
          <w:color w:val="auto"/>
          <w:highlight w:val="none"/>
        </w:rPr>
        <w:t>2）文档内容</w:t>
      </w:r>
    </w:p>
    <w:p w14:paraId="216DDDF0">
      <w:pPr>
        <w:jc w:val="left"/>
        <w:rPr>
          <w:rFonts w:hint="eastAsia" w:cs="宋体"/>
          <w:color w:val="auto"/>
          <w:highlight w:val="none"/>
        </w:rPr>
      </w:pPr>
      <w:r>
        <w:rPr>
          <w:rFonts w:cs="宋体"/>
          <w:color w:val="auto"/>
          <w:highlight w:val="none"/>
        </w:rPr>
        <w:t>系统的架构、安装配置、使用与操作说明书等项目交付资料</w:t>
      </w:r>
      <w:r>
        <w:rPr>
          <w:rFonts w:hint="eastAsia" w:cs="宋体"/>
          <w:color w:val="auto"/>
          <w:highlight w:val="none"/>
        </w:rPr>
        <w:t>。</w:t>
      </w:r>
    </w:p>
    <w:p w14:paraId="31EE912D">
      <w:pPr>
        <w:jc w:val="left"/>
        <w:rPr>
          <w:rFonts w:hint="eastAsia" w:cs="宋体"/>
          <w:color w:val="auto"/>
          <w:highlight w:val="none"/>
        </w:rPr>
      </w:pPr>
      <w:r>
        <w:rPr>
          <w:rFonts w:hint="eastAsia" w:cs="宋体"/>
          <w:color w:val="auto"/>
          <w:highlight w:val="none"/>
        </w:rPr>
        <w:t xml:space="preserve">3）要求 </w:t>
      </w:r>
    </w:p>
    <w:p w14:paraId="799134B3">
      <w:pPr>
        <w:jc w:val="left"/>
        <w:rPr>
          <w:rFonts w:hint="eastAsia" w:cs="宋体"/>
          <w:color w:val="auto"/>
          <w:highlight w:val="none"/>
        </w:rPr>
      </w:pPr>
      <w:r>
        <w:rPr>
          <w:rFonts w:hint="eastAsia" w:cs="宋体"/>
          <w:color w:val="auto"/>
          <w:highlight w:val="none"/>
        </w:rPr>
        <w:t>响应人提供的文档要保持完整性和准确性。所有文档都采用简体中文。</w:t>
      </w:r>
    </w:p>
    <w:p w14:paraId="3F91DCEE">
      <w:pPr>
        <w:pStyle w:val="4"/>
        <w:jc w:val="left"/>
        <w:rPr>
          <w:rFonts w:hint="eastAsia" w:cs="宋体"/>
          <w:snapToGrid w:val="0"/>
          <w:color w:val="auto"/>
          <w:highlight w:val="none"/>
        </w:rPr>
      </w:pPr>
      <w:r>
        <w:rPr>
          <w:rFonts w:hint="eastAsia" w:cs="宋体"/>
          <w:snapToGrid w:val="0"/>
          <w:color w:val="auto"/>
          <w:highlight w:val="none"/>
        </w:rPr>
        <w:t>9.2 培训</w:t>
      </w:r>
    </w:p>
    <w:p w14:paraId="038E23EA">
      <w:pPr>
        <w:jc w:val="left"/>
        <w:rPr>
          <w:rFonts w:hint="eastAsia" w:cs="宋体"/>
          <w:color w:val="auto"/>
          <w:highlight w:val="none"/>
        </w:rPr>
      </w:pPr>
      <w:r>
        <w:rPr>
          <w:rFonts w:hint="eastAsia" w:cs="宋体"/>
          <w:color w:val="auto"/>
          <w:highlight w:val="none"/>
        </w:rPr>
        <w:t>1）培训人员</w:t>
      </w:r>
    </w:p>
    <w:p w14:paraId="25CA144E">
      <w:pPr>
        <w:jc w:val="left"/>
        <w:rPr>
          <w:rFonts w:hint="eastAsia" w:cs="宋体"/>
          <w:color w:val="auto"/>
          <w:highlight w:val="none"/>
        </w:rPr>
      </w:pPr>
      <w:r>
        <w:rPr>
          <w:rFonts w:cs="宋体"/>
          <w:color w:val="auto"/>
          <w:highlight w:val="none"/>
        </w:rPr>
        <w:t>项目</w:t>
      </w:r>
      <w:r>
        <w:rPr>
          <w:rFonts w:hint="eastAsia" w:cs="宋体"/>
          <w:color w:val="auto"/>
          <w:highlight w:val="none"/>
        </w:rPr>
        <w:t>相关运维人员。</w:t>
      </w:r>
    </w:p>
    <w:p w14:paraId="03AFC098">
      <w:pPr>
        <w:jc w:val="left"/>
        <w:rPr>
          <w:rFonts w:hint="eastAsia" w:cs="宋体"/>
          <w:color w:val="auto"/>
          <w:highlight w:val="none"/>
        </w:rPr>
      </w:pPr>
      <w:r>
        <w:rPr>
          <w:rFonts w:hint="eastAsia" w:cs="宋体"/>
          <w:color w:val="auto"/>
          <w:highlight w:val="none"/>
        </w:rPr>
        <w:t>2）要求</w:t>
      </w:r>
    </w:p>
    <w:p w14:paraId="6C14F1F2">
      <w:pPr>
        <w:jc w:val="left"/>
        <w:rPr>
          <w:rFonts w:hint="eastAsia" w:cs="宋体"/>
          <w:color w:val="auto"/>
          <w:highlight w:val="none"/>
        </w:rPr>
      </w:pPr>
      <w:r>
        <w:rPr>
          <w:rFonts w:cs="宋体"/>
          <w:color w:val="auto"/>
          <w:highlight w:val="none"/>
        </w:rPr>
        <w:t>针对</w:t>
      </w:r>
      <w:r>
        <w:rPr>
          <w:rFonts w:hint="eastAsia" w:cs="宋体"/>
          <w:color w:val="auto"/>
          <w:highlight w:val="none"/>
        </w:rPr>
        <w:t>所有的培训，响应人</w:t>
      </w:r>
      <w:r>
        <w:rPr>
          <w:rFonts w:cs="宋体"/>
          <w:color w:val="auto"/>
          <w:highlight w:val="none"/>
        </w:rPr>
        <w:t>应</w:t>
      </w:r>
      <w:r>
        <w:rPr>
          <w:rFonts w:hint="eastAsia" w:cs="宋体"/>
          <w:color w:val="auto"/>
          <w:highlight w:val="none"/>
        </w:rPr>
        <w:t>提供完备的书面教材。</w:t>
      </w:r>
    </w:p>
    <w:p w14:paraId="2C598F93">
      <w:pPr>
        <w:jc w:val="left"/>
        <w:rPr>
          <w:rFonts w:hint="eastAsia" w:cs="宋体"/>
          <w:color w:val="auto"/>
          <w:highlight w:val="none"/>
        </w:rPr>
      </w:pPr>
      <w:r>
        <w:rPr>
          <w:rFonts w:hint="eastAsia" w:cs="宋体"/>
          <w:color w:val="auto"/>
          <w:highlight w:val="none"/>
        </w:rPr>
        <w:t>采购人要求所有的培训在采购人指定地点进行。</w:t>
      </w:r>
    </w:p>
    <w:p w14:paraId="4EEF67D9">
      <w:pPr>
        <w:jc w:val="lef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提供售后服务和培训方案</w:t>
      </w:r>
      <w:r>
        <w:rPr>
          <w:rFonts w:hint="eastAsia"/>
          <w:color w:val="auto"/>
          <w:highlight w:val="none"/>
          <w:lang w:eastAsia="zh-CN"/>
        </w:rPr>
        <w:t>】</w:t>
      </w:r>
    </w:p>
    <w:p w14:paraId="3EFAC917">
      <w:pPr>
        <w:jc w:val="left"/>
        <w:rPr>
          <w:rFonts w:hint="eastAsia" w:cs="宋体"/>
          <w:color w:val="auto"/>
          <w:highlight w:val="none"/>
        </w:rPr>
      </w:pPr>
    </w:p>
    <w:p w14:paraId="47506D8D">
      <w:pPr>
        <w:pStyle w:val="3"/>
        <w:numPr>
          <w:ilvl w:val="0"/>
          <w:numId w:val="1"/>
        </w:numPr>
        <w:rPr>
          <w:color w:val="auto"/>
          <w:highlight w:val="none"/>
        </w:rPr>
      </w:pPr>
      <w:r>
        <w:rPr>
          <w:rFonts w:hint="eastAsia"/>
          <w:color w:val="auto"/>
          <w:highlight w:val="none"/>
        </w:rPr>
        <w:t>保密条款</w:t>
      </w:r>
      <w:bookmarkEnd w:id="54"/>
      <w:bookmarkEnd w:id="55"/>
      <w:bookmarkEnd w:id="56"/>
      <w:bookmarkEnd w:id="57"/>
      <w:bookmarkEnd w:id="63"/>
      <w:bookmarkEnd w:id="64"/>
    </w:p>
    <w:p w14:paraId="4714952F">
      <w:pPr>
        <w:pStyle w:val="4"/>
        <w:rPr>
          <w:color w:val="auto"/>
          <w:highlight w:val="none"/>
        </w:rPr>
      </w:pPr>
      <w:r>
        <w:rPr>
          <w:rFonts w:hint="eastAsia"/>
          <w:color w:val="auto"/>
          <w:highlight w:val="none"/>
        </w:rPr>
        <w:t>1</w:t>
      </w:r>
      <w:r>
        <w:rPr>
          <w:color w:val="auto"/>
          <w:highlight w:val="none"/>
        </w:rPr>
        <w:t>0</w:t>
      </w:r>
      <w:r>
        <w:rPr>
          <w:rFonts w:hint="eastAsia"/>
          <w:color w:val="auto"/>
          <w:highlight w:val="none"/>
        </w:rPr>
        <w:t>1 保密范围</w:t>
      </w:r>
    </w:p>
    <w:p w14:paraId="605083FB">
      <w:pPr>
        <w:rPr>
          <w:color w:val="auto"/>
          <w:highlight w:val="none"/>
        </w:rPr>
      </w:pPr>
      <w:r>
        <w:rPr>
          <w:rFonts w:hint="eastAsia"/>
          <w:color w:val="auto"/>
          <w:highlight w:val="none"/>
        </w:rPr>
        <w:t>成交供应商在实施过程中接触到的采购人知识产权、经营信息等。</w:t>
      </w:r>
    </w:p>
    <w:p w14:paraId="71226950">
      <w:pPr>
        <w:pStyle w:val="4"/>
        <w:rPr>
          <w:color w:val="auto"/>
          <w:highlight w:val="none"/>
        </w:rPr>
      </w:pPr>
      <w:r>
        <w:rPr>
          <w:color w:val="auto"/>
          <w:highlight w:val="none"/>
        </w:rPr>
        <w:t>10</w:t>
      </w:r>
      <w:r>
        <w:rPr>
          <w:rFonts w:hint="eastAsia"/>
          <w:color w:val="auto"/>
          <w:highlight w:val="none"/>
        </w:rPr>
        <w:t>.2 保密责任</w:t>
      </w:r>
    </w:p>
    <w:p w14:paraId="6F8FED01">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72783E0">
      <w:pPr>
        <w:pStyle w:val="3"/>
        <w:numPr>
          <w:ilvl w:val="0"/>
          <w:numId w:val="1"/>
        </w:numPr>
        <w:rPr>
          <w:color w:val="auto"/>
          <w:highlight w:val="none"/>
        </w:rPr>
      </w:pPr>
      <w:r>
        <w:rPr>
          <w:rFonts w:hint="eastAsia"/>
          <w:color w:val="auto"/>
          <w:highlight w:val="none"/>
        </w:rPr>
        <w:t>报价要求</w:t>
      </w:r>
    </w:p>
    <w:p w14:paraId="67188237">
      <w:pPr>
        <w:rPr>
          <w:color w:val="auto"/>
          <w:highlight w:val="none"/>
        </w:rPr>
      </w:pPr>
      <w:r>
        <w:rPr>
          <w:rFonts w:hint="eastAsia"/>
          <w:color w:val="auto"/>
          <w:highlight w:val="none"/>
        </w:rPr>
        <w:t>响应人应严格按照《响应文件格式》的“报价一览表”</w:t>
      </w:r>
      <w:r>
        <w:rPr>
          <w:rFonts w:hint="eastAsia"/>
          <w:color w:val="auto"/>
          <w:highlight w:val="none"/>
          <w:lang w:val="en-US" w:eastAsia="zh-CN"/>
        </w:rPr>
        <w:t>的格式认真填写</w:t>
      </w:r>
      <w:r>
        <w:rPr>
          <w:rFonts w:hint="eastAsia"/>
          <w:color w:val="auto"/>
          <w:highlight w:val="none"/>
        </w:rPr>
        <w:t>。</w:t>
      </w:r>
    </w:p>
    <w:p w14:paraId="78A5C311">
      <w:pPr>
        <w:pStyle w:val="3"/>
        <w:numPr>
          <w:ilvl w:val="0"/>
          <w:numId w:val="1"/>
        </w:numPr>
        <w:rPr>
          <w:color w:val="auto"/>
          <w:highlight w:val="none"/>
        </w:rPr>
      </w:pPr>
      <w:bookmarkStart w:id="65" w:name="_Toc89675152"/>
      <w:bookmarkStart w:id="66" w:name="_Toc15059426"/>
      <w:r>
        <w:rPr>
          <w:rFonts w:hint="eastAsia"/>
          <w:color w:val="auto"/>
          <w:highlight w:val="none"/>
        </w:rPr>
        <w:t>知识产权</w:t>
      </w:r>
      <w:bookmarkEnd w:id="65"/>
      <w:bookmarkEnd w:id="66"/>
    </w:p>
    <w:p w14:paraId="38C814E7">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1AB9A07">
      <w:pPr>
        <w:pStyle w:val="3"/>
        <w:numPr>
          <w:ilvl w:val="0"/>
          <w:numId w:val="1"/>
        </w:numPr>
        <w:rPr>
          <w:color w:val="auto"/>
          <w:highlight w:val="none"/>
        </w:rPr>
      </w:pPr>
      <w:bookmarkStart w:id="67" w:name="_Toc89675153"/>
      <w:bookmarkStart w:id="68" w:name="_Toc15059427"/>
      <w:r>
        <w:rPr>
          <w:rFonts w:hint="eastAsia"/>
          <w:color w:val="auto"/>
          <w:highlight w:val="none"/>
        </w:rPr>
        <w:t>其他</w:t>
      </w:r>
      <w:bookmarkEnd w:id="67"/>
      <w:bookmarkEnd w:id="68"/>
    </w:p>
    <w:p w14:paraId="215E5C7B">
      <w:pPr>
        <w:spacing w:line="600" w:lineRule="exact"/>
        <w:rPr>
          <w:color w:val="auto"/>
          <w:highlight w:val="none"/>
        </w:rPr>
      </w:pPr>
      <w:r>
        <w:rPr>
          <w:color w:val="auto"/>
          <w:highlight w:val="none"/>
        </w:rPr>
        <w:t>1</w:t>
      </w:r>
      <w:r>
        <w:rPr>
          <w:rFonts w:hint="eastAsia"/>
          <w:color w:val="auto"/>
          <w:highlight w:val="none"/>
        </w:rPr>
        <w:t>）响应人必须在响应承诺函中对本章内容做出整体性响应和承诺，承诺内容必须达到本章及询比文件其他条款的要求。</w:t>
      </w:r>
    </w:p>
    <w:p w14:paraId="12185FF4">
      <w:pPr>
        <w:spacing w:line="600" w:lineRule="exact"/>
        <w:rPr>
          <w:color w:val="auto"/>
          <w:highlight w:val="none"/>
        </w:rPr>
      </w:pPr>
      <w:r>
        <w:rPr>
          <w:color w:val="auto"/>
          <w:highlight w:val="none"/>
        </w:rPr>
        <w:t>2</w:t>
      </w:r>
      <w:r>
        <w:rPr>
          <w:rFonts w:hint="eastAsia"/>
          <w:color w:val="auto"/>
          <w:highlight w:val="none"/>
        </w:rPr>
        <w:t>）响应人应根据本章内容和要求，提供对应资料，无遗漏。</w:t>
      </w:r>
    </w:p>
    <w:p w14:paraId="21C733D5">
      <w:pPr>
        <w:spacing w:line="600" w:lineRule="exact"/>
        <w:rPr>
          <w:color w:val="auto"/>
          <w:highlight w:val="none"/>
        </w:rPr>
      </w:pPr>
      <w:r>
        <w:rPr>
          <w:color w:val="auto"/>
          <w:highlight w:val="none"/>
        </w:rPr>
        <w:t>3</w:t>
      </w:r>
      <w:r>
        <w:rPr>
          <w:rFonts w:hint="eastAsia"/>
          <w:color w:val="auto"/>
          <w:highlight w:val="none"/>
        </w:rPr>
        <w:t>）其他未尽事宜由供需双方在合同中详细约定。</w:t>
      </w:r>
    </w:p>
    <w:p w14:paraId="20134677">
      <w:pPr>
        <w:snapToGrid w:val="0"/>
        <w:rPr>
          <w:rFonts w:cs="宋体"/>
          <w:snapToGrid w:val="0"/>
          <w:color w:val="auto"/>
          <w:kern w:val="0"/>
          <w:szCs w:val="24"/>
          <w:highlight w:val="none"/>
        </w:rPr>
      </w:pPr>
      <w:r>
        <w:rPr>
          <w:rFonts w:hint="eastAsia" w:cs="宋体"/>
          <w:snapToGrid w:val="0"/>
          <w:color w:val="auto"/>
          <w:kern w:val="0"/>
          <w:szCs w:val="24"/>
          <w:highlight w:val="none"/>
        </w:rPr>
        <w:br w:type="page"/>
      </w:r>
    </w:p>
    <w:p w14:paraId="5B00CE1C">
      <w:pPr>
        <w:pStyle w:val="2"/>
        <w:rPr>
          <w:color w:val="auto"/>
          <w:highlight w:val="none"/>
        </w:rPr>
      </w:pPr>
      <w:bookmarkStart w:id="69" w:name="_Toc22407"/>
      <w:bookmarkStart w:id="70" w:name="_Toc552"/>
      <w:r>
        <w:rPr>
          <w:rFonts w:hint="eastAsia"/>
          <w:color w:val="auto"/>
          <w:highlight w:val="none"/>
        </w:rPr>
        <w:t>第四章 评审办法（综合评估法）</w:t>
      </w:r>
      <w:bookmarkEnd w:id="69"/>
      <w:bookmarkEnd w:id="70"/>
    </w:p>
    <w:p w14:paraId="64B6796F">
      <w:pPr>
        <w:pStyle w:val="3"/>
        <w:rPr>
          <w:color w:val="auto"/>
          <w:highlight w:val="none"/>
        </w:rPr>
      </w:pPr>
      <w:bookmarkStart w:id="71" w:name="_Toc27076"/>
      <w:bookmarkStart w:id="72" w:name="_Toc11471"/>
      <w:bookmarkStart w:id="73" w:name="_Toc2028"/>
      <w:bookmarkStart w:id="74" w:name="_Toc14810"/>
      <w:r>
        <w:rPr>
          <w:rFonts w:hint="eastAsia"/>
          <w:color w:val="auto"/>
          <w:highlight w:val="none"/>
        </w:rPr>
        <w:t>评审办法前附表</w:t>
      </w:r>
      <w:bookmarkEnd w:id="71"/>
      <w:bookmarkEnd w:id="72"/>
      <w:bookmarkEnd w:id="73"/>
      <w:bookmarkEnd w:id="74"/>
    </w:p>
    <w:p w14:paraId="7072032D">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0"/>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6122"/>
      </w:tblGrid>
      <w:tr w14:paraId="4952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A6E517">
            <w:pPr>
              <w:pStyle w:val="35"/>
              <w:rPr>
                <w:color w:val="auto"/>
                <w:highlight w:val="none"/>
              </w:rPr>
            </w:pPr>
            <w:bookmarkStart w:id="75" w:name="CQZH1_07"/>
            <w:r>
              <w:rPr>
                <w:rFonts w:hint="eastAsia"/>
                <w:color w:val="auto"/>
                <w:highlight w:val="none"/>
              </w:rPr>
              <w:t>条款号</w:t>
            </w:r>
          </w:p>
        </w:tc>
        <w:tc>
          <w:tcPr>
            <w:tcW w:w="1482" w:type="dxa"/>
            <w:vAlign w:val="center"/>
          </w:tcPr>
          <w:p w14:paraId="1D74424A">
            <w:pPr>
              <w:pStyle w:val="35"/>
              <w:rPr>
                <w:color w:val="auto"/>
                <w:highlight w:val="none"/>
              </w:rPr>
            </w:pPr>
            <w:r>
              <w:rPr>
                <w:rFonts w:hint="eastAsia"/>
                <w:color w:val="auto"/>
                <w:highlight w:val="none"/>
              </w:rPr>
              <w:t>评审因素</w:t>
            </w:r>
          </w:p>
        </w:tc>
        <w:tc>
          <w:tcPr>
            <w:tcW w:w="7808" w:type="dxa"/>
            <w:gridSpan w:val="3"/>
            <w:vAlign w:val="center"/>
          </w:tcPr>
          <w:p w14:paraId="7AC1CA7C">
            <w:pPr>
              <w:pStyle w:val="35"/>
              <w:rPr>
                <w:color w:val="auto"/>
                <w:highlight w:val="none"/>
              </w:rPr>
            </w:pPr>
            <w:r>
              <w:rPr>
                <w:rFonts w:hint="eastAsia"/>
                <w:color w:val="auto"/>
                <w:highlight w:val="none"/>
              </w:rPr>
              <w:t>评审标准</w:t>
            </w:r>
          </w:p>
        </w:tc>
      </w:tr>
      <w:tr w14:paraId="7BD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BCE07D4">
            <w:pPr>
              <w:pStyle w:val="34"/>
              <w:rPr>
                <w:color w:val="auto"/>
                <w:highlight w:val="none"/>
              </w:rPr>
            </w:pPr>
            <w:r>
              <w:rPr>
                <w:rFonts w:hint="eastAsia"/>
                <w:color w:val="auto"/>
                <w:highlight w:val="none"/>
              </w:rPr>
              <w:t>1</w:t>
            </w:r>
          </w:p>
        </w:tc>
        <w:tc>
          <w:tcPr>
            <w:tcW w:w="1482" w:type="dxa"/>
            <w:tcBorders>
              <w:top w:val="single" w:color="auto" w:sz="4" w:space="0"/>
              <w:left w:val="single" w:color="auto" w:sz="4" w:space="0"/>
              <w:right w:val="single" w:color="auto" w:sz="4" w:space="0"/>
            </w:tcBorders>
            <w:vAlign w:val="center"/>
          </w:tcPr>
          <w:p w14:paraId="32241DB1">
            <w:pPr>
              <w:pStyle w:val="34"/>
              <w:rPr>
                <w:color w:val="auto"/>
                <w:highlight w:val="none"/>
              </w:rPr>
            </w:pPr>
            <w:r>
              <w:rPr>
                <w:rFonts w:hint="eastAsia"/>
                <w:color w:val="auto"/>
                <w:highlight w:val="none"/>
              </w:rPr>
              <w:t>评审办法</w:t>
            </w:r>
          </w:p>
        </w:tc>
        <w:tc>
          <w:tcPr>
            <w:tcW w:w="7808" w:type="dxa"/>
            <w:gridSpan w:val="3"/>
            <w:vAlign w:val="center"/>
          </w:tcPr>
          <w:p w14:paraId="47B18EC7">
            <w:pPr>
              <w:pStyle w:val="34"/>
              <w:rPr>
                <w:color w:val="auto"/>
                <w:highlight w:val="none"/>
              </w:rPr>
            </w:pPr>
            <w:r>
              <w:rPr>
                <w:rFonts w:hint="eastAsia"/>
                <w:color w:val="auto"/>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w:t>
            </w:r>
            <w:r>
              <w:rPr>
                <w:rFonts w:hint="eastAsia"/>
                <w:color w:val="auto"/>
                <w:highlight w:val="none"/>
                <w:lang w:val="en-US" w:eastAsia="zh-CN"/>
              </w:rPr>
              <w:t>低的</w:t>
            </w:r>
            <w:r>
              <w:rPr>
                <w:rFonts w:hint="eastAsia"/>
                <w:color w:val="auto"/>
                <w:highlight w:val="none"/>
              </w:rPr>
              <w:t>的优先；响应报价也相等的，由评审委员会按照</w:t>
            </w:r>
            <w:r>
              <w:rPr>
                <w:color w:val="auto"/>
                <w:highlight w:val="none"/>
              </w:rPr>
              <w:t>总案例个数（不含响应资质中提供的案例）多</w:t>
            </w:r>
            <w:r>
              <w:rPr>
                <w:rFonts w:hint="eastAsia"/>
                <w:color w:val="auto"/>
                <w:highlight w:val="none"/>
                <w:lang w:val="en-US" w:eastAsia="zh-CN"/>
              </w:rPr>
              <w:t>的</w:t>
            </w:r>
            <w:r>
              <w:rPr>
                <w:color w:val="auto"/>
                <w:highlight w:val="none"/>
              </w:rPr>
              <w:t>优</w:t>
            </w:r>
            <w:r>
              <w:rPr>
                <w:rFonts w:hint="eastAsia"/>
                <w:color w:val="auto"/>
                <w:highlight w:val="none"/>
              </w:rPr>
              <w:t>原则排序。</w:t>
            </w:r>
          </w:p>
        </w:tc>
      </w:tr>
      <w:tr w14:paraId="5D1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044D42">
            <w:pPr>
              <w:pStyle w:val="34"/>
              <w:rPr>
                <w:color w:val="auto"/>
                <w:highlight w:val="none"/>
              </w:rPr>
            </w:pPr>
            <w:r>
              <w:rPr>
                <w:rFonts w:hint="eastAsia"/>
                <w:color w:val="auto"/>
                <w:highlight w:val="none"/>
              </w:rPr>
              <w:t>2.1</w:t>
            </w:r>
          </w:p>
        </w:tc>
        <w:tc>
          <w:tcPr>
            <w:tcW w:w="1482" w:type="dxa"/>
            <w:tcBorders>
              <w:top w:val="single" w:color="auto" w:sz="4" w:space="0"/>
              <w:left w:val="single" w:color="auto" w:sz="4" w:space="0"/>
              <w:right w:val="single" w:color="auto" w:sz="4" w:space="0"/>
            </w:tcBorders>
            <w:vAlign w:val="center"/>
          </w:tcPr>
          <w:p w14:paraId="396A7D58">
            <w:pPr>
              <w:pStyle w:val="34"/>
              <w:rPr>
                <w:color w:val="auto"/>
                <w:highlight w:val="none"/>
              </w:rPr>
            </w:pPr>
            <w:r>
              <w:rPr>
                <w:rFonts w:hint="eastAsia"/>
                <w:color w:val="auto"/>
                <w:highlight w:val="none"/>
              </w:rPr>
              <w:t>初步评审标准</w:t>
            </w:r>
          </w:p>
        </w:tc>
        <w:tc>
          <w:tcPr>
            <w:tcW w:w="7808" w:type="dxa"/>
            <w:gridSpan w:val="3"/>
            <w:vAlign w:val="center"/>
          </w:tcPr>
          <w:p w14:paraId="588383DB">
            <w:pPr>
              <w:pStyle w:val="34"/>
              <w:rPr>
                <w:color w:val="auto"/>
                <w:highlight w:val="none"/>
              </w:rPr>
            </w:pPr>
            <w:r>
              <w:rPr>
                <w:rFonts w:hint="eastAsia"/>
                <w:color w:val="auto"/>
                <w:highlight w:val="none"/>
              </w:rPr>
              <w:t>所有响应单位进行初步评审。初步评审内容：资格评审、形式评审、响应性评审。</w:t>
            </w:r>
          </w:p>
        </w:tc>
      </w:tr>
      <w:tr w14:paraId="0C5D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2AE5DD6">
            <w:pPr>
              <w:pStyle w:val="34"/>
              <w:rPr>
                <w:color w:val="auto"/>
                <w:highlight w:val="none"/>
              </w:rPr>
            </w:pPr>
            <w:r>
              <w:rPr>
                <w:rFonts w:hint="eastAsia"/>
                <w:color w:val="auto"/>
                <w:highlight w:val="none"/>
              </w:rPr>
              <w:t>2.1.1</w:t>
            </w:r>
          </w:p>
        </w:tc>
        <w:tc>
          <w:tcPr>
            <w:tcW w:w="1482" w:type="dxa"/>
            <w:tcBorders>
              <w:top w:val="single" w:color="auto" w:sz="4" w:space="0"/>
              <w:left w:val="single" w:color="auto" w:sz="4" w:space="0"/>
              <w:right w:val="single" w:color="auto" w:sz="4" w:space="0"/>
            </w:tcBorders>
            <w:vAlign w:val="center"/>
          </w:tcPr>
          <w:p w14:paraId="361405CC">
            <w:pPr>
              <w:pStyle w:val="34"/>
              <w:rPr>
                <w:color w:val="auto"/>
                <w:highlight w:val="none"/>
              </w:rPr>
            </w:pPr>
            <w:r>
              <w:rPr>
                <w:rFonts w:hint="eastAsia"/>
                <w:color w:val="auto"/>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3699B315">
            <w:pPr>
              <w:pStyle w:val="34"/>
              <w:rPr>
                <w:color w:val="auto"/>
                <w:highlight w:val="none"/>
              </w:rPr>
            </w:pPr>
            <w:r>
              <w:rPr>
                <w:rFonts w:hint="eastAsia"/>
                <w:color w:val="auto"/>
                <w:highlight w:val="none"/>
              </w:rPr>
              <w:t>资格条件要求</w:t>
            </w:r>
          </w:p>
        </w:tc>
        <w:tc>
          <w:tcPr>
            <w:tcW w:w="6122" w:type="dxa"/>
            <w:vAlign w:val="center"/>
          </w:tcPr>
          <w:p w14:paraId="150F190C">
            <w:pPr>
              <w:pStyle w:val="34"/>
              <w:rPr>
                <w:color w:val="auto"/>
                <w:highlight w:val="none"/>
              </w:rPr>
            </w:pPr>
            <w:r>
              <w:rPr>
                <w:rFonts w:hint="eastAsia"/>
                <w:color w:val="auto"/>
                <w:highlight w:val="none"/>
              </w:rPr>
              <w:t>符合第一章“2. 响应人资格要求”规定</w:t>
            </w:r>
          </w:p>
        </w:tc>
      </w:tr>
      <w:tr w14:paraId="6AF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4A7F5A9">
            <w:pPr>
              <w:pStyle w:val="34"/>
              <w:rPr>
                <w:color w:val="auto"/>
                <w:highlight w:val="none"/>
              </w:rPr>
            </w:pPr>
            <w:r>
              <w:rPr>
                <w:rFonts w:hint="eastAsia"/>
                <w:color w:val="auto"/>
                <w:highlight w:val="none"/>
              </w:rPr>
              <w:t>2.1.2</w:t>
            </w:r>
          </w:p>
        </w:tc>
        <w:tc>
          <w:tcPr>
            <w:tcW w:w="1482" w:type="dxa"/>
            <w:vMerge w:val="restart"/>
            <w:tcBorders>
              <w:top w:val="single" w:color="auto" w:sz="4" w:space="0"/>
              <w:left w:val="single" w:color="auto" w:sz="4" w:space="0"/>
              <w:right w:val="single" w:color="auto" w:sz="4" w:space="0"/>
            </w:tcBorders>
            <w:vAlign w:val="center"/>
          </w:tcPr>
          <w:p w14:paraId="26A3AB49">
            <w:pPr>
              <w:pStyle w:val="34"/>
              <w:rPr>
                <w:color w:val="auto"/>
                <w:highlight w:val="none"/>
              </w:rPr>
            </w:pPr>
            <w:r>
              <w:rPr>
                <w:rFonts w:hint="eastAsia"/>
                <w:color w:val="auto"/>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1D0126DF">
            <w:pPr>
              <w:pStyle w:val="34"/>
              <w:rPr>
                <w:color w:val="auto"/>
                <w:highlight w:val="none"/>
              </w:rPr>
            </w:pPr>
            <w:r>
              <w:rPr>
                <w:rFonts w:hint="eastAsia"/>
                <w:color w:val="auto"/>
                <w:highlight w:val="none"/>
              </w:rPr>
              <w:t>响应人名称</w:t>
            </w:r>
          </w:p>
        </w:tc>
        <w:tc>
          <w:tcPr>
            <w:tcW w:w="6122" w:type="dxa"/>
            <w:vAlign w:val="center"/>
          </w:tcPr>
          <w:p w14:paraId="009802CB">
            <w:pPr>
              <w:pStyle w:val="34"/>
              <w:rPr>
                <w:color w:val="auto"/>
                <w:highlight w:val="none"/>
              </w:rPr>
            </w:pPr>
            <w:r>
              <w:rPr>
                <w:rFonts w:hint="eastAsia"/>
                <w:color w:val="auto"/>
                <w:highlight w:val="none"/>
              </w:rPr>
              <w:t>与营业执照、资格证明材料一致</w:t>
            </w:r>
          </w:p>
        </w:tc>
      </w:tr>
      <w:tr w14:paraId="3C9C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8069ED0">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2881A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41CF5F2">
            <w:pPr>
              <w:pStyle w:val="34"/>
              <w:rPr>
                <w:color w:val="auto"/>
                <w:highlight w:val="none"/>
              </w:rPr>
            </w:pPr>
            <w:r>
              <w:rPr>
                <w:rFonts w:hint="eastAsia"/>
                <w:color w:val="auto"/>
                <w:highlight w:val="none"/>
              </w:rPr>
              <w:t>响应文件的签字盖章</w:t>
            </w:r>
          </w:p>
        </w:tc>
        <w:tc>
          <w:tcPr>
            <w:tcW w:w="6122" w:type="dxa"/>
            <w:vAlign w:val="center"/>
          </w:tcPr>
          <w:p w14:paraId="1C9962AE">
            <w:pPr>
              <w:pStyle w:val="34"/>
              <w:rPr>
                <w:color w:val="auto"/>
                <w:highlight w:val="none"/>
              </w:rPr>
            </w:pPr>
            <w:r>
              <w:rPr>
                <w:rFonts w:hint="eastAsia"/>
                <w:color w:val="auto"/>
                <w:highlight w:val="none"/>
              </w:rPr>
              <w:t>符合第二章“响应人须知”4.6 条规定</w:t>
            </w:r>
          </w:p>
        </w:tc>
      </w:tr>
      <w:tr w14:paraId="3E38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9FDA41">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2217C0C">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2976F9B">
            <w:pPr>
              <w:pStyle w:val="34"/>
              <w:rPr>
                <w:color w:val="auto"/>
                <w:highlight w:val="none"/>
              </w:rPr>
            </w:pPr>
            <w:r>
              <w:rPr>
                <w:rFonts w:hint="eastAsia"/>
                <w:color w:val="auto"/>
                <w:highlight w:val="none"/>
              </w:rPr>
              <w:t>响应文件的密封</w:t>
            </w:r>
          </w:p>
        </w:tc>
        <w:tc>
          <w:tcPr>
            <w:tcW w:w="6122" w:type="dxa"/>
            <w:vAlign w:val="center"/>
          </w:tcPr>
          <w:p w14:paraId="3FD1E0E2">
            <w:pPr>
              <w:pStyle w:val="34"/>
              <w:rPr>
                <w:color w:val="auto"/>
                <w:highlight w:val="none"/>
              </w:rPr>
            </w:pPr>
            <w:r>
              <w:rPr>
                <w:rFonts w:hint="eastAsia"/>
                <w:color w:val="auto"/>
                <w:highlight w:val="none"/>
              </w:rPr>
              <w:t>符合第二章“响应人须知”4.7 条规定</w:t>
            </w:r>
          </w:p>
        </w:tc>
      </w:tr>
      <w:tr w14:paraId="72B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8D9A29">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DE303E4">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CF13957">
            <w:pPr>
              <w:pStyle w:val="34"/>
              <w:rPr>
                <w:color w:val="auto"/>
                <w:highlight w:val="none"/>
              </w:rPr>
            </w:pPr>
            <w:r>
              <w:rPr>
                <w:rFonts w:hint="eastAsia"/>
                <w:color w:val="auto"/>
                <w:highlight w:val="none"/>
              </w:rPr>
              <w:t>响应文件格式</w:t>
            </w:r>
          </w:p>
        </w:tc>
        <w:tc>
          <w:tcPr>
            <w:tcW w:w="6122" w:type="dxa"/>
            <w:vAlign w:val="center"/>
          </w:tcPr>
          <w:p w14:paraId="4852C2CB">
            <w:pPr>
              <w:pStyle w:val="34"/>
              <w:rPr>
                <w:color w:val="auto"/>
                <w:highlight w:val="none"/>
              </w:rPr>
            </w:pPr>
            <w:r>
              <w:rPr>
                <w:rFonts w:hint="eastAsia"/>
                <w:color w:val="auto"/>
                <w:highlight w:val="none"/>
              </w:rPr>
              <w:t>符合第六章“响应文件格式”的要求</w:t>
            </w:r>
          </w:p>
        </w:tc>
      </w:tr>
      <w:tr w14:paraId="4AE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5FFC0C">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49B08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03500729">
            <w:pPr>
              <w:pStyle w:val="34"/>
              <w:rPr>
                <w:color w:val="auto"/>
                <w:highlight w:val="none"/>
              </w:rPr>
            </w:pPr>
            <w:r>
              <w:rPr>
                <w:rFonts w:hint="eastAsia"/>
                <w:color w:val="auto"/>
                <w:highlight w:val="none"/>
              </w:rPr>
              <w:t>响应文件组成</w:t>
            </w:r>
          </w:p>
        </w:tc>
        <w:tc>
          <w:tcPr>
            <w:tcW w:w="6122" w:type="dxa"/>
            <w:vAlign w:val="center"/>
          </w:tcPr>
          <w:p w14:paraId="060EFF33">
            <w:pPr>
              <w:pStyle w:val="34"/>
              <w:rPr>
                <w:color w:val="auto"/>
                <w:highlight w:val="none"/>
              </w:rPr>
            </w:pPr>
            <w:r>
              <w:rPr>
                <w:rFonts w:hint="eastAsia"/>
                <w:color w:val="auto"/>
                <w:highlight w:val="none"/>
              </w:rPr>
              <w:t>符合第二章“响应人须知”4.2 条规定，内容齐全、无遗漏</w:t>
            </w:r>
          </w:p>
        </w:tc>
      </w:tr>
      <w:tr w14:paraId="206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B6337FD">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27F0A175">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DB0EF05">
            <w:pPr>
              <w:pStyle w:val="34"/>
              <w:rPr>
                <w:color w:val="auto"/>
                <w:highlight w:val="none"/>
              </w:rPr>
            </w:pPr>
            <w:r>
              <w:rPr>
                <w:rFonts w:hint="eastAsia"/>
                <w:color w:val="auto"/>
                <w:highlight w:val="none"/>
              </w:rPr>
              <w:t>联合体响应</w:t>
            </w:r>
          </w:p>
        </w:tc>
        <w:tc>
          <w:tcPr>
            <w:tcW w:w="6122" w:type="dxa"/>
            <w:vAlign w:val="center"/>
          </w:tcPr>
          <w:p w14:paraId="301E5E75">
            <w:pPr>
              <w:pStyle w:val="34"/>
              <w:rPr>
                <w:color w:val="auto"/>
                <w:highlight w:val="none"/>
              </w:rPr>
            </w:pPr>
            <w:r>
              <w:rPr>
                <w:rFonts w:hint="eastAsia"/>
                <w:color w:val="auto"/>
                <w:highlight w:val="none"/>
              </w:rPr>
              <w:t>符合第一章“2. 响应人资格要求”2.5 条的要求</w:t>
            </w:r>
          </w:p>
        </w:tc>
      </w:tr>
      <w:tr w14:paraId="68BA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726E752">
            <w:pPr>
              <w:pStyle w:val="34"/>
              <w:rPr>
                <w:color w:val="auto"/>
                <w:highlight w:val="none"/>
              </w:rPr>
            </w:pPr>
            <w:r>
              <w:rPr>
                <w:rFonts w:hint="eastAsia"/>
                <w:color w:val="auto"/>
                <w:highlight w:val="none"/>
              </w:rPr>
              <w:t>2.1.3</w:t>
            </w:r>
          </w:p>
        </w:tc>
        <w:tc>
          <w:tcPr>
            <w:tcW w:w="1482" w:type="dxa"/>
            <w:vMerge w:val="restart"/>
            <w:tcBorders>
              <w:top w:val="single" w:color="auto" w:sz="4" w:space="0"/>
              <w:left w:val="single" w:color="auto" w:sz="4" w:space="0"/>
              <w:right w:val="single" w:color="auto" w:sz="4" w:space="0"/>
            </w:tcBorders>
            <w:vAlign w:val="center"/>
          </w:tcPr>
          <w:p w14:paraId="4810F549">
            <w:pPr>
              <w:pStyle w:val="34"/>
              <w:rPr>
                <w:color w:val="auto"/>
                <w:highlight w:val="none"/>
              </w:rPr>
            </w:pPr>
            <w:r>
              <w:rPr>
                <w:rFonts w:hint="eastAsia"/>
                <w:color w:val="auto"/>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4ECB7283">
            <w:pPr>
              <w:pStyle w:val="34"/>
              <w:rPr>
                <w:color w:val="auto"/>
                <w:highlight w:val="none"/>
              </w:rPr>
            </w:pPr>
            <w:r>
              <w:rPr>
                <w:rFonts w:hint="eastAsia"/>
                <w:color w:val="auto"/>
                <w:highlight w:val="none"/>
              </w:rPr>
              <w:t>响应内容</w:t>
            </w:r>
          </w:p>
        </w:tc>
        <w:tc>
          <w:tcPr>
            <w:tcW w:w="6122" w:type="dxa"/>
            <w:vAlign w:val="center"/>
          </w:tcPr>
          <w:p w14:paraId="565A1EC2">
            <w:pPr>
              <w:pStyle w:val="34"/>
              <w:rPr>
                <w:color w:val="auto"/>
                <w:highlight w:val="none"/>
              </w:rPr>
            </w:pPr>
            <w:r>
              <w:rPr>
                <w:rFonts w:hint="eastAsia"/>
                <w:color w:val="auto"/>
                <w:highlight w:val="none"/>
              </w:rPr>
              <w:t>1. 在响应承诺函中对第三章“项目要求”内容做出整体承诺；</w:t>
            </w:r>
          </w:p>
          <w:p w14:paraId="6C319F3A">
            <w:pPr>
              <w:pStyle w:val="34"/>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资料</w:t>
            </w:r>
            <w:r>
              <w:rPr>
                <w:color w:val="auto"/>
                <w:highlight w:val="none"/>
              </w:rPr>
              <w:t>，内容齐全、无遗漏。</w:t>
            </w:r>
          </w:p>
        </w:tc>
      </w:tr>
      <w:tr w14:paraId="6EC4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A019C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920269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C3073B9">
            <w:pPr>
              <w:pStyle w:val="34"/>
              <w:rPr>
                <w:color w:val="auto"/>
                <w:highlight w:val="none"/>
              </w:rPr>
            </w:pPr>
            <w:r>
              <w:rPr>
                <w:rFonts w:hint="eastAsia"/>
                <w:color w:val="auto"/>
                <w:highlight w:val="none"/>
              </w:rPr>
              <w:t>响应文件份数</w:t>
            </w:r>
          </w:p>
        </w:tc>
        <w:tc>
          <w:tcPr>
            <w:tcW w:w="6122" w:type="dxa"/>
            <w:vAlign w:val="center"/>
          </w:tcPr>
          <w:p w14:paraId="3F3E6D43">
            <w:pPr>
              <w:pStyle w:val="34"/>
              <w:rPr>
                <w:color w:val="auto"/>
                <w:highlight w:val="none"/>
              </w:rPr>
            </w:pPr>
            <w:r>
              <w:rPr>
                <w:rFonts w:hint="eastAsia"/>
                <w:color w:val="auto"/>
                <w:highlight w:val="none"/>
              </w:rPr>
              <w:t>符合第二章“响应人须知”4.6 条规定</w:t>
            </w:r>
          </w:p>
        </w:tc>
      </w:tr>
      <w:tr w14:paraId="348B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3907D9">
            <w:pPr>
              <w:rPr>
                <w:color w:val="auto"/>
                <w:highlight w:val="none"/>
              </w:rPr>
            </w:pPr>
          </w:p>
        </w:tc>
        <w:tc>
          <w:tcPr>
            <w:tcW w:w="1482" w:type="dxa"/>
            <w:vMerge w:val="continue"/>
            <w:tcBorders>
              <w:top w:val="single" w:color="auto" w:sz="4" w:space="0"/>
              <w:left w:val="single" w:color="auto" w:sz="4" w:space="0"/>
              <w:right w:val="single" w:color="auto" w:sz="4" w:space="0"/>
            </w:tcBorders>
          </w:tcPr>
          <w:p w14:paraId="701A173D">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0AB21D2">
            <w:pPr>
              <w:pStyle w:val="34"/>
              <w:rPr>
                <w:color w:val="auto"/>
                <w:highlight w:val="none"/>
              </w:rPr>
            </w:pPr>
            <w:r>
              <w:rPr>
                <w:rFonts w:hint="eastAsia"/>
                <w:color w:val="auto"/>
                <w:highlight w:val="none"/>
              </w:rPr>
              <w:t>响应方案唯一</w:t>
            </w:r>
          </w:p>
        </w:tc>
        <w:tc>
          <w:tcPr>
            <w:tcW w:w="6122" w:type="dxa"/>
            <w:vAlign w:val="center"/>
          </w:tcPr>
          <w:p w14:paraId="0719AE20">
            <w:pPr>
              <w:pStyle w:val="34"/>
              <w:rPr>
                <w:color w:val="auto"/>
                <w:highlight w:val="none"/>
              </w:rPr>
            </w:pPr>
            <w:r>
              <w:rPr>
                <w:rFonts w:hint="eastAsia"/>
                <w:color w:val="auto"/>
                <w:highlight w:val="none"/>
              </w:rPr>
              <w:t>只能有一个方案响应。</w:t>
            </w:r>
          </w:p>
        </w:tc>
      </w:tr>
      <w:tr w14:paraId="268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190AB98">
            <w:pPr>
              <w:rPr>
                <w:color w:val="auto"/>
                <w:highlight w:val="none"/>
              </w:rPr>
            </w:pPr>
          </w:p>
        </w:tc>
        <w:tc>
          <w:tcPr>
            <w:tcW w:w="1482" w:type="dxa"/>
            <w:vMerge w:val="continue"/>
            <w:tcBorders>
              <w:top w:val="single" w:color="auto" w:sz="4" w:space="0"/>
              <w:left w:val="single" w:color="auto" w:sz="4" w:space="0"/>
              <w:right w:val="single" w:color="auto" w:sz="4" w:space="0"/>
            </w:tcBorders>
          </w:tcPr>
          <w:p w14:paraId="256E6846">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ED42375">
            <w:pPr>
              <w:pStyle w:val="34"/>
              <w:rPr>
                <w:color w:val="auto"/>
                <w:highlight w:val="none"/>
              </w:rPr>
            </w:pPr>
            <w:r>
              <w:rPr>
                <w:rFonts w:hint="eastAsia"/>
                <w:color w:val="auto"/>
                <w:highlight w:val="none"/>
              </w:rPr>
              <w:t>响应报价</w:t>
            </w:r>
          </w:p>
        </w:tc>
        <w:tc>
          <w:tcPr>
            <w:tcW w:w="6122" w:type="dxa"/>
            <w:vAlign w:val="center"/>
          </w:tcPr>
          <w:p w14:paraId="7EC30955">
            <w:pPr>
              <w:pStyle w:val="34"/>
              <w:rPr>
                <w:color w:val="auto"/>
                <w:highlight w:val="none"/>
              </w:rPr>
            </w:pPr>
            <w:r>
              <w:rPr>
                <w:rFonts w:hint="eastAsia"/>
                <w:color w:val="auto"/>
                <w:highlight w:val="none"/>
              </w:rPr>
              <w:t>符合第二章“响应人须知”4.8 条规定</w:t>
            </w:r>
          </w:p>
        </w:tc>
      </w:tr>
      <w:tr w14:paraId="6444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D7A910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5B5D273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DB380D0">
            <w:pPr>
              <w:pStyle w:val="34"/>
              <w:rPr>
                <w:color w:val="auto"/>
                <w:highlight w:val="none"/>
              </w:rPr>
            </w:pPr>
            <w:r>
              <w:rPr>
                <w:rFonts w:hint="eastAsia"/>
                <w:color w:val="auto"/>
                <w:highlight w:val="none"/>
              </w:rPr>
              <w:t>响应有效期</w:t>
            </w:r>
          </w:p>
        </w:tc>
        <w:tc>
          <w:tcPr>
            <w:tcW w:w="6122" w:type="dxa"/>
          </w:tcPr>
          <w:p w14:paraId="7DBAF1FB">
            <w:pPr>
              <w:pStyle w:val="34"/>
              <w:rPr>
                <w:color w:val="auto"/>
                <w:highlight w:val="none"/>
              </w:rPr>
            </w:pPr>
            <w:r>
              <w:rPr>
                <w:rFonts w:hint="eastAsia"/>
                <w:color w:val="auto"/>
                <w:highlight w:val="none"/>
              </w:rPr>
              <w:t>符合第二章“响应人须知”4.4 条规定</w:t>
            </w:r>
          </w:p>
        </w:tc>
      </w:tr>
      <w:tr w14:paraId="51C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6DEE21">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A24E132">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B39FCB9">
            <w:pPr>
              <w:pStyle w:val="34"/>
              <w:rPr>
                <w:color w:val="auto"/>
                <w:highlight w:val="none"/>
              </w:rPr>
            </w:pPr>
            <w:r>
              <w:rPr>
                <w:rFonts w:hint="eastAsia"/>
                <w:color w:val="auto"/>
                <w:highlight w:val="none"/>
              </w:rPr>
              <w:t>响应保证金</w:t>
            </w:r>
          </w:p>
        </w:tc>
        <w:tc>
          <w:tcPr>
            <w:tcW w:w="6122" w:type="dxa"/>
          </w:tcPr>
          <w:p w14:paraId="17D1E56D">
            <w:pPr>
              <w:pStyle w:val="34"/>
              <w:rPr>
                <w:color w:val="auto"/>
                <w:highlight w:val="none"/>
              </w:rPr>
            </w:pPr>
            <w:r>
              <w:rPr>
                <w:rFonts w:hint="eastAsia"/>
                <w:color w:val="auto"/>
                <w:highlight w:val="none"/>
              </w:rPr>
              <w:t>符合第二章“响应人须知”4.5 条规定</w:t>
            </w:r>
          </w:p>
        </w:tc>
      </w:tr>
      <w:tr w14:paraId="02D6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820" w:type="dxa"/>
            <w:vMerge w:val="restart"/>
            <w:vAlign w:val="center"/>
          </w:tcPr>
          <w:p w14:paraId="33041165">
            <w:pPr>
              <w:pStyle w:val="34"/>
              <w:rPr>
                <w:color w:val="auto"/>
                <w:highlight w:val="none"/>
              </w:rPr>
            </w:pPr>
            <w:r>
              <w:rPr>
                <w:rFonts w:hint="eastAsia"/>
                <w:color w:val="auto"/>
                <w:highlight w:val="none"/>
              </w:rPr>
              <w:t>2.2</w:t>
            </w:r>
          </w:p>
        </w:tc>
        <w:tc>
          <w:tcPr>
            <w:tcW w:w="1482" w:type="dxa"/>
            <w:vMerge w:val="restart"/>
            <w:tcBorders>
              <w:top w:val="single" w:color="auto" w:sz="4" w:space="0"/>
              <w:left w:val="single" w:color="auto" w:sz="4" w:space="0"/>
              <w:right w:val="single" w:color="auto" w:sz="4" w:space="0"/>
            </w:tcBorders>
            <w:vAlign w:val="center"/>
          </w:tcPr>
          <w:p w14:paraId="4829D004">
            <w:pPr>
              <w:pStyle w:val="34"/>
              <w:rPr>
                <w:color w:val="auto"/>
                <w:highlight w:val="none"/>
              </w:rPr>
            </w:pPr>
            <w:r>
              <w:rPr>
                <w:rFonts w:hint="eastAsia"/>
                <w:color w:val="auto"/>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C759365">
            <w:pPr>
              <w:pStyle w:val="34"/>
              <w:rPr>
                <w:color w:val="auto"/>
                <w:highlight w:val="none"/>
              </w:rPr>
            </w:pPr>
            <w:r>
              <w:rPr>
                <w:rFonts w:hint="eastAsia"/>
                <w:color w:val="auto"/>
                <w:highlight w:val="none"/>
              </w:rPr>
              <w:t>分值构成与评分标准</w:t>
            </w:r>
          </w:p>
          <w:p w14:paraId="21DF0B98">
            <w:pPr>
              <w:pStyle w:val="34"/>
              <w:rPr>
                <w:color w:val="auto"/>
                <w:highlight w:val="none"/>
              </w:rPr>
            </w:pPr>
            <w:r>
              <w:rPr>
                <w:rFonts w:hint="eastAsia"/>
                <w:color w:val="auto"/>
                <w:highlight w:val="none"/>
              </w:rPr>
              <w:t>(总分1OO分)</w:t>
            </w:r>
          </w:p>
        </w:tc>
        <w:tc>
          <w:tcPr>
            <w:tcW w:w="6122" w:type="dxa"/>
            <w:vAlign w:val="center"/>
          </w:tcPr>
          <w:p w14:paraId="14DF40A0">
            <w:pPr>
              <w:pStyle w:val="34"/>
              <w:rPr>
                <w:b/>
                <w:bCs w:val="0"/>
                <w:color w:val="auto"/>
                <w:highlight w:val="none"/>
              </w:rPr>
            </w:pPr>
            <w:r>
              <w:rPr>
                <w:rFonts w:hint="eastAsia"/>
                <w:b/>
                <w:bCs w:val="0"/>
                <w:color w:val="auto"/>
                <w:highlight w:val="none"/>
              </w:rPr>
              <w:t>响应报价评分规则</w:t>
            </w:r>
            <w:r>
              <w:rPr>
                <w:b/>
                <w:bCs w:val="0"/>
                <w:color w:val="auto"/>
                <w:highlight w:val="none"/>
              </w:rPr>
              <w:t>（分值：50分）</w:t>
            </w:r>
          </w:p>
          <w:p w14:paraId="7B1148C9">
            <w:pPr>
              <w:pStyle w:val="34"/>
              <w:rPr>
                <w:color w:val="auto"/>
                <w:highlight w:val="none"/>
              </w:rPr>
            </w:pPr>
            <w:r>
              <w:rPr>
                <w:color w:val="auto"/>
                <w:highlight w:val="none"/>
              </w:rPr>
              <w:t>1.</w:t>
            </w:r>
            <w:r>
              <w:rPr>
                <w:rFonts w:hint="eastAsia"/>
                <w:color w:val="auto"/>
                <w:highlight w:val="none"/>
              </w:rPr>
              <w:t>以各有效报价（含税报价）之和的平均价格</w:t>
            </w:r>
            <w:r>
              <w:rPr>
                <w:color w:val="auto"/>
                <w:highlight w:val="none"/>
              </w:rPr>
              <w:t>作为</w:t>
            </w:r>
            <w:r>
              <w:rPr>
                <w:rFonts w:hint="eastAsia"/>
                <w:color w:val="auto"/>
                <w:highlight w:val="none"/>
              </w:rPr>
              <w:t>评审</w:t>
            </w:r>
            <w:r>
              <w:rPr>
                <w:color w:val="auto"/>
                <w:highlight w:val="none"/>
              </w:rPr>
              <w:t>基准价，基准分为50分；</w:t>
            </w:r>
          </w:p>
          <w:p w14:paraId="2D222067">
            <w:pPr>
              <w:pStyle w:val="34"/>
              <w:rPr>
                <w:color w:val="auto"/>
                <w:highlight w:val="none"/>
              </w:rPr>
            </w:pPr>
            <w:r>
              <w:rPr>
                <w:color w:val="auto"/>
                <w:highlight w:val="none"/>
              </w:rPr>
              <w:t>2.计算各有效报价与</w:t>
            </w:r>
            <w:r>
              <w:rPr>
                <w:rFonts w:hint="eastAsia"/>
                <w:color w:val="auto"/>
                <w:highlight w:val="none"/>
              </w:rPr>
              <w:t>评审</w:t>
            </w:r>
            <w:r>
              <w:rPr>
                <w:color w:val="auto"/>
                <w:highlight w:val="none"/>
              </w:rPr>
              <w:t>基准价的偏离度。偏离度=（有效报价/</w:t>
            </w:r>
            <w:r>
              <w:rPr>
                <w:rFonts w:hint="eastAsia"/>
                <w:color w:val="auto"/>
                <w:highlight w:val="none"/>
              </w:rPr>
              <w:t>评审</w:t>
            </w:r>
            <w:r>
              <w:rPr>
                <w:color w:val="auto"/>
                <w:highlight w:val="none"/>
              </w:rPr>
              <w:t>基准价-1）*100%；</w:t>
            </w:r>
          </w:p>
          <w:p w14:paraId="1338C831">
            <w:pPr>
              <w:pStyle w:val="34"/>
              <w:rPr>
                <w:color w:val="auto"/>
                <w:highlight w:val="none"/>
              </w:rPr>
            </w:pPr>
            <w:r>
              <w:rPr>
                <w:color w:val="auto"/>
                <w:highlight w:val="none"/>
              </w:rPr>
              <w:t>3.报价向上每偏离基准价的1%扣1分；扣完为止，不足1%的不予扣减；</w:t>
            </w:r>
          </w:p>
          <w:p w14:paraId="4A69D976">
            <w:pPr>
              <w:pStyle w:val="34"/>
              <w:rPr>
                <w:color w:val="auto"/>
                <w:highlight w:val="none"/>
              </w:rPr>
            </w:pPr>
            <w:r>
              <w:rPr>
                <w:rFonts w:hint="eastAsia"/>
                <w:color w:val="auto"/>
                <w:highlight w:val="none"/>
              </w:rPr>
              <w:t>4.</w:t>
            </w:r>
            <w:r>
              <w:rPr>
                <w:color w:val="auto"/>
                <w:highlight w:val="none"/>
              </w:rPr>
              <w:t>向下偏离基准价10%以内的，不扣分；向下偏离基准价超过10%的，在向下偏离基准价10%的基础上，向下偏离每多超过1%扣0.5分，扣完为止，不足1%的不予扣减。</w:t>
            </w:r>
          </w:p>
        </w:tc>
      </w:tr>
      <w:tr w14:paraId="4732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4CBCE427">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07639805">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35A77D8D">
            <w:pPr>
              <w:rPr>
                <w:color w:val="auto"/>
                <w:highlight w:val="none"/>
              </w:rPr>
            </w:pPr>
          </w:p>
        </w:tc>
        <w:tc>
          <w:tcPr>
            <w:tcW w:w="6122" w:type="dxa"/>
            <w:vAlign w:val="center"/>
          </w:tcPr>
          <w:p w14:paraId="2FD5F2AF">
            <w:pPr>
              <w:spacing w:line="240" w:lineRule="auto"/>
              <w:ind w:left="0" w:firstLine="0" w:firstLineChars="0"/>
              <w:jc w:val="left"/>
              <w:rPr>
                <w:rFonts w:hint="eastAsia"/>
                <w:b/>
                <w:bCs w:val="0"/>
                <w:color w:val="auto"/>
                <w:szCs w:val="18"/>
                <w:highlight w:val="none"/>
              </w:rPr>
            </w:pPr>
            <w:r>
              <w:rPr>
                <w:rFonts w:hint="eastAsia"/>
                <w:b/>
                <w:bCs w:val="0"/>
                <w:color w:val="auto"/>
                <w:szCs w:val="18"/>
                <w:highlight w:val="none"/>
              </w:rPr>
              <w:t>商务部分评分规则（分值：</w:t>
            </w:r>
            <w:r>
              <w:rPr>
                <w:b/>
                <w:bCs w:val="0"/>
                <w:color w:val="auto"/>
                <w:szCs w:val="18"/>
                <w:highlight w:val="none"/>
              </w:rPr>
              <w:t>35</w:t>
            </w:r>
            <w:r>
              <w:rPr>
                <w:rFonts w:hint="eastAsia"/>
                <w:b/>
                <w:bCs w:val="0"/>
                <w:color w:val="auto"/>
                <w:szCs w:val="18"/>
                <w:highlight w:val="none"/>
              </w:rPr>
              <w:t>分）</w:t>
            </w:r>
          </w:p>
          <w:p w14:paraId="39BC7BF0">
            <w:pPr>
              <w:pStyle w:val="42"/>
              <w:numPr>
                <w:ilvl w:val="0"/>
                <w:numId w:val="2"/>
              </w:numPr>
              <w:spacing w:line="240" w:lineRule="auto"/>
              <w:ind w:firstLineChars="0"/>
              <w:jc w:val="left"/>
              <w:rPr>
                <w:rFonts w:hint="eastAsia"/>
                <w:bCs/>
                <w:color w:val="auto"/>
                <w:szCs w:val="18"/>
                <w:highlight w:val="none"/>
              </w:rPr>
            </w:pPr>
            <w:r>
              <w:rPr>
                <w:rFonts w:hint="eastAsia"/>
                <w:bCs/>
                <w:color w:val="auto"/>
                <w:szCs w:val="18"/>
                <w:highlight w:val="none"/>
              </w:rPr>
              <w:t>产品资质（5分）</w:t>
            </w:r>
          </w:p>
          <w:p w14:paraId="060AE070">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产品具有原创性，非OEM，拥有完全的自主知识产权及软件著作权，提供国家级权威机构</w:t>
            </w:r>
            <w:r>
              <w:rPr>
                <w:rFonts w:hint="eastAsia"/>
                <w:bCs/>
                <w:color w:val="auto"/>
                <w:szCs w:val="18"/>
                <w:highlight w:val="none"/>
                <w:lang w:eastAsia="zh-CN"/>
              </w:rPr>
              <w:t>（</w:t>
            </w:r>
            <w:r>
              <w:rPr>
                <w:rFonts w:hint="eastAsia"/>
                <w:bCs/>
                <w:color w:val="auto"/>
                <w:szCs w:val="18"/>
                <w:highlight w:val="none"/>
                <w:lang w:val="en-US" w:eastAsia="zh-CN"/>
              </w:rPr>
              <w:t>国家版权局、中国赛宝实验室、中国信息通信研究院等</w:t>
            </w:r>
            <w:r>
              <w:rPr>
                <w:rFonts w:hint="eastAsia"/>
                <w:bCs/>
                <w:color w:val="auto"/>
                <w:szCs w:val="18"/>
                <w:highlight w:val="none"/>
                <w:lang w:eastAsia="zh-CN"/>
              </w:rPr>
              <w:t>）</w:t>
            </w:r>
            <w:r>
              <w:rPr>
                <w:rFonts w:hint="eastAsia"/>
                <w:bCs/>
                <w:color w:val="auto"/>
                <w:szCs w:val="18"/>
                <w:highlight w:val="none"/>
              </w:rPr>
              <w:t>证书或源代码扫描报告</w:t>
            </w:r>
            <w:r>
              <w:rPr>
                <w:bCs/>
                <w:color w:val="auto"/>
                <w:szCs w:val="18"/>
                <w:highlight w:val="none"/>
              </w:rPr>
              <w:t>，得5分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提供证书复印件或源代码扫描报告并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681443C6">
            <w:pPr>
              <w:pStyle w:val="42"/>
              <w:numPr>
                <w:ilvl w:val="0"/>
                <w:numId w:val="2"/>
              </w:numPr>
              <w:spacing w:line="240" w:lineRule="auto"/>
              <w:ind w:firstLineChars="0"/>
              <w:jc w:val="left"/>
              <w:rPr>
                <w:rFonts w:hint="eastAsia"/>
                <w:bCs/>
                <w:color w:val="auto"/>
                <w:szCs w:val="18"/>
                <w:highlight w:val="none"/>
              </w:rPr>
            </w:pPr>
            <w:r>
              <w:rPr>
                <w:rFonts w:hint="eastAsia"/>
                <w:bCs/>
                <w:color w:val="auto"/>
                <w:szCs w:val="18"/>
                <w:highlight w:val="none"/>
              </w:rPr>
              <w:t>国产化兼容性能力（5分）</w:t>
            </w:r>
          </w:p>
          <w:p w14:paraId="5A573FF4">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兼容海光或鲲鹏架构服务器，并提供国产</w:t>
            </w:r>
            <w:r>
              <w:rPr>
                <w:bCs/>
                <w:color w:val="auto"/>
                <w:szCs w:val="18"/>
                <w:highlight w:val="none"/>
              </w:rPr>
              <w:t>CPU整机</w:t>
            </w:r>
            <w:r>
              <w:rPr>
                <w:rFonts w:hint="eastAsia"/>
                <w:bCs/>
                <w:color w:val="auto"/>
                <w:szCs w:val="18"/>
                <w:highlight w:val="none"/>
              </w:rPr>
              <w:t>服务器厂商兼容性认证证书或官网截图，国产服务器认证机构数量超过5家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以上的得3分，超过8家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提供兼容性认证证书或官网截图并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2DB2EB4B">
            <w:pPr>
              <w:pStyle w:val="42"/>
              <w:numPr>
                <w:ilvl w:val="0"/>
                <w:numId w:val="2"/>
              </w:numPr>
              <w:spacing w:line="240" w:lineRule="auto"/>
              <w:ind w:firstLineChars="0"/>
              <w:jc w:val="left"/>
              <w:rPr>
                <w:rFonts w:hint="eastAsia"/>
                <w:bCs/>
                <w:color w:val="auto"/>
                <w:szCs w:val="18"/>
                <w:highlight w:val="none"/>
              </w:rPr>
            </w:pPr>
            <w:r>
              <w:rPr>
                <w:bCs/>
                <w:color w:val="auto"/>
                <w:szCs w:val="18"/>
                <w:highlight w:val="none"/>
              </w:rPr>
              <w:t>响应</w:t>
            </w:r>
            <w:r>
              <w:rPr>
                <w:rFonts w:hint="eastAsia"/>
                <w:bCs/>
                <w:color w:val="auto"/>
                <w:szCs w:val="18"/>
                <w:highlight w:val="none"/>
              </w:rPr>
              <w:t>产品案例（分值：</w:t>
            </w:r>
            <w:r>
              <w:rPr>
                <w:bCs/>
                <w:color w:val="auto"/>
                <w:szCs w:val="18"/>
                <w:highlight w:val="none"/>
              </w:rPr>
              <w:t>20</w:t>
            </w:r>
            <w:r>
              <w:rPr>
                <w:rFonts w:hint="eastAsia"/>
                <w:bCs/>
                <w:color w:val="auto"/>
                <w:szCs w:val="18"/>
                <w:highlight w:val="none"/>
              </w:rPr>
              <w:t>分）</w:t>
            </w:r>
          </w:p>
          <w:p w14:paraId="3DC312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有效案例需同时满足以下条件：</w:t>
            </w:r>
          </w:p>
          <w:p w14:paraId="13E0E3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（1）2022年1月1日至本响应文件发出日（以合同签订日期为准）的国内金融行业销售案例。</w:t>
            </w:r>
          </w:p>
          <w:p w14:paraId="614963B9">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2）案例须同时提供合同对应的发票之一（网上税务系统查询（https://inv-veri.chinatax.gov.cn/）该发票的截图，发票开具日期须晚于合同签订日期、发票购买方须与合同买方一致、发票销售方须与合同卖方（响应人）一致）及合同关键页复印件（合同关键页包含：甲乙双方名称、双方印章、项目名称、合同签订时间、服务范围。）。</w:t>
            </w:r>
          </w:p>
          <w:p w14:paraId="7D77C09B">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（3）响应人资质中要求的案例，不重复纳入计算。</w:t>
            </w:r>
          </w:p>
          <w:p w14:paraId="32293181">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案例认定标准：</w:t>
            </w:r>
          </w:p>
          <w:p w14:paraId="59A1121A">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（1）合同内容产品列表中明确包含“分布式块存储或超融合或超融合存储”等关键字；</w:t>
            </w:r>
          </w:p>
          <w:p w14:paraId="0AD8FDD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（2）合同证明材料中缺少上述内容或无法明确确定上述内容的视为无效案例。</w:t>
            </w:r>
          </w:p>
          <w:p w14:paraId="2106B31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计分标准：</w:t>
            </w:r>
          </w:p>
          <w:p w14:paraId="5489E03D">
            <w:pPr>
              <w:pStyle w:val="42"/>
              <w:numPr>
                <w:ilvl w:val="0"/>
                <w:numId w:val="3"/>
              </w:numPr>
              <w:spacing w:line="240" w:lineRule="auto"/>
              <w:ind w:firstLineChars="0"/>
              <w:jc w:val="left"/>
              <w:rPr>
                <w:rFonts w:hint="eastAsia"/>
                <w:bCs/>
                <w:color w:val="auto"/>
                <w:szCs w:val="18"/>
                <w:highlight w:val="none"/>
              </w:rPr>
            </w:pPr>
            <w:r>
              <w:rPr>
                <w:rFonts w:hint="eastAsia" w:hAnsi="仿宋"/>
                <w:color w:val="auto"/>
                <w:szCs w:val="18"/>
                <w:highlight w:val="none"/>
              </w:rPr>
              <w:t>六大国有银行（中、农、工、建、交、邮储）总行，计</w:t>
            </w:r>
            <w:r>
              <w:rPr>
                <w:rFonts w:hAnsi="仿宋"/>
                <w:color w:val="auto"/>
                <w:szCs w:val="18"/>
                <w:highlight w:val="none"/>
              </w:rPr>
              <w:t>3</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r>
              <w:rPr>
                <w:rFonts w:hint="eastAsia"/>
                <w:bCs/>
                <w:color w:val="auto"/>
                <w:szCs w:val="18"/>
                <w:highlight w:val="none"/>
              </w:rPr>
              <w:t>。</w:t>
            </w:r>
          </w:p>
          <w:p w14:paraId="78CA88F5">
            <w:pPr>
              <w:pStyle w:val="42"/>
              <w:numPr>
                <w:ilvl w:val="0"/>
                <w:numId w:val="3"/>
              </w:numPr>
              <w:spacing w:line="240" w:lineRule="auto"/>
              <w:ind w:firstLineChars="0"/>
              <w:jc w:val="left"/>
              <w:rPr>
                <w:rFonts w:hint="eastAsia"/>
                <w:bCs/>
                <w:color w:val="auto"/>
                <w:szCs w:val="18"/>
                <w:highlight w:val="none"/>
              </w:rPr>
            </w:pP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家全国性股份制银行（招商、浦发、兴业、民生、中信、光大、平安、广发、华夏、浙商、渤海、恒丰）总行案例，计</w:t>
            </w:r>
            <w:r>
              <w:rPr>
                <w:rFonts w:hAnsi="仿宋"/>
                <w:color w:val="auto"/>
                <w:szCs w:val="18"/>
                <w:highlight w:val="none"/>
              </w:rPr>
              <w:t>2</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4C8C3F47">
            <w:pPr>
              <w:pStyle w:val="42"/>
              <w:numPr>
                <w:ilvl w:val="0"/>
                <w:numId w:val="3"/>
              </w:numPr>
              <w:spacing w:line="240" w:lineRule="auto"/>
              <w:ind w:firstLineChars="0"/>
              <w:jc w:val="left"/>
              <w:rPr>
                <w:rFonts w:hint="eastAsia"/>
                <w:bCs/>
                <w:color w:val="auto"/>
                <w:szCs w:val="18"/>
                <w:highlight w:val="none"/>
              </w:rPr>
            </w:pPr>
            <w:r>
              <w:rPr>
                <w:rFonts w:hint="eastAsia" w:hAnsi="仿宋"/>
                <w:color w:val="auto"/>
                <w:szCs w:val="18"/>
                <w:highlight w:val="none"/>
              </w:rPr>
              <w:t>城商行或农商行总行或农村信用社联社、政策性银行总行的案例，六大国有银行（中、农、工、建、交、邮储）、</w:t>
            </w: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家全国性股份制银行（招商、浦发、兴业、民生、中信、光大、平安、广发、华夏、浙商、渤海、恒丰）分行案例，计</w:t>
            </w:r>
            <w:r>
              <w:rPr>
                <w:rFonts w:hAnsi="仿宋"/>
                <w:color w:val="auto"/>
                <w:szCs w:val="18"/>
                <w:highlight w:val="none"/>
              </w:rPr>
              <w:t>1.5</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29F3824D">
            <w:pPr>
              <w:pStyle w:val="42"/>
              <w:numPr>
                <w:ilvl w:val="0"/>
                <w:numId w:val="3"/>
              </w:numPr>
              <w:spacing w:line="240" w:lineRule="auto"/>
              <w:ind w:firstLineChars="0"/>
              <w:jc w:val="left"/>
              <w:rPr>
                <w:rFonts w:hint="eastAsia"/>
                <w:bCs/>
                <w:color w:val="auto"/>
                <w:szCs w:val="18"/>
                <w:highlight w:val="none"/>
              </w:rPr>
            </w:pPr>
            <w:r>
              <w:rPr>
                <w:rFonts w:hint="eastAsia"/>
                <w:bCs/>
                <w:color w:val="auto"/>
                <w:szCs w:val="18"/>
                <w:highlight w:val="none"/>
              </w:rPr>
              <w:t>其他金融行业（</w:t>
            </w:r>
            <w:r>
              <w:rPr>
                <w:bCs/>
                <w:color w:val="auto"/>
                <w:szCs w:val="18"/>
                <w:highlight w:val="none"/>
              </w:rPr>
              <w:t>保险、</w:t>
            </w:r>
            <w:r>
              <w:rPr>
                <w:rFonts w:hint="eastAsia"/>
                <w:bCs/>
                <w:color w:val="auto"/>
                <w:szCs w:val="18"/>
                <w:highlight w:val="none"/>
              </w:rPr>
              <w:t>证券</w:t>
            </w:r>
            <w:r>
              <w:rPr>
                <w:bCs/>
                <w:color w:val="auto"/>
                <w:szCs w:val="18"/>
                <w:highlight w:val="none"/>
              </w:rPr>
              <w:t>、期货</w:t>
            </w:r>
            <w:r>
              <w:rPr>
                <w:rFonts w:hint="eastAsia"/>
                <w:bCs/>
                <w:color w:val="auto"/>
                <w:szCs w:val="18"/>
                <w:highlight w:val="none"/>
              </w:rPr>
              <w:t>等）总部的案例，计</w:t>
            </w:r>
            <w:r>
              <w:rPr>
                <w:bCs/>
                <w:color w:val="auto"/>
                <w:szCs w:val="18"/>
                <w:highlight w:val="none"/>
              </w:rPr>
              <w:t>1</w:t>
            </w:r>
            <w:r>
              <w:rPr>
                <w:rFonts w:hint="eastAsia"/>
                <w:bCs/>
                <w:color w:val="auto"/>
                <w:szCs w:val="18"/>
                <w:highlight w:val="none"/>
              </w:rPr>
              <w:t>分/个。</w:t>
            </w:r>
          </w:p>
          <w:p w14:paraId="0B02E530">
            <w:pPr>
              <w:spacing w:line="240" w:lineRule="auto"/>
              <w:ind w:firstLine="420" w:firstLineChars="0"/>
              <w:jc w:val="left"/>
              <w:rPr>
                <w:rFonts w:hint="eastAsia"/>
                <w:bCs/>
                <w:color w:val="auto"/>
                <w:szCs w:val="18"/>
                <w:highlight w:val="none"/>
              </w:rPr>
            </w:pPr>
            <w:r>
              <w:rPr>
                <w:rFonts w:hint="eastAsia"/>
                <w:bCs/>
                <w:color w:val="auto"/>
                <w:szCs w:val="18"/>
                <w:highlight w:val="none"/>
              </w:rPr>
              <w:t>案例部分总分不超过</w:t>
            </w:r>
            <w:r>
              <w:rPr>
                <w:bCs/>
                <w:color w:val="auto"/>
                <w:szCs w:val="18"/>
                <w:highlight w:val="none"/>
              </w:rPr>
              <w:t>20</w:t>
            </w:r>
            <w:r>
              <w:rPr>
                <w:rFonts w:hint="eastAsia"/>
                <w:bCs/>
                <w:color w:val="auto"/>
                <w:szCs w:val="18"/>
                <w:highlight w:val="none"/>
              </w:rPr>
              <w:t>分。</w:t>
            </w:r>
            <w:r>
              <w:rPr>
                <w:rFonts w:ascii="Times New Roman" w:hAnsi="Times New Roman" w:cs="Times New Roman"/>
                <w:b/>
                <w:color w:val="auto"/>
                <w:szCs w:val="21"/>
                <w:highlight w:val="none"/>
                <w:shd w:val="clear" w:color="auto" w:fill="auto"/>
                <w:lang w:bidi="ar-SA"/>
              </w:rPr>
              <w:t>【以上材料均需加盖单位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55713291">
            <w:pPr>
              <w:pStyle w:val="42"/>
              <w:numPr>
                <w:ilvl w:val="0"/>
                <w:numId w:val="2"/>
              </w:numPr>
              <w:spacing w:line="240" w:lineRule="auto"/>
              <w:ind w:firstLineChars="0"/>
              <w:jc w:val="left"/>
              <w:rPr>
                <w:rFonts w:hint="eastAsia"/>
                <w:bCs/>
                <w:color w:val="auto"/>
                <w:szCs w:val="18"/>
                <w:highlight w:val="none"/>
              </w:rPr>
            </w:pPr>
            <w:r>
              <w:rPr>
                <w:rFonts w:hint="eastAsia"/>
                <w:bCs/>
                <w:color w:val="auto"/>
                <w:szCs w:val="18"/>
                <w:highlight w:val="none"/>
              </w:rPr>
              <w:t>服务响应要求（5分）</w:t>
            </w:r>
          </w:p>
          <w:p w14:paraId="0038FED6">
            <w:pPr>
              <w:pStyle w:val="42"/>
              <w:numPr>
                <w:ilvl w:val="0"/>
                <w:numId w:val="4"/>
              </w:numPr>
              <w:spacing w:line="240" w:lineRule="auto"/>
              <w:ind w:firstLineChars="0"/>
              <w:jc w:val="left"/>
              <w:rPr>
                <w:rFonts w:hint="eastAsia" w:hAnsi="仿宋"/>
                <w:color w:val="auto"/>
                <w:szCs w:val="18"/>
                <w:highlight w:val="none"/>
              </w:rPr>
            </w:pPr>
            <w:r>
              <w:rPr>
                <w:rFonts w:hint="eastAsia" w:hAnsi="仿宋"/>
                <w:color w:val="auto"/>
                <w:szCs w:val="18"/>
                <w:highlight w:val="none"/>
              </w:rPr>
              <w:t>项目实施要求产品原厂人员进行实施并提供售后服务，产品厂商</w:t>
            </w:r>
            <w:r>
              <w:rPr>
                <w:rFonts w:hint="eastAsia" w:hAnsi="仿宋"/>
                <w:color w:val="auto"/>
                <w:szCs w:val="18"/>
                <w:highlight w:val="none"/>
                <w:lang w:val="en-US" w:eastAsia="zh-CN"/>
              </w:rPr>
              <w:t>需</w:t>
            </w:r>
            <w:r>
              <w:rPr>
                <w:rFonts w:hint="eastAsia" w:hAnsi="仿宋"/>
                <w:color w:val="auto"/>
                <w:szCs w:val="18"/>
                <w:highlight w:val="none"/>
              </w:rPr>
              <w:t>在重庆本地有原厂技术人员</w:t>
            </w:r>
            <w:r>
              <w:rPr>
                <w:rFonts w:hint="eastAsia" w:hAnsi="仿宋"/>
                <w:color w:val="auto"/>
                <w:szCs w:val="18"/>
                <w:highlight w:val="none"/>
                <w:lang w:eastAsia="zh-CN"/>
              </w:rPr>
              <w:t>，</w:t>
            </w:r>
            <w:r>
              <w:rPr>
                <w:rFonts w:hint="eastAsia" w:hAnsi="仿宋"/>
                <w:color w:val="auto"/>
                <w:szCs w:val="18"/>
                <w:highlight w:val="none"/>
                <w:lang w:val="en-US" w:eastAsia="zh-CN"/>
              </w:rPr>
              <w:t>不得外包其他单位员工</w:t>
            </w:r>
            <w:r>
              <w:rPr>
                <w:rFonts w:hint="eastAsia" w:hAnsi="仿宋"/>
                <w:color w:val="auto"/>
                <w:szCs w:val="18"/>
                <w:highlight w:val="none"/>
              </w:rPr>
              <w:t>（</w:t>
            </w:r>
            <w:r>
              <w:rPr>
                <w:rFonts w:hint="eastAsia" w:hAnsi="仿宋"/>
                <w:color w:val="auto"/>
                <w:szCs w:val="18"/>
                <w:highlight w:val="none"/>
                <w:lang w:val="en-US" w:eastAsia="zh-CN"/>
              </w:rPr>
              <w:t>原厂需提供承诺函证明原厂人员身份同时提供原厂或第三方公司为其缴纳的连续六个月社保证明</w:t>
            </w:r>
            <w:r>
              <w:rPr>
                <w:rFonts w:hint="eastAsia" w:hAnsi="仿宋"/>
                <w:color w:val="auto"/>
                <w:szCs w:val="18"/>
                <w:highlight w:val="none"/>
              </w:rPr>
              <w:t>，并加盖产品厂商公章），满足得3分，不满足得0分；【</w:t>
            </w:r>
            <w:r>
              <w:rPr>
                <w:rFonts w:hint="eastAsia" w:hAnsi="仿宋"/>
                <w:color w:val="auto"/>
                <w:szCs w:val="18"/>
                <w:highlight w:val="none"/>
                <w:lang w:val="en-US" w:eastAsia="zh-CN"/>
              </w:rPr>
              <w:t>提供原厂人员身份承诺函及社保证明并</w:t>
            </w:r>
            <w:r>
              <w:rPr>
                <w:rFonts w:hint="eastAsia" w:hAnsi="仿宋"/>
                <w:color w:val="auto"/>
                <w:szCs w:val="18"/>
                <w:highlight w:val="none"/>
              </w:rPr>
              <w:t>加盖单位</w:t>
            </w:r>
            <w:r>
              <w:rPr>
                <w:rFonts w:hint="eastAsia" w:hAnsi="仿宋"/>
                <w:color w:val="auto"/>
                <w:szCs w:val="18"/>
                <w:highlight w:val="none"/>
                <w:lang w:val="en-US" w:eastAsia="zh-CN"/>
              </w:rPr>
              <w:t>公</w:t>
            </w:r>
            <w:r>
              <w:rPr>
                <w:rFonts w:hint="eastAsia" w:hAnsi="仿宋"/>
                <w:color w:val="auto"/>
                <w:szCs w:val="18"/>
                <w:highlight w:val="none"/>
              </w:rPr>
              <w:t>章】</w:t>
            </w:r>
          </w:p>
          <w:p w14:paraId="4353F753">
            <w:pPr>
              <w:pStyle w:val="42"/>
              <w:numPr>
                <w:ilvl w:val="0"/>
                <w:numId w:val="4"/>
              </w:numPr>
              <w:spacing w:line="240" w:lineRule="auto"/>
              <w:ind w:firstLineChars="0"/>
              <w:jc w:val="left"/>
              <w:rPr>
                <w:rFonts w:hint="eastAsia" w:hAnsi="仿宋"/>
                <w:color w:val="auto"/>
                <w:szCs w:val="18"/>
                <w:highlight w:val="none"/>
              </w:rPr>
            </w:pPr>
            <w:r>
              <w:rPr>
                <w:rFonts w:hint="eastAsia" w:hAnsi="仿宋"/>
                <w:color w:val="auto"/>
                <w:szCs w:val="18"/>
                <w:highlight w:val="none"/>
              </w:rPr>
              <w:t>售后响应级别为7</w:t>
            </w:r>
            <w:r>
              <w:rPr>
                <w:rFonts w:hint="default" w:ascii="Arial" w:hAnsi="Arial" w:cs="Arial"/>
                <w:color w:val="auto"/>
                <w:szCs w:val="18"/>
                <w:highlight w:val="none"/>
              </w:rPr>
              <w:t>×</w:t>
            </w:r>
            <w:r>
              <w:rPr>
                <w:rFonts w:hint="eastAsia" w:hAnsi="仿宋"/>
                <w:color w:val="auto"/>
                <w:szCs w:val="18"/>
                <w:highlight w:val="none"/>
              </w:rPr>
              <w:t>24</w:t>
            </w:r>
            <w:r>
              <w:rPr>
                <w:rFonts w:hint="default" w:ascii="Arial" w:hAnsi="Arial" w:cs="Arial"/>
                <w:color w:val="auto"/>
                <w:szCs w:val="18"/>
                <w:highlight w:val="none"/>
              </w:rPr>
              <w:t>×</w:t>
            </w:r>
            <w:r>
              <w:rPr>
                <w:rFonts w:hint="eastAsia" w:hAnsi="仿宋"/>
                <w:color w:val="auto"/>
                <w:szCs w:val="18"/>
                <w:highlight w:val="none"/>
              </w:rPr>
              <w:t>2（一周7天，每天24小时，2小时到达现场）</w:t>
            </w:r>
            <w:r>
              <w:rPr>
                <w:rFonts w:hint="eastAsia" w:hAnsi="仿宋"/>
                <w:color w:val="auto"/>
                <w:szCs w:val="18"/>
                <w:highlight w:val="none"/>
                <w:lang w:eastAsia="zh-CN"/>
              </w:rPr>
              <w:t>，</w:t>
            </w:r>
            <w:r>
              <w:rPr>
                <w:rFonts w:hint="eastAsia" w:hAnsi="仿宋"/>
                <w:color w:val="auto"/>
                <w:szCs w:val="18"/>
                <w:highlight w:val="none"/>
                <w:lang w:val="en-US" w:eastAsia="zh-CN"/>
              </w:rPr>
              <w:t>根据响应人提供的售后服务承诺函的情况进行评审，满足</w:t>
            </w:r>
            <w:r>
              <w:rPr>
                <w:rFonts w:hint="eastAsia" w:hAnsi="仿宋"/>
                <w:color w:val="auto"/>
                <w:szCs w:val="18"/>
                <w:highlight w:val="none"/>
              </w:rPr>
              <w:t>得2分，不</w:t>
            </w:r>
            <w:r>
              <w:rPr>
                <w:rFonts w:hint="eastAsia" w:hAnsi="仿宋"/>
                <w:color w:val="auto"/>
                <w:szCs w:val="18"/>
                <w:highlight w:val="none"/>
                <w:lang w:val="en-US" w:eastAsia="zh-CN"/>
              </w:rPr>
              <w:t>满足</w:t>
            </w:r>
            <w:r>
              <w:rPr>
                <w:rFonts w:hint="eastAsia" w:hAnsi="仿宋"/>
                <w:color w:val="auto"/>
                <w:szCs w:val="18"/>
                <w:highlight w:val="none"/>
              </w:rPr>
              <w:t>得0分；</w:t>
            </w:r>
          </w:p>
          <w:p w14:paraId="1B1BE77E">
            <w:pPr>
              <w:pStyle w:val="42"/>
              <w:ind w:firstLine="0" w:firstLineChars="0"/>
              <w:jc w:val="left"/>
              <w:rPr>
                <w:rFonts w:hint="eastAsia"/>
                <w:b/>
                <w:bCs w:val="0"/>
                <w:color w:val="auto"/>
                <w:szCs w:val="18"/>
                <w:highlight w:val="none"/>
              </w:rPr>
            </w:pPr>
            <w:r>
              <w:rPr>
                <w:rFonts w:hint="eastAsia"/>
                <w:b/>
                <w:bCs w:val="0"/>
                <w:color w:val="auto"/>
                <w:szCs w:val="18"/>
                <w:highlight w:val="none"/>
              </w:rPr>
              <w:t>技术部分评分规则（分值：15分）</w:t>
            </w:r>
          </w:p>
          <w:p w14:paraId="6A21BEAC">
            <w:pPr>
              <w:pStyle w:val="42"/>
              <w:ind w:firstLine="0" w:firstLineChars="0"/>
              <w:jc w:val="left"/>
              <w:rPr>
                <w:rFonts w:hint="eastAsia"/>
                <w:b/>
                <w:bCs w:val="0"/>
                <w:color w:val="auto"/>
                <w:szCs w:val="18"/>
                <w:highlight w:val="none"/>
              </w:rPr>
            </w:pPr>
            <w:r>
              <w:rPr>
                <w:rFonts w:hint="eastAsia"/>
                <w:b/>
                <w:bCs w:val="0"/>
                <w:color w:val="auto"/>
                <w:szCs w:val="18"/>
                <w:highlight w:val="none"/>
              </w:rPr>
              <w:t>关键技术指标（15分）</w:t>
            </w:r>
          </w:p>
          <w:p w14:paraId="3D0EAF8E">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1、</w:t>
            </w:r>
            <w:r>
              <w:rPr>
                <w:rFonts w:hint="eastAsia"/>
                <w:bCs/>
                <w:color w:val="auto"/>
                <w:szCs w:val="18"/>
                <w:highlight w:val="none"/>
              </w:rPr>
              <w:t>支持机架感应（3分）</w:t>
            </w:r>
          </w:p>
          <w:p w14:paraId="17AB4D3E">
            <w:pPr>
              <w:ind w:left="49"/>
              <w:jc w:val="left"/>
              <w:rPr>
                <w:rFonts w:hint="eastAsia"/>
                <w:bCs/>
                <w:color w:val="auto"/>
                <w:szCs w:val="18"/>
                <w:highlight w:val="none"/>
              </w:rPr>
            </w:pPr>
            <w:r>
              <w:rPr>
                <w:rFonts w:hint="eastAsia"/>
                <w:bCs/>
                <w:color w:val="auto"/>
                <w:szCs w:val="18"/>
                <w:highlight w:val="none"/>
              </w:rPr>
              <w:t>具备基于服务器机架拓扑智能分布副本，防止数据的多个副本放置在同一机架空间内。避免出现由于单一机架的电源或网络故障造成的数据无法访问。支持通过图形界面调整节点所在的机架位置，后台自动根据拓扑重新分布副本位置。满足得3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并加</w:t>
            </w:r>
            <w:r>
              <w:rPr>
                <w:rFonts w:ascii="Times New Roman" w:hAnsi="Times New Roman" w:cs="Times New Roman"/>
                <w:b/>
                <w:color w:val="auto"/>
                <w:szCs w:val="21"/>
                <w:highlight w:val="none"/>
                <w:shd w:val="clear" w:color="auto" w:fill="auto"/>
                <w:lang w:bidi="ar-SA"/>
              </w:rPr>
              <w:t>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注：截图中必须包含机架配置或机架感应或智能感应等关键字</w:t>
            </w:r>
            <w:r>
              <w:rPr>
                <w:rFonts w:hint="eastAsia"/>
                <w:bCs/>
                <w:color w:val="auto"/>
                <w:szCs w:val="18"/>
                <w:highlight w:val="none"/>
                <w:lang w:eastAsia="zh-CN"/>
              </w:rPr>
              <w:t>】</w:t>
            </w:r>
          </w:p>
          <w:p w14:paraId="7476EA18">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2、</w:t>
            </w:r>
            <w:r>
              <w:rPr>
                <w:rFonts w:hint="eastAsia"/>
                <w:bCs/>
                <w:color w:val="auto"/>
                <w:szCs w:val="18"/>
                <w:highlight w:val="none"/>
              </w:rPr>
              <w:t>支持NoF协议（2分）</w:t>
            </w:r>
          </w:p>
          <w:p w14:paraId="0959CE4D">
            <w:pPr>
              <w:jc w:val="left"/>
              <w:rPr>
                <w:rFonts w:hint="eastAsia"/>
                <w:bCs/>
                <w:color w:val="auto"/>
                <w:szCs w:val="18"/>
                <w:highlight w:val="none"/>
              </w:rPr>
            </w:pPr>
            <w:r>
              <w:rPr>
                <w:rFonts w:hint="eastAsia"/>
                <w:bCs/>
                <w:color w:val="auto"/>
                <w:szCs w:val="18"/>
                <w:highlight w:val="none"/>
              </w:rPr>
              <w:t>支持计算端通过 NVMe over Farbric 协议接入存储，可支持 NVMe over RDMA 和 NVMe over TCP 两种协议，提升存储接入速度。满足得2分，部分满足或者不满足得0分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注：截图中必须包含NoF或NVMe subsystem 或</w:t>
            </w:r>
            <w:r>
              <w:rPr>
                <w:rFonts w:hint="eastAsia"/>
                <w:bCs/>
                <w:color w:val="auto"/>
                <w:szCs w:val="18"/>
                <w:highlight w:val="none"/>
              </w:rPr>
              <w:t>NVMe over Farbric</w:t>
            </w:r>
            <w:r>
              <w:rPr>
                <w:rFonts w:hint="eastAsia"/>
                <w:bCs/>
                <w:color w:val="auto"/>
                <w:szCs w:val="18"/>
                <w:highlight w:val="none"/>
                <w:lang w:val="en-US" w:eastAsia="zh-CN"/>
              </w:rPr>
              <w:t>等关键字</w:t>
            </w:r>
            <w:r>
              <w:rPr>
                <w:rFonts w:hint="eastAsia"/>
                <w:bCs/>
                <w:color w:val="auto"/>
                <w:szCs w:val="18"/>
                <w:highlight w:val="none"/>
                <w:lang w:eastAsia="zh-CN"/>
              </w:rPr>
              <w:t>】</w:t>
            </w:r>
          </w:p>
          <w:p w14:paraId="17963E99">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3、</w:t>
            </w:r>
            <w:r>
              <w:rPr>
                <w:rFonts w:hint="eastAsia"/>
                <w:bCs/>
                <w:color w:val="auto"/>
                <w:szCs w:val="18"/>
                <w:highlight w:val="none"/>
              </w:rPr>
              <w:t>高性能指标（10分）</w:t>
            </w:r>
          </w:p>
          <w:p w14:paraId="26326C8C">
            <w:pPr>
              <w:ind w:left="49"/>
              <w:jc w:val="left"/>
              <w:rPr>
                <w:rFonts w:hint="eastAsia"/>
                <w:bCs/>
                <w:color w:val="auto"/>
                <w:szCs w:val="18"/>
                <w:highlight w:val="none"/>
              </w:rPr>
            </w:pPr>
            <w:r>
              <w:rPr>
                <w:rFonts w:hint="eastAsia"/>
                <w:bCs/>
                <w:color w:val="auto"/>
                <w:szCs w:val="18"/>
                <w:highlight w:val="none"/>
              </w:rPr>
              <w:t>使用fio或者vdbench工具，在五节点相同配置的鲲鹏或者海光服务器下（服务器硬件配置参考</w:t>
            </w:r>
            <w:r>
              <w:rPr>
                <w:bCs/>
                <w:color w:val="auto"/>
                <w:szCs w:val="18"/>
                <w:highlight w:val="none"/>
              </w:rPr>
              <w:t>下文</w:t>
            </w:r>
            <w:r>
              <w:rPr>
                <w:rFonts w:hint="eastAsia"/>
                <w:bCs/>
                <w:color w:val="auto"/>
                <w:szCs w:val="18"/>
                <w:highlight w:val="none"/>
              </w:rPr>
              <w:t>“服务器配置建议”），客户端使用iSCSI协议访问实测性能要求如下：</w:t>
            </w:r>
          </w:p>
          <w:p w14:paraId="321DB43C">
            <w:pPr>
              <w:ind w:left="49"/>
              <w:jc w:val="left"/>
              <w:rPr>
                <w:rFonts w:hint="eastAsia"/>
                <w:bCs/>
                <w:color w:val="auto"/>
                <w:szCs w:val="18"/>
                <w:highlight w:val="none"/>
              </w:rPr>
            </w:pPr>
            <w:r>
              <w:rPr>
                <w:rFonts w:hint="eastAsia"/>
                <w:bCs/>
                <w:color w:val="auto"/>
                <w:szCs w:val="18"/>
                <w:highlight w:val="none"/>
              </w:rPr>
              <w:t>4K块大小下：混合读写IOPS总和（随机读写比7:3）</w:t>
            </w:r>
          </w:p>
          <w:p w14:paraId="5E64C310">
            <w:pPr>
              <w:ind w:left="49"/>
              <w:jc w:val="left"/>
              <w:rPr>
                <w:rFonts w:hint="eastAsia"/>
                <w:bCs/>
                <w:color w:val="auto"/>
                <w:szCs w:val="18"/>
                <w:highlight w:val="none"/>
              </w:rPr>
            </w:pPr>
            <w:r>
              <w:rPr>
                <w:rFonts w:hint="eastAsia"/>
                <w:bCs/>
                <w:color w:val="auto"/>
                <w:szCs w:val="18"/>
                <w:highlight w:val="none"/>
              </w:rPr>
              <w:t>IOPS＞400,000，得5分；</w:t>
            </w:r>
          </w:p>
          <w:p w14:paraId="3FE23F91">
            <w:pPr>
              <w:ind w:left="49"/>
              <w:jc w:val="left"/>
              <w:rPr>
                <w:rFonts w:hint="eastAsia"/>
                <w:bCs/>
                <w:color w:val="auto"/>
                <w:szCs w:val="18"/>
                <w:highlight w:val="none"/>
              </w:rPr>
            </w:pPr>
            <w:r>
              <w:rPr>
                <w:rFonts w:hint="eastAsia"/>
                <w:bCs/>
                <w:color w:val="auto"/>
                <w:szCs w:val="18"/>
                <w:highlight w:val="none"/>
              </w:rPr>
              <w:t>250,000≤IOPS≤400,000，得3分；</w:t>
            </w:r>
          </w:p>
          <w:p w14:paraId="5B3786AA">
            <w:pPr>
              <w:ind w:left="49"/>
              <w:jc w:val="left"/>
              <w:rPr>
                <w:rFonts w:hint="eastAsia"/>
                <w:bCs/>
                <w:color w:val="auto"/>
                <w:szCs w:val="18"/>
                <w:highlight w:val="none"/>
              </w:rPr>
            </w:pPr>
            <w:r>
              <w:rPr>
                <w:rFonts w:hint="eastAsia"/>
                <w:bCs/>
                <w:color w:val="auto"/>
                <w:szCs w:val="18"/>
                <w:highlight w:val="none"/>
              </w:rPr>
              <w:t>IOPS＜250,000,得0分；</w:t>
            </w:r>
          </w:p>
          <w:p w14:paraId="2F1288F4">
            <w:pPr>
              <w:ind w:left="49"/>
              <w:jc w:val="left"/>
              <w:rPr>
                <w:rFonts w:hint="eastAsia"/>
                <w:bCs/>
                <w:color w:val="auto"/>
                <w:szCs w:val="18"/>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cs="Times New Roman"/>
                <w:b/>
                <w:color w:val="auto"/>
                <w:szCs w:val="21"/>
                <w:highlight w:val="none"/>
                <w:shd w:val="clear" w:color="auto" w:fill="auto"/>
                <w:lang w:val="en-US" w:eastAsia="zh-CN" w:bidi="ar-SA"/>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p>
          <w:p w14:paraId="3354A343">
            <w:pPr>
              <w:ind w:left="49"/>
              <w:jc w:val="left"/>
              <w:rPr>
                <w:rFonts w:hint="eastAsia"/>
                <w:bCs/>
                <w:color w:val="auto"/>
                <w:szCs w:val="18"/>
                <w:highlight w:val="none"/>
              </w:rPr>
            </w:pPr>
            <w:r>
              <w:rPr>
                <w:rFonts w:hint="eastAsia"/>
                <w:bCs/>
                <w:color w:val="auto"/>
                <w:szCs w:val="18"/>
                <w:highlight w:val="none"/>
              </w:rPr>
              <w:t>8K块大小下：混合读写IOPS总和（随机读写比7:3）</w:t>
            </w:r>
          </w:p>
          <w:p w14:paraId="0DFCA7CF">
            <w:pPr>
              <w:ind w:left="49"/>
              <w:jc w:val="left"/>
              <w:rPr>
                <w:rFonts w:hint="eastAsia"/>
                <w:bCs/>
                <w:color w:val="auto"/>
                <w:szCs w:val="18"/>
                <w:highlight w:val="none"/>
              </w:rPr>
            </w:pPr>
            <w:r>
              <w:rPr>
                <w:rFonts w:hint="eastAsia"/>
                <w:bCs/>
                <w:color w:val="auto"/>
                <w:szCs w:val="18"/>
                <w:highlight w:val="none"/>
              </w:rPr>
              <w:t>IOPS＞300,000，得5分；</w:t>
            </w:r>
          </w:p>
          <w:p w14:paraId="226ECB0A">
            <w:pPr>
              <w:ind w:left="49"/>
              <w:jc w:val="left"/>
              <w:rPr>
                <w:rFonts w:hint="eastAsia"/>
                <w:bCs/>
                <w:color w:val="auto"/>
                <w:szCs w:val="18"/>
                <w:highlight w:val="none"/>
              </w:rPr>
            </w:pPr>
            <w:r>
              <w:rPr>
                <w:rFonts w:hint="eastAsia"/>
                <w:bCs/>
                <w:color w:val="auto"/>
                <w:szCs w:val="18"/>
                <w:highlight w:val="none"/>
              </w:rPr>
              <w:t>200,000≤IOPS≤300,000，得3分；</w:t>
            </w:r>
          </w:p>
          <w:p w14:paraId="40255C07">
            <w:pPr>
              <w:ind w:left="49"/>
              <w:jc w:val="left"/>
              <w:rPr>
                <w:rFonts w:hint="eastAsia"/>
                <w:bCs/>
                <w:color w:val="auto"/>
                <w:szCs w:val="18"/>
                <w:highlight w:val="none"/>
              </w:rPr>
            </w:pPr>
            <w:r>
              <w:rPr>
                <w:rFonts w:hint="eastAsia"/>
                <w:bCs/>
                <w:color w:val="auto"/>
                <w:szCs w:val="18"/>
                <w:highlight w:val="none"/>
              </w:rPr>
              <w:t>IOPS＜200,000,得0分；</w:t>
            </w:r>
          </w:p>
          <w:p w14:paraId="39C0E9F3">
            <w:pPr>
              <w:pStyle w:val="34"/>
              <w:ind w:firstLine="420" w:firstLineChars="200"/>
              <w:rPr>
                <w:color w:val="auto"/>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tc>
      </w:tr>
      <w:tr w14:paraId="0F2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FBCE0AE">
            <w:pPr>
              <w:pStyle w:val="34"/>
              <w:rPr>
                <w:color w:val="auto"/>
                <w:highlight w:val="none"/>
              </w:rPr>
            </w:pPr>
            <w:r>
              <w:rPr>
                <w:rFonts w:hint="eastAsia"/>
                <w:color w:val="auto"/>
                <w:highlight w:val="none"/>
              </w:rPr>
              <w:t>3</w:t>
            </w:r>
          </w:p>
        </w:tc>
        <w:tc>
          <w:tcPr>
            <w:tcW w:w="1482" w:type="dxa"/>
            <w:tcBorders>
              <w:top w:val="single" w:color="auto" w:sz="4" w:space="0"/>
              <w:left w:val="single" w:color="auto" w:sz="4" w:space="0"/>
              <w:right w:val="single" w:color="auto" w:sz="4" w:space="0"/>
            </w:tcBorders>
            <w:vAlign w:val="center"/>
          </w:tcPr>
          <w:p w14:paraId="61878D37">
            <w:pPr>
              <w:pStyle w:val="34"/>
              <w:rPr>
                <w:color w:val="auto"/>
                <w:highlight w:val="none"/>
              </w:rPr>
            </w:pPr>
            <w:r>
              <w:rPr>
                <w:rFonts w:hint="eastAsia"/>
                <w:color w:val="auto"/>
                <w:highlight w:val="none"/>
              </w:rPr>
              <w:t>评审程序</w:t>
            </w:r>
          </w:p>
        </w:tc>
        <w:tc>
          <w:tcPr>
            <w:tcW w:w="7808" w:type="dxa"/>
            <w:gridSpan w:val="3"/>
          </w:tcPr>
          <w:p w14:paraId="5DB76408">
            <w:pPr>
              <w:pStyle w:val="34"/>
              <w:rPr>
                <w:color w:val="auto"/>
                <w:highlight w:val="none"/>
              </w:rPr>
            </w:pPr>
            <w:r>
              <w:rPr>
                <w:rFonts w:hint="eastAsia"/>
                <w:color w:val="auto"/>
                <w:highlight w:val="none"/>
              </w:rPr>
              <w:t>1.初步评审前，按本章第3.1.3项的规定对响应报价有算术性错误的进行算术性错误修正。</w:t>
            </w:r>
          </w:p>
          <w:p w14:paraId="60B190FE">
            <w:pPr>
              <w:pStyle w:val="34"/>
              <w:rPr>
                <w:color w:val="auto"/>
                <w:highlight w:val="none"/>
              </w:rPr>
            </w:pPr>
            <w:r>
              <w:rPr>
                <w:rFonts w:hint="eastAsia"/>
                <w:color w:val="auto"/>
                <w:highlight w:val="none"/>
              </w:rPr>
              <w:t>2.评审委员会对响应文件进行初步评审。</w:t>
            </w:r>
          </w:p>
          <w:p w14:paraId="1DF40A97">
            <w:pPr>
              <w:pStyle w:val="34"/>
              <w:rPr>
                <w:color w:val="auto"/>
                <w:highlight w:val="none"/>
              </w:rPr>
            </w:pPr>
            <w:r>
              <w:rPr>
                <w:rFonts w:hint="eastAsia"/>
                <w:color w:val="auto"/>
                <w:highlight w:val="none"/>
              </w:rPr>
              <w:t>3.初步评审合格的响应文件进行详细评审。主观评审部分由各专家独立评审打分，最后取平均得分，保留2位小数。</w:t>
            </w:r>
          </w:p>
          <w:p w14:paraId="35D8305C">
            <w:pPr>
              <w:pStyle w:val="34"/>
              <w:rPr>
                <w:color w:val="auto"/>
                <w:highlight w:val="none"/>
              </w:rPr>
            </w:pPr>
            <w:r>
              <w:rPr>
                <w:rFonts w:hint="eastAsia"/>
                <w:color w:val="auto"/>
                <w:highlight w:val="none"/>
              </w:rPr>
              <w:t>4.根据综合得分由高至低进行排序，推荐1-3家合格的成交候选人。并依次为第一、二、三成交候选人。</w:t>
            </w:r>
          </w:p>
        </w:tc>
      </w:tr>
      <w:tr w14:paraId="63A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F77E610">
            <w:pPr>
              <w:pStyle w:val="34"/>
              <w:rPr>
                <w:color w:val="auto"/>
                <w:highlight w:val="none"/>
              </w:rPr>
            </w:pPr>
            <w:r>
              <w:rPr>
                <w:rFonts w:hint="eastAsia"/>
                <w:color w:val="auto"/>
                <w:highlight w:val="none"/>
              </w:rPr>
              <w:t>3.2.3</w:t>
            </w:r>
          </w:p>
        </w:tc>
        <w:tc>
          <w:tcPr>
            <w:tcW w:w="1511" w:type="dxa"/>
            <w:tcBorders>
              <w:top w:val="single" w:color="auto" w:sz="4" w:space="0"/>
              <w:left w:val="single" w:color="auto" w:sz="4" w:space="0"/>
              <w:right w:val="single" w:color="auto" w:sz="4" w:space="0"/>
            </w:tcBorders>
            <w:vAlign w:val="center"/>
          </w:tcPr>
          <w:p w14:paraId="3343D31F">
            <w:pPr>
              <w:pStyle w:val="34"/>
              <w:rPr>
                <w:color w:val="auto"/>
                <w:highlight w:val="none"/>
              </w:rPr>
            </w:pPr>
            <w:r>
              <w:rPr>
                <w:rFonts w:hint="eastAsia"/>
                <w:color w:val="auto"/>
                <w:highlight w:val="none"/>
              </w:rPr>
              <w:t>响应人得分</w:t>
            </w:r>
          </w:p>
        </w:tc>
        <w:tc>
          <w:tcPr>
            <w:tcW w:w="6297" w:type="dxa"/>
            <w:gridSpan w:val="2"/>
            <w:vAlign w:val="center"/>
          </w:tcPr>
          <w:p w14:paraId="3DF09A4C">
            <w:pPr>
              <w:pStyle w:val="34"/>
              <w:rPr>
                <w:color w:val="auto"/>
                <w:highlight w:val="none"/>
              </w:rPr>
            </w:pPr>
            <w:r>
              <w:rPr>
                <w:rFonts w:hint="eastAsia"/>
                <w:color w:val="auto"/>
                <w:highlight w:val="none"/>
              </w:rPr>
              <w:t>响应人得分=响应报价得分+商务部分得分+技术部分得分</w:t>
            </w:r>
          </w:p>
        </w:tc>
      </w:tr>
      <w:bookmarkEnd w:id="75"/>
    </w:tbl>
    <w:p w14:paraId="4CB5401D">
      <w:pPr>
        <w:ind w:firstLine="0" w:firstLineChars="0"/>
        <w:rPr>
          <w:rFonts w:ascii="宋体" w:hAnsi="宋体" w:cs="宋体"/>
          <w:snapToGrid w:val="0"/>
          <w:color w:val="auto"/>
          <w:szCs w:val="21"/>
          <w:highlight w:val="none"/>
        </w:rPr>
      </w:pPr>
      <w:bookmarkStart w:id="76" w:name="_Toc21111"/>
      <w:bookmarkStart w:id="77" w:name="_Toc636"/>
    </w:p>
    <w:p w14:paraId="73FBB394">
      <w:pPr>
        <w:ind w:firstLine="0" w:firstLineChars="0"/>
        <w:rPr>
          <w:rFonts w:ascii="宋体" w:hAnsi="宋体" w:cs="宋体"/>
          <w:snapToGrid w:val="0"/>
          <w:color w:val="auto"/>
          <w:szCs w:val="21"/>
          <w:highlight w:val="none"/>
        </w:rPr>
      </w:pPr>
      <w:r>
        <w:rPr>
          <w:rFonts w:ascii="宋体" w:hAnsi="宋体" w:cs="宋体"/>
          <w:snapToGrid w:val="0"/>
          <w:color w:val="auto"/>
          <w:szCs w:val="21"/>
          <w:highlight w:val="none"/>
        </w:rPr>
        <w:t>高性能指标服务器配置建议表如下：</w:t>
      </w:r>
    </w:p>
    <w:p w14:paraId="5D53862A">
      <w:pPr>
        <w:ind w:firstLine="0" w:firstLineChars="0"/>
        <w:rPr>
          <w:rFonts w:ascii="宋体" w:hAnsi="宋体" w:cs="宋体"/>
          <w:snapToGrid w:val="0"/>
          <w:color w:val="auto"/>
          <w:szCs w:val="21"/>
          <w:highlight w:val="none"/>
        </w:rPr>
      </w:pPr>
    </w:p>
    <w:tbl>
      <w:tblPr>
        <w:tblStyle w:val="20"/>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6978"/>
      </w:tblGrid>
      <w:tr w14:paraId="7010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9" w:type="dxa"/>
            <w:tcBorders>
              <w:tl2br w:val="nil"/>
              <w:tr2bl w:val="nil"/>
            </w:tcBorders>
            <w:vAlign w:val="center"/>
          </w:tcPr>
          <w:p w14:paraId="4D071356">
            <w:pPr>
              <w:ind w:left="0" w:firstLine="0" w:firstLineChars="0"/>
              <w:jc w:val="both"/>
              <w:rPr>
                <w:rFonts w:hint="eastAsia"/>
                <w:b/>
                <w:color w:val="auto"/>
                <w:highlight w:val="none"/>
              </w:rPr>
            </w:pPr>
            <w:r>
              <w:rPr>
                <w:rFonts w:hint="eastAsia"/>
                <w:b/>
                <w:color w:val="auto"/>
                <w:highlight w:val="none"/>
              </w:rPr>
              <w:t>产品</w:t>
            </w:r>
          </w:p>
          <w:p w14:paraId="059728CC">
            <w:pPr>
              <w:ind w:left="0" w:firstLine="0" w:firstLineChars="0"/>
              <w:jc w:val="both"/>
              <w:rPr>
                <w:rFonts w:hint="eastAsia"/>
                <w:b/>
                <w:color w:val="auto"/>
                <w:highlight w:val="none"/>
              </w:rPr>
            </w:pPr>
            <w:r>
              <w:rPr>
                <w:rFonts w:hint="eastAsia"/>
                <w:b/>
                <w:color w:val="auto"/>
                <w:highlight w:val="none"/>
              </w:rPr>
              <w:t>名称</w:t>
            </w:r>
          </w:p>
        </w:tc>
        <w:tc>
          <w:tcPr>
            <w:tcW w:w="6978" w:type="dxa"/>
            <w:tcBorders>
              <w:tl2br w:val="nil"/>
              <w:tr2bl w:val="nil"/>
            </w:tcBorders>
            <w:vAlign w:val="center"/>
          </w:tcPr>
          <w:p w14:paraId="3ED25B9C">
            <w:pPr>
              <w:ind w:left="252"/>
              <w:jc w:val="center"/>
              <w:rPr>
                <w:rFonts w:hint="eastAsia"/>
                <w:b/>
                <w:color w:val="auto"/>
                <w:highlight w:val="none"/>
              </w:rPr>
            </w:pPr>
            <w:r>
              <w:rPr>
                <w:rFonts w:hint="eastAsia"/>
                <w:b/>
                <w:color w:val="auto"/>
                <w:highlight w:val="none"/>
              </w:rPr>
              <w:t>服务器配置建议</w:t>
            </w:r>
          </w:p>
        </w:tc>
      </w:tr>
      <w:tr w14:paraId="08D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9" w:type="dxa"/>
            <w:tcBorders>
              <w:tl2br w:val="nil"/>
              <w:tr2bl w:val="nil"/>
            </w:tcBorders>
            <w:vAlign w:val="center"/>
          </w:tcPr>
          <w:p w14:paraId="64896786">
            <w:pPr>
              <w:spacing w:line="360" w:lineRule="auto"/>
              <w:ind w:left="0" w:firstLine="0" w:firstLineChars="0"/>
              <w:jc w:val="both"/>
              <w:rPr>
                <w:rFonts w:hint="eastAsia"/>
                <w:color w:val="auto"/>
                <w:sz w:val="18"/>
                <w:szCs w:val="18"/>
                <w:highlight w:val="none"/>
              </w:rPr>
            </w:pPr>
            <w:r>
              <w:rPr>
                <w:color w:val="auto"/>
                <w:sz w:val="18"/>
                <w:szCs w:val="18"/>
                <w:highlight w:val="none"/>
              </w:rPr>
              <w:t>服务器</w:t>
            </w:r>
          </w:p>
        </w:tc>
        <w:tc>
          <w:tcPr>
            <w:tcW w:w="6978" w:type="dxa"/>
            <w:tcBorders>
              <w:tl2br w:val="nil"/>
              <w:tr2bl w:val="nil"/>
            </w:tcBorders>
            <w:vAlign w:val="center"/>
          </w:tcPr>
          <w:p w14:paraId="019168FD">
            <w:pPr>
              <w:spacing w:line="360" w:lineRule="auto"/>
              <w:ind w:left="0" w:firstLine="0" w:firstLineChars="0"/>
              <w:jc w:val="left"/>
              <w:rPr>
                <w:rFonts w:hint="eastAsia"/>
                <w:color w:val="auto"/>
                <w:sz w:val="18"/>
                <w:szCs w:val="18"/>
                <w:highlight w:val="none"/>
              </w:rPr>
            </w:pPr>
            <w:r>
              <w:rPr>
                <w:color w:val="auto"/>
                <w:sz w:val="18"/>
                <w:szCs w:val="18"/>
                <w:highlight w:val="none"/>
              </w:rPr>
              <w:t>2路机架式服务器（2U）</w:t>
            </w:r>
          </w:p>
          <w:p w14:paraId="5EC773B2">
            <w:pPr>
              <w:spacing w:line="360" w:lineRule="auto"/>
              <w:ind w:left="0" w:firstLine="0" w:firstLineChars="0"/>
              <w:jc w:val="left"/>
              <w:rPr>
                <w:rFonts w:hint="eastAsia"/>
                <w:color w:val="auto"/>
                <w:sz w:val="18"/>
                <w:szCs w:val="18"/>
                <w:highlight w:val="none"/>
              </w:rPr>
            </w:pPr>
            <w:r>
              <w:rPr>
                <w:color w:val="auto"/>
                <w:sz w:val="18"/>
                <w:szCs w:val="18"/>
                <w:highlight w:val="none"/>
              </w:rPr>
              <w:t>CPU：2*鲲鹏920 5250(48C/2.6GHz)</w:t>
            </w:r>
            <w:r>
              <w:rPr>
                <w:rFonts w:hint="eastAsia"/>
                <w:color w:val="auto"/>
                <w:sz w:val="18"/>
                <w:szCs w:val="18"/>
                <w:highlight w:val="none"/>
              </w:rPr>
              <w:t>或</w:t>
            </w:r>
            <w:r>
              <w:rPr>
                <w:color w:val="auto"/>
                <w:sz w:val="18"/>
                <w:szCs w:val="18"/>
                <w:highlight w:val="none"/>
              </w:rPr>
              <w:t>2 * 海光7360(24C/2.2GHz)</w:t>
            </w:r>
            <w:r>
              <w:rPr>
                <w:rFonts w:hint="eastAsia"/>
                <w:color w:val="auto"/>
                <w:sz w:val="18"/>
                <w:szCs w:val="18"/>
                <w:highlight w:val="none"/>
              </w:rPr>
              <w:t>；</w:t>
            </w:r>
          </w:p>
          <w:p w14:paraId="068FE6ED">
            <w:pPr>
              <w:spacing w:line="360" w:lineRule="auto"/>
              <w:ind w:left="0" w:firstLine="0" w:firstLineChars="0"/>
              <w:jc w:val="left"/>
              <w:rPr>
                <w:rFonts w:hint="eastAsia"/>
                <w:color w:val="auto"/>
                <w:sz w:val="18"/>
                <w:szCs w:val="18"/>
                <w:highlight w:val="none"/>
              </w:rPr>
            </w:pPr>
            <w:r>
              <w:rPr>
                <w:color w:val="auto"/>
                <w:sz w:val="18"/>
                <w:szCs w:val="18"/>
                <w:highlight w:val="none"/>
              </w:rPr>
              <w:t>内存：256G</w:t>
            </w:r>
            <w:r>
              <w:rPr>
                <w:rFonts w:hint="eastAsia"/>
                <w:color w:val="auto"/>
                <w:sz w:val="18"/>
                <w:szCs w:val="18"/>
                <w:highlight w:val="none"/>
              </w:rPr>
              <w:t>B</w:t>
            </w:r>
            <w:r>
              <w:rPr>
                <w:color w:val="auto"/>
                <w:sz w:val="18"/>
                <w:szCs w:val="18"/>
                <w:highlight w:val="none"/>
              </w:rPr>
              <w:t>（8 * 32GB DDR4 ECC RDIMM 3200，最大支持32个内存扩展插槽）</w:t>
            </w:r>
          </w:p>
          <w:p w14:paraId="2468A48F">
            <w:pPr>
              <w:spacing w:line="360" w:lineRule="auto"/>
              <w:ind w:left="0" w:firstLine="0" w:firstLineChars="0"/>
              <w:jc w:val="left"/>
              <w:rPr>
                <w:rFonts w:hint="eastAsia"/>
                <w:color w:val="auto"/>
                <w:sz w:val="18"/>
                <w:szCs w:val="18"/>
                <w:highlight w:val="none"/>
              </w:rPr>
            </w:pPr>
            <w:r>
              <w:rPr>
                <w:color w:val="auto"/>
                <w:sz w:val="18"/>
                <w:szCs w:val="18"/>
                <w:highlight w:val="none"/>
              </w:rPr>
              <w:t>硬盘：</w:t>
            </w:r>
            <w:r>
              <w:rPr>
                <w:rFonts w:hint="eastAsia" w:ascii="宋体" w:hAnsi="宋体"/>
                <w:color w:val="auto"/>
                <w:sz w:val="18"/>
                <w:highlight w:val="none"/>
              </w:rPr>
              <w:t>系统盘（前置）</w:t>
            </w:r>
            <w:r>
              <w:rPr>
                <w:color w:val="auto"/>
                <w:sz w:val="18"/>
                <w:szCs w:val="18"/>
                <w:highlight w:val="none"/>
              </w:rPr>
              <w:t>2块</w:t>
            </w:r>
            <w:r>
              <w:rPr>
                <w:rFonts w:hint="eastAsia" w:ascii="宋体" w:hAnsi="宋体"/>
                <w:color w:val="auto"/>
                <w:sz w:val="18"/>
                <w:szCs w:val="18"/>
                <w:highlight w:val="none"/>
              </w:rPr>
              <w:t>960GB 2.5寸可热插拔6Gb/s SATA SSD （含托架，DWPD≥1,性能等级：4K随机写IOPS≥30,000）</w:t>
            </w:r>
            <w:r>
              <w:rPr>
                <w:color w:val="auto"/>
                <w:sz w:val="18"/>
                <w:szCs w:val="18"/>
                <w:highlight w:val="none"/>
              </w:rPr>
              <w:t>；缓存盘（后置）2块3.2TB 2.5寸PCIe4.0*4 可热插拔 NVMe SSD（</w:t>
            </w:r>
            <w:r>
              <w:rPr>
                <w:rFonts w:hint="eastAsia"/>
                <w:color w:val="auto"/>
                <w:sz w:val="18"/>
                <w:szCs w:val="18"/>
                <w:highlight w:val="none"/>
              </w:rPr>
              <w:t>含托架，</w:t>
            </w:r>
            <w:r>
              <w:rPr>
                <w:color w:val="auto"/>
                <w:sz w:val="18"/>
                <w:szCs w:val="18"/>
                <w:highlight w:val="none"/>
              </w:rPr>
              <w:t>DWPD≥3，性能等级:4K随机写IOPS&gt;100,000）；数据盘（前置）8 块 3.84TB 2.5寸可热插拔SATA SSD（读写均衡型，DWPD≥3,性能等级:4K随机写IOPS≥30,000）</w:t>
            </w:r>
          </w:p>
          <w:p w14:paraId="72166AC7">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背板：</w:t>
            </w:r>
            <w:r>
              <w:rPr>
                <w:color w:val="auto"/>
                <w:sz w:val="18"/>
                <w:szCs w:val="18"/>
                <w:highlight w:val="none"/>
              </w:rPr>
              <w:t>后置4*2.5寸硬盘背板，支持4块2.5寸PCIe4.0*4 可热插拔 NVMe SSD硬盘；前置25*2.5寸硬盘背板，支持25块2.5寸可热插拔SATA SSD硬盘</w:t>
            </w:r>
          </w:p>
          <w:p w14:paraId="1B72E0C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网卡：1*4端口千兆自适应电口网卡，3*双端口SFP+万兆光口网卡（满配光模块）</w:t>
            </w:r>
          </w:p>
          <w:p w14:paraId="4FA4636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PCIE:支持PCIE4.0标准插槽≥6</w:t>
            </w:r>
          </w:p>
          <w:p w14:paraId="7D444EAE">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阵列卡：阵列卡*1，4G缓存，16端口，配置超级电容保护，能管理前置25块2.5寸可热插拔SATA SSD硬盘，支持直通且支持RAID 0/1/10/5/6（两种模式能同时工作）</w:t>
            </w:r>
            <w:r>
              <w:rPr>
                <w:rFonts w:ascii="宋体" w:hAnsi="宋体"/>
                <w:color w:val="auto"/>
                <w:sz w:val="18"/>
                <w:szCs w:val="18"/>
                <w:highlight w:val="none"/>
              </w:rPr>
              <w:t>;</w:t>
            </w:r>
            <w:r>
              <w:rPr>
                <w:rFonts w:hint="eastAsia" w:ascii="宋体" w:hAnsi="宋体"/>
                <w:color w:val="auto"/>
                <w:sz w:val="18"/>
                <w:szCs w:val="18"/>
                <w:highlight w:val="none"/>
              </w:rPr>
              <w:t>管理：能够实时监控各部件模块，支持故障告警、硬件日志收集、远程IP KVM、虚拟介质、远程开关机及远程控制台等功能</w:t>
            </w:r>
          </w:p>
          <w:p w14:paraId="4D8916E0">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风扇：全冗余、热插拨</w:t>
            </w:r>
          </w:p>
          <w:p w14:paraId="2FB1967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电源：满配热插拨全冗余电源模块</w:t>
            </w:r>
          </w:p>
        </w:tc>
      </w:tr>
    </w:tbl>
    <w:p w14:paraId="006ACDD4">
      <w:pPr>
        <w:ind w:firstLine="0" w:firstLineChars="0"/>
        <w:rPr>
          <w:rFonts w:ascii="宋体" w:hAnsi="宋体" w:cs="宋体"/>
          <w:snapToGrid w:val="0"/>
          <w:color w:val="auto"/>
          <w:szCs w:val="21"/>
          <w:highlight w:val="none"/>
        </w:rPr>
        <w:sectPr>
          <w:pgSz w:w="11906" w:h="16838"/>
          <w:pgMar w:top="1440" w:right="1800" w:bottom="1440" w:left="1800" w:header="851" w:footer="992" w:gutter="0"/>
          <w:cols w:space="720" w:num="1"/>
          <w:docGrid w:type="lines" w:linePitch="312" w:charSpace="0"/>
        </w:sectPr>
      </w:pPr>
    </w:p>
    <w:p w14:paraId="7FE4E0A1">
      <w:pPr>
        <w:pStyle w:val="3"/>
        <w:rPr>
          <w:color w:val="auto"/>
          <w:highlight w:val="none"/>
        </w:rPr>
      </w:pPr>
      <w:bookmarkStart w:id="78" w:name="_Toc28684"/>
      <w:bookmarkStart w:id="79" w:name="_Toc27234"/>
      <w:bookmarkStart w:id="80" w:name="_Toc18283"/>
      <w:r>
        <w:rPr>
          <w:rFonts w:hint="eastAsia"/>
          <w:color w:val="auto"/>
          <w:highlight w:val="none"/>
        </w:rPr>
        <w:t>1. 评审方法</w:t>
      </w:r>
      <w:bookmarkEnd w:id="76"/>
      <w:bookmarkEnd w:id="77"/>
      <w:bookmarkEnd w:id="78"/>
      <w:bookmarkEnd w:id="79"/>
      <w:bookmarkEnd w:id="80"/>
    </w:p>
    <w:p w14:paraId="511B5590">
      <w:pPr>
        <w:rPr>
          <w:color w:val="auto"/>
          <w:highlight w:val="none"/>
        </w:rPr>
      </w:pPr>
      <w:bookmarkStart w:id="81" w:name="_Toc277082619"/>
      <w:bookmarkStart w:id="82" w:name="_Toc287607813"/>
      <w:bookmarkStart w:id="83" w:name="_Toc377067339"/>
      <w:bookmarkStart w:id="84" w:name="_Toc440022827"/>
      <w:bookmarkStart w:id="85" w:name="_Toc330569206"/>
      <w:bookmarkStart w:id="86" w:name="_Toc287620752"/>
      <w:bookmarkStart w:id="87" w:name="_Toc377115419"/>
      <w:bookmarkStart w:id="88" w:name="_Toc224103385"/>
      <w:bookmarkStart w:id="89" w:name="_Toc200513199"/>
      <w:bookmarkStart w:id="90" w:name="_Toc407195379"/>
      <w:bookmarkStart w:id="91" w:name="_Toc376114120"/>
      <w:r>
        <w:rPr>
          <w:rFonts w:hint="eastAsia"/>
          <w:color w:val="auto"/>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706CF9B5">
      <w:pPr>
        <w:pStyle w:val="3"/>
        <w:rPr>
          <w:color w:val="auto"/>
          <w:highlight w:val="none"/>
        </w:rPr>
      </w:pPr>
      <w:bookmarkStart w:id="92" w:name="_Toc16716"/>
      <w:bookmarkStart w:id="93" w:name="_Toc444155968"/>
      <w:bookmarkStart w:id="94" w:name="_Toc23969"/>
      <w:bookmarkStart w:id="95" w:name="_Toc765"/>
      <w:bookmarkStart w:id="96" w:name="_Toc27406"/>
      <w:bookmarkStart w:id="97" w:name="_Toc2274"/>
      <w:bookmarkStart w:id="98" w:name="_Toc5950"/>
      <w:bookmarkStart w:id="99" w:name="_Toc31615"/>
      <w:bookmarkStart w:id="100" w:name="_Toc27931"/>
      <w:r>
        <w:rPr>
          <w:rFonts w:hint="eastAsia"/>
          <w:color w:val="auto"/>
          <w:highlight w:val="none"/>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B5FEE78">
      <w:pPr>
        <w:pStyle w:val="4"/>
        <w:rPr>
          <w:color w:val="auto"/>
          <w:highlight w:val="none"/>
        </w:rPr>
      </w:pPr>
      <w:bookmarkStart w:id="101" w:name="_Toc444155969"/>
      <w:bookmarkStart w:id="102" w:name="_Toc440022828"/>
      <w:bookmarkStart w:id="103" w:name="_Toc224103386"/>
      <w:bookmarkStart w:id="104" w:name="_Toc16537"/>
      <w:bookmarkStart w:id="105" w:name="_Toc377115420"/>
      <w:bookmarkStart w:id="106" w:name="_Toc10533"/>
      <w:bookmarkStart w:id="107" w:name="_Toc200513200"/>
      <w:bookmarkStart w:id="108" w:name="_Toc277082620"/>
      <w:bookmarkStart w:id="109" w:name="_Toc330569207"/>
      <w:bookmarkStart w:id="110" w:name="_Toc287620753"/>
      <w:bookmarkStart w:id="111" w:name="_Toc376114121"/>
      <w:bookmarkStart w:id="112" w:name="_Toc377067340"/>
      <w:bookmarkStart w:id="113" w:name="_Toc407195380"/>
      <w:bookmarkStart w:id="114" w:name="_Toc1358"/>
      <w:bookmarkStart w:id="115" w:name="_Toc23425"/>
      <w:bookmarkStart w:id="116" w:name="_Toc21593"/>
      <w:bookmarkStart w:id="117" w:name="_Toc287607814"/>
      <w:bookmarkStart w:id="118" w:name="_Toc11839"/>
      <w:bookmarkStart w:id="119" w:name="_Toc7584"/>
      <w:r>
        <w:rPr>
          <w:rFonts w:hint="eastAsia"/>
          <w:color w:val="auto"/>
          <w:highlight w:val="none"/>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E0EAE5B">
      <w:pPr>
        <w:rPr>
          <w:color w:val="auto"/>
          <w:highlight w:val="none"/>
        </w:rPr>
      </w:pPr>
      <w:r>
        <w:rPr>
          <w:rFonts w:hint="eastAsia"/>
          <w:color w:val="auto"/>
          <w:highlight w:val="none"/>
        </w:rPr>
        <w:t>2.1.1 资格评审标准：见评审办法前附表。</w:t>
      </w:r>
    </w:p>
    <w:p w14:paraId="5CC6A1B7">
      <w:pPr>
        <w:rPr>
          <w:color w:val="auto"/>
          <w:highlight w:val="none"/>
        </w:rPr>
      </w:pPr>
      <w:r>
        <w:rPr>
          <w:rFonts w:hint="eastAsia"/>
          <w:color w:val="auto"/>
          <w:highlight w:val="none"/>
        </w:rPr>
        <w:t>2.1.2 形式评审标准：见评审办法前附表。</w:t>
      </w:r>
    </w:p>
    <w:p w14:paraId="0C72D377">
      <w:pPr>
        <w:rPr>
          <w:color w:val="auto"/>
          <w:highlight w:val="none"/>
        </w:rPr>
      </w:pPr>
      <w:r>
        <w:rPr>
          <w:rFonts w:hint="eastAsia"/>
          <w:color w:val="auto"/>
          <w:highlight w:val="none"/>
        </w:rPr>
        <w:t>2.1.3 响应性评审标准：见评审办法前附表。</w:t>
      </w:r>
    </w:p>
    <w:p w14:paraId="5099356A">
      <w:pPr>
        <w:pStyle w:val="4"/>
        <w:rPr>
          <w:color w:val="auto"/>
          <w:highlight w:val="none"/>
        </w:rPr>
      </w:pPr>
      <w:bookmarkStart w:id="120" w:name="_Toc407195381"/>
      <w:bookmarkStart w:id="121" w:name="_Toc377115421"/>
      <w:bookmarkStart w:id="122" w:name="_Toc25129"/>
      <w:bookmarkStart w:id="123" w:name="_Toc287607815"/>
      <w:bookmarkStart w:id="124" w:name="_Toc287620754"/>
      <w:bookmarkStart w:id="125" w:name="_Toc444155970"/>
      <w:bookmarkStart w:id="126" w:name="_Toc200513201"/>
      <w:bookmarkStart w:id="127" w:name="_Toc20840"/>
      <w:bookmarkStart w:id="128" w:name="_Toc440022829"/>
      <w:bookmarkStart w:id="129" w:name="_Toc377067341"/>
      <w:bookmarkStart w:id="130" w:name="_Toc23296"/>
      <w:bookmarkStart w:id="131" w:name="_Toc6503"/>
      <w:bookmarkStart w:id="132" w:name="_Toc376114122"/>
      <w:bookmarkStart w:id="133" w:name="_Toc9090"/>
      <w:bookmarkStart w:id="134" w:name="_Toc1387"/>
      <w:bookmarkStart w:id="135" w:name="_Toc224103387"/>
      <w:bookmarkStart w:id="136" w:name="_Toc330569208"/>
      <w:bookmarkStart w:id="137" w:name="_Toc2340"/>
      <w:bookmarkStart w:id="138" w:name="_Toc277082621"/>
      <w:r>
        <w:rPr>
          <w:rFonts w:hint="eastAsia"/>
          <w:color w:val="auto"/>
          <w:highlight w:val="none"/>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9C33F8A">
      <w:pPr>
        <w:rPr>
          <w:color w:val="auto"/>
          <w:highlight w:val="none"/>
        </w:rPr>
      </w:pPr>
      <w:r>
        <w:rPr>
          <w:rFonts w:hint="eastAsia"/>
          <w:color w:val="auto"/>
          <w:highlight w:val="none"/>
        </w:rPr>
        <w:t xml:space="preserve">2.2.1 分值构成：见评审办法前附表。 </w:t>
      </w:r>
    </w:p>
    <w:p w14:paraId="064D3F65">
      <w:pPr>
        <w:rPr>
          <w:color w:val="auto"/>
          <w:highlight w:val="none"/>
        </w:rPr>
      </w:pPr>
      <w:r>
        <w:rPr>
          <w:rFonts w:hint="eastAsia"/>
          <w:color w:val="auto"/>
          <w:highlight w:val="none"/>
        </w:rPr>
        <w:t>2.2.2 评审基准价计算方法：见评审办法前附表。</w:t>
      </w:r>
    </w:p>
    <w:p w14:paraId="06951375">
      <w:pPr>
        <w:rPr>
          <w:color w:val="auto"/>
          <w:highlight w:val="none"/>
        </w:rPr>
      </w:pPr>
      <w:r>
        <w:rPr>
          <w:rFonts w:hint="eastAsia"/>
          <w:color w:val="auto"/>
          <w:highlight w:val="none"/>
        </w:rPr>
        <w:t>2.2.3 评分标准： （1）响应报价评分标准：见评审办法前附表；</w:t>
      </w:r>
    </w:p>
    <w:p w14:paraId="28BF8245">
      <w:pPr>
        <w:ind w:left="1680"/>
        <w:rPr>
          <w:color w:val="auto"/>
          <w:highlight w:val="none"/>
        </w:rPr>
      </w:pPr>
      <w:r>
        <w:rPr>
          <w:rFonts w:hint="eastAsia"/>
          <w:color w:val="auto"/>
          <w:highlight w:val="none"/>
        </w:rPr>
        <w:t>（2）商务部分评分标准：见评审办法前附表；</w:t>
      </w:r>
    </w:p>
    <w:p w14:paraId="6EEFDD9E">
      <w:pPr>
        <w:ind w:left="1680"/>
        <w:rPr>
          <w:color w:val="auto"/>
          <w:highlight w:val="none"/>
        </w:rPr>
      </w:pPr>
      <w:r>
        <w:rPr>
          <w:rFonts w:hint="eastAsia"/>
          <w:color w:val="auto"/>
          <w:highlight w:val="none"/>
        </w:rPr>
        <w:t>（3）技术部分评分标准：见评审办法前附表。</w:t>
      </w:r>
    </w:p>
    <w:p w14:paraId="6797120A">
      <w:pPr>
        <w:pStyle w:val="3"/>
        <w:rPr>
          <w:color w:val="auto"/>
          <w:highlight w:val="none"/>
        </w:rPr>
      </w:pPr>
      <w:bookmarkStart w:id="139" w:name="_Toc8004"/>
      <w:bookmarkStart w:id="140" w:name="_Toc287620755"/>
      <w:bookmarkStart w:id="141" w:name="_Toc12538"/>
      <w:bookmarkStart w:id="142" w:name="_Toc330569209"/>
      <w:bookmarkStart w:id="143" w:name="_Toc14353"/>
      <w:bookmarkStart w:id="144" w:name="_Toc200513202"/>
      <w:bookmarkStart w:id="145" w:name="_Toc9488"/>
      <w:bookmarkStart w:id="146" w:name="_Toc23633"/>
      <w:bookmarkStart w:id="147" w:name="_Toc287607816"/>
      <w:bookmarkStart w:id="148" w:name="_Toc377067342"/>
      <w:bookmarkStart w:id="149" w:name="_Toc224103388"/>
      <w:bookmarkStart w:id="150" w:name="_Toc440022830"/>
      <w:bookmarkStart w:id="151" w:name="_Toc2982"/>
      <w:bookmarkStart w:id="152" w:name="_Toc407195382"/>
      <w:bookmarkStart w:id="153" w:name="_Toc444155971"/>
      <w:bookmarkStart w:id="154" w:name="_Toc376114123"/>
      <w:bookmarkStart w:id="155" w:name="_Toc5546"/>
      <w:bookmarkStart w:id="156" w:name="_Toc15132"/>
      <w:bookmarkStart w:id="157" w:name="_Toc377115422"/>
      <w:bookmarkStart w:id="158" w:name="_Toc277082622"/>
      <w:r>
        <w:rPr>
          <w:rFonts w:hint="eastAsia"/>
          <w:color w:val="auto"/>
          <w:highlight w:val="none"/>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5F5F806">
      <w:pPr>
        <w:pStyle w:val="4"/>
        <w:rPr>
          <w:color w:val="auto"/>
          <w:highlight w:val="none"/>
        </w:rPr>
      </w:pPr>
      <w:bookmarkStart w:id="159" w:name="_Toc377115423"/>
      <w:bookmarkStart w:id="160" w:name="_Toc13851"/>
      <w:bookmarkStart w:id="161" w:name="_Toc224103389"/>
      <w:bookmarkStart w:id="162" w:name="_Toc287607817"/>
      <w:bookmarkStart w:id="163" w:name="_Toc200513203"/>
      <w:bookmarkStart w:id="164" w:name="_Toc9683"/>
      <w:bookmarkStart w:id="165" w:name="_Toc440022831"/>
      <w:bookmarkStart w:id="166" w:name="_Toc32002"/>
      <w:bookmarkStart w:id="167" w:name="_Toc277082623"/>
      <w:bookmarkStart w:id="168" w:name="_Toc377067343"/>
      <w:bookmarkStart w:id="169" w:name="_Toc407195383"/>
      <w:bookmarkStart w:id="170" w:name="_Toc376114124"/>
      <w:bookmarkStart w:id="171" w:name="_Toc330569210"/>
      <w:bookmarkStart w:id="172" w:name="_Toc19840"/>
      <w:bookmarkStart w:id="173" w:name="_Toc22279"/>
      <w:bookmarkStart w:id="174" w:name="_Toc444155972"/>
      <w:bookmarkStart w:id="175" w:name="_Toc6448"/>
      <w:bookmarkStart w:id="176" w:name="_Toc5462"/>
      <w:bookmarkStart w:id="177" w:name="_Toc287620756"/>
      <w:r>
        <w:rPr>
          <w:rFonts w:hint="eastAsia"/>
          <w:color w:val="auto"/>
          <w:highlight w:val="none"/>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98E3ADF">
      <w:pPr>
        <w:rPr>
          <w:color w:val="auto"/>
          <w:highlight w:val="none"/>
        </w:rPr>
      </w:pPr>
      <w:bookmarkStart w:id="178" w:name="_Toc440022832"/>
      <w:bookmarkStart w:id="179" w:name="_Toc373264792"/>
      <w:bookmarkStart w:id="180" w:name="_Toc373172234"/>
      <w:bookmarkStart w:id="181" w:name="_Toc332380970"/>
      <w:bookmarkStart w:id="182" w:name="_Toc332028970"/>
      <w:bookmarkStart w:id="183" w:name="_Toc377067344"/>
      <w:bookmarkStart w:id="184" w:name="_Toc354387014"/>
      <w:bookmarkStart w:id="185" w:name="_Toc356484119"/>
      <w:bookmarkStart w:id="186" w:name="_Toc27164"/>
      <w:bookmarkStart w:id="187" w:name="_Toc356243677"/>
      <w:bookmarkStart w:id="188" w:name="_Toc377115424"/>
      <w:bookmarkStart w:id="189" w:name="_Toc332015984"/>
      <w:bookmarkStart w:id="190" w:name="_Toc331232649"/>
      <w:bookmarkStart w:id="191" w:name="_Toc444155973"/>
      <w:bookmarkStart w:id="192" w:name="_Toc330569211"/>
      <w:bookmarkStart w:id="193" w:name="_Toc407195384"/>
      <w:bookmarkStart w:id="194" w:name="_Toc334002333"/>
      <w:bookmarkStart w:id="195" w:name="_Toc376114125"/>
      <w:bookmarkStart w:id="196" w:name="_Toc331232467"/>
      <w:r>
        <w:rPr>
          <w:rFonts w:hint="eastAsia"/>
          <w:color w:val="auto"/>
          <w:highlight w:val="none"/>
        </w:rPr>
        <w:t>3.1.1 评审委员会依据本章第2.1 条规定的标准对响应文件进行初步评审。有一项不符合评审标准的，作否决响应处理。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E9DAC10">
      <w:pPr>
        <w:rPr>
          <w:color w:val="auto"/>
          <w:highlight w:val="none"/>
        </w:rPr>
      </w:pPr>
      <w:r>
        <w:rPr>
          <w:rFonts w:hint="eastAsia"/>
          <w:color w:val="auto"/>
          <w:highlight w:val="none"/>
        </w:rPr>
        <w:t>3.1.2 响应人有以下情形之一的，其响应作否决响应处理：</w:t>
      </w:r>
    </w:p>
    <w:p w14:paraId="4BD98C46">
      <w:pPr>
        <w:rPr>
          <w:color w:val="auto"/>
          <w:highlight w:val="none"/>
        </w:rPr>
      </w:pPr>
      <w:r>
        <w:rPr>
          <w:rFonts w:hint="eastAsia"/>
          <w:color w:val="auto"/>
          <w:highlight w:val="none"/>
        </w:rPr>
        <w:t>3.1.2.1 有第二章“响应人须知”第9.条以及第11. 条规定的任何一种情形的；</w:t>
      </w:r>
    </w:p>
    <w:p w14:paraId="11EBB804">
      <w:pPr>
        <w:rPr>
          <w:color w:val="auto"/>
          <w:highlight w:val="none"/>
        </w:rPr>
      </w:pPr>
      <w:r>
        <w:rPr>
          <w:rFonts w:hint="eastAsia"/>
          <w:color w:val="auto"/>
          <w:highlight w:val="none"/>
        </w:rPr>
        <w:t>3.1.2.2 有串通响应、弄虚作假等其他违反相关法律、法规行为的；</w:t>
      </w:r>
    </w:p>
    <w:p w14:paraId="2DCC942F">
      <w:pPr>
        <w:rPr>
          <w:color w:val="auto"/>
          <w:highlight w:val="none"/>
        </w:rPr>
      </w:pPr>
      <w:r>
        <w:rPr>
          <w:rFonts w:hint="eastAsia"/>
          <w:color w:val="auto"/>
          <w:highlight w:val="none"/>
        </w:rPr>
        <w:t>3.1.2.3 不按评审委员会要求澄清、说明或补正的。</w:t>
      </w:r>
    </w:p>
    <w:p w14:paraId="459FEDA1">
      <w:pPr>
        <w:rPr>
          <w:color w:val="auto"/>
          <w:highlight w:val="none"/>
        </w:rPr>
      </w:pPr>
      <w:r>
        <w:rPr>
          <w:rFonts w:hint="eastAsia"/>
          <w:color w:val="auto"/>
          <w:highlight w:val="none"/>
        </w:rPr>
        <w:t>3.1.2.4 本响应文件约定的其它情形。</w:t>
      </w:r>
    </w:p>
    <w:p w14:paraId="0C2EA77A">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14:paraId="68309901">
      <w:pPr>
        <w:pStyle w:val="4"/>
        <w:rPr>
          <w:color w:val="auto"/>
          <w:highlight w:val="none"/>
        </w:rPr>
      </w:pPr>
      <w:bookmarkStart w:id="197" w:name="_Toc287607818"/>
      <w:bookmarkStart w:id="198" w:name="_Toc376114126"/>
      <w:bookmarkStart w:id="199" w:name="_Toc277082624"/>
      <w:bookmarkStart w:id="200" w:name="_Toc200513204"/>
      <w:bookmarkStart w:id="201" w:name="_Toc22246"/>
      <w:bookmarkStart w:id="202" w:name="_Toc330569212"/>
      <w:bookmarkStart w:id="203" w:name="_Toc377115425"/>
      <w:bookmarkStart w:id="204" w:name="_Toc377067345"/>
      <w:bookmarkStart w:id="205" w:name="_Toc440022833"/>
      <w:bookmarkStart w:id="206" w:name="_Toc407195385"/>
      <w:bookmarkStart w:id="207" w:name="_Toc29925"/>
      <w:bookmarkStart w:id="208" w:name="_Toc287620757"/>
      <w:bookmarkStart w:id="209" w:name="_Toc10847"/>
      <w:bookmarkStart w:id="210" w:name="_Toc19604"/>
      <w:bookmarkStart w:id="211" w:name="_Toc7832"/>
      <w:bookmarkStart w:id="212" w:name="_Toc224103390"/>
      <w:bookmarkStart w:id="213" w:name="_Toc11246"/>
      <w:bookmarkStart w:id="214" w:name="_Toc444155974"/>
      <w:bookmarkStart w:id="215" w:name="_Toc22848"/>
      <w:r>
        <w:rPr>
          <w:rFonts w:hint="eastAsia"/>
          <w:color w:val="auto"/>
          <w:highlight w:val="none"/>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15423BB">
      <w:pPr>
        <w:rPr>
          <w:color w:val="auto"/>
          <w:highlight w:val="none"/>
        </w:rPr>
      </w:pPr>
      <w:r>
        <w:rPr>
          <w:rFonts w:hint="eastAsia"/>
          <w:color w:val="auto"/>
          <w:highlight w:val="none"/>
        </w:rPr>
        <w:t>3.2.1 评审委员会按本章第2.2 条规定的量化因素和分值进行打分，并计算出综合评估得分。</w:t>
      </w:r>
    </w:p>
    <w:p w14:paraId="02D6702F">
      <w:pPr>
        <w:rPr>
          <w:color w:val="auto"/>
          <w:highlight w:val="none"/>
        </w:rPr>
      </w:pPr>
      <w:r>
        <w:rPr>
          <w:rFonts w:hint="eastAsia"/>
          <w:color w:val="auto"/>
          <w:highlight w:val="none"/>
        </w:rPr>
        <w:t>3.2.1.1 按本章第2.2 条规定的评审因素和分值对响应报价计算出得分；</w:t>
      </w:r>
    </w:p>
    <w:p w14:paraId="1E2740E4">
      <w:pPr>
        <w:rPr>
          <w:color w:val="auto"/>
          <w:highlight w:val="none"/>
        </w:rPr>
      </w:pPr>
      <w:r>
        <w:rPr>
          <w:rFonts w:hint="eastAsia"/>
          <w:color w:val="auto"/>
          <w:highlight w:val="none"/>
        </w:rPr>
        <w:t>3.2.1.2 按本章第2.2 条规定的评审因素和分值对商务部分计算出得分（评审委员会统一打分）；</w:t>
      </w:r>
    </w:p>
    <w:p w14:paraId="230EE2ED">
      <w:pPr>
        <w:rPr>
          <w:color w:val="auto"/>
          <w:highlight w:val="none"/>
        </w:rPr>
      </w:pPr>
      <w:r>
        <w:rPr>
          <w:rFonts w:hint="eastAsia"/>
          <w:color w:val="auto"/>
          <w:highlight w:val="none"/>
        </w:rPr>
        <w:t>3.2.2 评分分值计算保留小数点后两位，小数点后第三位“四舍五入”。</w:t>
      </w:r>
    </w:p>
    <w:p w14:paraId="4535B09F">
      <w:pPr>
        <w:rPr>
          <w:color w:val="auto"/>
          <w:highlight w:val="none"/>
        </w:rPr>
      </w:pPr>
      <w:r>
        <w:rPr>
          <w:rFonts w:hint="eastAsia"/>
          <w:color w:val="auto"/>
          <w:highlight w:val="none"/>
        </w:rPr>
        <w:t>3.2.3 响应人得分=响应报价得分+商务部分得分+技术部分得分。</w:t>
      </w:r>
    </w:p>
    <w:p w14:paraId="212DA7D6">
      <w:pPr>
        <w:pStyle w:val="4"/>
        <w:rPr>
          <w:color w:val="auto"/>
          <w:highlight w:val="none"/>
        </w:rPr>
      </w:pPr>
      <w:bookmarkStart w:id="216" w:name="_Toc224103391"/>
      <w:bookmarkStart w:id="217" w:name="_Toc377115426"/>
      <w:bookmarkStart w:id="218" w:name="_Toc330569213"/>
      <w:bookmarkStart w:id="219" w:name="_Toc7176"/>
      <w:bookmarkStart w:id="220" w:name="_Toc287620758"/>
      <w:bookmarkStart w:id="221" w:name="_Toc29261"/>
      <w:bookmarkStart w:id="222" w:name="_Toc444155975"/>
      <w:bookmarkStart w:id="223" w:name="_Toc200513205"/>
      <w:bookmarkStart w:id="224" w:name="_Toc2542"/>
      <w:bookmarkStart w:id="225" w:name="_Toc277082625"/>
      <w:bookmarkStart w:id="226" w:name="_Toc18708"/>
      <w:bookmarkStart w:id="227" w:name="_Toc407195386"/>
      <w:bookmarkStart w:id="228" w:name="_Toc377067346"/>
      <w:bookmarkStart w:id="229" w:name="_Toc440022834"/>
      <w:bookmarkStart w:id="230" w:name="_Toc1080"/>
      <w:bookmarkStart w:id="231" w:name="_Toc32039"/>
      <w:bookmarkStart w:id="232" w:name="_Toc20948"/>
      <w:bookmarkStart w:id="233" w:name="_Toc376114127"/>
      <w:bookmarkStart w:id="234" w:name="_Toc287607819"/>
      <w:r>
        <w:rPr>
          <w:rFonts w:hint="eastAsia"/>
          <w:color w:val="auto"/>
          <w:highlight w:val="none"/>
        </w:rPr>
        <w:t>3.3 响应文件的澄清和补正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76B711E">
      <w:pPr>
        <w:rPr>
          <w:color w:val="auto"/>
          <w:highlight w:val="none"/>
        </w:rPr>
      </w:pPr>
      <w:r>
        <w:rPr>
          <w:rFonts w:hint="eastAsia"/>
          <w:color w:val="auto"/>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E04BF8A">
      <w:pPr>
        <w:rPr>
          <w:color w:val="auto"/>
          <w:highlight w:val="none"/>
        </w:rPr>
      </w:pPr>
      <w:r>
        <w:rPr>
          <w:rFonts w:hint="eastAsia"/>
          <w:color w:val="auto"/>
          <w:highlight w:val="none"/>
        </w:rPr>
        <w:t>3.3.2 澄清、说明和补正不得改变响应文件的实质性内容（算术性错误修正的除外）。响应人的书面澄清、说明和补正属于响应文件的组成部分。</w:t>
      </w:r>
    </w:p>
    <w:p w14:paraId="443559E8">
      <w:pPr>
        <w:rPr>
          <w:color w:val="auto"/>
          <w:highlight w:val="none"/>
        </w:rPr>
      </w:pPr>
      <w:r>
        <w:rPr>
          <w:rFonts w:hint="eastAsia"/>
          <w:color w:val="auto"/>
          <w:highlight w:val="none"/>
        </w:rPr>
        <w:t>3.3.3 评审委员会对响应人提交的澄清、说明或补正有疑问的，可以要求响应人进一步澄清、说明或补正，直至满足评审委员会的要求。</w:t>
      </w:r>
    </w:p>
    <w:p w14:paraId="306ED1B9">
      <w:pPr>
        <w:pStyle w:val="4"/>
        <w:rPr>
          <w:color w:val="auto"/>
          <w:highlight w:val="none"/>
        </w:rPr>
      </w:pPr>
      <w:bookmarkStart w:id="235" w:name="_Toc14840"/>
      <w:bookmarkStart w:id="236" w:name="_Toc21450"/>
      <w:bookmarkStart w:id="237" w:name="_Toc376114128"/>
      <w:bookmarkStart w:id="238" w:name="_Toc377067347"/>
      <w:bookmarkStart w:id="239" w:name="_Toc330569214"/>
      <w:bookmarkStart w:id="240" w:name="_Toc287620759"/>
      <w:bookmarkStart w:id="241" w:name="_Toc287607820"/>
      <w:bookmarkStart w:id="242" w:name="_Toc30672"/>
      <w:bookmarkStart w:id="243" w:name="_Toc31270"/>
      <w:bookmarkStart w:id="244" w:name="_Toc19054"/>
      <w:bookmarkStart w:id="245" w:name="_Toc407195387"/>
      <w:bookmarkStart w:id="246" w:name="_Toc200513206"/>
      <w:bookmarkStart w:id="247" w:name="_Toc444155976"/>
      <w:bookmarkStart w:id="248" w:name="_Toc4814"/>
      <w:bookmarkStart w:id="249" w:name="_Toc377115427"/>
      <w:bookmarkStart w:id="250" w:name="_Toc6310"/>
      <w:bookmarkStart w:id="251" w:name="_Toc277082626"/>
      <w:bookmarkStart w:id="252" w:name="_Toc224103392"/>
      <w:bookmarkStart w:id="253" w:name="_Toc440022835"/>
      <w:r>
        <w:rPr>
          <w:rFonts w:hint="eastAsia"/>
          <w:color w:val="auto"/>
          <w:highlight w:val="none"/>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CA23E7D">
      <w:pPr>
        <w:rPr>
          <w:color w:val="auto"/>
          <w:highlight w:val="none"/>
        </w:rPr>
      </w:pPr>
      <w:r>
        <w:rPr>
          <w:rFonts w:hint="eastAsia"/>
          <w:color w:val="auto"/>
          <w:highlight w:val="none"/>
        </w:rPr>
        <w:t>3.4.1 评审委员会按照得分由高到低的顺序推荐成交候选人。</w:t>
      </w:r>
    </w:p>
    <w:p w14:paraId="31101A8A">
      <w:pPr>
        <w:rPr>
          <w:color w:val="auto"/>
          <w:highlight w:val="none"/>
        </w:rPr>
      </w:pPr>
      <w:r>
        <w:rPr>
          <w:rFonts w:hint="eastAsia"/>
          <w:color w:val="auto"/>
          <w:highlight w:val="none"/>
        </w:rPr>
        <w:t>3.4.2 评审委员会完成评审后，应当向采购人提交书面评审报告。</w:t>
      </w:r>
    </w:p>
    <w:p w14:paraId="48E852B4">
      <w:pPr>
        <w:rPr>
          <w:color w:val="auto"/>
          <w:highlight w:val="none"/>
        </w:rPr>
      </w:pPr>
      <w:r>
        <w:rPr>
          <w:rFonts w:hint="eastAsia"/>
          <w:color w:val="auto"/>
          <w:highlight w:val="none"/>
        </w:rPr>
        <w:t>3.4.3 有效响应不足三个的，经评审委员会判定，响应人具有相对行业竞争力的，可继续进行评审并确定成交候选人。</w:t>
      </w:r>
    </w:p>
    <w:p w14:paraId="6341B6CA">
      <w:pPr>
        <w:pStyle w:val="4"/>
        <w:rPr>
          <w:color w:val="auto"/>
          <w:highlight w:val="none"/>
        </w:rPr>
      </w:pPr>
      <w:r>
        <w:rPr>
          <w:rFonts w:hint="eastAsia"/>
          <w:color w:val="auto"/>
          <w:highlight w:val="none"/>
        </w:rPr>
        <w:t>3.5 对评审委员会成员的纪律要求</w:t>
      </w:r>
    </w:p>
    <w:p w14:paraId="157AE5DF">
      <w:pPr>
        <w:rPr>
          <w:color w:val="auto"/>
          <w:highlight w:val="none"/>
        </w:rPr>
      </w:pPr>
      <w:r>
        <w:rPr>
          <w:rFonts w:hint="eastAsia"/>
          <w:color w:val="auto"/>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02EE293">
      <w:pPr>
        <w:pStyle w:val="4"/>
        <w:rPr>
          <w:color w:val="auto"/>
          <w:highlight w:val="none"/>
        </w:rPr>
      </w:pPr>
      <w:r>
        <w:rPr>
          <w:rFonts w:hint="eastAsia"/>
          <w:color w:val="auto"/>
          <w:highlight w:val="none"/>
        </w:rPr>
        <w:t>3.6 对与评审活动有关的工作人员的纪律要求</w:t>
      </w:r>
    </w:p>
    <w:p w14:paraId="51F815DB">
      <w:pPr>
        <w:rPr>
          <w:color w:val="auto"/>
          <w:highlight w:val="none"/>
        </w:rPr>
      </w:pPr>
      <w:r>
        <w:rPr>
          <w:rFonts w:hint="eastAsia"/>
          <w:color w:val="auto"/>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70468F6">
      <w:pPr>
        <w:rPr>
          <w:color w:val="auto"/>
          <w:highlight w:val="none"/>
        </w:rPr>
      </w:pPr>
    </w:p>
    <w:p w14:paraId="2144BE29">
      <w:pPr>
        <w:rPr>
          <w:color w:val="auto"/>
          <w:highlight w:val="none"/>
        </w:rPr>
        <w:sectPr>
          <w:pgSz w:w="11906" w:h="16838"/>
          <w:pgMar w:top="1440" w:right="1800" w:bottom="1440" w:left="1800" w:header="851" w:footer="992" w:gutter="0"/>
          <w:cols w:space="720" w:num="1"/>
          <w:docGrid w:type="lines" w:linePitch="312" w:charSpace="0"/>
        </w:sectPr>
      </w:pPr>
    </w:p>
    <w:p w14:paraId="029B2551">
      <w:pPr>
        <w:pStyle w:val="2"/>
        <w:rPr>
          <w:color w:val="auto"/>
          <w:highlight w:val="none"/>
        </w:rPr>
      </w:pPr>
      <w:bookmarkStart w:id="254" w:name="_Toc27619"/>
      <w:bookmarkStart w:id="255" w:name="_Toc28410"/>
      <w:bookmarkStart w:id="256" w:name="_Toc150953074"/>
      <w:bookmarkStart w:id="257" w:name="_Toc303066034"/>
      <w:bookmarkStart w:id="258" w:name="_Toc89675170"/>
      <w:r>
        <w:rPr>
          <w:rFonts w:hint="eastAsia"/>
          <w:color w:val="auto"/>
          <w:highlight w:val="none"/>
        </w:rPr>
        <w:t>第五章 合同</w:t>
      </w:r>
      <w:r>
        <w:rPr>
          <w:color w:val="auto"/>
          <w:highlight w:val="none"/>
        </w:rPr>
        <w:t>模板</w:t>
      </w:r>
      <w:bookmarkEnd w:id="254"/>
      <w:bookmarkEnd w:id="255"/>
      <w:bookmarkEnd w:id="256"/>
    </w:p>
    <w:p w14:paraId="3A953900">
      <w:pPr>
        <w:ind w:firstLine="0" w:firstLineChars="0"/>
        <w:jc w:val="center"/>
        <w:rPr>
          <w:color w:val="auto"/>
          <w:highlight w:val="none"/>
        </w:rPr>
      </w:pPr>
      <w:r>
        <w:rPr>
          <w:rFonts w:hint="eastAsia"/>
          <w:color w:val="auto"/>
          <w:highlight w:val="none"/>
        </w:rPr>
        <w:t>（本章节的合同条款及格式仅供参考，具体以合同签订时为准）</w:t>
      </w:r>
    </w:p>
    <w:p w14:paraId="79047BAE">
      <w:pPr>
        <w:spacing w:line="360" w:lineRule="auto"/>
        <w:jc w:val="right"/>
        <w:rPr>
          <w:rFonts w:hint="eastAsia" w:ascii="宋体"/>
          <w:color w:val="auto"/>
          <w:sz w:val="28"/>
          <w:highlight w:val="none"/>
        </w:rPr>
      </w:pPr>
      <w:r>
        <w:rPr>
          <w:rFonts w:hint="eastAsia" w:ascii="宋体"/>
          <w:color w:val="auto"/>
          <w:sz w:val="28"/>
          <w:highlight w:val="none"/>
        </w:rPr>
        <w:t>编号：SXYH202</w:t>
      </w:r>
      <w:r>
        <w:rPr>
          <w:rFonts w:ascii="宋体"/>
          <w:color w:val="auto"/>
          <w:sz w:val="28"/>
          <w:highlight w:val="none"/>
        </w:rPr>
        <w:t>5</w:t>
      </w:r>
      <w:r>
        <w:rPr>
          <w:rFonts w:hint="eastAsia" w:ascii="宋体"/>
          <w:color w:val="auto"/>
          <w:sz w:val="28"/>
          <w:highlight w:val="none"/>
        </w:rPr>
        <w:t>XXXX</w:t>
      </w:r>
    </w:p>
    <w:p w14:paraId="1AA906C6">
      <w:pPr>
        <w:spacing w:line="360" w:lineRule="auto"/>
        <w:jc w:val="center"/>
        <w:rPr>
          <w:rFonts w:hint="eastAsia" w:ascii="宋体"/>
          <w:b/>
          <w:color w:val="auto"/>
          <w:sz w:val="44"/>
          <w:highlight w:val="none"/>
        </w:rPr>
      </w:pPr>
    </w:p>
    <w:p w14:paraId="5C3239F2">
      <w:pPr>
        <w:spacing w:line="360" w:lineRule="auto"/>
        <w:jc w:val="center"/>
        <w:rPr>
          <w:rFonts w:hint="eastAsia" w:ascii="宋体"/>
          <w:b/>
          <w:color w:val="auto"/>
          <w:sz w:val="44"/>
          <w:highlight w:val="none"/>
        </w:rPr>
      </w:pPr>
    </w:p>
    <w:p w14:paraId="4CE1FEEE">
      <w:pPr>
        <w:spacing w:line="360" w:lineRule="auto"/>
        <w:jc w:val="center"/>
        <w:rPr>
          <w:rFonts w:hint="eastAsia" w:ascii="宋体"/>
          <w:b/>
          <w:color w:val="auto"/>
          <w:sz w:val="44"/>
          <w:highlight w:val="none"/>
        </w:rPr>
      </w:pPr>
    </w:p>
    <w:p w14:paraId="313F4FF5">
      <w:pPr>
        <w:spacing w:line="360" w:lineRule="auto"/>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253A1DEB">
      <w:pPr>
        <w:spacing w:line="360" w:lineRule="auto"/>
        <w:jc w:val="center"/>
        <w:rPr>
          <w:rFonts w:hint="eastAsia" w:ascii="宋体"/>
          <w:b/>
          <w:color w:val="auto"/>
          <w:sz w:val="44"/>
          <w:highlight w:val="none"/>
        </w:rPr>
      </w:pPr>
    </w:p>
    <w:p w14:paraId="2A754502">
      <w:pPr>
        <w:spacing w:line="360" w:lineRule="auto"/>
        <w:jc w:val="center"/>
        <w:rPr>
          <w:rFonts w:hint="eastAsia" w:ascii="宋体"/>
          <w:b/>
          <w:color w:val="auto"/>
          <w:sz w:val="44"/>
          <w:highlight w:val="none"/>
        </w:rPr>
      </w:pPr>
      <w:r>
        <w:rPr>
          <w:rFonts w:hint="eastAsia" w:ascii="宋体"/>
          <w:b/>
          <w:color w:val="auto"/>
          <w:sz w:val="44"/>
          <w:highlight w:val="none"/>
        </w:rPr>
        <w:t>与</w:t>
      </w:r>
    </w:p>
    <w:p w14:paraId="1F3EED2D">
      <w:pPr>
        <w:spacing w:line="360" w:lineRule="auto"/>
        <w:jc w:val="center"/>
        <w:rPr>
          <w:rFonts w:hint="eastAsia" w:ascii="宋体"/>
          <w:b/>
          <w:color w:val="auto"/>
          <w:sz w:val="44"/>
          <w:highlight w:val="none"/>
        </w:rPr>
      </w:pPr>
    </w:p>
    <w:p w14:paraId="2389E98A">
      <w:pPr>
        <w:spacing w:line="360" w:lineRule="auto"/>
        <w:jc w:val="center"/>
        <w:rPr>
          <w:rFonts w:hint="eastAsia" w:ascii="宋体"/>
          <w:b/>
          <w:color w:val="auto"/>
          <w:sz w:val="44"/>
          <w:highlight w:val="none"/>
        </w:rPr>
      </w:pPr>
      <w:r>
        <w:rPr>
          <w:rFonts w:hint="eastAsia" w:ascii="宋体"/>
          <w:b/>
          <w:color w:val="auto"/>
          <w:sz w:val="44"/>
          <w:highlight w:val="none"/>
        </w:rPr>
        <w:t xml:space="preserve">  XX公司</w:t>
      </w:r>
    </w:p>
    <w:p w14:paraId="1E4A91A0">
      <w:pPr>
        <w:spacing w:line="360" w:lineRule="auto"/>
        <w:jc w:val="center"/>
        <w:rPr>
          <w:rFonts w:hint="eastAsia" w:ascii="宋体"/>
          <w:color w:val="auto"/>
          <w:sz w:val="32"/>
          <w:szCs w:val="32"/>
          <w:highlight w:val="none"/>
        </w:rPr>
      </w:pPr>
    </w:p>
    <w:p w14:paraId="4F3FBDFD">
      <w:pPr>
        <w:spacing w:line="360" w:lineRule="auto"/>
        <w:jc w:val="center"/>
        <w:rPr>
          <w:rFonts w:hint="eastAsia" w:ascii="宋体"/>
          <w:color w:val="auto"/>
          <w:sz w:val="32"/>
          <w:szCs w:val="32"/>
          <w:highlight w:val="none"/>
        </w:rPr>
      </w:pPr>
    </w:p>
    <w:p w14:paraId="50023695">
      <w:pPr>
        <w:spacing w:line="360" w:lineRule="auto"/>
        <w:jc w:val="center"/>
        <w:rPr>
          <w:rFonts w:hint="eastAsia" w:ascii="宋体"/>
          <w:color w:val="auto"/>
          <w:sz w:val="32"/>
          <w:szCs w:val="32"/>
          <w:highlight w:val="none"/>
        </w:rPr>
      </w:pPr>
      <w:r>
        <w:rPr>
          <w:rFonts w:hint="eastAsia" w:ascii="宋体"/>
          <w:color w:val="auto"/>
          <w:sz w:val="32"/>
          <w:szCs w:val="32"/>
          <w:highlight w:val="none"/>
        </w:rPr>
        <w:t>（</w:t>
      </w:r>
      <w:r>
        <w:rPr>
          <w:rFonts w:ascii="宋体"/>
          <w:color w:val="auto"/>
          <w:sz w:val="32"/>
          <w:szCs w:val="32"/>
          <w:highlight w:val="none"/>
        </w:rPr>
        <w:t>分布式块存储项目</w:t>
      </w:r>
      <w:r>
        <w:rPr>
          <w:rFonts w:hint="eastAsia" w:ascii="宋体"/>
          <w:color w:val="auto"/>
          <w:sz w:val="32"/>
          <w:szCs w:val="32"/>
          <w:highlight w:val="none"/>
        </w:rPr>
        <w:t>）</w:t>
      </w:r>
    </w:p>
    <w:p w14:paraId="6BE147E4">
      <w:pPr>
        <w:spacing w:line="360" w:lineRule="auto"/>
        <w:jc w:val="center"/>
        <w:rPr>
          <w:rFonts w:hint="eastAsia" w:ascii="宋体"/>
          <w:color w:val="auto"/>
          <w:sz w:val="36"/>
          <w:highlight w:val="none"/>
        </w:rPr>
      </w:pPr>
    </w:p>
    <w:p w14:paraId="7BD2AEE7">
      <w:pPr>
        <w:spacing w:line="360" w:lineRule="auto"/>
        <w:jc w:val="center"/>
        <w:rPr>
          <w:rFonts w:hint="eastAsia" w:ascii="宋体"/>
          <w:b/>
          <w:color w:val="auto"/>
          <w:sz w:val="48"/>
          <w:highlight w:val="none"/>
        </w:rPr>
      </w:pPr>
      <w:r>
        <w:rPr>
          <w:rFonts w:hint="eastAsia" w:ascii="宋体"/>
          <w:b/>
          <w:color w:val="auto"/>
          <w:sz w:val="48"/>
          <w:highlight w:val="none"/>
        </w:rPr>
        <w:t>购 销 合 同</w:t>
      </w:r>
    </w:p>
    <w:p w14:paraId="39141A82">
      <w:pPr>
        <w:spacing w:line="360" w:lineRule="auto"/>
        <w:rPr>
          <w:rFonts w:hint="eastAsia" w:ascii="宋体"/>
          <w:b/>
          <w:color w:val="auto"/>
          <w:sz w:val="48"/>
          <w:highlight w:val="none"/>
        </w:rPr>
      </w:pPr>
    </w:p>
    <w:p w14:paraId="1D3EC9E3">
      <w:pPr>
        <w:spacing w:line="360" w:lineRule="auto"/>
        <w:rPr>
          <w:rFonts w:hint="eastAsia" w:ascii="宋体"/>
          <w:b/>
          <w:color w:val="auto"/>
          <w:sz w:val="18"/>
          <w:highlight w:val="none"/>
        </w:rPr>
      </w:pPr>
    </w:p>
    <w:p w14:paraId="5B1A52B4">
      <w:pPr>
        <w:spacing w:line="360" w:lineRule="auto"/>
        <w:rPr>
          <w:rFonts w:hint="eastAsia" w:ascii="宋体"/>
          <w:b/>
          <w:color w:val="auto"/>
          <w:sz w:val="18"/>
          <w:highlight w:val="none"/>
        </w:rPr>
      </w:pPr>
    </w:p>
    <w:p w14:paraId="3A315717">
      <w:pPr>
        <w:spacing w:line="360" w:lineRule="auto"/>
        <w:rPr>
          <w:rFonts w:hint="eastAsia" w:ascii="宋体"/>
          <w:b/>
          <w:color w:val="auto"/>
          <w:sz w:val="18"/>
          <w:highlight w:val="none"/>
        </w:rPr>
      </w:pPr>
    </w:p>
    <w:p w14:paraId="4E9D1B2F">
      <w:pPr>
        <w:tabs>
          <w:tab w:val="left" w:pos="1843"/>
        </w:tabs>
        <w:spacing w:line="360" w:lineRule="auto"/>
        <w:jc w:val="left"/>
        <w:rPr>
          <w:rFonts w:hint="eastAsia" w:ascii="宋体"/>
          <w:b/>
          <w:color w:val="auto"/>
          <w:sz w:val="18"/>
          <w:highlight w:val="none"/>
        </w:rPr>
      </w:pPr>
    </w:p>
    <w:p w14:paraId="14F25428">
      <w:pPr>
        <w:spacing w:line="360" w:lineRule="auto"/>
        <w:ind w:left="2551" w:leftChars="1215"/>
        <w:jc w:val="left"/>
        <w:rPr>
          <w:rFonts w:hint="eastAsia" w:ascii="宋体"/>
          <w:b/>
          <w:color w:val="auto"/>
          <w:sz w:val="28"/>
          <w:szCs w:val="28"/>
          <w:highlight w:val="none"/>
        </w:rPr>
      </w:pPr>
    </w:p>
    <w:p w14:paraId="69A4D745">
      <w:pPr>
        <w:spacing w:line="360" w:lineRule="auto"/>
        <w:ind w:left="2551" w:leftChars="1215"/>
        <w:jc w:val="left"/>
        <w:rPr>
          <w:rFonts w:ascii="宋体"/>
          <w:b/>
          <w:color w:val="auto"/>
          <w:sz w:val="28"/>
          <w:szCs w:val="28"/>
          <w:highlight w:val="none"/>
        </w:rPr>
      </w:pPr>
      <w:r>
        <w:rPr>
          <w:rFonts w:hint="eastAsia" w:ascii="宋体"/>
          <w:b/>
          <w:color w:val="auto"/>
          <w:sz w:val="28"/>
          <w:szCs w:val="28"/>
          <w:highlight w:val="none"/>
        </w:rPr>
        <w:t>签订地点：重庆</w:t>
      </w:r>
    </w:p>
    <w:p w14:paraId="22574E91">
      <w:pPr>
        <w:spacing w:line="360" w:lineRule="auto"/>
        <w:ind w:left="2551" w:leftChars="1215"/>
        <w:jc w:val="left"/>
        <w:rPr>
          <w:rFonts w:ascii="宋体"/>
          <w:b/>
          <w:color w:val="auto"/>
          <w:sz w:val="28"/>
          <w:szCs w:val="28"/>
          <w:highlight w:val="none"/>
        </w:rPr>
      </w:pPr>
    </w:p>
    <w:p w14:paraId="2BEECFC1">
      <w:pPr>
        <w:jc w:val="left"/>
        <w:rPr>
          <w:rFonts w:hint="eastAsia"/>
          <w:color w:val="auto"/>
          <w:highlight w:val="none"/>
        </w:rPr>
      </w:pPr>
      <w:r>
        <w:rPr>
          <w:rFonts w:hint="eastAsia"/>
          <w:color w:val="auto"/>
          <w:highlight w:val="none"/>
        </w:rPr>
        <w:t>甲    方：重庆三峡银行股份有限公司</w:t>
      </w:r>
    </w:p>
    <w:p w14:paraId="5CF0B7EB">
      <w:pPr>
        <w:spacing w:line="360" w:lineRule="auto"/>
        <w:jc w:val="left"/>
        <w:rPr>
          <w:rFonts w:hint="eastAsia" w:ascii="宋体"/>
          <w:b/>
          <w:color w:val="auto"/>
          <w:highlight w:val="none"/>
        </w:rPr>
      </w:pPr>
      <w:r>
        <w:rPr>
          <w:rFonts w:hint="eastAsia" w:ascii="宋体"/>
          <w:color w:val="auto"/>
          <w:highlight w:val="none"/>
        </w:rPr>
        <w:t>地    址：重庆市渝北区嘉州路88号中渝国际都会4号写字楼</w:t>
      </w:r>
    </w:p>
    <w:p w14:paraId="255FF378">
      <w:pPr>
        <w:spacing w:line="360" w:lineRule="auto"/>
        <w:jc w:val="left"/>
        <w:rPr>
          <w:rFonts w:hint="eastAsia" w:ascii="宋体"/>
          <w:color w:val="auto"/>
          <w:highlight w:val="none"/>
        </w:rPr>
      </w:pPr>
      <w:r>
        <w:rPr>
          <w:rFonts w:hint="eastAsia" w:ascii="宋体"/>
          <w:color w:val="auto"/>
          <w:highlight w:val="none"/>
        </w:rPr>
        <w:t>法定代表人：</w:t>
      </w:r>
      <w:r>
        <w:rPr>
          <w:rFonts w:hint="eastAsia" w:ascii="宋体"/>
          <w:bCs/>
          <w:color w:val="auto"/>
          <w:highlight w:val="none"/>
        </w:rPr>
        <w:t xml:space="preserve">                       </w:t>
      </w:r>
    </w:p>
    <w:p w14:paraId="3DCFD555">
      <w:pPr>
        <w:spacing w:line="360" w:lineRule="auto"/>
        <w:jc w:val="left"/>
        <w:rPr>
          <w:rFonts w:hint="eastAsia" w:ascii="宋体"/>
          <w:bCs/>
          <w:color w:val="auto"/>
          <w:highlight w:val="none"/>
        </w:rPr>
      </w:pPr>
      <w:r>
        <w:rPr>
          <w:rFonts w:hint="eastAsia" w:ascii="宋体"/>
          <w:color w:val="auto"/>
          <w:highlight w:val="none"/>
        </w:rPr>
        <w:t>邮政编码：</w:t>
      </w:r>
      <w:r>
        <w:rPr>
          <w:rFonts w:hint="eastAsia" w:ascii="宋体"/>
          <w:bCs/>
          <w:color w:val="auto"/>
          <w:highlight w:val="none"/>
        </w:rPr>
        <w:t xml:space="preserve">                       </w:t>
      </w:r>
    </w:p>
    <w:p w14:paraId="66D85233">
      <w:pPr>
        <w:spacing w:line="360" w:lineRule="auto"/>
        <w:jc w:val="left"/>
        <w:rPr>
          <w:rFonts w:hint="eastAsia" w:ascii="宋体"/>
          <w:color w:val="auto"/>
          <w:highlight w:val="none"/>
        </w:rPr>
      </w:pPr>
      <w:r>
        <w:rPr>
          <w:rFonts w:hint="eastAsia" w:ascii="宋体"/>
          <w:color w:val="auto"/>
          <w:highlight w:val="none"/>
        </w:rPr>
        <w:t>联系人：</w:t>
      </w:r>
      <w:r>
        <w:rPr>
          <w:rFonts w:hint="eastAsia" w:ascii="宋体"/>
          <w:bCs/>
          <w:color w:val="auto"/>
          <w:highlight w:val="none"/>
        </w:rPr>
        <w:t xml:space="preserve">                       </w:t>
      </w:r>
    </w:p>
    <w:p w14:paraId="410F05FE">
      <w:pPr>
        <w:spacing w:line="360" w:lineRule="auto"/>
        <w:jc w:val="left"/>
        <w:rPr>
          <w:rFonts w:hint="eastAsia" w:ascii="宋体"/>
          <w:color w:val="auto"/>
          <w:highlight w:val="none"/>
        </w:rPr>
      </w:pPr>
      <w:r>
        <w:rPr>
          <w:rFonts w:hint="eastAsia" w:ascii="宋体"/>
          <w:color w:val="auto"/>
          <w:highlight w:val="none"/>
        </w:rPr>
        <w:t>联系电话：</w:t>
      </w:r>
      <w:r>
        <w:rPr>
          <w:rFonts w:hint="eastAsia" w:ascii="宋体"/>
          <w:bCs/>
          <w:color w:val="auto"/>
          <w:highlight w:val="none"/>
        </w:rPr>
        <w:t xml:space="preserve">                       </w:t>
      </w:r>
    </w:p>
    <w:p w14:paraId="6FCC9F4D">
      <w:pPr>
        <w:spacing w:line="360" w:lineRule="auto"/>
        <w:jc w:val="left"/>
        <w:rPr>
          <w:rFonts w:hint="eastAsia" w:ascii="宋体"/>
          <w:color w:val="auto"/>
          <w:highlight w:val="none"/>
        </w:rPr>
      </w:pPr>
      <w:r>
        <w:rPr>
          <w:rFonts w:hint="eastAsia" w:ascii="宋体"/>
          <w:color w:val="auto"/>
          <w:highlight w:val="none"/>
        </w:rPr>
        <w:t>传真号码：</w:t>
      </w:r>
      <w:r>
        <w:rPr>
          <w:rFonts w:hint="eastAsia" w:ascii="宋体"/>
          <w:bCs/>
          <w:color w:val="auto"/>
          <w:highlight w:val="none"/>
        </w:rPr>
        <w:t xml:space="preserve">                       </w:t>
      </w:r>
    </w:p>
    <w:p w14:paraId="32005D99">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59D00419">
      <w:pPr>
        <w:spacing w:line="360" w:lineRule="auto"/>
        <w:jc w:val="left"/>
        <w:rPr>
          <w:rFonts w:hint="eastAsia" w:ascii="宋体"/>
          <w:b/>
          <w:color w:val="auto"/>
          <w:highlight w:val="none"/>
        </w:rPr>
      </w:pPr>
    </w:p>
    <w:p w14:paraId="1B3F5EE2">
      <w:pPr>
        <w:jc w:val="left"/>
        <w:rPr>
          <w:rFonts w:hint="eastAsia"/>
          <w:color w:val="auto"/>
          <w:highlight w:val="none"/>
        </w:rPr>
      </w:pPr>
      <w:r>
        <w:rPr>
          <w:rFonts w:hint="eastAsia"/>
          <w:color w:val="auto"/>
          <w:highlight w:val="none"/>
        </w:rPr>
        <w:t xml:space="preserve">乙    方：                       </w:t>
      </w:r>
    </w:p>
    <w:p w14:paraId="060B82F4">
      <w:pPr>
        <w:spacing w:line="360" w:lineRule="auto"/>
        <w:jc w:val="left"/>
        <w:rPr>
          <w:rFonts w:hint="eastAsia" w:ascii="宋体"/>
          <w:bCs/>
          <w:color w:val="auto"/>
          <w:highlight w:val="none"/>
        </w:rPr>
      </w:pPr>
      <w:r>
        <w:rPr>
          <w:rFonts w:hint="eastAsia" w:ascii="宋体"/>
          <w:bCs/>
          <w:color w:val="auto"/>
          <w:highlight w:val="none"/>
        </w:rPr>
        <w:t xml:space="preserve">地    址：                                         </w:t>
      </w:r>
    </w:p>
    <w:p w14:paraId="22F8DEDF">
      <w:pPr>
        <w:spacing w:line="360" w:lineRule="auto"/>
        <w:jc w:val="left"/>
        <w:rPr>
          <w:rFonts w:hint="eastAsia" w:ascii="宋体"/>
          <w:bCs/>
          <w:color w:val="auto"/>
          <w:highlight w:val="none"/>
        </w:rPr>
      </w:pPr>
      <w:r>
        <w:rPr>
          <w:rFonts w:hint="eastAsia" w:ascii="宋体"/>
          <w:bCs/>
          <w:color w:val="auto"/>
          <w:highlight w:val="none"/>
        </w:rPr>
        <w:t xml:space="preserve">法人代表：                       </w:t>
      </w:r>
    </w:p>
    <w:p w14:paraId="499A534B">
      <w:pPr>
        <w:spacing w:line="360" w:lineRule="auto"/>
        <w:jc w:val="left"/>
        <w:rPr>
          <w:rFonts w:hint="eastAsia" w:ascii="宋体"/>
          <w:bCs/>
          <w:color w:val="auto"/>
          <w:highlight w:val="none"/>
        </w:rPr>
      </w:pPr>
      <w:r>
        <w:rPr>
          <w:rFonts w:hint="eastAsia" w:ascii="宋体"/>
          <w:bCs/>
          <w:color w:val="auto"/>
          <w:highlight w:val="none"/>
        </w:rPr>
        <w:t xml:space="preserve">邮政编码：                         </w:t>
      </w:r>
    </w:p>
    <w:p w14:paraId="1AEE18D1">
      <w:pPr>
        <w:spacing w:line="360" w:lineRule="auto"/>
        <w:jc w:val="left"/>
        <w:rPr>
          <w:rFonts w:hint="eastAsia" w:ascii="宋体"/>
          <w:bCs/>
          <w:color w:val="auto"/>
          <w:highlight w:val="none"/>
        </w:rPr>
      </w:pPr>
      <w:r>
        <w:rPr>
          <w:rFonts w:hint="eastAsia" w:ascii="宋体"/>
          <w:bCs/>
          <w:color w:val="auto"/>
          <w:highlight w:val="none"/>
        </w:rPr>
        <w:t xml:space="preserve">联系人：                       </w:t>
      </w:r>
    </w:p>
    <w:p w14:paraId="560DF1CC">
      <w:pPr>
        <w:spacing w:line="360" w:lineRule="auto"/>
        <w:jc w:val="left"/>
        <w:rPr>
          <w:rFonts w:hint="eastAsia" w:ascii="宋体"/>
          <w:bCs/>
          <w:color w:val="auto"/>
          <w:highlight w:val="none"/>
        </w:rPr>
      </w:pPr>
      <w:r>
        <w:rPr>
          <w:rFonts w:hint="eastAsia" w:ascii="宋体"/>
          <w:bCs/>
          <w:color w:val="auto"/>
          <w:highlight w:val="none"/>
        </w:rPr>
        <w:t xml:space="preserve">联系电话：                       </w:t>
      </w:r>
    </w:p>
    <w:p w14:paraId="6E4D4E4B">
      <w:pPr>
        <w:spacing w:line="360" w:lineRule="auto"/>
        <w:jc w:val="left"/>
        <w:rPr>
          <w:rFonts w:hint="eastAsia" w:ascii="宋体"/>
          <w:bCs/>
          <w:color w:val="auto"/>
          <w:highlight w:val="none"/>
        </w:rPr>
      </w:pPr>
      <w:r>
        <w:rPr>
          <w:rFonts w:hint="eastAsia" w:ascii="宋体"/>
          <w:bCs/>
          <w:color w:val="auto"/>
          <w:highlight w:val="none"/>
        </w:rPr>
        <w:t xml:space="preserve">传真号码：                       </w:t>
      </w:r>
    </w:p>
    <w:p w14:paraId="3987D632">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0C800F45">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本合同事宜</w:t>
      </w:r>
    </w:p>
    <w:p w14:paraId="7E343092">
      <w:pPr>
        <w:spacing w:before="240" w:line="360" w:lineRule="auto"/>
        <w:ind w:firstLine="411" w:firstLineChars="196"/>
        <w:jc w:val="left"/>
        <w:rPr>
          <w:rFonts w:hint="eastAsia" w:ascii="宋体"/>
          <w:color w:val="auto"/>
          <w:highlight w:val="none"/>
        </w:rPr>
      </w:pPr>
      <w:r>
        <w:rPr>
          <w:rFonts w:hint="eastAsia"/>
          <w:color w:val="auto"/>
          <w:highlight w:val="none"/>
        </w:rPr>
        <w:t>甲乙双方经友好协商并达成一致，依据相关法律、法规的规定，就甲方向乙方订购</w:t>
      </w:r>
      <w:r>
        <w:rPr>
          <w:color w:val="auto"/>
          <w:highlight w:val="none"/>
          <w:u w:val="single"/>
        </w:rPr>
        <w:t>分布式块存储</w:t>
      </w:r>
      <w:r>
        <w:rPr>
          <w:rFonts w:hint="eastAsia"/>
          <w:color w:val="auto"/>
          <w:highlight w:val="none"/>
        </w:rPr>
        <w:t>产品的</w:t>
      </w:r>
      <w:r>
        <w:rPr>
          <w:rFonts w:hint="eastAsia" w:ascii="宋体"/>
          <w:color w:val="auto"/>
          <w:highlight w:val="none"/>
        </w:rPr>
        <w:t>事宜</w:t>
      </w:r>
      <w:r>
        <w:rPr>
          <w:rFonts w:hint="eastAsia"/>
          <w:color w:val="auto"/>
          <w:highlight w:val="none"/>
        </w:rPr>
        <w:t>订立本合同，</w:t>
      </w:r>
      <w:r>
        <w:rPr>
          <w:rFonts w:hint="eastAsia" w:ascii="宋体"/>
          <w:color w:val="auto"/>
          <w:highlight w:val="none"/>
        </w:rPr>
        <w:t>以资信守：</w:t>
      </w:r>
    </w:p>
    <w:p w14:paraId="4E0B5DE0">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本合同产品及金额</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460"/>
        <w:gridCol w:w="1092"/>
        <w:gridCol w:w="699"/>
        <w:gridCol w:w="780"/>
        <w:gridCol w:w="1492"/>
      </w:tblGrid>
      <w:tr w14:paraId="2052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2F6C9F51">
            <w:pPr>
              <w:snapToGrid w:val="0"/>
              <w:ind w:firstLine="173" w:firstLineChars="82"/>
              <w:jc w:val="left"/>
              <w:rPr>
                <w:b/>
                <w:color w:val="auto"/>
                <w:highlight w:val="none"/>
              </w:rPr>
            </w:pPr>
            <w:r>
              <w:rPr>
                <w:rFonts w:hint="eastAsia"/>
                <w:b/>
                <w:color w:val="auto"/>
                <w:highlight w:val="none"/>
              </w:rPr>
              <w:t>产品名称</w:t>
            </w:r>
          </w:p>
        </w:tc>
        <w:tc>
          <w:tcPr>
            <w:tcW w:w="2588" w:type="dxa"/>
            <w:tcBorders>
              <w:tl2br w:val="nil"/>
              <w:tr2bl w:val="nil"/>
            </w:tcBorders>
            <w:vAlign w:val="center"/>
          </w:tcPr>
          <w:p w14:paraId="706BCCC1">
            <w:pPr>
              <w:snapToGrid w:val="0"/>
              <w:ind w:left="252" w:firstLine="0" w:firstLineChars="0"/>
              <w:jc w:val="left"/>
              <w:rPr>
                <w:b/>
                <w:color w:val="auto"/>
                <w:highlight w:val="none"/>
              </w:rPr>
            </w:pPr>
            <w:r>
              <w:rPr>
                <w:rFonts w:hint="eastAsia"/>
                <w:b/>
                <w:color w:val="auto"/>
                <w:highlight w:val="none"/>
              </w:rPr>
              <w:t>产品型号及规格</w:t>
            </w:r>
          </w:p>
        </w:tc>
        <w:tc>
          <w:tcPr>
            <w:tcW w:w="1109" w:type="dxa"/>
            <w:tcBorders>
              <w:tl2br w:val="nil"/>
              <w:tr2bl w:val="nil"/>
            </w:tcBorders>
            <w:vAlign w:val="center"/>
          </w:tcPr>
          <w:p w14:paraId="3B9F0F8B">
            <w:pPr>
              <w:snapToGrid w:val="0"/>
              <w:ind w:firstLine="0" w:firstLineChars="0"/>
              <w:jc w:val="left"/>
              <w:rPr>
                <w:b/>
                <w:color w:val="auto"/>
                <w:highlight w:val="none"/>
              </w:rPr>
            </w:pPr>
            <w:r>
              <w:rPr>
                <w:rFonts w:hint="eastAsia"/>
                <w:b/>
                <w:color w:val="auto"/>
                <w:highlight w:val="none"/>
              </w:rPr>
              <w:t>单价（元）</w:t>
            </w:r>
          </w:p>
        </w:tc>
        <w:tc>
          <w:tcPr>
            <w:tcW w:w="597" w:type="dxa"/>
            <w:tcBorders>
              <w:tl2br w:val="nil"/>
              <w:tr2bl w:val="nil"/>
            </w:tcBorders>
            <w:vAlign w:val="center"/>
          </w:tcPr>
          <w:p w14:paraId="05829A7C">
            <w:pPr>
              <w:snapToGrid w:val="0"/>
              <w:ind w:firstLine="482" w:firstLineChars="0"/>
              <w:jc w:val="left"/>
              <w:rPr>
                <w:b/>
                <w:color w:val="auto"/>
                <w:highlight w:val="none"/>
              </w:rPr>
            </w:pPr>
            <w:r>
              <w:rPr>
                <w:rFonts w:hint="eastAsia"/>
                <w:b/>
                <w:color w:val="auto"/>
                <w:highlight w:val="none"/>
              </w:rPr>
              <w:t xml:space="preserve"> 数量</w:t>
            </w:r>
          </w:p>
        </w:tc>
        <w:tc>
          <w:tcPr>
            <w:tcW w:w="597" w:type="dxa"/>
            <w:tcBorders>
              <w:tl2br w:val="nil"/>
              <w:tr2bl w:val="nil"/>
            </w:tcBorders>
            <w:vAlign w:val="center"/>
          </w:tcPr>
          <w:p w14:paraId="187A6D8A">
            <w:pPr>
              <w:snapToGrid w:val="0"/>
              <w:ind w:firstLine="482" w:firstLineChars="0"/>
              <w:jc w:val="left"/>
              <w:rPr>
                <w:b/>
                <w:color w:val="auto"/>
                <w:highlight w:val="none"/>
              </w:rPr>
            </w:pPr>
            <w:r>
              <w:rPr>
                <w:rFonts w:hint="eastAsia"/>
                <w:b/>
                <w:color w:val="auto"/>
                <w:highlight w:val="none"/>
              </w:rPr>
              <w:t>s税率</w:t>
            </w:r>
          </w:p>
        </w:tc>
        <w:tc>
          <w:tcPr>
            <w:tcW w:w="1538" w:type="dxa"/>
            <w:tcBorders>
              <w:tl2br w:val="nil"/>
              <w:tr2bl w:val="nil"/>
            </w:tcBorders>
            <w:vAlign w:val="center"/>
          </w:tcPr>
          <w:p w14:paraId="4478A642">
            <w:pPr>
              <w:snapToGrid w:val="0"/>
              <w:ind w:firstLine="0" w:firstLineChars="0"/>
              <w:jc w:val="left"/>
              <w:rPr>
                <w:b/>
                <w:color w:val="auto"/>
                <w:highlight w:val="none"/>
              </w:rPr>
            </w:pPr>
            <w:r>
              <w:rPr>
                <w:rFonts w:hint="eastAsia"/>
                <w:b/>
                <w:color w:val="auto"/>
                <w:highlight w:val="none"/>
              </w:rPr>
              <w:t>总金额</w:t>
            </w:r>
          </w:p>
          <w:p w14:paraId="0DAF4C11">
            <w:pPr>
              <w:snapToGrid w:val="0"/>
              <w:ind w:firstLine="0" w:firstLineChars="0"/>
              <w:jc w:val="left"/>
              <w:rPr>
                <w:b/>
                <w:color w:val="auto"/>
                <w:highlight w:val="none"/>
              </w:rPr>
            </w:pPr>
            <w:r>
              <w:rPr>
                <w:rFonts w:hint="eastAsia"/>
                <w:b/>
                <w:color w:val="auto"/>
                <w:highlight w:val="none"/>
              </w:rPr>
              <w:t>含税（元）</w:t>
            </w:r>
          </w:p>
        </w:tc>
      </w:tr>
      <w:tr w14:paraId="540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1071CECB">
            <w:pPr>
              <w:adjustRightInd w:val="0"/>
              <w:snapToGrid w:val="0"/>
              <w:spacing w:line="360" w:lineRule="auto"/>
              <w:jc w:val="left"/>
              <w:rPr>
                <w:color w:val="auto"/>
                <w:highlight w:val="none"/>
              </w:rPr>
            </w:pPr>
          </w:p>
        </w:tc>
        <w:tc>
          <w:tcPr>
            <w:tcW w:w="2588" w:type="dxa"/>
            <w:tcBorders>
              <w:tl2br w:val="nil"/>
              <w:tr2bl w:val="nil"/>
            </w:tcBorders>
            <w:vAlign w:val="center"/>
          </w:tcPr>
          <w:p w14:paraId="52F5754B">
            <w:pPr>
              <w:adjustRightInd w:val="0"/>
              <w:snapToGrid w:val="0"/>
              <w:spacing w:line="360" w:lineRule="auto"/>
              <w:ind w:left="207" w:firstLine="480" w:firstLineChars="0"/>
              <w:jc w:val="left"/>
              <w:rPr>
                <w:rFonts w:hint="eastAsia" w:ascii="宋体"/>
                <w:color w:val="auto"/>
                <w:highlight w:val="none"/>
              </w:rPr>
            </w:pPr>
          </w:p>
        </w:tc>
        <w:tc>
          <w:tcPr>
            <w:tcW w:w="1109" w:type="dxa"/>
            <w:tcBorders>
              <w:tl2br w:val="nil"/>
              <w:tr2bl w:val="nil"/>
            </w:tcBorders>
            <w:vAlign w:val="center"/>
          </w:tcPr>
          <w:p w14:paraId="78623B02">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771B360A">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03AFEBBF">
            <w:pPr>
              <w:adjustRightInd w:val="0"/>
              <w:snapToGrid w:val="0"/>
              <w:spacing w:line="360" w:lineRule="auto"/>
              <w:ind w:left="0" w:firstLine="0" w:firstLineChars="0"/>
              <w:jc w:val="left"/>
              <w:rPr>
                <w:rFonts w:hint="eastAsia" w:ascii="宋体"/>
                <w:color w:val="auto"/>
                <w:highlight w:val="none"/>
              </w:rPr>
            </w:pPr>
            <w:r>
              <w:rPr>
                <w:rFonts w:ascii="宋体"/>
                <w:color w:val="auto"/>
                <w:highlight w:val="none"/>
              </w:rPr>
              <w:t>13%</w:t>
            </w:r>
          </w:p>
        </w:tc>
        <w:tc>
          <w:tcPr>
            <w:tcW w:w="1538" w:type="dxa"/>
            <w:tcBorders>
              <w:tl2br w:val="nil"/>
              <w:tr2bl w:val="nil"/>
            </w:tcBorders>
            <w:vAlign w:val="center"/>
          </w:tcPr>
          <w:p w14:paraId="1384AA4F">
            <w:pPr>
              <w:adjustRightInd w:val="0"/>
              <w:snapToGrid w:val="0"/>
              <w:spacing w:line="360" w:lineRule="auto"/>
              <w:jc w:val="left"/>
              <w:rPr>
                <w:rFonts w:hint="eastAsia" w:ascii="宋体"/>
                <w:color w:val="auto"/>
                <w:highlight w:val="none"/>
              </w:rPr>
            </w:pPr>
          </w:p>
        </w:tc>
      </w:tr>
      <w:tr w14:paraId="3C0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5AF5F710">
            <w:pPr>
              <w:snapToGrid w:val="0"/>
              <w:spacing w:line="360" w:lineRule="auto"/>
              <w:jc w:val="left"/>
              <w:rPr>
                <w:color w:val="auto"/>
                <w:highlight w:val="none"/>
              </w:rPr>
            </w:pPr>
          </w:p>
        </w:tc>
        <w:tc>
          <w:tcPr>
            <w:tcW w:w="6429" w:type="dxa"/>
            <w:gridSpan w:val="5"/>
            <w:tcBorders>
              <w:tl2br w:val="nil"/>
              <w:tr2bl w:val="nil"/>
            </w:tcBorders>
            <w:vAlign w:val="center"/>
          </w:tcPr>
          <w:p w14:paraId="697112A0">
            <w:pPr>
              <w:spacing w:line="360" w:lineRule="auto"/>
              <w:jc w:val="left"/>
              <w:rPr>
                <w:rFonts w:hint="eastAsia" w:ascii="宋体"/>
                <w:color w:val="auto"/>
                <w:highlight w:val="none"/>
              </w:rPr>
            </w:pPr>
          </w:p>
        </w:tc>
      </w:tr>
    </w:tbl>
    <w:p w14:paraId="6685B0B0">
      <w:pPr>
        <w:tabs>
          <w:tab w:val="left" w:pos="851"/>
        </w:tabs>
        <w:spacing w:line="360" w:lineRule="auto"/>
        <w:jc w:val="left"/>
        <w:rPr>
          <w:rFonts w:hint="eastAsia" w:ascii="宋体"/>
          <w:color w:val="auto"/>
          <w:highlight w:val="none"/>
        </w:rPr>
      </w:pPr>
      <w:r>
        <w:rPr>
          <w:rFonts w:hint="eastAsia" w:ascii="宋体"/>
          <w:color w:val="auto"/>
          <w:highlight w:val="none"/>
        </w:rPr>
        <w:t>其中不含税价为：XX元（大写：XX），税额为：XX元（大写：XX）；不含税价格不因国家税率变化而变化，若在合同履行期间，如遇国家的税率调整，则价税合计应相应调整，以开具发票的时间为准。</w:t>
      </w:r>
    </w:p>
    <w:p w14:paraId="169A817A">
      <w:pPr>
        <w:tabs>
          <w:tab w:val="left" w:pos="851"/>
        </w:tabs>
        <w:spacing w:line="360" w:lineRule="auto"/>
        <w:jc w:val="left"/>
        <w:rPr>
          <w:rFonts w:hint="eastAsia" w:ascii="宋体"/>
          <w:color w:val="auto"/>
          <w:highlight w:val="none"/>
        </w:rPr>
      </w:pPr>
      <w:r>
        <w:rPr>
          <w:rFonts w:hint="eastAsia" w:ascii="宋体"/>
          <w:color w:val="auto"/>
          <w:highlight w:val="none"/>
        </w:rPr>
        <w:t>上述合同金额包含_</w:t>
      </w:r>
      <w:r>
        <w:rPr>
          <w:rFonts w:hint="eastAsia" w:ascii="宋体"/>
          <w:color w:val="auto"/>
          <w:highlight w:val="none"/>
          <w:u w:val="single"/>
        </w:rPr>
        <w:t>3</w:t>
      </w:r>
      <w:r>
        <w:rPr>
          <w:rFonts w:hint="eastAsia" w:ascii="宋体"/>
          <w:color w:val="auto"/>
          <w:highlight w:val="none"/>
        </w:rPr>
        <w:t>_年【原厂】提供的维保，</w:t>
      </w:r>
      <w:r>
        <w:rPr>
          <w:rFonts w:ascii="宋体"/>
          <w:color w:val="auto"/>
          <w:highlight w:val="none"/>
        </w:rPr>
        <w:t>维保期</w:t>
      </w:r>
      <w:r>
        <w:rPr>
          <w:rFonts w:hint="eastAsia"/>
          <w:color w:val="auto"/>
          <w:highlight w:val="none"/>
        </w:rPr>
        <w:t>服务起始时间为验收后次日起，结束时间需为维保到期当年的6月30日或12月31日中较近日期</w:t>
      </w:r>
      <w:r>
        <w:rPr>
          <w:rFonts w:hint="eastAsia" w:ascii="宋体"/>
          <w:color w:val="auto"/>
          <w:highlight w:val="none"/>
        </w:rPr>
        <w:t>。除此外甲方无需支付其他费用。</w:t>
      </w:r>
    </w:p>
    <w:p w14:paraId="6755598D">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付款方式</w:t>
      </w:r>
    </w:p>
    <w:p w14:paraId="0B5F5AD5">
      <w:pPr>
        <w:tabs>
          <w:tab w:val="left" w:pos="851"/>
        </w:tabs>
        <w:spacing w:line="360" w:lineRule="auto"/>
        <w:jc w:val="left"/>
        <w:rPr>
          <w:rFonts w:hint="eastAsia" w:ascii="宋体"/>
          <w:color w:val="auto"/>
          <w:highlight w:val="none"/>
        </w:rPr>
      </w:pPr>
      <w:r>
        <w:rPr>
          <w:rFonts w:hint="eastAsia" w:ascii="宋体"/>
          <w:color w:val="auto"/>
          <w:highlight w:val="none"/>
        </w:rPr>
        <w:t>3.1签订合同后，甲方</w:t>
      </w:r>
      <w:r>
        <w:rPr>
          <w:rFonts w:hint="eastAsia" w:ascii="宋体" w:cs="Arial"/>
          <w:color w:val="auto"/>
          <w:highlight w:val="none"/>
        </w:rPr>
        <w:t>收到许可文件并确认能正常使用</w:t>
      </w:r>
      <w:r>
        <w:rPr>
          <w:rFonts w:ascii="宋体" w:cs="Arial"/>
          <w:color w:val="auto"/>
          <w:highlight w:val="none"/>
        </w:rPr>
        <w:t>，且平台试运行3个月完成验收</w:t>
      </w:r>
      <w:r>
        <w:rPr>
          <w:rFonts w:hint="eastAsia" w:ascii="宋体" w:cs="Arial"/>
          <w:color w:val="auto"/>
          <w:highlight w:val="none"/>
        </w:rPr>
        <w:t>后</w:t>
      </w:r>
      <w:r>
        <w:rPr>
          <w:rFonts w:hint="eastAsia" w:ascii="宋体"/>
          <w:color w:val="auto"/>
          <w:highlight w:val="none"/>
        </w:rPr>
        <w:t>，乙方提出申请并开具、送达合法足额增值税专用发票，以上材料经甲方审核无误后30个工作日内，甲方将合同项下金额的</w:t>
      </w:r>
      <w:r>
        <w:rPr>
          <w:rFonts w:hint="eastAsia" w:ascii="宋体"/>
          <w:color w:val="auto"/>
          <w:highlight w:val="none"/>
          <w:u w:val="single"/>
        </w:rPr>
        <w:t>95%</w:t>
      </w:r>
      <w:r>
        <w:rPr>
          <w:rFonts w:hint="eastAsia" w:ascii="宋体"/>
          <w:color w:val="auto"/>
          <w:highlight w:val="none"/>
        </w:rPr>
        <w:t>支付给乙方。</w:t>
      </w:r>
    </w:p>
    <w:p w14:paraId="15FA7814">
      <w:pPr>
        <w:tabs>
          <w:tab w:val="left" w:pos="851"/>
        </w:tabs>
        <w:spacing w:line="360" w:lineRule="auto"/>
        <w:jc w:val="left"/>
        <w:rPr>
          <w:rFonts w:hint="eastAsia" w:ascii="宋体"/>
          <w:color w:val="auto"/>
          <w:highlight w:val="none"/>
        </w:rPr>
      </w:pPr>
      <w:r>
        <w:rPr>
          <w:rFonts w:hint="eastAsia" w:ascii="宋体"/>
          <w:color w:val="auto"/>
          <w:highlight w:val="none"/>
        </w:rPr>
        <w:t>3.2</w:t>
      </w:r>
      <w:r>
        <w:rPr>
          <w:rFonts w:hint="eastAsia" w:ascii="宋体" w:cs="Arial"/>
          <w:color w:val="auto"/>
          <w:highlight w:val="none"/>
        </w:rPr>
        <w:t>在服务期满之后，由</w:t>
      </w:r>
      <w:r>
        <w:rPr>
          <w:rFonts w:hint="eastAsia" w:ascii="宋体" w:cs="宋体"/>
          <w:snapToGrid w:val="0"/>
          <w:color w:val="auto"/>
          <w:kern w:val="0"/>
          <w:highlight w:val="none"/>
        </w:rPr>
        <w:t>乙方</w:t>
      </w:r>
      <w:r>
        <w:rPr>
          <w:rFonts w:hint="eastAsia" w:ascii="宋体" w:cs="Arial"/>
          <w:color w:val="auto"/>
          <w:highlight w:val="none"/>
        </w:rPr>
        <w:t>提出申请，经过</w:t>
      </w:r>
      <w:r>
        <w:rPr>
          <w:rFonts w:hint="eastAsia" w:ascii="宋体" w:cs="宋体"/>
          <w:snapToGrid w:val="0"/>
          <w:color w:val="auto"/>
          <w:kern w:val="0"/>
          <w:highlight w:val="none"/>
        </w:rPr>
        <w:t>甲方</w:t>
      </w:r>
      <w:r>
        <w:rPr>
          <w:rFonts w:hint="eastAsia" w:ascii="宋体" w:cs="宋体"/>
          <w:color w:val="auto"/>
          <w:kern w:val="0"/>
          <w:highlight w:val="none"/>
          <w:lang w:val="zh-CN" w:eastAsia="zh-CN"/>
        </w:rPr>
        <w:t>确认符合合同约定的要求后</w:t>
      </w:r>
      <w:r>
        <w:rPr>
          <w:rFonts w:hint="eastAsia" w:ascii="宋体" w:cs="Arial"/>
          <w:color w:val="auto"/>
          <w:highlight w:val="none"/>
        </w:rPr>
        <w:t>，</w:t>
      </w:r>
      <w:r>
        <w:rPr>
          <w:rFonts w:hint="eastAsia" w:ascii="宋体" w:cs="宋体"/>
          <w:snapToGrid w:val="0"/>
          <w:color w:val="auto"/>
          <w:kern w:val="0"/>
          <w:highlight w:val="none"/>
        </w:rPr>
        <w:t>乙方</w:t>
      </w:r>
      <w:r>
        <w:rPr>
          <w:rFonts w:hint="eastAsia" w:ascii="宋体" w:cs="Arial"/>
          <w:color w:val="auto"/>
          <w:highlight w:val="none"/>
        </w:rPr>
        <w:t>出具合法足额增值税专用发票给</w:t>
      </w:r>
      <w:r>
        <w:rPr>
          <w:rFonts w:hint="eastAsia" w:ascii="宋体" w:cs="宋体"/>
          <w:snapToGrid w:val="0"/>
          <w:color w:val="auto"/>
          <w:kern w:val="0"/>
          <w:highlight w:val="none"/>
        </w:rPr>
        <w:t>甲方</w:t>
      </w:r>
      <w:r>
        <w:rPr>
          <w:rFonts w:hint="eastAsia" w:ascii="宋体" w:cs="Arial"/>
          <w:color w:val="auto"/>
          <w:highlight w:val="none"/>
        </w:rPr>
        <w:t>，</w:t>
      </w:r>
      <w:r>
        <w:rPr>
          <w:rFonts w:hint="eastAsia" w:ascii="宋体" w:cs="宋体"/>
          <w:snapToGrid w:val="0"/>
          <w:color w:val="auto"/>
          <w:kern w:val="0"/>
          <w:highlight w:val="none"/>
        </w:rPr>
        <w:t>甲方</w:t>
      </w:r>
      <w:r>
        <w:rPr>
          <w:rFonts w:hint="eastAsia" w:ascii="宋体" w:cs="Arial"/>
          <w:color w:val="auto"/>
          <w:highlight w:val="none"/>
        </w:rPr>
        <w:t>于收到发票 30个工作日内，将合同项下金额的</w:t>
      </w:r>
      <w:r>
        <w:rPr>
          <w:rFonts w:hint="eastAsia" w:ascii="宋体" w:cs="Arial"/>
          <w:color w:val="auto"/>
          <w:highlight w:val="none"/>
          <w:u w:val="single"/>
        </w:rPr>
        <w:t>5%</w:t>
      </w:r>
      <w:r>
        <w:rPr>
          <w:rFonts w:hint="eastAsia" w:ascii="宋体" w:cs="Arial"/>
          <w:color w:val="auto"/>
          <w:highlight w:val="none"/>
        </w:rPr>
        <w:t>支付给</w:t>
      </w:r>
      <w:r>
        <w:rPr>
          <w:rFonts w:hint="eastAsia" w:ascii="宋体" w:cs="宋体"/>
          <w:snapToGrid w:val="0"/>
          <w:color w:val="auto"/>
          <w:kern w:val="0"/>
          <w:highlight w:val="none"/>
        </w:rPr>
        <w:t>乙方</w:t>
      </w:r>
      <w:r>
        <w:rPr>
          <w:rFonts w:hint="eastAsia" w:ascii="宋体"/>
          <w:color w:val="auto"/>
          <w:highlight w:val="none"/>
        </w:rPr>
        <w:t>。</w:t>
      </w:r>
    </w:p>
    <w:p w14:paraId="715AD2FD">
      <w:pPr>
        <w:tabs>
          <w:tab w:val="left" w:pos="851"/>
        </w:tabs>
        <w:spacing w:line="360" w:lineRule="auto"/>
        <w:jc w:val="left"/>
        <w:rPr>
          <w:color w:val="auto"/>
          <w:highlight w:val="none"/>
        </w:rPr>
      </w:pPr>
      <w:r>
        <w:rPr>
          <w:rFonts w:hint="eastAsia" w:ascii="宋体"/>
          <w:color w:val="auto"/>
          <w:highlight w:val="none"/>
        </w:rPr>
        <w:t>3.3发票要求：</w:t>
      </w:r>
      <w:r>
        <w:rPr>
          <w:rFonts w:hint="eastAsia"/>
          <w:color w:val="auto"/>
          <w:highlight w:val="none"/>
        </w:rPr>
        <w:t>乙方须严格按照合</w:t>
      </w:r>
      <w:r>
        <w:rPr>
          <w:rFonts w:hint="eastAsia" w:ascii="宋体"/>
          <w:color w:val="auto"/>
          <w:highlight w:val="none"/>
        </w:rPr>
        <w:t>同内容开具</w:t>
      </w:r>
      <w:r>
        <w:rPr>
          <w:rFonts w:hint="eastAsia" w:ascii="宋体"/>
          <w:b/>
          <w:color w:val="auto"/>
          <w:highlight w:val="none"/>
        </w:rPr>
        <w:t>税率为13%的增值税专用发票</w:t>
      </w:r>
      <w:r>
        <w:rPr>
          <w:rFonts w:hint="eastAsia"/>
          <w:color w:val="auto"/>
          <w:highlight w:val="none"/>
        </w:rPr>
        <w:t>（若遇国家税率调整另议），乙方在甲方付款前30个工作日需向甲方交付相应的发票，否则甲方有权拒绝支付任何费用且不承担逾期付款违约责任。</w:t>
      </w:r>
    </w:p>
    <w:p w14:paraId="0ACA7AC1">
      <w:pPr>
        <w:tabs>
          <w:tab w:val="left" w:pos="851"/>
        </w:tabs>
        <w:spacing w:line="360" w:lineRule="auto"/>
        <w:jc w:val="left"/>
        <w:rPr>
          <w:rFonts w:hint="eastAsia" w:ascii="宋体"/>
          <w:color w:val="auto"/>
          <w:highlight w:val="none"/>
        </w:rPr>
      </w:pPr>
      <w:r>
        <w:rPr>
          <w:rFonts w:hint="eastAsia" w:ascii="宋体"/>
          <w:color w:val="auto"/>
          <w:highlight w:val="none"/>
        </w:rPr>
        <w:t>3.4</w:t>
      </w:r>
      <w:r>
        <w:rPr>
          <w:color w:val="auto"/>
          <w:highlight w:val="none"/>
        </w:rPr>
        <w:t>甲方</w:t>
      </w:r>
      <w:r>
        <w:rPr>
          <w:rFonts w:hint="eastAsia"/>
          <w:color w:val="auto"/>
          <w:highlight w:val="none"/>
        </w:rPr>
        <w:t>按照</w:t>
      </w:r>
      <w:r>
        <w:rPr>
          <w:color w:val="auto"/>
          <w:highlight w:val="none"/>
        </w:rPr>
        <w:t>本合同约定支付费用后，即视为已向乙方及原厂履行完所有付款义务，如有任何人向甲方主张费用的，由乙方负责，给甲方造成损失的，乙方应</w:t>
      </w:r>
      <w:r>
        <w:rPr>
          <w:rFonts w:hint="eastAsia"/>
          <w:color w:val="auto"/>
          <w:highlight w:val="none"/>
        </w:rPr>
        <w:t>全额</w:t>
      </w:r>
      <w:r>
        <w:rPr>
          <w:color w:val="auto"/>
          <w:highlight w:val="none"/>
        </w:rPr>
        <w:t>赔偿甲方。</w:t>
      </w:r>
    </w:p>
    <w:p w14:paraId="6974100E">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收货方式和交货时间</w:t>
      </w:r>
    </w:p>
    <w:p w14:paraId="6265F658">
      <w:pPr>
        <w:tabs>
          <w:tab w:val="left" w:pos="851"/>
        </w:tabs>
        <w:spacing w:line="360" w:lineRule="auto"/>
        <w:jc w:val="left"/>
        <w:rPr>
          <w:rFonts w:hint="eastAsia" w:ascii="宋体"/>
          <w:color w:val="auto"/>
          <w:highlight w:val="none"/>
        </w:rPr>
      </w:pPr>
      <w:r>
        <w:rPr>
          <w:rFonts w:hint="eastAsia" w:ascii="宋体"/>
          <w:color w:val="auto"/>
          <w:highlight w:val="none"/>
        </w:rPr>
        <w:t>4.1乙方将授权文件发送到甲方指定的邮箱：</w:t>
      </w:r>
      <w:r>
        <w:rPr>
          <w:rFonts w:ascii="宋体"/>
          <w:color w:val="auto"/>
          <w:highlight w:val="none"/>
          <w:u w:val="single"/>
        </w:rPr>
        <w:t>befg@ccqtgb.com</w:t>
      </w:r>
    </w:p>
    <w:p w14:paraId="175EA091">
      <w:pPr>
        <w:tabs>
          <w:tab w:val="left" w:pos="851"/>
        </w:tabs>
        <w:spacing w:line="360" w:lineRule="auto"/>
        <w:ind w:firstLine="420" w:firstLineChars="200"/>
        <w:jc w:val="left"/>
        <w:rPr>
          <w:rFonts w:hint="eastAsia" w:ascii="宋体"/>
          <w:color w:val="auto"/>
          <w:highlight w:val="none"/>
        </w:rPr>
      </w:pPr>
      <w:r>
        <w:rPr>
          <w:rFonts w:ascii="宋体"/>
          <w:color w:val="auto"/>
          <w:highlight w:val="none"/>
        </w:rPr>
        <w:t>4.2</w:t>
      </w:r>
      <w:r>
        <w:rPr>
          <w:rFonts w:hint="eastAsia" w:ascii="宋体"/>
          <w:color w:val="auto"/>
          <w:highlight w:val="none"/>
        </w:rPr>
        <w:t>交货时间：合同签订后 45个自然日内。</w:t>
      </w:r>
    </w:p>
    <w:p w14:paraId="130F9299">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质量保证和售后服务</w:t>
      </w:r>
    </w:p>
    <w:p w14:paraId="7FFD6FD7">
      <w:pPr>
        <w:tabs>
          <w:tab w:val="left" w:pos="851"/>
        </w:tabs>
        <w:spacing w:line="360" w:lineRule="auto"/>
        <w:jc w:val="left"/>
        <w:rPr>
          <w:rFonts w:hint="eastAsia" w:ascii="宋体"/>
          <w:color w:val="auto"/>
          <w:highlight w:val="none"/>
        </w:rPr>
      </w:pPr>
      <w:r>
        <w:rPr>
          <w:rFonts w:hint="eastAsia" w:ascii="宋体"/>
          <w:color w:val="auto"/>
          <w:highlight w:val="none"/>
        </w:rPr>
        <w:t>5.1乙方保证交付甲方的本合同项下的所有产品均符合原厂的相关技术规范。因产品兼容性无法使用等问题对甲方造成经济损失的，甲方有权拒绝收货、不予支付任何费用并要求乙方进行赔偿，乙方应当承担相关赔偿责任。</w:t>
      </w:r>
    </w:p>
    <w:p w14:paraId="45E2746A">
      <w:pPr>
        <w:tabs>
          <w:tab w:val="left" w:pos="851"/>
        </w:tabs>
        <w:spacing w:line="360" w:lineRule="auto"/>
        <w:jc w:val="left"/>
        <w:rPr>
          <w:rFonts w:ascii="宋体"/>
          <w:color w:val="auto"/>
          <w:highlight w:val="none"/>
        </w:rPr>
      </w:pPr>
      <w:r>
        <w:rPr>
          <w:rFonts w:hint="eastAsia" w:ascii="宋体"/>
          <w:color w:val="auto"/>
          <w:highlight w:val="none"/>
        </w:rPr>
        <w:t>5.2 乙方保证甲方所购软件授权应当为灵活授权，</w:t>
      </w:r>
      <w:r>
        <w:rPr>
          <w:color w:val="auto"/>
          <w:highlight w:val="none"/>
        </w:rPr>
        <w:t>即多套环境共享容量授权。</w:t>
      </w:r>
    </w:p>
    <w:p w14:paraId="017A763E">
      <w:pPr>
        <w:tabs>
          <w:tab w:val="left" w:pos="851"/>
        </w:tabs>
        <w:spacing w:line="360" w:lineRule="auto"/>
        <w:jc w:val="left"/>
        <w:rPr>
          <w:rFonts w:hint="eastAsia" w:ascii="宋体"/>
          <w:color w:val="auto"/>
          <w:highlight w:val="none"/>
        </w:rPr>
      </w:pPr>
      <w:r>
        <w:rPr>
          <w:rFonts w:ascii="宋体"/>
          <w:color w:val="auto"/>
          <w:highlight w:val="none"/>
        </w:rPr>
        <w:t>5.3维保期内每季度提供一次现场巡检，出具巡检报告。</w:t>
      </w:r>
    </w:p>
    <w:p w14:paraId="225CB2CE">
      <w:pPr>
        <w:tabs>
          <w:tab w:val="left" w:pos="851"/>
        </w:tabs>
        <w:spacing w:line="360" w:lineRule="auto"/>
        <w:jc w:val="left"/>
        <w:rPr>
          <w:rFonts w:hint="eastAsia" w:ascii="宋体"/>
          <w:color w:val="auto"/>
          <w:highlight w:val="none"/>
        </w:rPr>
      </w:pPr>
      <w:r>
        <w:rPr>
          <w:rFonts w:hint="eastAsia" w:ascii="宋体"/>
          <w:color w:val="auto"/>
          <w:highlight w:val="none"/>
        </w:rPr>
        <w:t>5.</w:t>
      </w:r>
      <w:r>
        <w:rPr>
          <w:rFonts w:ascii="宋体"/>
          <w:color w:val="auto"/>
          <w:highlight w:val="none"/>
        </w:rPr>
        <w:t>4</w:t>
      </w:r>
      <w:r>
        <w:rPr>
          <w:rFonts w:hint="eastAsia" w:ascii="宋体"/>
          <w:color w:val="auto"/>
          <w:highlight w:val="none"/>
        </w:rPr>
        <w:t>在维保期内如果合同产品出现故障，乙方应提供维保服务，对合同产品进行处置以消除故障。</w:t>
      </w:r>
    </w:p>
    <w:p w14:paraId="093C5576">
      <w:pPr>
        <w:tabs>
          <w:tab w:val="left" w:pos="851"/>
        </w:tabs>
        <w:jc w:val="left"/>
        <w:rPr>
          <w:rFonts w:hint="eastAsia" w:ascii="宋体"/>
          <w:color w:val="auto"/>
          <w:highlight w:val="none"/>
        </w:rPr>
      </w:pPr>
      <w:r>
        <w:rPr>
          <w:rFonts w:hint="eastAsia" w:ascii="宋体"/>
          <w:color w:val="auto"/>
          <w:highlight w:val="none"/>
        </w:rPr>
        <w:t>5.</w:t>
      </w:r>
      <w:r>
        <w:rPr>
          <w:rFonts w:ascii="宋体"/>
          <w:color w:val="auto"/>
          <w:highlight w:val="none"/>
        </w:rPr>
        <w:t>5</w:t>
      </w:r>
      <w:r>
        <w:rPr>
          <w:rFonts w:hint="eastAsia" w:ascii="宋体"/>
          <w:color w:val="auto"/>
          <w:highlight w:val="none"/>
        </w:rPr>
        <w:t>维保期到期后，甲方可以选择以合同项下产品金额的_</w:t>
      </w:r>
      <w:r>
        <w:rPr>
          <w:rFonts w:hint="eastAsia" w:ascii="宋体"/>
          <w:color w:val="auto"/>
          <w:highlight w:val="none"/>
          <w:u w:val="single"/>
        </w:rPr>
        <w:t>1</w:t>
      </w:r>
      <w:r>
        <w:rPr>
          <w:rFonts w:ascii="宋体"/>
          <w:color w:val="auto"/>
          <w:highlight w:val="none"/>
          <w:u w:val="single"/>
        </w:rPr>
        <w:t>3</w:t>
      </w:r>
      <w:r>
        <w:rPr>
          <w:rFonts w:hint="eastAsia" w:ascii="宋体"/>
          <w:color w:val="auto"/>
          <w:highlight w:val="none"/>
        </w:rPr>
        <w:t>_%的维保费率续保7*24*</w:t>
      </w:r>
      <w:r>
        <w:rPr>
          <w:rFonts w:ascii="宋体"/>
          <w:color w:val="auto"/>
          <w:highlight w:val="none"/>
        </w:rPr>
        <w:t>4</w:t>
      </w:r>
      <w:r>
        <w:rPr>
          <w:rFonts w:hint="eastAsia" w:ascii="宋体"/>
          <w:color w:val="auto"/>
          <w:highlight w:val="none"/>
        </w:rPr>
        <w:t>（(每周7天，每天24小时，</w:t>
      </w:r>
      <w:r>
        <w:rPr>
          <w:rFonts w:ascii="宋体"/>
          <w:color w:val="auto"/>
          <w:highlight w:val="none"/>
        </w:rPr>
        <w:t>4</w:t>
      </w:r>
      <w:r>
        <w:rPr>
          <w:rFonts w:hint="eastAsia" w:ascii="宋体"/>
          <w:color w:val="auto"/>
          <w:highlight w:val="none"/>
        </w:rPr>
        <w:t>小时内到达现场）级别的原厂维保服务。</w:t>
      </w:r>
    </w:p>
    <w:p w14:paraId="3C012AEC">
      <w:pPr>
        <w:numPr>
          <w:ilvl w:val="0"/>
          <w:numId w:val="5"/>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违约责任</w:t>
      </w:r>
    </w:p>
    <w:p w14:paraId="0196E344">
      <w:pPr>
        <w:tabs>
          <w:tab w:val="left" w:pos="851"/>
        </w:tabs>
        <w:spacing w:line="360" w:lineRule="auto"/>
        <w:jc w:val="left"/>
        <w:rPr>
          <w:rFonts w:hint="eastAsia" w:ascii="宋体"/>
          <w:color w:val="auto"/>
          <w:highlight w:val="none"/>
        </w:rPr>
      </w:pPr>
      <w:r>
        <w:rPr>
          <w:rFonts w:hint="eastAsia" w:ascii="宋体"/>
          <w:color w:val="auto"/>
          <w:highlight w:val="none"/>
        </w:rPr>
        <w:t>6.1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22D6DA14">
      <w:pPr>
        <w:tabs>
          <w:tab w:val="left" w:pos="851"/>
        </w:tabs>
        <w:spacing w:line="360" w:lineRule="auto"/>
        <w:jc w:val="left"/>
        <w:rPr>
          <w:rFonts w:hint="eastAsia" w:ascii="宋体"/>
          <w:color w:val="auto"/>
          <w:highlight w:val="none"/>
        </w:rPr>
      </w:pPr>
      <w:r>
        <w:rPr>
          <w:rFonts w:hint="eastAsia" w:ascii="宋体"/>
          <w:color w:val="auto"/>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14:paraId="1FF0B55F">
      <w:pPr>
        <w:tabs>
          <w:tab w:val="left" w:pos="851"/>
        </w:tabs>
        <w:spacing w:line="360" w:lineRule="auto"/>
        <w:jc w:val="left"/>
        <w:rPr>
          <w:rFonts w:hint="eastAsia" w:ascii="宋体"/>
          <w:color w:val="auto"/>
          <w:highlight w:val="none"/>
        </w:rPr>
      </w:pPr>
      <w:r>
        <w:rPr>
          <w:rFonts w:hint="eastAsia" w:ascii="宋体"/>
          <w:color w:val="auto"/>
          <w:highlight w:val="none"/>
        </w:rPr>
        <w:t>6.3 如果乙方在质保期内未按合同附件要求提供服务（含原厂服务），每违反一条，乙方需向甲方支付合同总额百分之五的违约金。若乙方未按约履行质保义务（含原厂未履行质保），甲方有权自行或另行委托第三方维修，由此产生的费用甲方有权直接从质保金中扣除。</w:t>
      </w:r>
    </w:p>
    <w:p w14:paraId="6EB832E6">
      <w:pPr>
        <w:tabs>
          <w:tab w:val="left" w:pos="851"/>
        </w:tabs>
        <w:spacing w:line="360" w:lineRule="auto"/>
        <w:jc w:val="left"/>
        <w:rPr>
          <w:rFonts w:hint="eastAsia" w:ascii="宋体"/>
          <w:color w:val="auto"/>
          <w:highlight w:val="none"/>
        </w:rPr>
      </w:pPr>
      <w:r>
        <w:rPr>
          <w:rFonts w:hint="eastAsia" w:ascii="宋体"/>
          <w:color w:val="auto"/>
          <w:highlight w:val="none"/>
        </w:rPr>
        <w:t>6.4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7C7B2E6">
      <w:pPr>
        <w:spacing w:line="360" w:lineRule="auto"/>
        <w:jc w:val="left"/>
        <w:rPr>
          <w:rFonts w:hint="eastAsia" w:ascii="宋体"/>
          <w:color w:val="auto"/>
          <w:highlight w:val="none"/>
        </w:rPr>
      </w:pPr>
      <w:r>
        <w:rPr>
          <w:rFonts w:hint="eastAsia" w:ascii="宋体"/>
          <w:color w:val="auto"/>
          <w:highlight w:val="none"/>
        </w:rPr>
        <w:t>6.5不得因乙方原因（含乙方合作的第三方）导致甲方发生网络安全事件，如因乙方直接或间接原因导致甲方发生网络安全事件，每发生一次网络安全事件扣除乙方合同金额不低于3%，并要求乙方赔偿实际损失。</w:t>
      </w:r>
    </w:p>
    <w:p w14:paraId="1B3AD8A5">
      <w:pPr>
        <w:spacing w:line="360" w:lineRule="auto"/>
        <w:jc w:val="left"/>
        <w:rPr>
          <w:rFonts w:hint="eastAsia" w:ascii="宋体"/>
          <w:color w:val="auto"/>
          <w:highlight w:val="none"/>
        </w:rPr>
      </w:pPr>
      <w:r>
        <w:rPr>
          <w:rFonts w:hint="eastAsia" w:ascii="宋体"/>
          <w:color w:val="auto"/>
          <w:highlight w:val="none"/>
        </w:rPr>
        <w:t>6.6 若乙方合作的第三方停止生产和维护本项目产品中的某些部件或组件，乙方应立即采取替代方案消除对甲方产生的影响，若因此给甲方造成任何损失，乙方应承担赔偿责任。</w:t>
      </w:r>
    </w:p>
    <w:p w14:paraId="52DBB513">
      <w:pPr>
        <w:spacing w:line="360" w:lineRule="auto"/>
        <w:jc w:val="left"/>
        <w:rPr>
          <w:rFonts w:hint="eastAsia" w:ascii="宋体"/>
          <w:color w:val="auto"/>
          <w:highlight w:val="none"/>
        </w:rPr>
      </w:pPr>
      <w:r>
        <w:rPr>
          <w:rFonts w:hint="eastAsia" w:ascii="宋体"/>
          <w:color w:val="auto"/>
          <w:highlight w:val="none"/>
        </w:rPr>
        <w:t>6.7本合同项下乙方应支付的违约金、赔偿金等，甲方均有权从应支付给乙方的任意一笔款项中优先扣除，若有不足，乙方应另行筹措资金补足。</w:t>
      </w:r>
    </w:p>
    <w:p w14:paraId="3A14789E">
      <w:pPr>
        <w:numPr>
          <w:ilvl w:val="0"/>
          <w:numId w:val="5"/>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不可抗力</w:t>
      </w:r>
    </w:p>
    <w:p w14:paraId="3C71DD35">
      <w:pPr>
        <w:tabs>
          <w:tab w:val="left" w:pos="851"/>
        </w:tabs>
        <w:spacing w:line="360" w:lineRule="auto"/>
        <w:jc w:val="left"/>
        <w:rPr>
          <w:rFonts w:hint="eastAsia" w:ascii="宋体"/>
          <w:color w:val="auto"/>
          <w:highlight w:val="none"/>
        </w:rPr>
      </w:pPr>
      <w:r>
        <w:rPr>
          <w:rFonts w:hint="eastAsia" w:ascii="宋体"/>
          <w:color w:val="auto"/>
          <w:highlight w:val="none"/>
        </w:rPr>
        <w:t>7.1不可抗力是指本合同生效后，发生不能预见并且对其发生和后果不能防止或避免的事件，如地震、台风、水灾、火灾、战争、传染病等，致使直接影响本合同的履行或不能按约定的条件履行。</w:t>
      </w:r>
    </w:p>
    <w:p w14:paraId="61ECB204">
      <w:pPr>
        <w:tabs>
          <w:tab w:val="left" w:pos="851"/>
        </w:tabs>
        <w:spacing w:line="360" w:lineRule="auto"/>
        <w:jc w:val="left"/>
        <w:rPr>
          <w:rFonts w:hint="eastAsia" w:ascii="宋体"/>
          <w:color w:val="auto"/>
          <w:highlight w:val="none"/>
        </w:rPr>
      </w:pPr>
      <w:r>
        <w:rPr>
          <w:rFonts w:hint="eastAsia" w:ascii="宋体"/>
          <w:color w:val="auto"/>
          <w:highlight w:val="none"/>
        </w:rPr>
        <w:t>7.2发生不可抗力的一方应立即通知对方，并在十五天内提供不可抗力的详情及将有关证明文件送交对方。</w:t>
      </w:r>
    </w:p>
    <w:p w14:paraId="0ACBE354">
      <w:pPr>
        <w:tabs>
          <w:tab w:val="left" w:pos="851"/>
        </w:tabs>
        <w:spacing w:line="360" w:lineRule="auto"/>
        <w:jc w:val="left"/>
        <w:rPr>
          <w:rFonts w:hint="eastAsia" w:ascii="宋体"/>
          <w:color w:val="auto"/>
          <w:highlight w:val="none"/>
        </w:rPr>
      </w:pPr>
      <w:r>
        <w:rPr>
          <w:rFonts w:hint="eastAsia" w:ascii="宋体"/>
          <w:color w:val="auto"/>
          <w:highlight w:val="none"/>
        </w:rPr>
        <w:t>7.3发生不可抗力事件时，甲乙双方应协商以寻找一个合理的解决方法，并尽一切努力减轻不可抗力产生的后果。</w:t>
      </w:r>
    </w:p>
    <w:p w14:paraId="1CFA04E2">
      <w:pPr>
        <w:tabs>
          <w:tab w:val="left" w:pos="851"/>
        </w:tabs>
        <w:spacing w:line="360" w:lineRule="auto"/>
        <w:jc w:val="left"/>
        <w:rPr>
          <w:rFonts w:hint="eastAsia" w:ascii="宋体"/>
          <w:color w:val="auto"/>
          <w:highlight w:val="none"/>
        </w:rPr>
      </w:pPr>
      <w:r>
        <w:rPr>
          <w:rFonts w:hint="eastAsia" w:ascii="宋体"/>
          <w:color w:val="auto"/>
          <w:highlight w:val="none"/>
        </w:rPr>
        <w:t>7.4如不可抗力事件持续三十天时，甲乙双方应友好协商解决本合同是否继续履行或终止的问题。</w:t>
      </w:r>
    </w:p>
    <w:p w14:paraId="0CD81147">
      <w:pPr>
        <w:numPr>
          <w:ilvl w:val="0"/>
          <w:numId w:val="5"/>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争议解决</w:t>
      </w:r>
    </w:p>
    <w:p w14:paraId="2E443F5D">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因本合同引起的或与本合同有关的任何争议，双方可通过协商解决，协商不成，任何一方均可向重庆仲裁委员会按照该会届时有效的仲裁规则申请仲裁。</w:t>
      </w:r>
    </w:p>
    <w:p w14:paraId="1AAB8243">
      <w:pPr>
        <w:numPr>
          <w:ilvl w:val="0"/>
          <w:numId w:val="5"/>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保密</w:t>
      </w:r>
    </w:p>
    <w:p w14:paraId="2EE2E5B5">
      <w:pPr>
        <w:tabs>
          <w:tab w:val="left" w:pos="851"/>
        </w:tabs>
        <w:jc w:val="left"/>
        <w:rPr>
          <w:rFonts w:hint="eastAsia" w:ascii="宋体" w:cs="Times New Roman"/>
          <w:color w:val="auto"/>
          <w:highlight w:val="none"/>
        </w:rPr>
      </w:pPr>
      <w:r>
        <w:rPr>
          <w:rFonts w:hint="eastAsia" w:ascii="宋体" w:cs="Times New Roman"/>
          <w:color w:val="auto"/>
          <w:highlight w:val="none"/>
        </w:rPr>
        <w:t>9.1乙方须对本合同项下的所有条款保密。</w:t>
      </w:r>
    </w:p>
    <w:p w14:paraId="6E4AB06C">
      <w:pPr>
        <w:tabs>
          <w:tab w:val="left" w:pos="851"/>
        </w:tabs>
        <w:jc w:val="left"/>
        <w:rPr>
          <w:rFonts w:hint="eastAsia" w:ascii="宋体" w:cs="Times New Roman"/>
          <w:color w:val="auto"/>
          <w:highlight w:val="none"/>
        </w:rPr>
      </w:pPr>
      <w:r>
        <w:rPr>
          <w:rFonts w:hint="eastAsia" w:ascii="宋体" w:cs="Times New Roman"/>
          <w:color w:val="auto"/>
          <w:highlight w:val="none"/>
        </w:rPr>
        <w:t>9.2乙方不得在合同允许范围外使用或披露甲方以及甲方客户信息、技术框架、系统架构、业务流程等核心信息。</w:t>
      </w:r>
    </w:p>
    <w:p w14:paraId="58F03484">
      <w:pPr>
        <w:tabs>
          <w:tab w:val="left" w:pos="851"/>
        </w:tabs>
        <w:jc w:val="left"/>
        <w:rPr>
          <w:rFonts w:hint="eastAsia" w:ascii="宋体" w:cs="Times New Roman"/>
          <w:color w:val="auto"/>
          <w:highlight w:val="none"/>
        </w:rPr>
      </w:pPr>
      <w:r>
        <w:rPr>
          <w:rFonts w:hint="eastAsia" w:ascii="宋体" w:cs="Times New Roman"/>
          <w:color w:val="auto"/>
          <w:highlight w:val="none"/>
        </w:rPr>
        <w:t>9.3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9BD818B">
      <w:pPr>
        <w:tabs>
          <w:tab w:val="left" w:pos="851"/>
        </w:tabs>
        <w:jc w:val="left"/>
        <w:rPr>
          <w:rFonts w:hint="eastAsia" w:ascii="宋体" w:cs="Times New Roman"/>
          <w:color w:val="auto"/>
          <w:highlight w:val="none"/>
        </w:rPr>
      </w:pPr>
      <w:r>
        <w:rPr>
          <w:rFonts w:hint="eastAsia" w:ascii="宋体" w:cs="Times New Roman"/>
          <w:color w:val="auto"/>
          <w:highlight w:val="none"/>
        </w:rPr>
        <w:t>9.4乙方知道违反本条规定将给甲方客户权利以及甲方造成难以弥补的损失，为此同意承担由此产生的经济上和法律上的责任和损失。</w:t>
      </w:r>
    </w:p>
    <w:p w14:paraId="04F45EEF">
      <w:pPr>
        <w:tabs>
          <w:tab w:val="left" w:pos="851"/>
        </w:tabs>
        <w:jc w:val="left"/>
        <w:rPr>
          <w:rFonts w:hint="eastAsia" w:ascii="宋体" w:cs="Times New Roman"/>
          <w:color w:val="auto"/>
          <w:highlight w:val="none"/>
        </w:rPr>
      </w:pPr>
      <w:r>
        <w:rPr>
          <w:rFonts w:hint="eastAsia" w:ascii="宋体" w:cs="Times New Roman"/>
          <w:color w:val="auto"/>
          <w:highlight w:val="none"/>
        </w:rPr>
        <w:t>9.5乙方承认本合同中的技术资料和技术秘密为甲方所专有，将其对乙方进行披露并不意味着任何所有权、专利权的转让。</w:t>
      </w:r>
    </w:p>
    <w:p w14:paraId="4DA6DE7F">
      <w:pPr>
        <w:tabs>
          <w:tab w:val="left" w:pos="851"/>
        </w:tabs>
        <w:jc w:val="left"/>
        <w:rPr>
          <w:rFonts w:hint="eastAsia" w:ascii="宋体" w:cs="Times New Roman"/>
          <w:color w:val="auto"/>
          <w:highlight w:val="none"/>
        </w:rPr>
      </w:pPr>
      <w:r>
        <w:rPr>
          <w:rFonts w:hint="eastAsia" w:ascii="宋体" w:cs="Times New Roman"/>
          <w:color w:val="auto"/>
          <w:highlight w:val="none"/>
        </w:rPr>
        <w:t>9.6在本合同项目通过验收后，乙方应归还甲方提供的所有技术资料或文件等，并承诺不保留任何复印件。</w:t>
      </w:r>
    </w:p>
    <w:p w14:paraId="5B745E75">
      <w:pPr>
        <w:tabs>
          <w:tab w:val="left" w:pos="851"/>
        </w:tabs>
        <w:jc w:val="left"/>
        <w:rPr>
          <w:rFonts w:hint="eastAsia" w:ascii="宋体" w:cs="Times New Roman"/>
          <w:color w:val="auto"/>
          <w:highlight w:val="none"/>
        </w:rPr>
      </w:pPr>
      <w:r>
        <w:rPr>
          <w:rFonts w:hint="eastAsia" w:ascii="宋体" w:cs="Times New Roman"/>
          <w:color w:val="auto"/>
          <w:highlight w:val="none"/>
        </w:rPr>
        <w:t>9.7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9ACDF8D">
      <w:pPr>
        <w:tabs>
          <w:tab w:val="left" w:pos="851"/>
        </w:tabs>
        <w:jc w:val="left"/>
        <w:rPr>
          <w:rFonts w:hint="eastAsia" w:ascii="宋体" w:cs="Times New Roman"/>
          <w:color w:val="auto"/>
          <w:highlight w:val="none"/>
        </w:rPr>
      </w:pPr>
      <w:r>
        <w:rPr>
          <w:rFonts w:hint="eastAsia" w:ascii="宋体" w:cs="Times New Roman"/>
          <w:color w:val="auto"/>
          <w:highlight w:val="none"/>
        </w:rPr>
        <w:t>9.8除非甲方特别声明，乙方对于保密信息的保密义务为无限期保密，直至甲方宣布解密或者保密信息实际上已经公开。</w:t>
      </w:r>
    </w:p>
    <w:p w14:paraId="1E2A8F55">
      <w:pPr>
        <w:pStyle w:val="16"/>
        <w:spacing w:line="360" w:lineRule="auto"/>
        <w:ind w:left="0"/>
        <w:jc w:val="left"/>
        <w:rPr>
          <w:rFonts w:ascii="宋体" w:hAnsi="宋体"/>
          <w:b/>
          <w:color w:val="auto"/>
          <w:sz w:val="24"/>
          <w:highlight w:val="none"/>
        </w:rPr>
      </w:pPr>
    </w:p>
    <w:p w14:paraId="2DF79A9B">
      <w:pPr>
        <w:numPr>
          <w:ilvl w:val="0"/>
          <w:numId w:val="5"/>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通知与送达</w:t>
      </w:r>
    </w:p>
    <w:p w14:paraId="0DA819DE">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53378335">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FD94F48">
      <w:pPr>
        <w:numPr>
          <w:ilvl w:val="0"/>
          <w:numId w:val="5"/>
        </w:numPr>
        <w:tabs>
          <w:tab w:val="left" w:pos="1276"/>
          <w:tab w:val="clear" w:pos="877"/>
        </w:tabs>
        <w:spacing w:before="240" w:line="360" w:lineRule="auto"/>
        <w:ind w:left="877" w:hanging="877" w:firstLineChars="0"/>
        <w:jc w:val="left"/>
        <w:rPr>
          <w:rFonts w:hint="eastAsia" w:ascii="宋体"/>
          <w:b/>
          <w:color w:val="auto"/>
          <w:highlight w:val="none"/>
        </w:rPr>
      </w:pPr>
      <w:bookmarkStart w:id="259" w:name="_Toc388368880"/>
      <w:r>
        <w:rPr>
          <w:rFonts w:hint="eastAsia" w:ascii="宋体"/>
          <w:b/>
          <w:color w:val="auto"/>
          <w:highlight w:val="none"/>
        </w:rPr>
        <w:t>反商业贿赂</w:t>
      </w:r>
      <w:bookmarkEnd w:id="259"/>
    </w:p>
    <w:p w14:paraId="31D0DF68">
      <w:pPr>
        <w:spacing w:line="360" w:lineRule="auto"/>
        <w:jc w:val="left"/>
        <w:rPr>
          <w:rFonts w:hint="eastAsia"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7470A23">
      <w:pPr>
        <w:numPr>
          <w:ilvl w:val="0"/>
          <w:numId w:val="5"/>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附件</w:t>
      </w:r>
    </w:p>
    <w:p w14:paraId="4E296AEF">
      <w:pPr>
        <w:spacing w:line="360" w:lineRule="auto"/>
        <w:jc w:val="left"/>
        <w:rPr>
          <w:rFonts w:hint="eastAsia"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1505786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附件一：产品验收表</w:t>
      </w:r>
    </w:p>
    <w:p w14:paraId="52AAFC4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附件二：最终验收表</w:t>
      </w:r>
    </w:p>
    <w:p w14:paraId="721EC057">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w:t>
      </w:r>
      <w:r>
        <w:rPr>
          <w:rFonts w:ascii="宋体"/>
          <w:color w:val="auto"/>
          <w:kern w:val="0"/>
          <w:highlight w:val="none"/>
        </w:rPr>
        <w:t>三</w:t>
      </w:r>
      <w:r>
        <w:rPr>
          <w:rFonts w:hint="eastAsia" w:ascii="宋体"/>
          <w:color w:val="auto"/>
          <w:kern w:val="0"/>
          <w:highlight w:val="none"/>
        </w:rPr>
        <w:t>：</w:t>
      </w:r>
      <w:r>
        <w:rPr>
          <w:rFonts w:hint="eastAsia"/>
          <w:color w:val="auto"/>
          <w:highlight w:val="none"/>
        </w:rPr>
        <w:t>服务连续性预案</w:t>
      </w:r>
    </w:p>
    <w:p w14:paraId="12D8BFA4">
      <w:pPr>
        <w:numPr>
          <w:ilvl w:val="0"/>
          <w:numId w:val="5"/>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其他事宜</w:t>
      </w:r>
    </w:p>
    <w:p w14:paraId="462C0C05">
      <w:pPr>
        <w:tabs>
          <w:tab w:val="left" w:pos="851"/>
        </w:tabs>
        <w:spacing w:line="360" w:lineRule="auto"/>
        <w:jc w:val="left"/>
        <w:rPr>
          <w:rFonts w:hint="eastAsia" w:ascii="宋体"/>
          <w:color w:val="auto"/>
          <w:highlight w:val="none"/>
        </w:rPr>
      </w:pPr>
      <w:r>
        <w:rPr>
          <w:rFonts w:hint="eastAsia" w:ascii="宋体"/>
          <w:color w:val="auto"/>
          <w:highlight w:val="none"/>
        </w:rPr>
        <w:t>13.1本合同在甲乙双方加盖公章或合同章后生效。</w:t>
      </w:r>
    </w:p>
    <w:p w14:paraId="688E9310">
      <w:pPr>
        <w:tabs>
          <w:tab w:val="left" w:pos="851"/>
        </w:tabs>
        <w:spacing w:line="360" w:lineRule="auto"/>
        <w:jc w:val="left"/>
        <w:rPr>
          <w:rFonts w:hint="eastAsia" w:ascii="宋体"/>
          <w:color w:val="auto"/>
          <w:highlight w:val="none"/>
        </w:rPr>
      </w:pPr>
      <w:r>
        <w:rPr>
          <w:rFonts w:hint="eastAsia" w:ascii="宋体"/>
          <w:color w:val="auto"/>
          <w:highlight w:val="none"/>
        </w:rPr>
        <w:t>13.2本合同双方在未取得对方事先书面同意的前提下，均不得将各自本合同项下的任何权利或义务转让给第三方。</w:t>
      </w:r>
    </w:p>
    <w:p w14:paraId="3141D155">
      <w:pPr>
        <w:tabs>
          <w:tab w:val="left" w:pos="851"/>
        </w:tabs>
        <w:spacing w:line="360" w:lineRule="auto"/>
        <w:jc w:val="left"/>
        <w:rPr>
          <w:rFonts w:hint="eastAsia" w:ascii="宋体"/>
          <w:color w:val="auto"/>
          <w:highlight w:val="none"/>
        </w:rPr>
      </w:pPr>
      <w:r>
        <w:rPr>
          <w:rFonts w:hint="eastAsia" w:ascii="宋体"/>
          <w:color w:val="auto"/>
          <w:highlight w:val="none"/>
        </w:rPr>
        <w:t>13.3本合同之未尽事宜双方协商解决，对本合同及其附件的内容进行变更，必须经双方协商一致并签订补充协议。</w:t>
      </w:r>
    </w:p>
    <w:p w14:paraId="708D5DF9">
      <w:pPr>
        <w:tabs>
          <w:tab w:val="left" w:pos="851"/>
        </w:tabs>
        <w:spacing w:line="360" w:lineRule="auto"/>
        <w:jc w:val="left"/>
        <w:rPr>
          <w:rFonts w:hint="eastAsia" w:ascii="宋体"/>
          <w:color w:val="auto"/>
          <w:highlight w:val="none"/>
        </w:rPr>
      </w:pPr>
      <w:r>
        <w:rPr>
          <w:rFonts w:hint="eastAsia" w:ascii="宋体"/>
          <w:color w:val="auto"/>
          <w:highlight w:val="none"/>
        </w:rPr>
        <w:t>13.4本合同一式  肆  份，甲、乙双方各  贰  份，具有同等法律效力。</w:t>
      </w:r>
    </w:p>
    <w:p w14:paraId="50298A34">
      <w:pPr>
        <w:tabs>
          <w:tab w:val="left" w:pos="851"/>
        </w:tabs>
        <w:spacing w:line="360" w:lineRule="auto"/>
        <w:jc w:val="left"/>
        <w:rPr>
          <w:rFonts w:hint="eastAsia" w:ascii="宋体"/>
          <w:color w:val="auto"/>
          <w:highlight w:val="none"/>
        </w:rPr>
      </w:pPr>
      <w:r>
        <w:rPr>
          <w:rFonts w:hint="eastAsia" w:ascii="宋体"/>
          <w:color w:val="auto"/>
          <w:highlight w:val="none"/>
        </w:rPr>
        <w:t>13.5本合同传真件和复印件无效。</w:t>
      </w:r>
    </w:p>
    <w:p w14:paraId="25407690">
      <w:pPr>
        <w:tabs>
          <w:tab w:val="left" w:pos="851"/>
        </w:tabs>
        <w:spacing w:line="360" w:lineRule="auto"/>
        <w:jc w:val="left"/>
        <w:rPr>
          <w:rFonts w:hint="eastAsia" w:ascii="宋体"/>
          <w:color w:val="auto"/>
          <w:highlight w:val="none"/>
        </w:rPr>
      </w:pPr>
      <w:r>
        <w:rPr>
          <w:rFonts w:hint="eastAsia" w:ascii="宋体"/>
          <w:color w:val="auto"/>
          <w:highlight w:val="none"/>
        </w:rPr>
        <w:t>13.6</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93445BD">
      <w:pPr>
        <w:spacing w:line="360" w:lineRule="auto"/>
        <w:jc w:val="left"/>
        <w:rPr>
          <w:rFonts w:hint="eastAsia" w:ascii="宋体"/>
          <w:b/>
          <w:color w:val="auto"/>
          <w:highlight w:val="none"/>
        </w:rPr>
      </w:pPr>
      <w:r>
        <w:rPr>
          <w:rFonts w:hint="eastAsia" w:ascii="宋体"/>
          <w:b/>
          <w:color w:val="auto"/>
          <w:highlight w:val="none"/>
        </w:rPr>
        <w:t>（以下无正文）</w:t>
      </w:r>
    </w:p>
    <w:p w14:paraId="61F4EC15">
      <w:pPr>
        <w:spacing w:line="360" w:lineRule="auto"/>
        <w:jc w:val="left"/>
        <w:rPr>
          <w:rFonts w:hint="eastAsia" w:ascii="宋体"/>
          <w:b/>
          <w:color w:val="auto"/>
          <w:highlight w:val="none"/>
        </w:rPr>
      </w:pPr>
    </w:p>
    <w:p w14:paraId="4B370669">
      <w:pPr>
        <w:spacing w:line="360" w:lineRule="auto"/>
        <w:ind w:left="4305" w:hanging="4322" w:hangingChars="2050"/>
        <w:jc w:val="left"/>
        <w:rPr>
          <w:rFonts w:hint="eastAsia" w:ascii="宋体"/>
          <w:b/>
          <w:color w:val="auto"/>
          <w:highlight w:val="none"/>
        </w:rPr>
      </w:pPr>
    </w:p>
    <w:p w14:paraId="259AA401">
      <w:pPr>
        <w:spacing w:line="360" w:lineRule="auto"/>
        <w:ind w:left="4305" w:hanging="4322" w:hangingChars="2050"/>
        <w:jc w:val="left"/>
        <w:rPr>
          <w:rFonts w:hint="eastAsia" w:ascii="宋体"/>
          <w:b/>
          <w:color w:val="auto"/>
          <w:highlight w:val="none"/>
        </w:rPr>
      </w:pPr>
    </w:p>
    <w:p w14:paraId="0DDA8D65">
      <w:pPr>
        <w:spacing w:line="360" w:lineRule="auto"/>
        <w:ind w:left="4305" w:hanging="4322" w:hangingChars="2050"/>
        <w:jc w:val="left"/>
        <w:rPr>
          <w:rFonts w:hint="eastAsia" w:ascii="宋体"/>
          <w:b/>
          <w:color w:val="auto"/>
          <w:highlight w:val="none"/>
        </w:rPr>
      </w:pPr>
    </w:p>
    <w:p w14:paraId="7418BC40">
      <w:pPr>
        <w:spacing w:line="360" w:lineRule="auto"/>
        <w:ind w:left="4305" w:hanging="4322" w:hangingChars="2050"/>
        <w:jc w:val="left"/>
        <w:rPr>
          <w:rFonts w:hint="eastAsia"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乙方：</w:t>
      </w:r>
    </w:p>
    <w:p w14:paraId="5BB3EB1F">
      <w:pPr>
        <w:spacing w:line="360" w:lineRule="auto"/>
        <w:jc w:val="left"/>
        <w:rPr>
          <w:rFonts w:hint="eastAsia" w:ascii="宋体"/>
          <w:b/>
          <w:color w:val="auto"/>
          <w:highlight w:val="none"/>
        </w:rPr>
      </w:pPr>
    </w:p>
    <w:p w14:paraId="50B5C7EC">
      <w:pPr>
        <w:spacing w:line="360" w:lineRule="auto"/>
        <w:jc w:val="left"/>
        <w:rPr>
          <w:rFonts w:hint="eastAsia"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（签章）：</w:t>
      </w:r>
      <w:r>
        <w:rPr>
          <w:rFonts w:hint="eastAsia" w:ascii="宋体"/>
          <w:b/>
          <w:color w:val="auto"/>
          <w:highlight w:val="none"/>
          <w:u w:val="single"/>
        </w:rPr>
        <w:t xml:space="preserve">           </w:t>
      </w:r>
    </w:p>
    <w:p w14:paraId="4F18ADD7">
      <w:pPr>
        <w:spacing w:line="360" w:lineRule="auto"/>
        <w:jc w:val="left"/>
        <w:rPr>
          <w:rFonts w:hint="eastAsia"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58B6A9C4">
      <w:pPr>
        <w:spacing w:line="360" w:lineRule="auto"/>
        <w:jc w:val="left"/>
        <w:rPr>
          <w:rFonts w:hint="eastAsia" w:ascii="宋体"/>
          <w:b/>
          <w:color w:val="auto"/>
          <w:highlight w:val="none"/>
        </w:rPr>
      </w:pP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0C2F6AA6">
      <w:pPr>
        <w:spacing w:line="360" w:lineRule="auto"/>
        <w:jc w:val="left"/>
        <w:rPr>
          <w:rFonts w:hint="eastAsia" w:ascii="宋体"/>
          <w:b/>
          <w:color w:val="auto"/>
          <w:highlight w:val="none"/>
        </w:rPr>
      </w:pPr>
    </w:p>
    <w:p w14:paraId="6FF5E0D5">
      <w:pPr>
        <w:spacing w:line="360" w:lineRule="auto"/>
        <w:jc w:val="left"/>
        <w:rPr>
          <w:rFonts w:hint="eastAsia" w:ascii="宋体"/>
          <w:b/>
          <w:color w:val="auto"/>
          <w:highlight w:val="none"/>
        </w:rPr>
      </w:pPr>
    </w:p>
    <w:p w14:paraId="31028DE5">
      <w:pPr>
        <w:spacing w:line="360" w:lineRule="auto"/>
        <w:jc w:val="left"/>
        <w:rPr>
          <w:rFonts w:hint="eastAsia" w:ascii="宋体"/>
          <w:b/>
          <w:color w:val="auto"/>
          <w:highlight w:val="none"/>
        </w:rPr>
      </w:pPr>
    </w:p>
    <w:p w14:paraId="5E0EB688">
      <w:pPr>
        <w:spacing w:line="360" w:lineRule="auto"/>
        <w:jc w:val="left"/>
        <w:rPr>
          <w:rFonts w:hint="eastAsia" w:ascii="宋体"/>
          <w:b/>
          <w:color w:val="auto"/>
          <w:highlight w:val="none"/>
        </w:rPr>
      </w:pPr>
    </w:p>
    <w:p w14:paraId="45105DA1">
      <w:pPr>
        <w:spacing w:line="360" w:lineRule="auto"/>
        <w:jc w:val="left"/>
        <w:rPr>
          <w:rFonts w:hint="eastAsia" w:ascii="宋体"/>
          <w:b/>
          <w:color w:val="auto"/>
          <w:highlight w:val="none"/>
        </w:rPr>
      </w:pPr>
    </w:p>
    <w:p w14:paraId="330C73DE">
      <w:pPr>
        <w:spacing w:line="360" w:lineRule="auto"/>
        <w:jc w:val="left"/>
        <w:rPr>
          <w:rFonts w:hint="eastAsia" w:ascii="宋体"/>
          <w:b/>
          <w:color w:val="auto"/>
          <w:highlight w:val="none"/>
        </w:rPr>
      </w:pPr>
    </w:p>
    <w:p w14:paraId="1455E527">
      <w:pPr>
        <w:spacing w:line="360" w:lineRule="auto"/>
        <w:jc w:val="left"/>
        <w:rPr>
          <w:rFonts w:hint="eastAsia" w:ascii="宋体"/>
          <w:b/>
          <w:color w:val="auto"/>
          <w:highlight w:val="none"/>
        </w:rPr>
      </w:pPr>
    </w:p>
    <w:p w14:paraId="2D2A7A32">
      <w:pPr>
        <w:spacing w:line="360" w:lineRule="auto"/>
        <w:jc w:val="left"/>
        <w:rPr>
          <w:rFonts w:hint="eastAsia" w:ascii="宋体"/>
          <w:b/>
          <w:color w:val="auto"/>
          <w:highlight w:val="none"/>
        </w:rPr>
      </w:pPr>
    </w:p>
    <w:p w14:paraId="622F6346">
      <w:pPr>
        <w:spacing w:line="360" w:lineRule="auto"/>
        <w:jc w:val="left"/>
        <w:rPr>
          <w:rFonts w:hint="eastAsia" w:ascii="宋体"/>
          <w:b/>
          <w:color w:val="auto"/>
          <w:highlight w:val="none"/>
        </w:rPr>
      </w:pPr>
    </w:p>
    <w:p w14:paraId="12CB4BA2">
      <w:pPr>
        <w:spacing w:line="360" w:lineRule="auto"/>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附件1 产品验收表</w:t>
      </w:r>
    </w:p>
    <w:tbl>
      <w:tblPr>
        <w:tblStyle w:val="20"/>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2415"/>
        <w:gridCol w:w="707"/>
        <w:gridCol w:w="427"/>
        <w:gridCol w:w="283"/>
        <w:gridCol w:w="1134"/>
        <w:gridCol w:w="1558"/>
        <w:gridCol w:w="1128"/>
        <w:gridCol w:w="149"/>
      </w:tblGrid>
      <w:tr w14:paraId="7258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149" w:type="dxa"/>
          <w:trHeight w:val="300" w:hRule="atLeast"/>
        </w:trPr>
        <w:tc>
          <w:tcPr>
            <w:tcW w:w="8361" w:type="dxa"/>
            <w:gridSpan w:val="9"/>
            <w:tcBorders>
              <w:top w:val="nil"/>
              <w:left w:val="nil"/>
              <w:bottom w:val="nil"/>
              <w:right w:val="nil"/>
              <w:tl2br w:val="nil"/>
              <w:tr2bl w:val="nil"/>
            </w:tcBorders>
            <w:vAlign w:val="center"/>
          </w:tcPr>
          <w:p w14:paraId="4BE5E864">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产品验收表</w:t>
            </w:r>
          </w:p>
        </w:tc>
      </w:tr>
      <w:tr w14:paraId="5FB6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CC9172">
            <w:pPr>
              <w:ind w:firstLine="0" w:firstLineChars="0"/>
              <w:jc w:val="left"/>
              <w:rPr>
                <w:rFonts w:hint="eastAsia" w:ascii="宋体"/>
                <w:color w:val="auto"/>
                <w:highlight w:val="none"/>
              </w:rPr>
            </w:pPr>
            <w:r>
              <w:rPr>
                <w:rFonts w:hint="eastAsia" w:ascii="宋体"/>
                <w:color w:val="auto"/>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7D006A">
            <w:pPr>
              <w:jc w:val="left"/>
              <w:rPr>
                <w:rFonts w:hint="eastAsia" w:ascii="宋体"/>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154809">
            <w:pPr>
              <w:jc w:val="left"/>
              <w:rPr>
                <w:rFonts w:hint="eastAsia" w:ascii="宋体"/>
                <w:color w:val="auto"/>
                <w:highlight w:val="none"/>
              </w:rPr>
            </w:pPr>
            <w:r>
              <w:rPr>
                <w:rFonts w:hint="eastAsia" w:ascii="宋体"/>
                <w:color w:val="auto"/>
                <w:highlight w:val="none"/>
              </w:rPr>
              <w:t>交付时间</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7D4CA3">
            <w:pPr>
              <w:jc w:val="left"/>
              <w:rPr>
                <w:rFonts w:hint="eastAsia" w:ascii="宋体"/>
                <w:color w:val="auto"/>
                <w:highlight w:val="none"/>
              </w:rPr>
            </w:pPr>
          </w:p>
        </w:tc>
      </w:tr>
      <w:tr w14:paraId="559C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5FE036">
            <w:pPr>
              <w:ind w:firstLine="0" w:firstLineChars="0"/>
              <w:jc w:val="left"/>
              <w:rPr>
                <w:rFonts w:hint="eastAsia" w:ascii="宋体"/>
                <w:color w:val="auto"/>
                <w:highlight w:val="none"/>
              </w:rPr>
            </w:pPr>
            <w:r>
              <w:rPr>
                <w:rFonts w:hint="eastAsia" w:ascii="宋体"/>
                <w:color w:val="auto"/>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7791E0">
            <w:pPr>
              <w:ind w:left="15" w:firstLine="880" w:firstLineChars="400"/>
              <w:jc w:val="left"/>
              <w:rPr>
                <w:rFonts w:hint="eastAsia" w:ascii="宋体"/>
                <w:color w:val="auto"/>
                <w:highlight w:val="none"/>
              </w:rPr>
            </w:pPr>
            <w:r>
              <w:rPr>
                <w:rFonts w:hint="eastAsia" w:ascii="宋体" w:cs="宋体"/>
                <w:color w:val="auto"/>
                <w:kern w:val="0"/>
                <w:sz w:val="22"/>
                <w:szCs w:val="22"/>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B1C2856">
            <w:pPr>
              <w:ind w:firstLine="0" w:firstLineChars="0"/>
              <w:jc w:val="left"/>
              <w:rPr>
                <w:rFonts w:hint="eastAsia" w:ascii="宋体"/>
                <w:color w:val="auto"/>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1A4C1F">
            <w:pPr>
              <w:ind w:firstLine="0" w:firstLineChars="0"/>
              <w:jc w:val="left"/>
              <w:rPr>
                <w:rFonts w:hint="eastAsia" w:ascii="宋体"/>
                <w:color w:val="auto"/>
                <w:highlight w:val="none"/>
              </w:rPr>
            </w:pPr>
            <w:r>
              <w:rPr>
                <w:rFonts w:hint="eastAsia" w:ascii="宋体"/>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E2EF1C0">
            <w:pPr>
              <w:ind w:firstLine="198" w:firstLineChars="9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003AAC0">
            <w:pPr>
              <w:jc w:val="left"/>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BB5279">
            <w:pPr>
              <w:ind w:firstLine="0" w:firstLineChars="0"/>
              <w:jc w:val="left"/>
              <w:rPr>
                <w:rFonts w:hint="eastAsia" w:ascii="宋体"/>
                <w:color w:val="auto"/>
                <w:highlight w:val="none"/>
              </w:rPr>
            </w:pPr>
            <w:r>
              <w:rPr>
                <w:rFonts w:hint="eastAsia" w:ascii="宋体" w:cs="宋体"/>
                <w:color w:val="auto"/>
                <w:kern w:val="0"/>
                <w:sz w:val="22"/>
                <w:szCs w:val="22"/>
                <w:highlight w:val="none"/>
              </w:rPr>
              <w:t>检验结果</w:t>
            </w:r>
          </w:p>
        </w:tc>
      </w:tr>
      <w:tr w14:paraId="430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465C0">
            <w:pPr>
              <w:jc w:val="left"/>
              <w:rPr>
                <w:rFonts w:hint="eastAsia" w:ascii="宋体"/>
                <w:color w:val="auto"/>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873704">
            <w:pPr>
              <w:jc w:val="left"/>
              <w:rPr>
                <w:rFonts w:hint="eastAsia" w:ascii="宋体"/>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8F9F029">
            <w:pPr>
              <w:jc w:val="left"/>
              <w:rPr>
                <w:rFonts w:hint="eastAsia"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4DA3D1">
            <w:pPr>
              <w:jc w:val="left"/>
              <w:rPr>
                <w:rFonts w:hint="eastAsia" w:ascii="宋体"/>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BB7D8E8">
            <w:pPr>
              <w:jc w:val="left"/>
              <w:rPr>
                <w:rFonts w:hint="eastAsia" w:ascii="宋体"/>
                <w:color w:val="auto"/>
                <w:highlight w:val="none"/>
              </w:rPr>
            </w:pPr>
            <w:r>
              <w:rPr>
                <w:rFonts w:ascii="宋体"/>
                <w:color w:val="auto"/>
                <w:highlight w:val="none"/>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B212661">
            <w:pPr>
              <w:jc w:val="left"/>
              <w:rPr>
                <w:rFonts w:hint="eastAsia" w:ascii="宋体"/>
                <w:color w:val="auto"/>
                <w:highlight w:val="none"/>
              </w:rPr>
            </w:pP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27C197">
            <w:pPr>
              <w:jc w:val="left"/>
              <w:rPr>
                <w:rFonts w:hint="eastAsia" w:ascii="宋体"/>
                <w:color w:val="auto"/>
                <w:highlight w:val="none"/>
              </w:rPr>
            </w:pPr>
          </w:p>
        </w:tc>
      </w:tr>
      <w:tr w14:paraId="6593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11"/>
            <w:tcBorders>
              <w:top w:val="single" w:color="auto" w:sz="4" w:space="0"/>
              <w:left w:val="single" w:color="auto" w:sz="4" w:space="0"/>
              <w:bottom w:val="single" w:color="auto" w:sz="4" w:space="0"/>
              <w:right w:val="single" w:color="auto" w:sz="4" w:space="0"/>
              <w:tl2br w:val="nil"/>
              <w:tr2bl w:val="nil"/>
            </w:tcBorders>
          </w:tcPr>
          <w:p w14:paraId="11E01559">
            <w:pPr>
              <w:widowControl/>
              <w:spacing w:before="156" w:beforeLines="50" w:line="360" w:lineRule="auto"/>
              <w:jc w:val="left"/>
              <w:rPr>
                <w:rFonts w:hint="eastAsia" w:ascii="宋体"/>
                <w:color w:val="auto"/>
                <w:highlight w:val="none"/>
              </w:rPr>
            </w:pPr>
            <w:r>
              <w:rPr>
                <w:rFonts w:hint="eastAsia" w:ascii="宋体"/>
                <w:color w:val="auto"/>
                <w:highlight w:val="none"/>
              </w:rPr>
              <w:t>验收说明：</w:t>
            </w:r>
          </w:p>
          <w:p w14:paraId="10864C4D">
            <w:pPr>
              <w:widowControl/>
              <w:spacing w:before="156" w:beforeLines="50" w:line="360" w:lineRule="auto"/>
              <w:jc w:val="left"/>
              <w:rPr>
                <w:rFonts w:hint="eastAsia" w:ascii="宋体"/>
                <w:color w:val="auto"/>
                <w:highlight w:val="none"/>
              </w:rPr>
            </w:pPr>
          </w:p>
          <w:p w14:paraId="76B8128A">
            <w:pPr>
              <w:widowControl/>
              <w:spacing w:before="156" w:beforeLines="50" w:line="360" w:lineRule="auto"/>
              <w:jc w:val="left"/>
              <w:rPr>
                <w:rFonts w:hint="eastAsia" w:ascii="宋体"/>
                <w:color w:val="auto"/>
                <w:highlight w:val="none"/>
              </w:rPr>
            </w:pPr>
          </w:p>
          <w:p w14:paraId="5511268B">
            <w:pPr>
              <w:widowControl/>
              <w:spacing w:before="156" w:beforeLines="50" w:line="360" w:lineRule="auto"/>
              <w:jc w:val="left"/>
              <w:rPr>
                <w:rFonts w:hint="eastAsia" w:ascii="宋体"/>
                <w:color w:val="auto"/>
                <w:highlight w:val="none"/>
              </w:rPr>
            </w:pPr>
          </w:p>
          <w:p w14:paraId="207A0841">
            <w:pPr>
              <w:widowControl/>
              <w:spacing w:before="156" w:beforeLines="50" w:line="360" w:lineRule="auto"/>
              <w:jc w:val="left"/>
              <w:rPr>
                <w:rFonts w:hint="eastAsia" w:ascii="宋体"/>
                <w:color w:val="auto"/>
                <w:highlight w:val="none"/>
              </w:rPr>
            </w:pPr>
            <w:r>
              <w:rPr>
                <w:rFonts w:hint="eastAsia" w:ascii="宋体"/>
                <w:color w:val="auto"/>
                <w:highlight w:val="none"/>
              </w:rPr>
              <w:t>我单位已收到授权许可，经验证能够正常使用，可进行产品验收。</w:t>
            </w:r>
          </w:p>
          <w:p w14:paraId="7592E188">
            <w:pPr>
              <w:widowControl/>
              <w:spacing w:before="156" w:beforeLines="50" w:line="360" w:lineRule="auto"/>
              <w:jc w:val="left"/>
              <w:rPr>
                <w:rFonts w:hint="eastAsia" w:ascii="宋体"/>
                <w:color w:val="auto"/>
                <w:highlight w:val="none"/>
              </w:rPr>
            </w:pPr>
          </w:p>
          <w:p w14:paraId="735246BE">
            <w:pPr>
              <w:widowControl/>
              <w:spacing w:before="156" w:beforeLines="50" w:line="360" w:lineRule="auto"/>
              <w:jc w:val="left"/>
              <w:rPr>
                <w:rFonts w:hint="eastAsia" w:ascii="宋体"/>
                <w:color w:val="auto"/>
                <w:highlight w:val="none"/>
              </w:rPr>
            </w:pPr>
          </w:p>
          <w:p w14:paraId="5045EC9E">
            <w:pPr>
              <w:widowControl/>
              <w:spacing w:before="156" w:beforeLines="50" w:line="360" w:lineRule="auto"/>
              <w:jc w:val="left"/>
              <w:rPr>
                <w:rFonts w:hint="eastAsia" w:ascii="宋体"/>
                <w:color w:val="auto"/>
                <w:highlight w:val="none"/>
              </w:rPr>
            </w:pPr>
          </w:p>
          <w:p w14:paraId="72233EDD">
            <w:pPr>
              <w:widowControl/>
              <w:spacing w:before="156" w:beforeLines="50" w:line="360" w:lineRule="auto"/>
              <w:jc w:val="left"/>
              <w:rPr>
                <w:rFonts w:hint="eastAsia" w:ascii="宋体"/>
                <w:color w:val="auto"/>
                <w:highlight w:val="none"/>
              </w:rPr>
            </w:pPr>
          </w:p>
          <w:p w14:paraId="2EE9DBDA">
            <w:pPr>
              <w:widowControl/>
              <w:spacing w:before="156" w:beforeLines="50" w:line="360" w:lineRule="auto"/>
              <w:jc w:val="left"/>
              <w:rPr>
                <w:rFonts w:hint="eastAsia" w:ascii="宋体"/>
                <w:color w:val="auto"/>
                <w:highlight w:val="none"/>
              </w:rPr>
            </w:pPr>
          </w:p>
          <w:p w14:paraId="3F6A9591">
            <w:pPr>
              <w:widowControl/>
              <w:spacing w:before="156" w:beforeLines="50" w:line="360" w:lineRule="auto"/>
              <w:jc w:val="left"/>
              <w:rPr>
                <w:rFonts w:hint="eastAsia" w:ascii="宋体"/>
                <w:color w:val="auto"/>
                <w:highlight w:val="none"/>
              </w:rPr>
            </w:pPr>
          </w:p>
        </w:tc>
      </w:tr>
      <w:tr w14:paraId="06AA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754FDA82">
            <w:pPr>
              <w:spacing w:line="400" w:lineRule="exact"/>
              <w:jc w:val="left"/>
              <w:rPr>
                <w:rFonts w:hint="eastAsia" w:ascii="宋体"/>
                <w:color w:val="auto"/>
                <w:highlight w:val="none"/>
              </w:rPr>
            </w:pPr>
            <w:r>
              <w:rPr>
                <w:rFonts w:hint="eastAsia" w:ascii="宋体"/>
                <w:color w:val="auto"/>
                <w:highlight w:val="none"/>
              </w:rPr>
              <w:t>验收人：</w:t>
            </w:r>
          </w:p>
          <w:p w14:paraId="3B4EE7AE">
            <w:pPr>
              <w:spacing w:line="400" w:lineRule="exact"/>
              <w:jc w:val="left"/>
              <w:rPr>
                <w:rFonts w:hint="eastAsia" w:ascii="宋体"/>
                <w:color w:val="auto"/>
                <w:highlight w:val="none"/>
              </w:rPr>
            </w:pPr>
          </w:p>
          <w:p w14:paraId="1CAE245A">
            <w:pPr>
              <w:spacing w:line="400" w:lineRule="exact"/>
              <w:jc w:val="left"/>
              <w:rPr>
                <w:rFonts w:hint="eastAsia" w:ascii="宋体"/>
                <w:color w:val="auto"/>
                <w:highlight w:val="none"/>
              </w:rPr>
            </w:pPr>
          </w:p>
          <w:p w14:paraId="7BD6A328">
            <w:pPr>
              <w:spacing w:line="400" w:lineRule="exact"/>
              <w:jc w:val="left"/>
              <w:rPr>
                <w:rFonts w:hint="eastAsia" w:ascii="宋体"/>
                <w:color w:val="auto"/>
                <w:highlight w:val="none"/>
              </w:rPr>
            </w:pPr>
          </w:p>
          <w:p w14:paraId="27D21BD1">
            <w:pPr>
              <w:spacing w:line="400" w:lineRule="exact"/>
              <w:ind w:right="600" w:firstLine="1995" w:firstLineChars="950"/>
              <w:jc w:val="left"/>
              <w:rPr>
                <w:rFonts w:hint="eastAsia" w:ascii="宋体"/>
                <w:color w:val="auto"/>
                <w:highlight w:val="none"/>
              </w:rPr>
            </w:pPr>
            <w:r>
              <w:rPr>
                <w:rFonts w:hint="eastAsia" w:ascii="宋体"/>
                <w:color w:val="auto"/>
                <w:highlight w:val="none"/>
              </w:rPr>
              <w:t>年  月  日</w:t>
            </w:r>
          </w:p>
        </w:tc>
        <w:tc>
          <w:tcPr>
            <w:tcW w:w="4252" w:type="dxa"/>
            <w:gridSpan w:val="5"/>
            <w:tcBorders>
              <w:top w:val="single" w:color="auto" w:sz="4" w:space="0"/>
              <w:left w:val="single" w:color="auto" w:sz="4" w:space="0"/>
              <w:bottom w:val="single" w:color="auto" w:sz="4" w:space="0"/>
              <w:right w:val="single" w:color="auto" w:sz="4" w:space="0"/>
              <w:tl2br w:val="nil"/>
              <w:tr2bl w:val="nil"/>
            </w:tcBorders>
          </w:tcPr>
          <w:p w14:paraId="6F37166C">
            <w:pPr>
              <w:widowControl/>
              <w:spacing w:before="156" w:beforeLines="50" w:line="360" w:lineRule="auto"/>
              <w:jc w:val="left"/>
              <w:rPr>
                <w:rFonts w:hint="eastAsia" w:ascii="宋体"/>
                <w:color w:val="auto"/>
                <w:highlight w:val="none"/>
              </w:rPr>
            </w:pPr>
            <w:r>
              <w:rPr>
                <w:rFonts w:hint="eastAsia" w:ascii="宋体"/>
                <w:color w:val="auto"/>
                <w:highlight w:val="none"/>
              </w:rPr>
              <w:t>复核人：</w:t>
            </w:r>
          </w:p>
          <w:p w14:paraId="2A43BCD2">
            <w:pPr>
              <w:widowControl/>
              <w:jc w:val="left"/>
              <w:rPr>
                <w:rFonts w:hint="eastAsia" w:ascii="宋体"/>
                <w:color w:val="auto"/>
                <w:highlight w:val="none"/>
              </w:rPr>
            </w:pPr>
          </w:p>
          <w:p w14:paraId="61FFB758">
            <w:pPr>
              <w:widowControl/>
              <w:jc w:val="left"/>
              <w:rPr>
                <w:rFonts w:hint="eastAsia" w:ascii="宋体"/>
                <w:color w:val="auto"/>
                <w:highlight w:val="none"/>
              </w:rPr>
            </w:pPr>
          </w:p>
          <w:p w14:paraId="4F0A6A8E">
            <w:pPr>
              <w:widowControl/>
              <w:jc w:val="left"/>
              <w:rPr>
                <w:rFonts w:hint="eastAsia" w:ascii="宋体"/>
                <w:color w:val="auto"/>
                <w:highlight w:val="none"/>
              </w:rPr>
            </w:pPr>
          </w:p>
          <w:p w14:paraId="6DE13DBC">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0448F7C0">
      <w:pPr>
        <w:tabs>
          <w:tab w:val="left" w:pos="2505"/>
        </w:tabs>
        <w:spacing w:line="360" w:lineRule="auto"/>
        <w:jc w:val="left"/>
        <w:rPr>
          <w:rFonts w:hint="eastAsia" w:ascii="宋体"/>
          <w:color w:val="auto"/>
          <w:highlight w:val="none"/>
        </w:rPr>
      </w:pPr>
    </w:p>
    <w:p w14:paraId="2316BBF5">
      <w:pPr>
        <w:spacing w:line="360" w:lineRule="auto"/>
        <w:jc w:val="left"/>
        <w:rPr>
          <w:rFonts w:hint="eastAsia" w:ascii="宋体"/>
          <w:color w:val="auto"/>
          <w:highlight w:val="none"/>
        </w:rPr>
      </w:pPr>
      <w:r>
        <w:rPr>
          <w:rFonts w:hint="eastAsia" w:ascii="宋体"/>
          <w:color w:val="auto"/>
          <w:highlight w:val="none"/>
        </w:rPr>
        <w:br w:type="page"/>
      </w:r>
      <w:r>
        <w:rPr>
          <w:rFonts w:hint="eastAsia" w:ascii="宋体"/>
          <w:b/>
          <w:color w:val="auto"/>
          <w:highlight w:val="none"/>
        </w:rPr>
        <w:t>附件2  最终验收表</w:t>
      </w:r>
    </w:p>
    <w:tbl>
      <w:tblPr>
        <w:tblStyle w:val="20"/>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2835"/>
        <w:gridCol w:w="629"/>
        <w:gridCol w:w="1214"/>
        <w:gridCol w:w="1701"/>
        <w:gridCol w:w="425"/>
        <w:gridCol w:w="848"/>
        <w:gridCol w:w="711"/>
      </w:tblGrid>
      <w:tr w14:paraId="4C8B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7"/>
            <w:tcBorders>
              <w:top w:val="nil"/>
              <w:left w:val="nil"/>
              <w:bottom w:val="nil"/>
              <w:right w:val="nil"/>
              <w:tl2br w:val="nil"/>
              <w:tr2bl w:val="nil"/>
            </w:tcBorders>
            <w:vAlign w:val="center"/>
          </w:tcPr>
          <w:p w14:paraId="0F6A564B">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0E2C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4C32A9">
            <w:pPr>
              <w:spacing w:line="360" w:lineRule="auto"/>
              <w:ind w:firstLine="0" w:firstLineChars="0"/>
              <w:jc w:val="left"/>
              <w:rPr>
                <w:rFonts w:hint="eastAsia" w:ascii="宋体"/>
                <w:color w:val="auto"/>
                <w:highlight w:val="none"/>
              </w:rPr>
            </w:pPr>
            <w:r>
              <w:rPr>
                <w:rFonts w:hint="eastAsia" w:ascii="宋体"/>
                <w:color w:val="auto"/>
                <w:highlight w:val="none"/>
              </w:rPr>
              <w:t>项目名称</w:t>
            </w:r>
          </w:p>
        </w:tc>
        <w:tc>
          <w:tcPr>
            <w:tcW w:w="467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1E914B">
            <w:pPr>
              <w:spacing w:line="360" w:lineRule="auto"/>
              <w:jc w:val="left"/>
              <w:rPr>
                <w:rFonts w:hint="eastAsia" w:ascii="宋体"/>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FE9B9E">
            <w:pPr>
              <w:spacing w:line="360" w:lineRule="auto"/>
              <w:jc w:val="left"/>
              <w:rPr>
                <w:rFonts w:hint="eastAsia" w:ascii="宋体"/>
                <w:color w:val="auto"/>
                <w:highlight w:val="none"/>
              </w:rPr>
            </w:pPr>
            <w:r>
              <w:rPr>
                <w:rFonts w:hint="eastAsia" w:ascii="宋体"/>
                <w:color w:val="auto"/>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38A73F1">
            <w:pPr>
              <w:spacing w:line="360" w:lineRule="auto"/>
              <w:jc w:val="left"/>
              <w:rPr>
                <w:rFonts w:hint="eastAsia" w:ascii="宋体"/>
                <w:color w:val="auto"/>
                <w:highlight w:val="none"/>
              </w:rPr>
            </w:pPr>
          </w:p>
        </w:tc>
      </w:tr>
      <w:tr w14:paraId="2D3C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79C42D">
            <w:pPr>
              <w:spacing w:line="360" w:lineRule="auto"/>
              <w:ind w:firstLine="0" w:firstLineChars="0"/>
              <w:jc w:val="left"/>
              <w:rPr>
                <w:rFonts w:hint="eastAsia" w:ascii="宋体"/>
                <w:color w:val="auto"/>
                <w:highlight w:val="none"/>
              </w:rPr>
            </w:pPr>
            <w:r>
              <w:rPr>
                <w:rFonts w:hint="eastAsia" w:ascii="宋体"/>
                <w:color w:val="auto"/>
                <w:highlight w:val="none"/>
              </w:rPr>
              <w:t>验收地点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10BB6B38">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4F4D14">
            <w:pPr>
              <w:spacing w:line="360" w:lineRule="auto"/>
              <w:jc w:val="left"/>
              <w:rPr>
                <w:rFonts w:hint="eastAsia" w:ascii="宋体"/>
                <w:color w:val="auto"/>
                <w:highlight w:val="none"/>
              </w:rPr>
            </w:pPr>
            <w:r>
              <w:rPr>
                <w:rFonts w:hint="eastAsia" w:ascii="宋体"/>
                <w:color w:val="auto"/>
                <w:highlight w:val="none"/>
              </w:rPr>
              <w:t>项目经理</w:t>
            </w:r>
          </w:p>
        </w:tc>
        <w:tc>
          <w:tcPr>
            <w:tcW w:w="36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AE29535">
            <w:pPr>
              <w:spacing w:line="360" w:lineRule="auto"/>
              <w:jc w:val="left"/>
              <w:rPr>
                <w:rFonts w:hint="eastAsia" w:ascii="宋体"/>
                <w:color w:val="auto"/>
                <w:highlight w:val="none"/>
              </w:rPr>
            </w:pPr>
          </w:p>
        </w:tc>
      </w:tr>
      <w:tr w14:paraId="560A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7821824">
            <w:pPr>
              <w:spacing w:line="360" w:lineRule="auto"/>
              <w:ind w:firstLine="0" w:firstLineChars="0"/>
              <w:jc w:val="left"/>
              <w:rPr>
                <w:rFonts w:hint="eastAsia" w:ascii="宋体"/>
                <w:color w:val="auto"/>
                <w:highlight w:val="none"/>
              </w:rPr>
            </w:pPr>
            <w:r>
              <w:rPr>
                <w:rFonts w:hint="eastAsia" w:ascii="宋体"/>
                <w:color w:val="auto"/>
                <w:highlight w:val="none"/>
              </w:rPr>
              <w:t>产品运行情况</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546EBF5">
            <w:pPr>
              <w:spacing w:line="360" w:lineRule="auto"/>
              <w:jc w:val="left"/>
              <w:rPr>
                <w:rFonts w:hint="eastAsia" w:ascii="宋体"/>
                <w:color w:val="auto"/>
                <w:highlight w:val="none"/>
              </w:rPr>
            </w:pPr>
            <w:r>
              <w:rPr>
                <w:rFonts w:hint="eastAsia" w:ascii="宋体" w:cs="宋体"/>
                <w:color w:val="auto"/>
                <w:kern w:val="0"/>
                <w:sz w:val="22"/>
                <w:szCs w:val="22"/>
                <w:highlight w:val="none"/>
              </w:rPr>
              <w:t>产品</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C0C883">
            <w:pPr>
              <w:spacing w:line="360" w:lineRule="auto"/>
              <w:jc w:val="left"/>
              <w:rPr>
                <w:rFonts w:hint="eastAsia" w:ascii="宋体"/>
                <w:color w:val="auto"/>
                <w:highlight w:val="none"/>
              </w:rPr>
            </w:pPr>
            <w:r>
              <w:rPr>
                <w:rFonts w:hint="eastAsia" w:ascii="宋体" w:cs="宋体"/>
                <w:color w:val="auto"/>
                <w:kern w:val="0"/>
                <w:sz w:val="22"/>
                <w:szCs w:val="22"/>
                <w:highlight w:val="none"/>
              </w:rPr>
              <w:t>数量</w:t>
            </w: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1A7161">
            <w:pPr>
              <w:spacing w:line="360" w:lineRule="auto"/>
              <w:jc w:val="left"/>
              <w:rPr>
                <w:rFonts w:hint="eastAsia" w:ascii="宋体"/>
                <w:color w:val="auto"/>
                <w:highlight w:val="none"/>
              </w:rPr>
            </w:pPr>
            <w:r>
              <w:rPr>
                <w:rFonts w:hint="eastAsia" w:ascii="宋体" w:cs="宋体"/>
                <w:color w:val="auto"/>
                <w:kern w:val="0"/>
                <w:sz w:val="22"/>
                <w:szCs w:val="22"/>
                <w:highlight w:val="none"/>
              </w:rPr>
              <w:t>维保时间</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D7615B">
            <w:pPr>
              <w:spacing w:line="360" w:lineRule="auto"/>
              <w:jc w:val="left"/>
              <w:rPr>
                <w:rFonts w:hint="eastAsia" w:ascii="宋体"/>
                <w:color w:val="auto"/>
                <w:highlight w:val="none"/>
              </w:rPr>
            </w:pPr>
            <w:r>
              <w:rPr>
                <w:rFonts w:hint="eastAsia" w:ascii="宋体" w:cs="宋体"/>
                <w:color w:val="auto"/>
                <w:kern w:val="0"/>
                <w:sz w:val="22"/>
                <w:szCs w:val="22"/>
                <w:highlight w:val="none"/>
              </w:rPr>
              <w:t>运行情况</w:t>
            </w:r>
          </w:p>
        </w:tc>
      </w:tr>
      <w:tr w14:paraId="4290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3A950BA">
            <w:pPr>
              <w:rPr>
                <w:color w:val="auto"/>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D530827">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6091C1">
            <w:pPr>
              <w:spacing w:line="360" w:lineRule="auto"/>
              <w:jc w:val="left"/>
              <w:rPr>
                <w:rFonts w:hint="eastAsia" w:ascii="宋体"/>
                <w:color w:val="auto"/>
                <w:highlight w:val="none"/>
              </w:rPr>
            </w:pP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AC2288">
            <w:pPr>
              <w:spacing w:line="360" w:lineRule="auto"/>
              <w:jc w:val="left"/>
              <w:rPr>
                <w:rFonts w:hint="eastAsia"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BD2F9E">
            <w:pPr>
              <w:spacing w:line="360" w:lineRule="auto"/>
              <w:jc w:val="left"/>
              <w:rPr>
                <w:rFonts w:hint="eastAsia" w:ascii="宋体"/>
                <w:color w:val="auto"/>
                <w:highlight w:val="none"/>
              </w:rPr>
            </w:pPr>
          </w:p>
        </w:tc>
      </w:tr>
      <w:tr w14:paraId="7595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4258A3">
            <w:pPr>
              <w:spacing w:line="360" w:lineRule="auto"/>
              <w:ind w:firstLine="0" w:firstLineChars="0"/>
              <w:jc w:val="left"/>
              <w:rPr>
                <w:rFonts w:hint="eastAsia" w:ascii="宋体"/>
                <w:color w:val="auto"/>
                <w:highlight w:val="none"/>
              </w:rPr>
            </w:pPr>
            <w:r>
              <w:rPr>
                <w:rFonts w:hint="eastAsia" w:ascii="宋体"/>
                <w:color w:val="auto"/>
                <w:highlight w:val="none"/>
              </w:rPr>
              <w:t>最终验收评审结论</w:t>
            </w:r>
          </w:p>
        </w:tc>
        <w:tc>
          <w:tcPr>
            <w:tcW w:w="8363" w:type="dxa"/>
            <w:gridSpan w:val="7"/>
            <w:tcBorders>
              <w:top w:val="single" w:color="auto" w:sz="4" w:space="0"/>
              <w:left w:val="single" w:color="auto" w:sz="4" w:space="0"/>
              <w:bottom w:val="single" w:color="auto" w:sz="4" w:space="0"/>
              <w:right w:val="single" w:color="auto" w:sz="4" w:space="0"/>
              <w:tl2br w:val="nil"/>
              <w:tr2bl w:val="nil"/>
            </w:tcBorders>
          </w:tcPr>
          <w:p w14:paraId="345D4C5A">
            <w:pPr>
              <w:spacing w:line="360" w:lineRule="auto"/>
              <w:jc w:val="left"/>
              <w:rPr>
                <w:rFonts w:hint="eastAsia" w:ascii="宋体"/>
                <w:color w:val="auto"/>
                <w:highlight w:val="none"/>
              </w:rPr>
            </w:pPr>
            <w:r>
              <w:rPr>
                <w:rFonts w:hint="eastAsia" w:ascii="宋体"/>
                <w:color w:val="auto"/>
                <w:highlight w:val="none"/>
              </w:rPr>
              <w:t>（可另附验收情况报告）</w:t>
            </w:r>
          </w:p>
        </w:tc>
      </w:tr>
      <w:tr w14:paraId="28A4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4"/>
            <w:tcBorders>
              <w:top w:val="single" w:color="auto" w:sz="4" w:space="0"/>
              <w:left w:val="single" w:color="auto" w:sz="4" w:space="0"/>
              <w:bottom w:val="single" w:color="auto" w:sz="4" w:space="0"/>
              <w:right w:val="single" w:color="auto" w:sz="4" w:space="0"/>
              <w:tl2br w:val="nil"/>
              <w:tr2bl w:val="nil"/>
            </w:tcBorders>
          </w:tcPr>
          <w:p w14:paraId="0C758C93">
            <w:pPr>
              <w:spacing w:line="400" w:lineRule="exact"/>
              <w:jc w:val="left"/>
              <w:rPr>
                <w:rFonts w:hint="eastAsia" w:ascii="宋体"/>
                <w:color w:val="auto"/>
                <w:highlight w:val="none"/>
              </w:rPr>
            </w:pPr>
            <w:r>
              <w:rPr>
                <w:rFonts w:hint="eastAsia" w:ascii="宋体"/>
                <w:color w:val="auto"/>
                <w:highlight w:val="none"/>
              </w:rPr>
              <w:t>参验人员：</w:t>
            </w:r>
          </w:p>
          <w:p w14:paraId="311CD2ED">
            <w:pPr>
              <w:spacing w:line="400" w:lineRule="exact"/>
              <w:jc w:val="left"/>
              <w:rPr>
                <w:rFonts w:hint="eastAsia" w:ascii="宋体"/>
                <w:color w:val="auto"/>
                <w:highlight w:val="none"/>
              </w:rPr>
            </w:pPr>
          </w:p>
          <w:p w14:paraId="2D3A0D0D">
            <w:pPr>
              <w:spacing w:line="400" w:lineRule="exact"/>
              <w:jc w:val="left"/>
              <w:rPr>
                <w:rFonts w:hint="eastAsia" w:ascii="宋体"/>
                <w:color w:val="auto"/>
                <w:highlight w:val="none"/>
              </w:rPr>
            </w:pPr>
          </w:p>
          <w:p w14:paraId="0AA7E2D8">
            <w:pPr>
              <w:spacing w:line="400" w:lineRule="exact"/>
              <w:jc w:val="left"/>
              <w:rPr>
                <w:rFonts w:hint="eastAsia" w:ascii="宋体"/>
                <w:color w:val="auto"/>
                <w:highlight w:val="none"/>
              </w:rPr>
            </w:pPr>
          </w:p>
          <w:p w14:paraId="1A9E8E22">
            <w:pPr>
              <w:spacing w:line="400" w:lineRule="exact"/>
              <w:ind w:right="600" w:firstLine="2205" w:firstLineChars="1050"/>
              <w:jc w:val="left"/>
              <w:rPr>
                <w:rFonts w:hint="eastAsia" w:ascii="宋体"/>
                <w:color w:val="auto"/>
                <w:highlight w:val="none"/>
              </w:rPr>
            </w:pPr>
            <w:r>
              <w:rPr>
                <w:rFonts w:hint="eastAsia" w:ascii="宋体"/>
                <w:color w:val="auto"/>
                <w:highlight w:val="none"/>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14:paraId="7507F647">
            <w:pPr>
              <w:widowControl/>
              <w:spacing w:before="156" w:beforeLines="50" w:line="360" w:lineRule="auto"/>
              <w:jc w:val="left"/>
              <w:rPr>
                <w:rFonts w:hint="eastAsia" w:ascii="宋体"/>
                <w:color w:val="auto"/>
                <w:highlight w:val="none"/>
              </w:rPr>
            </w:pPr>
            <w:r>
              <w:rPr>
                <w:rFonts w:hint="eastAsia" w:ascii="宋体"/>
                <w:color w:val="auto"/>
                <w:highlight w:val="none"/>
              </w:rPr>
              <w:t>部门负责人：</w:t>
            </w:r>
          </w:p>
          <w:p w14:paraId="4DBF12F5">
            <w:pPr>
              <w:widowControl/>
              <w:jc w:val="left"/>
              <w:rPr>
                <w:rFonts w:hint="eastAsia" w:ascii="宋体"/>
                <w:color w:val="auto"/>
                <w:highlight w:val="none"/>
              </w:rPr>
            </w:pPr>
          </w:p>
          <w:p w14:paraId="3D413E77">
            <w:pPr>
              <w:widowControl/>
              <w:jc w:val="left"/>
              <w:rPr>
                <w:rFonts w:hint="eastAsia" w:ascii="宋体"/>
                <w:color w:val="auto"/>
                <w:highlight w:val="none"/>
              </w:rPr>
            </w:pPr>
          </w:p>
          <w:p w14:paraId="1EFC688E">
            <w:pPr>
              <w:widowControl/>
              <w:jc w:val="left"/>
              <w:rPr>
                <w:rFonts w:hint="eastAsia" w:ascii="宋体"/>
                <w:color w:val="auto"/>
                <w:highlight w:val="none"/>
              </w:rPr>
            </w:pPr>
          </w:p>
          <w:p w14:paraId="3B66829E">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256E946B">
      <w:pPr>
        <w:jc w:val="left"/>
        <w:rPr>
          <w:rFonts w:hint="eastAsia" w:ascii="宋体"/>
          <w:b/>
          <w:color w:val="auto"/>
          <w:highlight w:val="none"/>
        </w:rPr>
      </w:pPr>
      <w:r>
        <w:rPr>
          <w:rFonts w:hint="eastAsia" w:ascii="宋体"/>
          <w:b/>
          <w:color w:val="auto"/>
          <w:highlight w:val="none"/>
        </w:rPr>
        <w:t xml:space="preserve"> </w:t>
      </w:r>
    </w:p>
    <w:p w14:paraId="74C9AD47">
      <w:pPr>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w:t>
      </w:r>
      <w:r>
        <w:rPr>
          <w:rFonts w:ascii="宋体"/>
          <w:b/>
          <w:color w:val="auto"/>
          <w:highlight w:val="none"/>
        </w:rPr>
        <w:t>3</w:t>
      </w:r>
      <w:r>
        <w:rPr>
          <w:rFonts w:hint="eastAsia" w:ascii="宋体"/>
          <w:b/>
          <w:color w:val="auto"/>
          <w:highlight w:val="none"/>
        </w:rPr>
        <w:t>：</w:t>
      </w:r>
    </w:p>
    <w:p w14:paraId="5529DCED">
      <w:pPr>
        <w:spacing w:line="360" w:lineRule="auto"/>
        <w:jc w:val="left"/>
        <w:rPr>
          <w:b/>
          <w:color w:val="auto"/>
          <w:highlight w:val="none"/>
        </w:rPr>
      </w:pPr>
      <w:r>
        <w:rPr>
          <w:rFonts w:hint="eastAsia"/>
          <w:b/>
          <w:color w:val="auto"/>
          <w:highlight w:val="none"/>
        </w:rPr>
        <w:t>服务连续性预案</w:t>
      </w:r>
    </w:p>
    <w:p w14:paraId="03607032">
      <w:pPr>
        <w:spacing w:line="360" w:lineRule="auto"/>
        <w:ind w:firstLine="420" w:firstLineChars="200"/>
        <w:jc w:val="both"/>
        <w:rPr>
          <w:rFonts w:hint="eastAsia" w:ascii="宋体" w:cs="宋体"/>
          <w:snapToGrid w:val="0"/>
          <w:color w:val="auto"/>
          <w:kern w:val="0"/>
          <w:highlight w:val="none"/>
        </w:rPr>
      </w:pPr>
      <w:r>
        <w:rPr>
          <w:rFonts w:ascii="宋体" w:cs="宋体"/>
          <w:snapToGrid w:val="0"/>
          <w:color w:val="auto"/>
          <w:kern w:val="0"/>
          <w:highlight w:val="none"/>
        </w:rPr>
        <w:br w:type="page"/>
      </w:r>
    </w:p>
    <w:p w14:paraId="6B720A39">
      <w:pPr>
        <w:spacing w:line="360" w:lineRule="auto"/>
        <w:jc w:val="left"/>
        <w:rPr>
          <w:rFonts w:hint="eastAsia" w:ascii="宋体"/>
          <w:b/>
          <w:color w:val="auto"/>
          <w:highlight w:val="none"/>
        </w:rPr>
      </w:pPr>
    </w:p>
    <w:p w14:paraId="08115A63">
      <w:pPr>
        <w:pStyle w:val="31"/>
        <w:jc w:val="left"/>
        <w:rPr>
          <w:color w:val="auto"/>
          <w:highlight w:val="none"/>
        </w:rPr>
      </w:pPr>
    </w:p>
    <w:p w14:paraId="7273C807">
      <w:pPr>
        <w:rPr>
          <w:color w:val="auto"/>
          <w:highlight w:val="none"/>
        </w:rPr>
      </w:pPr>
    </w:p>
    <w:p w14:paraId="68F90520">
      <w:pPr>
        <w:pStyle w:val="2"/>
        <w:rPr>
          <w:color w:val="auto"/>
          <w:highlight w:val="none"/>
        </w:rPr>
      </w:pPr>
      <w:bookmarkStart w:id="260" w:name="_Toc20694"/>
      <w:bookmarkStart w:id="261" w:name="_Toc19504"/>
      <w:r>
        <w:rPr>
          <w:rFonts w:hint="eastAsia"/>
          <w:color w:val="auto"/>
          <w:highlight w:val="none"/>
        </w:rPr>
        <w:t xml:space="preserve">第六章 </w:t>
      </w:r>
      <w:bookmarkEnd w:id="257"/>
      <w:bookmarkEnd w:id="258"/>
      <w:bookmarkStart w:id="262" w:name="_Toc303066035"/>
      <w:r>
        <w:rPr>
          <w:rFonts w:hint="eastAsia"/>
          <w:color w:val="auto"/>
          <w:highlight w:val="none"/>
        </w:rPr>
        <w:t>响应文件格式</w:t>
      </w:r>
      <w:bookmarkEnd w:id="260"/>
      <w:bookmarkEnd w:id="261"/>
    </w:p>
    <w:bookmarkEnd w:id="262"/>
    <w:p w14:paraId="46F2BC4A">
      <w:pPr>
        <w:tabs>
          <w:tab w:val="left" w:pos="6516"/>
        </w:tabs>
        <w:adjustRightInd w:val="0"/>
        <w:snapToGrid w:val="0"/>
        <w:ind w:firstLine="0" w:firstLineChars="0"/>
        <w:jc w:val="center"/>
        <w:rPr>
          <w:rFonts w:ascii="宋体" w:hAnsi="宋体"/>
          <w:b/>
          <w:color w:val="auto"/>
          <w:kern w:val="0"/>
          <w:highlight w:val="none"/>
          <w:u w:val="single"/>
        </w:rPr>
      </w:pPr>
    </w:p>
    <w:p w14:paraId="33D6AE62">
      <w:pPr>
        <w:tabs>
          <w:tab w:val="left" w:pos="6516"/>
        </w:tabs>
        <w:adjustRightInd w:val="0"/>
        <w:snapToGrid w:val="0"/>
        <w:ind w:firstLine="0" w:firstLineChars="0"/>
        <w:jc w:val="center"/>
        <w:rPr>
          <w:rFonts w:ascii="宋体" w:hAnsi="宋体"/>
          <w:b/>
          <w:color w:val="auto"/>
          <w:kern w:val="0"/>
          <w:highlight w:val="none"/>
          <w:u w:val="single"/>
        </w:rPr>
      </w:pPr>
    </w:p>
    <w:p w14:paraId="41FBBB2B">
      <w:pPr>
        <w:tabs>
          <w:tab w:val="left" w:pos="6516"/>
        </w:tabs>
        <w:adjustRightInd w:val="0"/>
        <w:snapToGrid w:val="0"/>
        <w:ind w:firstLine="0" w:firstLineChars="0"/>
        <w:jc w:val="center"/>
        <w:rPr>
          <w:rFonts w:ascii="宋体" w:hAnsi="宋体"/>
          <w:b/>
          <w:color w:val="auto"/>
          <w:kern w:val="0"/>
          <w:highlight w:val="none"/>
          <w:u w:val="single"/>
        </w:rPr>
      </w:pPr>
    </w:p>
    <w:p w14:paraId="174F8666">
      <w:pPr>
        <w:pStyle w:val="39"/>
        <w:rPr>
          <w:color w:val="auto"/>
          <w:highlight w:val="none"/>
        </w:rPr>
      </w:pPr>
      <w:r>
        <w:rPr>
          <w:color w:val="auto"/>
          <w:highlight w:val="none"/>
        </w:rPr>
        <w:t>重庆三峡银行</w:t>
      </w:r>
    </w:p>
    <w:p w14:paraId="65A4B5DE">
      <w:pPr>
        <w:pStyle w:val="39"/>
        <w:rPr>
          <w:color w:val="auto"/>
          <w:highlight w:val="none"/>
        </w:rPr>
      </w:pPr>
      <w:r>
        <w:rPr>
          <w:color w:val="auto"/>
          <w:highlight w:val="none"/>
        </w:rPr>
        <w:t xml:space="preserve"> 分布式块存储项目</w:t>
      </w:r>
    </w:p>
    <w:p w14:paraId="21BCD806">
      <w:pPr>
        <w:rPr>
          <w:color w:val="auto"/>
          <w:highlight w:val="none"/>
        </w:rPr>
      </w:pPr>
    </w:p>
    <w:p w14:paraId="7960AA86">
      <w:pPr>
        <w:rPr>
          <w:color w:val="auto"/>
          <w:highlight w:val="none"/>
        </w:rPr>
      </w:pPr>
    </w:p>
    <w:p w14:paraId="2A832E97">
      <w:pPr>
        <w:rPr>
          <w:color w:val="auto"/>
          <w:highlight w:val="none"/>
        </w:rPr>
      </w:pPr>
    </w:p>
    <w:p w14:paraId="3F5B5A34">
      <w:pPr>
        <w:rPr>
          <w:color w:val="auto"/>
          <w:highlight w:val="none"/>
        </w:rPr>
      </w:pPr>
    </w:p>
    <w:p w14:paraId="648C9BEF">
      <w:pPr>
        <w:rPr>
          <w:color w:val="auto"/>
          <w:highlight w:val="none"/>
        </w:rPr>
      </w:pPr>
    </w:p>
    <w:p w14:paraId="16B899EB">
      <w:pPr>
        <w:rPr>
          <w:color w:val="auto"/>
          <w:highlight w:val="none"/>
        </w:rPr>
      </w:pPr>
    </w:p>
    <w:p w14:paraId="79756E69">
      <w:pPr>
        <w:pStyle w:val="40"/>
        <w:rPr>
          <w:color w:val="auto"/>
          <w:highlight w:val="none"/>
        </w:rPr>
      </w:pPr>
      <w:r>
        <w:rPr>
          <w:color w:val="auto"/>
          <w:highlight w:val="none"/>
        </w:rPr>
        <w:t>响  应  文  件</w:t>
      </w:r>
    </w:p>
    <w:p w14:paraId="4E589297">
      <w:pPr>
        <w:rPr>
          <w:color w:val="auto"/>
          <w:highlight w:val="none"/>
        </w:rPr>
      </w:pPr>
    </w:p>
    <w:p w14:paraId="654BDC90">
      <w:pPr>
        <w:rPr>
          <w:color w:val="auto"/>
          <w:highlight w:val="none"/>
        </w:rPr>
      </w:pPr>
    </w:p>
    <w:p w14:paraId="7B000BC4">
      <w:pPr>
        <w:rPr>
          <w:color w:val="auto"/>
          <w:highlight w:val="none"/>
        </w:rPr>
      </w:pPr>
    </w:p>
    <w:p w14:paraId="6BAF0A13">
      <w:pPr>
        <w:rPr>
          <w:color w:val="auto"/>
          <w:highlight w:val="none"/>
        </w:rPr>
      </w:pPr>
    </w:p>
    <w:p w14:paraId="25822D8D">
      <w:pPr>
        <w:rPr>
          <w:color w:val="auto"/>
          <w:highlight w:val="none"/>
        </w:rPr>
      </w:pPr>
    </w:p>
    <w:p w14:paraId="0E1CF55C">
      <w:pPr>
        <w:rPr>
          <w:color w:val="auto"/>
          <w:highlight w:val="none"/>
        </w:rPr>
      </w:pPr>
    </w:p>
    <w:p w14:paraId="43BCADB7">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6239D708">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40C4136">
      <w:pPr>
        <w:rPr>
          <w:color w:val="auto"/>
          <w:highlight w:val="none"/>
        </w:rPr>
      </w:pPr>
    </w:p>
    <w:p w14:paraId="5D858678">
      <w:pPr>
        <w:rPr>
          <w:color w:val="auto"/>
          <w:highlight w:val="none"/>
        </w:rPr>
      </w:pPr>
    </w:p>
    <w:p w14:paraId="72E3307D">
      <w:pPr>
        <w:rPr>
          <w:color w:val="auto"/>
          <w:highlight w:val="none"/>
        </w:rPr>
      </w:pPr>
    </w:p>
    <w:p w14:paraId="52A91F43">
      <w:pPr>
        <w:rPr>
          <w:color w:val="auto"/>
          <w:highlight w:val="none"/>
        </w:rPr>
        <w:sectPr>
          <w:pgSz w:w="11906" w:h="16838"/>
          <w:pgMar w:top="1440" w:right="1800" w:bottom="1440" w:left="1800" w:header="851" w:footer="992" w:gutter="0"/>
          <w:cols w:space="720" w:num="1"/>
          <w:docGrid w:type="lines" w:linePitch="312" w:charSpace="0"/>
        </w:sectPr>
      </w:pPr>
    </w:p>
    <w:p w14:paraId="6BAB9A2D">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EF15CF7">
      <w:pPr>
        <w:widowControl/>
        <w:autoSpaceDE/>
        <w:autoSpaceDN/>
        <w:spacing w:line="240" w:lineRule="auto"/>
        <w:ind w:firstLine="0" w:firstLineChars="0"/>
        <w:jc w:val="left"/>
        <w:rPr>
          <w:color w:val="auto"/>
          <w:highlight w:val="none"/>
        </w:rPr>
      </w:pPr>
      <w:r>
        <w:rPr>
          <w:rFonts w:hint="eastAsia"/>
          <w:color w:val="auto"/>
          <w:highlight w:val="none"/>
        </w:rPr>
        <w:t>一、响应函</w:t>
      </w:r>
    </w:p>
    <w:p w14:paraId="5C268E46">
      <w:pPr>
        <w:widowControl/>
        <w:autoSpaceDE/>
        <w:autoSpaceDN/>
        <w:spacing w:line="240" w:lineRule="auto"/>
        <w:ind w:firstLine="0" w:firstLineChars="0"/>
        <w:jc w:val="left"/>
        <w:rPr>
          <w:color w:val="auto"/>
          <w:highlight w:val="none"/>
        </w:rPr>
      </w:pPr>
      <w:r>
        <w:rPr>
          <w:rFonts w:hint="eastAsia"/>
          <w:color w:val="auto"/>
          <w:highlight w:val="none"/>
        </w:rPr>
        <w:t>二、报价一览表</w:t>
      </w:r>
    </w:p>
    <w:p w14:paraId="7575562D">
      <w:pPr>
        <w:widowControl/>
        <w:autoSpaceDE/>
        <w:autoSpaceDN/>
        <w:spacing w:line="240" w:lineRule="auto"/>
        <w:ind w:firstLine="0" w:firstLineChars="0"/>
        <w:jc w:val="left"/>
        <w:rPr>
          <w:color w:val="auto"/>
          <w:highlight w:val="none"/>
        </w:rPr>
      </w:pPr>
      <w:r>
        <w:rPr>
          <w:color w:val="auto"/>
          <w:highlight w:val="none"/>
        </w:rPr>
        <w:t>三</w:t>
      </w:r>
      <w:r>
        <w:rPr>
          <w:rFonts w:hint="eastAsia"/>
          <w:color w:val="auto"/>
          <w:highlight w:val="none"/>
        </w:rPr>
        <w:t>、资格性文件</w:t>
      </w:r>
    </w:p>
    <w:p w14:paraId="1639069D">
      <w:pPr>
        <w:widowControl/>
        <w:autoSpaceDE/>
        <w:autoSpaceDN/>
        <w:spacing w:line="240" w:lineRule="auto"/>
        <w:ind w:firstLine="420" w:firstLineChars="0"/>
        <w:jc w:val="left"/>
        <w:rPr>
          <w:color w:val="auto"/>
          <w:highlight w:val="none"/>
        </w:rPr>
      </w:pPr>
      <w:r>
        <w:rPr>
          <w:rFonts w:hint="eastAsia"/>
          <w:color w:val="auto"/>
          <w:highlight w:val="none"/>
        </w:rPr>
        <w:t>（一）响应人基本情况介绍，资质证明等</w:t>
      </w:r>
    </w:p>
    <w:p w14:paraId="07E0E19F">
      <w:pPr>
        <w:widowControl/>
        <w:autoSpaceDE/>
        <w:autoSpaceDN/>
        <w:spacing w:line="240" w:lineRule="auto"/>
        <w:ind w:firstLine="420" w:firstLineChars="0"/>
        <w:jc w:val="left"/>
        <w:rPr>
          <w:rFonts w:hint="eastAsia"/>
          <w:color w:val="auto"/>
          <w:highlight w:val="none"/>
        </w:rPr>
      </w:pPr>
      <w:r>
        <w:rPr>
          <w:rFonts w:hint="eastAsia"/>
          <w:color w:val="auto"/>
          <w:highlight w:val="none"/>
        </w:rPr>
        <w:t>（二）法定代表人身份证明及授权委托书</w:t>
      </w:r>
    </w:p>
    <w:p w14:paraId="0A2F95F2">
      <w:pPr>
        <w:widowControl/>
        <w:autoSpaceDE/>
        <w:autoSpaceDN/>
        <w:spacing w:line="240" w:lineRule="auto"/>
        <w:ind w:firstLine="420" w:firstLineChars="0"/>
        <w:jc w:val="left"/>
        <w:rPr>
          <w:rFonts w:hint="eastAsia"/>
          <w:color w:val="auto"/>
          <w:highlight w:val="none"/>
        </w:rPr>
      </w:pPr>
      <w:r>
        <w:rPr>
          <w:rFonts w:hint="eastAsia"/>
          <w:color w:val="auto"/>
          <w:highlight w:val="none"/>
        </w:rPr>
        <w:t>（三）书面声明</w:t>
      </w:r>
    </w:p>
    <w:p w14:paraId="4C9993F7">
      <w:pPr>
        <w:widowControl/>
        <w:autoSpaceDE/>
        <w:autoSpaceDN/>
        <w:spacing w:line="240" w:lineRule="auto"/>
        <w:ind w:firstLine="420" w:firstLineChars="0"/>
        <w:jc w:val="left"/>
        <w:rPr>
          <w:rFonts w:hint="eastAsia"/>
          <w:color w:val="auto"/>
          <w:highlight w:val="none"/>
        </w:rPr>
      </w:pPr>
      <w:r>
        <w:rPr>
          <w:rFonts w:hint="eastAsia"/>
          <w:color w:val="auto"/>
          <w:highlight w:val="none"/>
        </w:rPr>
        <w:t>（四）中国执行信息公开网截图</w:t>
      </w:r>
    </w:p>
    <w:p w14:paraId="3B5B5F93">
      <w:pPr>
        <w:widowControl/>
        <w:autoSpaceDE/>
        <w:autoSpaceDN/>
        <w:spacing w:line="240" w:lineRule="auto"/>
        <w:ind w:firstLine="420" w:firstLineChars="0"/>
        <w:jc w:val="left"/>
        <w:rPr>
          <w:rFonts w:hint="eastAsia"/>
          <w:color w:val="auto"/>
          <w:highlight w:val="none"/>
        </w:rPr>
      </w:pPr>
      <w:r>
        <w:rPr>
          <w:rFonts w:hint="eastAsia"/>
          <w:color w:val="auto"/>
          <w:highlight w:val="none"/>
        </w:rPr>
        <w:t>（五）项目案例和业绩证明文件复印件</w:t>
      </w:r>
    </w:p>
    <w:p w14:paraId="16D9EA4F">
      <w:pPr>
        <w:widowControl/>
        <w:autoSpaceDE/>
        <w:autoSpaceDN/>
        <w:spacing w:line="240" w:lineRule="auto"/>
        <w:ind w:firstLine="420" w:firstLineChars="0"/>
        <w:jc w:val="left"/>
        <w:rPr>
          <w:rFonts w:hint="eastAsia"/>
          <w:color w:val="auto"/>
          <w:highlight w:val="none"/>
        </w:rPr>
      </w:pPr>
      <w:r>
        <w:rPr>
          <w:rFonts w:hint="eastAsia"/>
          <w:color w:val="auto"/>
          <w:highlight w:val="none"/>
        </w:rPr>
        <w:t>（六）原厂授权</w:t>
      </w:r>
      <w:r>
        <w:rPr>
          <w:rFonts w:hint="eastAsia"/>
          <w:color w:val="auto"/>
          <w:highlight w:val="none"/>
          <w:lang w:val="en-US" w:eastAsia="zh-CN"/>
        </w:rPr>
        <w:t>函原件（如有）</w:t>
      </w:r>
    </w:p>
    <w:p w14:paraId="48910CC0">
      <w:pPr>
        <w:widowControl/>
        <w:autoSpaceDE/>
        <w:autoSpaceDN/>
        <w:spacing w:line="240" w:lineRule="auto"/>
        <w:ind w:firstLine="420" w:firstLineChars="0"/>
        <w:jc w:val="left"/>
        <w:rPr>
          <w:rFonts w:hint="default"/>
          <w:color w:val="auto"/>
          <w:highlight w:val="none"/>
          <w:lang w:val="en-US"/>
        </w:rPr>
      </w:pPr>
      <w:r>
        <w:rPr>
          <w:rFonts w:hint="eastAsia"/>
          <w:color w:val="auto"/>
          <w:highlight w:val="none"/>
          <w:lang w:val="zh-CN"/>
        </w:rPr>
        <w:t>（七）原厂</w:t>
      </w:r>
      <w:r>
        <w:rPr>
          <w:rFonts w:hint="eastAsia"/>
          <w:color w:val="auto"/>
          <w:highlight w:val="none"/>
        </w:rPr>
        <w:t>售后服务</w:t>
      </w:r>
      <w:r>
        <w:rPr>
          <w:rFonts w:hint="eastAsia"/>
          <w:color w:val="auto"/>
          <w:highlight w:val="none"/>
          <w:lang w:val="en-US" w:eastAsia="zh-CN"/>
        </w:rPr>
        <w:t>承诺函原件</w:t>
      </w:r>
    </w:p>
    <w:p w14:paraId="2639DF69">
      <w:pPr>
        <w:widowControl/>
        <w:autoSpaceDE/>
        <w:autoSpaceDN/>
        <w:spacing w:line="240" w:lineRule="auto"/>
        <w:ind w:firstLine="420" w:firstLineChars="0"/>
        <w:jc w:val="left"/>
        <w:rPr>
          <w:rFonts w:hint="eastAsia"/>
          <w:bCs/>
          <w:color w:val="auto"/>
          <w:highlight w:val="none"/>
          <w:lang w:val="zh-CN"/>
        </w:rPr>
      </w:pPr>
      <w:r>
        <w:rPr>
          <w:rFonts w:hint="eastAsia"/>
          <w:bCs/>
          <w:color w:val="auto"/>
          <w:highlight w:val="none"/>
          <w:lang w:val="zh-CN"/>
        </w:rPr>
        <w:t>（</w:t>
      </w:r>
      <w:r>
        <w:rPr>
          <w:rFonts w:hint="eastAsia"/>
          <w:bCs/>
          <w:color w:val="auto"/>
          <w:highlight w:val="none"/>
        </w:rPr>
        <w:t>八</w:t>
      </w:r>
      <w:r>
        <w:rPr>
          <w:rFonts w:hint="eastAsia"/>
          <w:bCs/>
          <w:color w:val="auto"/>
          <w:highlight w:val="none"/>
          <w:lang w:val="zh-CN"/>
        </w:rPr>
        <w:t>）</w:t>
      </w:r>
      <w:r>
        <w:rPr>
          <w:rFonts w:hint="eastAsia"/>
          <w:bCs/>
          <w:color w:val="auto"/>
          <w:highlight w:val="none"/>
        </w:rPr>
        <w:t>其他</w:t>
      </w:r>
      <w:r>
        <w:rPr>
          <w:rFonts w:hint="eastAsia"/>
          <w:bCs/>
          <w:color w:val="auto"/>
          <w:highlight w:val="none"/>
          <w:lang w:val="zh-CN"/>
        </w:rPr>
        <w:t>（</w:t>
      </w:r>
      <w:r>
        <w:rPr>
          <w:rFonts w:hint="eastAsia"/>
          <w:bCs/>
          <w:color w:val="auto"/>
          <w:highlight w:val="none"/>
        </w:rPr>
        <w:t>如有</w:t>
      </w:r>
      <w:r>
        <w:rPr>
          <w:rFonts w:hint="eastAsia"/>
          <w:bCs/>
          <w:color w:val="auto"/>
          <w:highlight w:val="none"/>
          <w:lang w:val="zh-CN"/>
        </w:rPr>
        <w:t>）</w:t>
      </w:r>
    </w:p>
    <w:p w14:paraId="01AF1925">
      <w:pPr>
        <w:widowControl/>
        <w:autoSpaceDE/>
        <w:autoSpaceDN/>
        <w:spacing w:line="240" w:lineRule="auto"/>
        <w:ind w:firstLine="0" w:firstLineChars="0"/>
        <w:jc w:val="left"/>
        <w:rPr>
          <w:rFonts w:hint="eastAsia"/>
          <w:color w:val="auto"/>
          <w:highlight w:val="none"/>
        </w:rPr>
      </w:pPr>
      <w:r>
        <w:rPr>
          <w:rFonts w:hint="eastAsia"/>
          <w:color w:val="auto"/>
          <w:highlight w:val="none"/>
          <w:lang w:val="en-US" w:eastAsia="zh-CN"/>
        </w:rPr>
        <w:t>四</w:t>
      </w:r>
      <w:r>
        <w:rPr>
          <w:rFonts w:hint="eastAsia"/>
          <w:color w:val="auto"/>
          <w:highlight w:val="none"/>
        </w:rPr>
        <w:t>、响应性文件</w:t>
      </w:r>
    </w:p>
    <w:p w14:paraId="6E7A1B71">
      <w:pPr>
        <w:widowControl/>
        <w:autoSpaceDE/>
        <w:autoSpaceDN/>
        <w:spacing w:line="240" w:lineRule="auto"/>
        <w:ind w:firstLine="420" w:firstLineChars="0"/>
        <w:jc w:val="left"/>
        <w:rPr>
          <w:rFonts w:hint="eastAsia"/>
          <w:color w:val="auto"/>
          <w:highlight w:val="none"/>
        </w:rPr>
      </w:pPr>
      <w:r>
        <w:rPr>
          <w:rFonts w:hint="eastAsia"/>
          <w:color w:val="auto"/>
          <w:highlight w:val="none"/>
        </w:rPr>
        <w:t>（一）响应承诺函</w:t>
      </w:r>
    </w:p>
    <w:p w14:paraId="0606D15D">
      <w:pPr>
        <w:widowControl/>
        <w:autoSpaceDE/>
        <w:autoSpaceDN/>
        <w:spacing w:line="240" w:lineRule="auto"/>
        <w:ind w:firstLine="420" w:firstLineChars="0"/>
        <w:jc w:val="left"/>
        <w:rPr>
          <w:rFonts w:hint="default" w:eastAsia="宋体"/>
          <w:color w:val="auto"/>
          <w:highlight w:val="none"/>
          <w:lang w:val="en-US" w:eastAsia="zh-CN"/>
        </w:rPr>
      </w:pPr>
      <w:r>
        <w:rPr>
          <w:rFonts w:hint="eastAsia"/>
          <w:color w:val="auto"/>
          <w:highlight w:val="none"/>
        </w:rPr>
        <w:t>（二）</w:t>
      </w:r>
      <w:r>
        <w:rPr>
          <w:rFonts w:hint="eastAsia"/>
          <w:color w:val="auto"/>
          <w:highlight w:val="none"/>
          <w:lang w:val="en-US" w:eastAsia="zh-CN"/>
        </w:rPr>
        <w:t>续保保费承诺函</w:t>
      </w:r>
    </w:p>
    <w:p w14:paraId="093BB633">
      <w:pPr>
        <w:widowControl/>
        <w:autoSpaceDE/>
        <w:autoSpaceDN/>
        <w:spacing w:line="24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服务连续性预案</w:t>
      </w:r>
    </w:p>
    <w:p w14:paraId="7A6CCC2C">
      <w:pPr>
        <w:widowControl/>
        <w:autoSpaceDE/>
        <w:autoSpaceDN/>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项目实施方案</w:t>
      </w:r>
    </w:p>
    <w:p w14:paraId="45D15F9E">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售后服务和培训方案</w:t>
      </w:r>
    </w:p>
    <w:p w14:paraId="13B52BA8">
      <w:pPr>
        <w:widowControl/>
        <w:autoSpaceDE/>
        <w:autoSpaceDN/>
        <w:spacing w:line="240" w:lineRule="auto"/>
        <w:ind w:firstLine="420" w:firstLineChars="0"/>
        <w:jc w:val="left"/>
        <w:rPr>
          <w:rFonts w:hint="eastAsia"/>
          <w:color w:val="auto"/>
          <w:highlight w:val="none"/>
        </w:rPr>
      </w:pPr>
      <w:r>
        <w:rPr>
          <w:rFonts w:hint="eastAsia"/>
          <w:color w:val="auto"/>
          <w:highlight w:val="none"/>
          <w:lang w:val="en-US" w:eastAsia="zh-CN"/>
        </w:rPr>
        <w:t>（六）</w:t>
      </w:r>
      <w:r>
        <w:rPr>
          <w:rFonts w:hint="eastAsia"/>
          <w:color w:val="auto"/>
          <w:highlight w:val="none"/>
        </w:rPr>
        <w:t>其他（如有）</w:t>
      </w:r>
    </w:p>
    <w:p w14:paraId="4D2D5DB5">
      <w:pPr>
        <w:widowControl/>
        <w:autoSpaceDE/>
        <w:autoSpaceDN/>
        <w:spacing w:line="240" w:lineRule="auto"/>
        <w:ind w:firstLine="0" w:firstLineChars="0"/>
        <w:jc w:val="left"/>
        <w:rPr>
          <w:color w:val="auto"/>
          <w:highlight w:val="none"/>
        </w:rPr>
      </w:pPr>
      <w:r>
        <w:rPr>
          <w:rFonts w:hint="eastAsia"/>
          <w:color w:val="auto"/>
          <w:highlight w:val="none"/>
          <w:lang w:val="en-US" w:eastAsia="zh-CN"/>
        </w:rPr>
        <w:t>五、其他（如有）</w:t>
      </w:r>
      <w:r>
        <w:rPr>
          <w:rFonts w:hint="eastAsia"/>
          <w:color w:val="auto"/>
          <w:highlight w:val="none"/>
        </w:rPr>
        <w:br w:type="page"/>
      </w:r>
    </w:p>
    <w:p w14:paraId="0D0E135D">
      <w:pPr>
        <w:widowControl/>
        <w:autoSpaceDE/>
        <w:autoSpaceDN/>
        <w:spacing w:line="240" w:lineRule="auto"/>
        <w:ind w:firstLine="0" w:firstLineChars="0"/>
        <w:jc w:val="left"/>
        <w:rPr>
          <w:color w:val="auto"/>
          <w:highlight w:val="none"/>
        </w:rPr>
      </w:pPr>
    </w:p>
    <w:p w14:paraId="3543B67D">
      <w:pPr>
        <w:pStyle w:val="28"/>
        <w:rPr>
          <w:color w:val="auto"/>
          <w:highlight w:val="none"/>
        </w:rPr>
      </w:pPr>
      <w:r>
        <w:rPr>
          <w:color w:val="auto"/>
          <w:highlight w:val="none"/>
        </w:rPr>
        <w:t>一、响应函</w:t>
      </w:r>
    </w:p>
    <w:p w14:paraId="178DD1E6">
      <w:pPr>
        <w:rPr>
          <w:color w:val="auto"/>
          <w:highlight w:val="none"/>
        </w:rPr>
      </w:pPr>
    </w:p>
    <w:p w14:paraId="3E949911">
      <w:pPr>
        <w:ind w:firstLine="0" w:firstLineChars="0"/>
        <w:rPr>
          <w:color w:val="auto"/>
          <w:highlight w:val="none"/>
        </w:rPr>
      </w:pPr>
      <w:r>
        <w:rPr>
          <w:rFonts w:hint="eastAsia"/>
          <w:color w:val="auto"/>
          <w:highlight w:val="none"/>
        </w:rPr>
        <w:t>重庆三峡银行股份有限公司：</w:t>
      </w:r>
    </w:p>
    <w:p w14:paraId="760ED2B6">
      <w:pPr>
        <w:rPr>
          <w:color w:val="auto"/>
          <w:highlight w:val="none"/>
        </w:rPr>
      </w:pPr>
      <w:r>
        <w:rPr>
          <w:rFonts w:hint="eastAsia"/>
          <w:color w:val="auto"/>
          <w:highlight w:val="none"/>
        </w:rPr>
        <w:t>我方收到</w:t>
      </w:r>
      <w:r>
        <w:rPr>
          <w:rFonts w:hint="eastAsia"/>
          <w:color w:val="auto"/>
          <w:highlight w:val="none"/>
          <w:u w:val="single"/>
        </w:rPr>
        <w:t xml:space="preserve">             </w:t>
      </w:r>
      <w:r>
        <w:rPr>
          <w:rFonts w:hint="eastAsia"/>
          <w:color w:val="auto"/>
          <w:highlight w:val="none"/>
        </w:rPr>
        <w:t>（项目名称）询比文件，经详细研究，决定参加该询比项目并响应。</w:t>
      </w:r>
    </w:p>
    <w:p w14:paraId="0A10D60F">
      <w:pPr>
        <w:rPr>
          <w:color w:val="auto"/>
          <w:highlight w:val="none"/>
        </w:rPr>
      </w:pPr>
      <w:r>
        <w:rPr>
          <w:rFonts w:hint="eastAsia"/>
          <w:color w:val="auto"/>
          <w:highlight w:val="none"/>
        </w:rPr>
        <w:t>1、愿意按照询比文件中的一切要求，以响应文件中的内容和报价承担和完成本项目。</w:t>
      </w:r>
    </w:p>
    <w:p w14:paraId="66D4E88F">
      <w:pPr>
        <w:rPr>
          <w:color w:val="auto"/>
          <w:highlight w:val="none"/>
        </w:rPr>
      </w:pPr>
      <w:r>
        <w:rPr>
          <w:rFonts w:hint="eastAsia"/>
          <w:color w:val="auto"/>
          <w:highlight w:val="none"/>
        </w:rPr>
        <w:t>2、我方现提交的响应文件为：响应文件正本一份，副本一份，电子文件一份。</w:t>
      </w:r>
    </w:p>
    <w:p w14:paraId="760A39E6">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7372FE37">
      <w:pPr>
        <w:rPr>
          <w:color w:val="auto"/>
          <w:highlight w:val="none"/>
        </w:rPr>
      </w:pPr>
      <w:r>
        <w:rPr>
          <w:rFonts w:hint="eastAsia"/>
          <w:color w:val="auto"/>
          <w:highlight w:val="none"/>
        </w:rPr>
        <w:t>4、我方愿意提供询比文件中要求的所有资料，并对其真实性负责。</w:t>
      </w:r>
    </w:p>
    <w:p w14:paraId="01F0694B">
      <w:pPr>
        <w:rPr>
          <w:color w:val="auto"/>
          <w:highlight w:val="none"/>
        </w:rPr>
      </w:pPr>
      <w:r>
        <w:rPr>
          <w:rFonts w:hint="eastAsia"/>
          <w:color w:val="auto"/>
          <w:highlight w:val="none"/>
        </w:rPr>
        <w:t>5、我方理解最低价格不是成交的唯一条件。</w:t>
      </w:r>
    </w:p>
    <w:p w14:paraId="67235923">
      <w:pPr>
        <w:rPr>
          <w:color w:val="auto"/>
          <w:highlight w:val="none"/>
        </w:rPr>
      </w:pPr>
      <w:r>
        <w:rPr>
          <w:rFonts w:hint="eastAsia"/>
          <w:color w:val="auto"/>
          <w:highlight w:val="none"/>
        </w:rPr>
        <w:t>6、响应有效期为响应截止日期后90天内。</w:t>
      </w:r>
    </w:p>
    <w:p w14:paraId="082A242A">
      <w:pPr>
        <w:rPr>
          <w:color w:val="auto"/>
          <w:highlight w:val="none"/>
        </w:rPr>
      </w:pPr>
      <w:r>
        <w:rPr>
          <w:rFonts w:hint="eastAsia"/>
          <w:color w:val="auto"/>
          <w:highlight w:val="none"/>
        </w:rPr>
        <w:t xml:space="preserve">7、若我方成交，我方开具税率为 </w:t>
      </w:r>
      <w:r>
        <w:rPr>
          <w:color w:val="auto"/>
          <w:highlight w:val="none"/>
        </w:rPr>
        <w:t>13</w:t>
      </w:r>
      <w:r>
        <w:rPr>
          <w:rFonts w:hint="eastAsia"/>
          <w:color w:val="auto"/>
          <w:highlight w:val="none"/>
        </w:rPr>
        <w:t xml:space="preserve"> %的增值税专用发票；</w:t>
      </w:r>
    </w:p>
    <w:p w14:paraId="206C38F6">
      <w:pPr>
        <w:rPr>
          <w:color w:val="auto"/>
          <w:highlight w:val="none"/>
        </w:rPr>
      </w:pPr>
    </w:p>
    <w:p w14:paraId="3944717B">
      <w:pPr>
        <w:rPr>
          <w:color w:val="auto"/>
          <w:highlight w:val="none"/>
        </w:rPr>
      </w:pPr>
      <w:r>
        <w:rPr>
          <w:rFonts w:hint="eastAsia"/>
          <w:color w:val="auto"/>
          <w:highlight w:val="none"/>
        </w:rPr>
        <w:t>响应人（公章）：</w:t>
      </w:r>
    </w:p>
    <w:p w14:paraId="1F2E72E2">
      <w:pPr>
        <w:rPr>
          <w:color w:val="auto"/>
          <w:highlight w:val="none"/>
        </w:rPr>
      </w:pPr>
      <w:r>
        <w:rPr>
          <w:rFonts w:hint="eastAsia"/>
          <w:color w:val="auto"/>
          <w:highlight w:val="none"/>
        </w:rPr>
        <w:t xml:space="preserve">响应人联系人：  </w:t>
      </w:r>
    </w:p>
    <w:p w14:paraId="4814D823">
      <w:pPr>
        <w:rPr>
          <w:color w:val="auto"/>
          <w:highlight w:val="none"/>
        </w:rPr>
      </w:pPr>
      <w:r>
        <w:rPr>
          <w:rFonts w:hint="eastAsia"/>
          <w:color w:val="auto"/>
          <w:highlight w:val="none"/>
        </w:rPr>
        <w:t xml:space="preserve">响应人联系人联系电话：     </w:t>
      </w:r>
    </w:p>
    <w:p w14:paraId="15EB5B59">
      <w:pPr>
        <w:jc w:val="right"/>
        <w:rPr>
          <w:color w:val="auto"/>
          <w:highlight w:val="none"/>
        </w:rPr>
      </w:pPr>
      <w:r>
        <w:rPr>
          <w:rFonts w:hint="eastAsia"/>
          <w:color w:val="auto"/>
          <w:highlight w:val="none"/>
        </w:rPr>
        <w:t>年     月     日</w:t>
      </w:r>
    </w:p>
    <w:p w14:paraId="137A47B8">
      <w:pPr>
        <w:rPr>
          <w:color w:val="auto"/>
          <w:highlight w:val="none"/>
        </w:rPr>
      </w:pPr>
    </w:p>
    <w:p w14:paraId="50197737">
      <w:pPr>
        <w:widowControl/>
        <w:jc w:val="left"/>
        <w:rPr>
          <w:rFonts w:ascii="宋体"/>
          <w:snapToGrid w:val="0"/>
          <w:color w:val="auto"/>
          <w:kern w:val="0"/>
          <w:sz w:val="24"/>
          <w:szCs w:val="24"/>
          <w:highlight w:val="none"/>
        </w:rPr>
      </w:pPr>
    </w:p>
    <w:p w14:paraId="433446B7">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5AD7C20C">
      <w:pPr>
        <w:ind w:firstLine="0" w:firstLineChars="0"/>
        <w:rPr>
          <w:color w:val="auto"/>
          <w:highlight w:val="none"/>
        </w:rPr>
      </w:pPr>
    </w:p>
    <w:p w14:paraId="32EE5312">
      <w:pPr>
        <w:pStyle w:val="28"/>
        <w:rPr>
          <w:color w:val="auto"/>
          <w:highlight w:val="none"/>
        </w:rPr>
      </w:pPr>
      <w:r>
        <w:rPr>
          <w:color w:val="auto"/>
          <w:highlight w:val="none"/>
        </w:rP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2130"/>
        <w:gridCol w:w="2133"/>
      </w:tblGrid>
      <w:tr w14:paraId="1F43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EF705DC">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5B24389">
            <w:pPr>
              <w:autoSpaceDE/>
              <w:autoSpaceDN/>
              <w:ind w:firstLine="0" w:firstLineChars="0"/>
              <w:jc w:val="center"/>
              <w:rPr>
                <w:rFonts w:ascii="宋体" w:hAnsi="宋体"/>
                <w:color w:val="auto"/>
                <w:szCs w:val="24"/>
                <w:highlight w:val="none"/>
              </w:rPr>
            </w:pPr>
          </w:p>
        </w:tc>
      </w:tr>
      <w:tr w14:paraId="6ABB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88FE50B">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29E4BA">
            <w:pPr>
              <w:autoSpaceDE/>
              <w:autoSpaceDN/>
              <w:ind w:firstLine="0" w:firstLineChars="0"/>
              <w:jc w:val="center"/>
              <w:rPr>
                <w:rFonts w:ascii="宋体" w:hAnsi="宋体" w:cs="Cambria"/>
                <w:color w:val="auto"/>
                <w:szCs w:val="21"/>
                <w:highlight w:val="none"/>
              </w:rPr>
            </w:pPr>
          </w:p>
        </w:tc>
      </w:tr>
      <w:tr w14:paraId="2E19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54FEE7">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响应总报价</w:t>
            </w:r>
            <w:r>
              <w:rPr>
                <w:rFonts w:hint="eastAsia" w:ascii="宋体" w:hAnsi="宋体"/>
                <w:color w:val="auto"/>
                <w:szCs w:val="24"/>
                <w:highlight w:val="none"/>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FC9467D">
            <w:pPr>
              <w:pStyle w:val="34"/>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14:paraId="28740061">
            <w:pPr>
              <w:pStyle w:val="34"/>
              <w:rPr>
                <w:color w:val="auto"/>
                <w:highlight w:val="none"/>
              </w:rPr>
            </w:pPr>
            <w:r>
              <w:rPr>
                <w:rFonts w:hint="eastAsia"/>
                <w:color w:val="auto"/>
                <w:highlight w:val="none"/>
              </w:rPr>
              <w:t>大写：            人民币</w:t>
            </w:r>
          </w:p>
        </w:tc>
      </w:tr>
      <w:tr w14:paraId="6DA2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44A1C12">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2222AD73">
            <w:pPr>
              <w:autoSpaceDE/>
              <w:autoSpaceDN/>
              <w:ind w:firstLine="0" w:firstLineChars="0"/>
              <w:jc w:val="center"/>
              <w:rPr>
                <w:rFonts w:ascii="宋体" w:hAnsi="宋体"/>
                <w:color w:val="auto"/>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47F438B">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2D5ECB8C">
            <w:pPr>
              <w:autoSpaceDE/>
              <w:autoSpaceDN/>
              <w:ind w:firstLine="0" w:firstLineChars="0"/>
              <w:jc w:val="center"/>
              <w:rPr>
                <w:rFonts w:ascii="宋体" w:hAnsi="宋体"/>
                <w:color w:val="auto"/>
                <w:szCs w:val="24"/>
                <w:highlight w:val="none"/>
              </w:rPr>
            </w:pPr>
          </w:p>
        </w:tc>
      </w:tr>
      <w:tr w14:paraId="442E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55FD623">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C871864">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ascii="宋体" w:hAnsi="宋体"/>
                <w:color w:val="auto"/>
                <w:szCs w:val="24"/>
                <w:highlight w:val="none"/>
                <w:u w:val="single"/>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2C67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E05BC2F">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1AAD3554">
      <w:pPr>
        <w:rPr>
          <w:color w:val="auto"/>
          <w:highlight w:val="none"/>
        </w:rPr>
      </w:pPr>
    </w:p>
    <w:p w14:paraId="56C8FA24">
      <w:pPr>
        <w:rPr>
          <w:color w:val="auto"/>
          <w:highlight w:val="none"/>
        </w:rPr>
      </w:pPr>
    </w:p>
    <w:p w14:paraId="4FF924FF">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33346D2C">
      <w:pPr>
        <w:rPr>
          <w:color w:val="auto"/>
          <w:highlight w:val="none"/>
        </w:rPr>
      </w:pPr>
    </w:p>
    <w:p w14:paraId="4023CDC4">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5AEC8931">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4D08F463">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6D99B4C5">
      <w:pPr>
        <w:rPr>
          <w:color w:val="auto"/>
          <w:highlight w:val="none"/>
        </w:rPr>
      </w:pPr>
      <w:r>
        <w:rPr>
          <w:rFonts w:hint="eastAsia"/>
          <w:color w:val="auto"/>
          <w:highlight w:val="none"/>
        </w:rPr>
        <w:t>有关说明：</w:t>
      </w:r>
    </w:p>
    <w:p w14:paraId="16CAC793">
      <w:pPr>
        <w:rPr>
          <w:color w:val="auto"/>
          <w:highlight w:val="none"/>
        </w:rPr>
      </w:pPr>
      <w:r>
        <w:rPr>
          <w:rFonts w:hint="eastAsia"/>
          <w:color w:val="auto"/>
          <w:highlight w:val="none"/>
        </w:rPr>
        <w:t>报价一览表在开标大会上当众宣读，务必填写清楚，准确无误。表格可扩展。</w:t>
      </w:r>
    </w:p>
    <w:p w14:paraId="5459FE6D">
      <w:pPr>
        <w:rPr>
          <w:color w:val="auto"/>
          <w:highlight w:val="none"/>
        </w:rPr>
      </w:pPr>
      <w:r>
        <w:rPr>
          <w:rFonts w:hint="eastAsia"/>
          <w:color w:val="auto"/>
          <w:highlight w:val="none"/>
        </w:rPr>
        <w:t>本次报价包含上述维护期的，采购人不再另行支付该维护期内维护费用。</w:t>
      </w:r>
    </w:p>
    <w:p w14:paraId="698B559D">
      <w:pPr>
        <w:rPr>
          <w:color w:val="auto"/>
          <w:highlight w:val="none"/>
        </w:rPr>
      </w:pPr>
    </w:p>
    <w:p w14:paraId="38047B7D">
      <w:pPr>
        <w:ind w:firstLine="0" w:firstLineChars="0"/>
        <w:rPr>
          <w:color w:val="auto"/>
          <w:highlight w:val="none"/>
        </w:rPr>
        <w:sectPr>
          <w:pgSz w:w="11906" w:h="16838"/>
          <w:pgMar w:top="1440" w:right="1800" w:bottom="1440" w:left="1800" w:header="851" w:footer="992" w:gutter="0"/>
          <w:cols w:space="720" w:num="1"/>
          <w:docGrid w:type="lines" w:linePitch="312" w:charSpace="0"/>
        </w:sectPr>
      </w:pPr>
    </w:p>
    <w:p w14:paraId="22C2A9C7">
      <w:pPr>
        <w:pStyle w:val="28"/>
        <w:rPr>
          <w:color w:val="auto"/>
          <w:highlight w:val="none"/>
        </w:rPr>
      </w:pPr>
      <w:r>
        <w:rPr>
          <w:color w:val="auto"/>
          <w:highlight w:val="none"/>
        </w:rPr>
        <w:t>三、资格性文件</w:t>
      </w:r>
    </w:p>
    <w:p w14:paraId="621263F1">
      <w:pPr>
        <w:pStyle w:val="30"/>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0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8955415">
            <w:pPr>
              <w:pStyle w:val="34"/>
              <w:jc w:val="center"/>
              <w:rPr>
                <w:color w:val="auto"/>
                <w:highlight w:val="none"/>
              </w:rPr>
            </w:pPr>
            <w:r>
              <w:rPr>
                <w:rFonts w:hint="eastAsia"/>
                <w:color w:val="auto"/>
                <w:highlight w:val="none"/>
              </w:rPr>
              <w:t>响应人名称</w:t>
            </w:r>
          </w:p>
        </w:tc>
        <w:tc>
          <w:tcPr>
            <w:tcW w:w="7114" w:type="dxa"/>
            <w:gridSpan w:val="8"/>
          </w:tcPr>
          <w:p w14:paraId="6359C71E">
            <w:pPr>
              <w:pStyle w:val="34"/>
              <w:jc w:val="center"/>
              <w:rPr>
                <w:color w:val="auto"/>
                <w:highlight w:val="none"/>
              </w:rPr>
            </w:pPr>
          </w:p>
        </w:tc>
      </w:tr>
      <w:tr w14:paraId="0206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8D6F3EA">
            <w:pPr>
              <w:pStyle w:val="34"/>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4C273D50">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29CD1C66">
            <w:pPr>
              <w:pStyle w:val="34"/>
              <w:jc w:val="center"/>
              <w:rPr>
                <w:color w:val="auto"/>
                <w:highlight w:val="none"/>
              </w:rPr>
            </w:pPr>
            <w:r>
              <w:rPr>
                <w:rFonts w:hint="eastAsia"/>
                <w:color w:val="auto"/>
                <w:highlight w:val="none"/>
              </w:rPr>
              <w:t>邮政编码</w:t>
            </w:r>
          </w:p>
        </w:tc>
        <w:tc>
          <w:tcPr>
            <w:tcW w:w="1657" w:type="dxa"/>
            <w:gridSpan w:val="3"/>
          </w:tcPr>
          <w:p w14:paraId="4B97A13B">
            <w:pPr>
              <w:pStyle w:val="34"/>
              <w:jc w:val="center"/>
              <w:rPr>
                <w:color w:val="auto"/>
                <w:highlight w:val="none"/>
              </w:rPr>
            </w:pPr>
          </w:p>
        </w:tc>
      </w:tr>
      <w:tr w14:paraId="7D2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B57D83F">
            <w:pPr>
              <w:pStyle w:val="34"/>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6BE28ACF">
            <w:pPr>
              <w:pStyle w:val="34"/>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1D48D2C7">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1FB3FF1A">
            <w:pPr>
              <w:pStyle w:val="34"/>
              <w:jc w:val="center"/>
              <w:rPr>
                <w:color w:val="auto"/>
                <w:highlight w:val="none"/>
              </w:rPr>
            </w:pPr>
            <w:r>
              <w:rPr>
                <w:rFonts w:hint="eastAsia"/>
                <w:color w:val="auto"/>
                <w:highlight w:val="none"/>
              </w:rPr>
              <w:t>电话</w:t>
            </w:r>
          </w:p>
        </w:tc>
        <w:tc>
          <w:tcPr>
            <w:tcW w:w="1657" w:type="dxa"/>
            <w:gridSpan w:val="3"/>
          </w:tcPr>
          <w:p w14:paraId="676425FA">
            <w:pPr>
              <w:pStyle w:val="34"/>
              <w:jc w:val="center"/>
              <w:rPr>
                <w:color w:val="auto"/>
                <w:highlight w:val="none"/>
              </w:rPr>
            </w:pPr>
          </w:p>
        </w:tc>
      </w:tr>
      <w:tr w14:paraId="311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976A17">
            <w:pPr>
              <w:rPr>
                <w:color w:val="auto"/>
                <w:highlight w:val="none"/>
              </w:rPr>
            </w:pPr>
          </w:p>
        </w:tc>
        <w:tc>
          <w:tcPr>
            <w:tcW w:w="1077" w:type="dxa"/>
            <w:tcBorders>
              <w:top w:val="single" w:color="auto" w:sz="4" w:space="0"/>
              <w:left w:val="single" w:color="auto" w:sz="4" w:space="0"/>
              <w:right w:val="single" w:color="auto" w:sz="4" w:space="0"/>
            </w:tcBorders>
            <w:vAlign w:val="center"/>
          </w:tcPr>
          <w:p w14:paraId="2ACC17C8">
            <w:pPr>
              <w:pStyle w:val="34"/>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186B4A96">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0F014109">
            <w:pPr>
              <w:pStyle w:val="34"/>
              <w:jc w:val="center"/>
              <w:rPr>
                <w:color w:val="auto"/>
                <w:highlight w:val="none"/>
              </w:rPr>
            </w:pPr>
            <w:r>
              <w:rPr>
                <w:rFonts w:hint="eastAsia"/>
                <w:color w:val="auto"/>
                <w:highlight w:val="none"/>
              </w:rPr>
              <w:t>网址</w:t>
            </w:r>
          </w:p>
        </w:tc>
        <w:tc>
          <w:tcPr>
            <w:tcW w:w="1657" w:type="dxa"/>
            <w:gridSpan w:val="3"/>
          </w:tcPr>
          <w:p w14:paraId="69B8D93B">
            <w:pPr>
              <w:pStyle w:val="34"/>
              <w:jc w:val="center"/>
              <w:rPr>
                <w:color w:val="auto"/>
                <w:highlight w:val="none"/>
              </w:rPr>
            </w:pPr>
          </w:p>
        </w:tc>
      </w:tr>
      <w:tr w14:paraId="61D4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DEB240">
            <w:pPr>
              <w:pStyle w:val="34"/>
              <w:jc w:val="center"/>
              <w:rPr>
                <w:color w:val="auto"/>
                <w:highlight w:val="none"/>
              </w:rPr>
            </w:pPr>
            <w:r>
              <w:rPr>
                <w:rFonts w:hint="eastAsia"/>
                <w:color w:val="auto"/>
                <w:highlight w:val="none"/>
              </w:rPr>
              <w:t>组织结构</w:t>
            </w:r>
          </w:p>
        </w:tc>
        <w:tc>
          <w:tcPr>
            <w:tcW w:w="7114" w:type="dxa"/>
            <w:gridSpan w:val="8"/>
            <w:vAlign w:val="center"/>
          </w:tcPr>
          <w:p w14:paraId="26152C58">
            <w:pPr>
              <w:pStyle w:val="34"/>
              <w:jc w:val="center"/>
              <w:rPr>
                <w:color w:val="auto"/>
                <w:highlight w:val="none"/>
              </w:rPr>
            </w:pPr>
          </w:p>
        </w:tc>
      </w:tr>
      <w:tr w14:paraId="25B1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A532EE2">
            <w:pPr>
              <w:pStyle w:val="34"/>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20F61401">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115DBC00">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19904250">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F7481E6">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2FFAB7D">
            <w:pPr>
              <w:pStyle w:val="34"/>
              <w:jc w:val="center"/>
              <w:rPr>
                <w:color w:val="auto"/>
                <w:highlight w:val="none"/>
              </w:rPr>
            </w:pPr>
            <w:r>
              <w:rPr>
                <w:rFonts w:hint="eastAsia"/>
                <w:color w:val="auto"/>
                <w:highlight w:val="none"/>
              </w:rPr>
              <w:t>电话</w:t>
            </w:r>
          </w:p>
        </w:tc>
        <w:tc>
          <w:tcPr>
            <w:tcW w:w="758" w:type="dxa"/>
          </w:tcPr>
          <w:p w14:paraId="3F447CBC">
            <w:pPr>
              <w:pStyle w:val="34"/>
              <w:jc w:val="center"/>
              <w:rPr>
                <w:color w:val="auto"/>
                <w:highlight w:val="none"/>
              </w:rPr>
            </w:pPr>
          </w:p>
        </w:tc>
      </w:tr>
      <w:tr w14:paraId="432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197020E">
            <w:pPr>
              <w:pStyle w:val="34"/>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47433669">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62D97D9F">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4E73E51C">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71443E2">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BB0AD69">
            <w:pPr>
              <w:pStyle w:val="34"/>
              <w:jc w:val="center"/>
              <w:rPr>
                <w:color w:val="auto"/>
                <w:highlight w:val="none"/>
              </w:rPr>
            </w:pPr>
            <w:r>
              <w:rPr>
                <w:rFonts w:hint="eastAsia"/>
                <w:color w:val="auto"/>
                <w:highlight w:val="none"/>
              </w:rPr>
              <w:t>电话</w:t>
            </w:r>
          </w:p>
        </w:tc>
        <w:tc>
          <w:tcPr>
            <w:tcW w:w="758" w:type="dxa"/>
          </w:tcPr>
          <w:p w14:paraId="263B51EF">
            <w:pPr>
              <w:pStyle w:val="34"/>
              <w:jc w:val="center"/>
              <w:rPr>
                <w:color w:val="auto"/>
                <w:highlight w:val="none"/>
              </w:rPr>
            </w:pPr>
          </w:p>
        </w:tc>
      </w:tr>
      <w:tr w14:paraId="702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8C12F9D">
            <w:pPr>
              <w:pStyle w:val="34"/>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625EF681">
            <w:pPr>
              <w:pStyle w:val="34"/>
              <w:jc w:val="center"/>
              <w:rPr>
                <w:color w:val="auto"/>
                <w:highlight w:val="none"/>
              </w:rPr>
            </w:pPr>
          </w:p>
        </w:tc>
        <w:tc>
          <w:tcPr>
            <w:tcW w:w="4234" w:type="dxa"/>
            <w:gridSpan w:val="6"/>
          </w:tcPr>
          <w:p w14:paraId="3F69F978">
            <w:pPr>
              <w:pStyle w:val="34"/>
              <w:jc w:val="center"/>
              <w:rPr>
                <w:color w:val="auto"/>
                <w:highlight w:val="none"/>
              </w:rPr>
            </w:pPr>
            <w:r>
              <w:rPr>
                <w:rFonts w:hint="eastAsia"/>
                <w:color w:val="auto"/>
                <w:highlight w:val="none"/>
              </w:rPr>
              <w:t>员工总人数：</w:t>
            </w:r>
          </w:p>
        </w:tc>
      </w:tr>
      <w:tr w14:paraId="457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04AD4F">
            <w:pPr>
              <w:pStyle w:val="34"/>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72CCA60C">
            <w:pPr>
              <w:pStyle w:val="34"/>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200D930">
            <w:pPr>
              <w:pStyle w:val="34"/>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7850ED94">
            <w:pPr>
              <w:pStyle w:val="34"/>
              <w:jc w:val="center"/>
              <w:rPr>
                <w:color w:val="auto"/>
                <w:highlight w:val="none"/>
              </w:rPr>
            </w:pPr>
            <w:r>
              <w:rPr>
                <w:rFonts w:hint="eastAsia"/>
                <w:color w:val="auto"/>
                <w:highlight w:val="none"/>
              </w:rPr>
              <w:t>项目经理</w:t>
            </w:r>
          </w:p>
        </w:tc>
        <w:tc>
          <w:tcPr>
            <w:tcW w:w="1481" w:type="dxa"/>
            <w:gridSpan w:val="2"/>
          </w:tcPr>
          <w:p w14:paraId="1D100EDD">
            <w:pPr>
              <w:pStyle w:val="34"/>
              <w:jc w:val="center"/>
              <w:rPr>
                <w:color w:val="auto"/>
                <w:highlight w:val="none"/>
              </w:rPr>
            </w:pPr>
          </w:p>
        </w:tc>
      </w:tr>
      <w:tr w14:paraId="3963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6CDFACB">
            <w:pPr>
              <w:pStyle w:val="34"/>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2191A950">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8843971">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27C6155">
            <w:pPr>
              <w:pStyle w:val="34"/>
              <w:jc w:val="center"/>
              <w:rPr>
                <w:color w:val="auto"/>
                <w:highlight w:val="none"/>
              </w:rPr>
            </w:pPr>
            <w:r>
              <w:rPr>
                <w:rFonts w:hint="eastAsia"/>
                <w:color w:val="auto"/>
                <w:highlight w:val="none"/>
              </w:rPr>
              <w:t>高级职称人员</w:t>
            </w:r>
          </w:p>
        </w:tc>
        <w:tc>
          <w:tcPr>
            <w:tcW w:w="1481" w:type="dxa"/>
            <w:gridSpan w:val="2"/>
          </w:tcPr>
          <w:p w14:paraId="5900D8D7">
            <w:pPr>
              <w:pStyle w:val="34"/>
              <w:jc w:val="center"/>
              <w:rPr>
                <w:color w:val="auto"/>
                <w:highlight w:val="none"/>
              </w:rPr>
            </w:pPr>
          </w:p>
        </w:tc>
      </w:tr>
      <w:tr w14:paraId="761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9D1939">
            <w:pPr>
              <w:pStyle w:val="34"/>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4C959E4A">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115A2E4">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2ECF95F">
            <w:pPr>
              <w:pStyle w:val="34"/>
              <w:jc w:val="center"/>
              <w:rPr>
                <w:color w:val="auto"/>
                <w:highlight w:val="none"/>
              </w:rPr>
            </w:pPr>
            <w:r>
              <w:rPr>
                <w:rFonts w:hint="eastAsia"/>
                <w:color w:val="auto"/>
                <w:highlight w:val="none"/>
              </w:rPr>
              <w:t>中级职称人员</w:t>
            </w:r>
          </w:p>
        </w:tc>
        <w:tc>
          <w:tcPr>
            <w:tcW w:w="1481" w:type="dxa"/>
            <w:gridSpan w:val="2"/>
          </w:tcPr>
          <w:p w14:paraId="2B81A12C">
            <w:pPr>
              <w:pStyle w:val="34"/>
              <w:jc w:val="center"/>
              <w:rPr>
                <w:color w:val="auto"/>
                <w:highlight w:val="none"/>
              </w:rPr>
            </w:pPr>
          </w:p>
        </w:tc>
      </w:tr>
      <w:tr w14:paraId="1698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13C5678">
            <w:pPr>
              <w:pStyle w:val="34"/>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7C54A672">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FDBE6F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3C5DA45">
            <w:pPr>
              <w:pStyle w:val="34"/>
              <w:jc w:val="center"/>
              <w:rPr>
                <w:color w:val="auto"/>
                <w:highlight w:val="none"/>
              </w:rPr>
            </w:pPr>
            <w:r>
              <w:rPr>
                <w:rFonts w:hint="eastAsia"/>
                <w:color w:val="auto"/>
                <w:highlight w:val="none"/>
              </w:rPr>
              <w:t>初级职称人员</w:t>
            </w:r>
          </w:p>
        </w:tc>
        <w:tc>
          <w:tcPr>
            <w:tcW w:w="1481" w:type="dxa"/>
            <w:gridSpan w:val="2"/>
          </w:tcPr>
          <w:p w14:paraId="2FA6FCA5">
            <w:pPr>
              <w:pStyle w:val="34"/>
              <w:jc w:val="center"/>
              <w:rPr>
                <w:color w:val="auto"/>
                <w:highlight w:val="none"/>
              </w:rPr>
            </w:pPr>
          </w:p>
        </w:tc>
      </w:tr>
      <w:tr w14:paraId="58E4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670BFA">
            <w:pPr>
              <w:pStyle w:val="34"/>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7B609DF8">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736883A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614425">
            <w:pPr>
              <w:pStyle w:val="34"/>
              <w:jc w:val="center"/>
              <w:rPr>
                <w:color w:val="auto"/>
                <w:highlight w:val="none"/>
              </w:rPr>
            </w:pPr>
            <w:r>
              <w:rPr>
                <w:rFonts w:hint="eastAsia"/>
                <w:color w:val="auto"/>
                <w:highlight w:val="none"/>
              </w:rPr>
              <w:t>技工</w:t>
            </w:r>
          </w:p>
        </w:tc>
        <w:tc>
          <w:tcPr>
            <w:tcW w:w="1481" w:type="dxa"/>
            <w:gridSpan w:val="2"/>
          </w:tcPr>
          <w:p w14:paraId="17A7B9DD">
            <w:pPr>
              <w:pStyle w:val="34"/>
              <w:jc w:val="center"/>
              <w:rPr>
                <w:color w:val="auto"/>
                <w:highlight w:val="none"/>
              </w:rPr>
            </w:pPr>
          </w:p>
        </w:tc>
      </w:tr>
      <w:tr w14:paraId="150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35603D9">
            <w:pPr>
              <w:pStyle w:val="34"/>
              <w:jc w:val="center"/>
              <w:rPr>
                <w:color w:val="auto"/>
                <w:highlight w:val="none"/>
              </w:rPr>
            </w:pPr>
            <w:r>
              <w:rPr>
                <w:rFonts w:hint="eastAsia"/>
                <w:color w:val="auto"/>
                <w:highlight w:val="none"/>
              </w:rPr>
              <w:t>经营范围</w:t>
            </w:r>
          </w:p>
        </w:tc>
        <w:tc>
          <w:tcPr>
            <w:tcW w:w="7114" w:type="dxa"/>
            <w:gridSpan w:val="8"/>
          </w:tcPr>
          <w:p w14:paraId="4630AB86">
            <w:pPr>
              <w:pStyle w:val="34"/>
              <w:jc w:val="center"/>
              <w:rPr>
                <w:color w:val="auto"/>
                <w:highlight w:val="none"/>
              </w:rPr>
            </w:pPr>
          </w:p>
        </w:tc>
      </w:tr>
      <w:tr w14:paraId="588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3016161">
            <w:pPr>
              <w:pStyle w:val="34"/>
              <w:jc w:val="center"/>
              <w:rPr>
                <w:color w:val="auto"/>
                <w:highlight w:val="none"/>
              </w:rPr>
            </w:pPr>
            <w:r>
              <w:rPr>
                <w:rFonts w:hint="eastAsia"/>
                <w:color w:val="auto"/>
                <w:highlight w:val="none"/>
              </w:rPr>
              <w:t>备注</w:t>
            </w:r>
          </w:p>
        </w:tc>
        <w:tc>
          <w:tcPr>
            <w:tcW w:w="7114" w:type="dxa"/>
            <w:gridSpan w:val="8"/>
          </w:tcPr>
          <w:p w14:paraId="6033CB98">
            <w:pPr>
              <w:pStyle w:val="34"/>
              <w:jc w:val="center"/>
              <w:rPr>
                <w:color w:val="auto"/>
                <w:highlight w:val="none"/>
              </w:rPr>
            </w:pPr>
          </w:p>
        </w:tc>
      </w:tr>
    </w:tbl>
    <w:p w14:paraId="435EDA45">
      <w:pPr>
        <w:rPr>
          <w:color w:val="auto"/>
          <w:highlight w:val="none"/>
        </w:rPr>
        <w:sectPr>
          <w:pgSz w:w="11906" w:h="16838"/>
          <w:pgMar w:top="1440" w:right="1800" w:bottom="1440" w:left="1800" w:header="851" w:footer="992" w:gutter="0"/>
          <w:cols w:space="720" w:num="1"/>
          <w:docGrid w:type="lines" w:linePitch="312" w:charSpace="0"/>
        </w:sectPr>
      </w:pPr>
      <w:r>
        <w:rPr>
          <w:rFonts w:hint="eastAsia"/>
          <w:color w:val="auto"/>
          <w:highlight w:val="none"/>
        </w:rPr>
        <w:t>注：附营业执照（副本）、资质证明复印件等。</w:t>
      </w:r>
    </w:p>
    <w:p w14:paraId="45438F88">
      <w:pPr>
        <w:pStyle w:val="30"/>
        <w:rPr>
          <w:color w:val="auto"/>
          <w:highlight w:val="none"/>
        </w:rPr>
      </w:pPr>
      <w:bookmarkStart w:id="263" w:name="_Toc14270"/>
      <w:bookmarkStart w:id="264" w:name="_Toc8213"/>
      <w:bookmarkStart w:id="265" w:name="_Toc378234584"/>
      <w:bookmarkStart w:id="266" w:name="_Toc472780356"/>
      <w:bookmarkStart w:id="267" w:name="_Toc478053903"/>
      <w:bookmarkStart w:id="268" w:name="_Toc378234770"/>
      <w:bookmarkStart w:id="269" w:name="_Toc478054435"/>
      <w:r>
        <w:rPr>
          <w:color w:val="auto"/>
          <w:highlight w:val="none"/>
        </w:rPr>
        <w:t>（二）法定代表人身份证明及授权委托书</w:t>
      </w:r>
      <w:bookmarkEnd w:id="263"/>
      <w:bookmarkEnd w:id="264"/>
    </w:p>
    <w:p w14:paraId="2D80471E">
      <w:pPr>
        <w:pStyle w:val="31"/>
        <w:rPr>
          <w:rFonts w:ascii="Times New Roman" w:hAnsi="Times New Roman"/>
          <w:color w:val="auto"/>
          <w:highlight w:val="none"/>
        </w:rPr>
      </w:pPr>
      <w:r>
        <w:rPr>
          <w:rFonts w:ascii="Times New Roman" w:hAnsi="Times New Roman"/>
          <w:color w:val="auto"/>
          <w:highlight w:val="none"/>
        </w:rPr>
        <w:t>法定代表人身份证明书</w:t>
      </w:r>
    </w:p>
    <w:p w14:paraId="7674F406">
      <w:pPr>
        <w:tabs>
          <w:tab w:val="left" w:pos="6300"/>
        </w:tabs>
        <w:snapToGrid w:val="0"/>
        <w:rPr>
          <w:snapToGrid w:val="0"/>
          <w:color w:val="auto"/>
          <w:kern w:val="0"/>
          <w:highlight w:val="none"/>
        </w:rPr>
      </w:pPr>
    </w:p>
    <w:p w14:paraId="3E574F44">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7F8F6ACF">
      <w:pPr>
        <w:tabs>
          <w:tab w:val="left" w:pos="6300"/>
        </w:tabs>
        <w:snapToGrid w:val="0"/>
        <w:rPr>
          <w:snapToGrid w:val="0"/>
          <w:color w:val="auto"/>
          <w:kern w:val="0"/>
          <w:highlight w:val="none"/>
        </w:rPr>
      </w:pPr>
    </w:p>
    <w:p w14:paraId="1ED7DFEF">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75B95173">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4FAB17A1">
      <w:pPr>
        <w:tabs>
          <w:tab w:val="left" w:pos="6300"/>
        </w:tabs>
        <w:snapToGrid w:val="0"/>
        <w:rPr>
          <w:snapToGrid w:val="0"/>
          <w:color w:val="auto"/>
          <w:kern w:val="0"/>
          <w:highlight w:val="none"/>
        </w:rPr>
      </w:pPr>
    </w:p>
    <w:p w14:paraId="503ECCE5">
      <w:pPr>
        <w:tabs>
          <w:tab w:val="left" w:pos="6300"/>
        </w:tabs>
        <w:snapToGrid w:val="0"/>
        <w:rPr>
          <w:snapToGrid w:val="0"/>
          <w:color w:val="auto"/>
          <w:kern w:val="0"/>
          <w:highlight w:val="none"/>
        </w:rPr>
      </w:pPr>
      <w:r>
        <w:rPr>
          <w:rFonts w:hint="eastAsia"/>
          <w:snapToGrid w:val="0"/>
          <w:color w:val="auto"/>
          <w:kern w:val="0"/>
          <w:highlight w:val="none"/>
        </w:rPr>
        <w:t>特此证明。</w:t>
      </w:r>
    </w:p>
    <w:p w14:paraId="7B6CE4F6">
      <w:pPr>
        <w:tabs>
          <w:tab w:val="left" w:pos="6300"/>
        </w:tabs>
        <w:snapToGrid w:val="0"/>
        <w:rPr>
          <w:snapToGrid w:val="0"/>
          <w:color w:val="auto"/>
          <w:kern w:val="0"/>
          <w:highlight w:val="none"/>
        </w:rPr>
      </w:pPr>
    </w:p>
    <w:p w14:paraId="6EFF4B0D">
      <w:pPr>
        <w:tabs>
          <w:tab w:val="left" w:pos="6300"/>
        </w:tabs>
        <w:snapToGrid w:val="0"/>
        <w:rPr>
          <w:snapToGrid w:val="0"/>
          <w:color w:val="auto"/>
          <w:kern w:val="0"/>
          <w:highlight w:val="none"/>
        </w:rPr>
      </w:pPr>
    </w:p>
    <w:p w14:paraId="0EEDFEEF">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42ADE0D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483C1131">
      <w:pPr>
        <w:tabs>
          <w:tab w:val="left" w:pos="6300"/>
        </w:tabs>
        <w:snapToGrid w:val="0"/>
        <w:rPr>
          <w:snapToGrid w:val="0"/>
          <w:color w:val="auto"/>
          <w:kern w:val="0"/>
          <w:highlight w:val="none"/>
        </w:rPr>
      </w:pPr>
    </w:p>
    <w:p w14:paraId="141C2801">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0C9ED0DE">
      <w:pPr>
        <w:tabs>
          <w:tab w:val="left" w:pos="6300"/>
        </w:tabs>
        <w:snapToGrid w:val="0"/>
        <w:rPr>
          <w:snapToGrid w:val="0"/>
          <w:color w:val="auto"/>
          <w:kern w:val="0"/>
          <w:highlight w:val="none"/>
        </w:rPr>
      </w:pPr>
    </w:p>
    <w:p w14:paraId="716D2D03">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12A687FF">
      <w:pPr>
        <w:tabs>
          <w:tab w:val="left" w:pos="6300"/>
        </w:tabs>
        <w:snapToGrid w:val="0"/>
        <w:rPr>
          <w:snapToGrid w:val="0"/>
          <w:color w:val="auto"/>
          <w:kern w:val="0"/>
          <w:highlight w:val="none"/>
        </w:rPr>
      </w:pPr>
    </w:p>
    <w:p w14:paraId="2446C3BD">
      <w:pPr>
        <w:tabs>
          <w:tab w:val="left" w:pos="6300"/>
        </w:tabs>
        <w:snapToGrid w:val="0"/>
        <w:rPr>
          <w:snapToGrid w:val="0"/>
          <w:color w:val="auto"/>
          <w:kern w:val="0"/>
          <w:highlight w:val="none"/>
        </w:rPr>
      </w:pPr>
    </w:p>
    <w:p w14:paraId="71787286">
      <w:pPr>
        <w:tabs>
          <w:tab w:val="left" w:pos="6300"/>
        </w:tabs>
        <w:snapToGrid w:val="0"/>
        <w:rPr>
          <w:snapToGrid w:val="0"/>
          <w:color w:val="auto"/>
          <w:kern w:val="0"/>
          <w:highlight w:val="none"/>
        </w:rPr>
      </w:pPr>
    </w:p>
    <w:p w14:paraId="664B0E9A">
      <w:pPr>
        <w:jc w:val="center"/>
        <w:rPr>
          <w:rStyle w:val="32"/>
          <w:rFonts w:ascii="Times New Roman" w:hAnsi="Times New Roman"/>
          <w:color w:val="auto"/>
          <w:highlight w:val="none"/>
        </w:rPr>
      </w:pPr>
      <w:r>
        <w:rPr>
          <w:rFonts w:hint="eastAsia"/>
          <w:snapToGrid w:val="0"/>
          <w:color w:val="auto"/>
          <w:kern w:val="0"/>
          <w:highlight w:val="none"/>
        </w:rPr>
        <w:br w:type="column"/>
      </w:r>
      <w:r>
        <w:rPr>
          <w:rStyle w:val="32"/>
          <w:rFonts w:ascii="Times New Roman" w:hAnsi="Times New Roman"/>
          <w:color w:val="auto"/>
          <w:highlight w:val="none"/>
        </w:rPr>
        <w:t>授权委托书</w:t>
      </w:r>
      <w:r>
        <w:rPr>
          <w:rStyle w:val="32"/>
          <w:color w:val="auto"/>
          <w:highlight w:val="none"/>
        </w:rPr>
        <w:t>（如有）</w:t>
      </w:r>
    </w:p>
    <w:p w14:paraId="7DF6E211">
      <w:pPr>
        <w:pStyle w:val="41"/>
        <w:rPr>
          <w:color w:val="auto"/>
          <w:highlight w:val="none"/>
        </w:rPr>
      </w:pPr>
      <w:r>
        <w:rPr>
          <w:color w:val="auto"/>
          <w:highlight w:val="none"/>
        </w:rPr>
        <w:t>（适用于有委托代理人的情况时采用）</w:t>
      </w:r>
    </w:p>
    <w:p w14:paraId="2F2281B1">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2EE8A513">
      <w:pPr>
        <w:tabs>
          <w:tab w:val="left" w:pos="6300"/>
        </w:tabs>
        <w:snapToGrid w:val="0"/>
        <w:rPr>
          <w:snapToGrid w:val="0"/>
          <w:color w:val="auto"/>
          <w:kern w:val="0"/>
          <w:highlight w:val="none"/>
        </w:rPr>
      </w:pPr>
    </w:p>
    <w:p w14:paraId="5931BE33">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9318DD5">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6B8F85A3">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118BE45B">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3DD9E454">
      <w:pPr>
        <w:tabs>
          <w:tab w:val="left" w:pos="6300"/>
        </w:tabs>
        <w:snapToGrid w:val="0"/>
        <w:rPr>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9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4A7858E4">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0B7F03BC">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7E29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8488097">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376990E5">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73D23570">
      <w:pPr>
        <w:tabs>
          <w:tab w:val="left" w:pos="6300"/>
        </w:tabs>
        <w:snapToGrid w:val="0"/>
        <w:rPr>
          <w:snapToGrid w:val="0"/>
          <w:color w:val="auto"/>
          <w:kern w:val="0"/>
          <w:highlight w:val="none"/>
        </w:rPr>
      </w:pPr>
    </w:p>
    <w:p w14:paraId="264BB38D">
      <w:pPr>
        <w:tabs>
          <w:tab w:val="left" w:pos="6300"/>
        </w:tabs>
        <w:snapToGrid w:val="0"/>
        <w:rPr>
          <w:snapToGrid w:val="0"/>
          <w:color w:val="auto"/>
          <w:kern w:val="0"/>
          <w:szCs w:val="28"/>
          <w:highlight w:val="none"/>
        </w:rPr>
      </w:pPr>
    </w:p>
    <w:p w14:paraId="1E02ECED">
      <w:pPr>
        <w:tabs>
          <w:tab w:val="left" w:pos="6300"/>
        </w:tabs>
        <w:snapToGrid w:val="0"/>
        <w:rPr>
          <w:snapToGrid w:val="0"/>
          <w:color w:val="auto"/>
          <w:kern w:val="0"/>
          <w:highlight w:val="none"/>
        </w:rPr>
      </w:pPr>
    </w:p>
    <w:p w14:paraId="59F1FC83">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272289D4">
      <w:pPr>
        <w:tabs>
          <w:tab w:val="left" w:pos="6300"/>
        </w:tabs>
        <w:snapToGrid w:val="0"/>
        <w:rPr>
          <w:snapToGrid w:val="0"/>
          <w:color w:val="auto"/>
          <w:kern w:val="0"/>
          <w:highlight w:val="none"/>
        </w:rPr>
      </w:pPr>
    </w:p>
    <w:p w14:paraId="1DA8A7FC">
      <w:pPr>
        <w:tabs>
          <w:tab w:val="left" w:pos="6300"/>
        </w:tabs>
        <w:snapToGrid w:val="0"/>
        <w:rPr>
          <w:snapToGrid w:val="0"/>
          <w:color w:val="auto"/>
          <w:kern w:val="0"/>
          <w:highlight w:val="none"/>
        </w:rPr>
      </w:pPr>
    </w:p>
    <w:p w14:paraId="6236A71E">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5145E46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162A2C7C">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42A63B24">
      <w:pPr>
        <w:tabs>
          <w:tab w:val="left" w:pos="6300"/>
        </w:tabs>
        <w:snapToGrid w:val="0"/>
        <w:rPr>
          <w:snapToGrid w:val="0"/>
          <w:color w:val="auto"/>
          <w:kern w:val="0"/>
          <w:highlight w:val="none"/>
        </w:rPr>
      </w:pPr>
    </w:p>
    <w:p w14:paraId="2841FC11">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654DEAB8">
      <w:pPr>
        <w:rPr>
          <w:color w:val="auto"/>
          <w:highlight w:val="none"/>
        </w:rPr>
      </w:pPr>
    </w:p>
    <w:p w14:paraId="3650B233">
      <w:pPr>
        <w:rPr>
          <w:color w:val="auto"/>
          <w:highlight w:val="none"/>
        </w:rPr>
        <w:sectPr>
          <w:pgSz w:w="11906" w:h="16838"/>
          <w:pgMar w:top="1440" w:right="1800" w:bottom="1440" w:left="1800" w:header="851" w:footer="992" w:gutter="0"/>
          <w:cols w:space="720" w:num="1"/>
          <w:docGrid w:type="lines" w:linePitch="312" w:charSpace="0"/>
        </w:sectPr>
      </w:pPr>
    </w:p>
    <w:bookmarkEnd w:id="265"/>
    <w:bookmarkEnd w:id="266"/>
    <w:bookmarkEnd w:id="267"/>
    <w:bookmarkEnd w:id="268"/>
    <w:bookmarkEnd w:id="269"/>
    <w:p w14:paraId="05567446">
      <w:pPr>
        <w:pStyle w:val="30"/>
        <w:rPr>
          <w:color w:val="auto"/>
          <w:highlight w:val="none"/>
        </w:rPr>
      </w:pPr>
      <w:r>
        <w:rPr>
          <w:rFonts w:hint="eastAsia"/>
          <w:color w:val="auto"/>
          <w:highlight w:val="none"/>
        </w:rPr>
        <w:t>（三）书面声明</w:t>
      </w:r>
    </w:p>
    <w:p w14:paraId="0C15E88F">
      <w:pPr>
        <w:tabs>
          <w:tab w:val="left" w:pos="6300"/>
        </w:tabs>
        <w:snapToGrid w:val="0"/>
        <w:rPr>
          <w:rFonts w:ascii="宋体"/>
          <w:color w:val="auto"/>
          <w:sz w:val="24"/>
          <w:highlight w:val="none"/>
        </w:rPr>
      </w:pPr>
    </w:p>
    <w:p w14:paraId="0C3412C2">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367E0039">
      <w:pPr>
        <w:tabs>
          <w:tab w:val="left" w:pos="6300"/>
        </w:tabs>
        <w:snapToGrid w:val="0"/>
        <w:rPr>
          <w:rFonts w:ascii="宋体"/>
          <w:color w:val="auto"/>
          <w:sz w:val="24"/>
          <w:highlight w:val="none"/>
        </w:rPr>
      </w:pPr>
    </w:p>
    <w:p w14:paraId="1CD07536">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0609B5BF">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1179166F">
      <w:pPr>
        <w:tabs>
          <w:tab w:val="left" w:pos="6300"/>
        </w:tabs>
        <w:snapToGrid w:val="0"/>
        <w:rPr>
          <w:rFonts w:ascii="宋体"/>
          <w:color w:val="auto"/>
          <w:sz w:val="24"/>
          <w:highlight w:val="none"/>
        </w:rPr>
      </w:pPr>
      <w:r>
        <w:rPr>
          <w:rFonts w:hint="eastAsia" w:ascii="宋体"/>
          <w:color w:val="auto"/>
          <w:sz w:val="24"/>
          <w:highlight w:val="none"/>
        </w:rPr>
        <w:t>特此声明。</w:t>
      </w:r>
    </w:p>
    <w:p w14:paraId="3C086DB9">
      <w:pPr>
        <w:tabs>
          <w:tab w:val="left" w:pos="6300"/>
        </w:tabs>
        <w:snapToGrid w:val="0"/>
        <w:rPr>
          <w:rFonts w:ascii="宋体"/>
          <w:color w:val="auto"/>
          <w:sz w:val="24"/>
          <w:highlight w:val="none"/>
        </w:rPr>
      </w:pPr>
    </w:p>
    <w:p w14:paraId="4752A6FF">
      <w:pPr>
        <w:tabs>
          <w:tab w:val="left" w:pos="6300"/>
        </w:tabs>
        <w:snapToGrid w:val="0"/>
        <w:rPr>
          <w:rFonts w:ascii="宋体"/>
          <w:color w:val="auto"/>
          <w:sz w:val="24"/>
          <w:highlight w:val="none"/>
        </w:rPr>
      </w:pPr>
    </w:p>
    <w:p w14:paraId="2F41D7CE">
      <w:pPr>
        <w:tabs>
          <w:tab w:val="left" w:pos="6300"/>
        </w:tabs>
        <w:snapToGrid w:val="0"/>
        <w:rPr>
          <w:rFonts w:ascii="宋体"/>
          <w:color w:val="auto"/>
          <w:sz w:val="24"/>
          <w:highlight w:val="none"/>
        </w:rPr>
      </w:pPr>
    </w:p>
    <w:p w14:paraId="34BAAAE1">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66ADF997">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609B8199">
      <w:pPr>
        <w:jc w:val="left"/>
        <w:rPr>
          <w:rFonts w:ascii="宋体" w:cs="等线 Light"/>
          <w:snapToGrid w:val="0"/>
          <w:color w:val="auto"/>
          <w:kern w:val="0"/>
          <w:sz w:val="24"/>
          <w:szCs w:val="24"/>
          <w:highlight w:val="none"/>
        </w:rPr>
      </w:pPr>
    </w:p>
    <w:p w14:paraId="2D01EEF8">
      <w:pPr>
        <w:jc w:val="left"/>
        <w:rPr>
          <w:rFonts w:ascii="宋体" w:cs="等线 Light"/>
          <w:snapToGrid w:val="0"/>
          <w:color w:val="auto"/>
          <w:kern w:val="0"/>
          <w:sz w:val="24"/>
          <w:szCs w:val="24"/>
          <w:highlight w:val="none"/>
        </w:rPr>
      </w:pPr>
    </w:p>
    <w:p w14:paraId="0DAF3D10">
      <w:pPr>
        <w:jc w:val="left"/>
        <w:rPr>
          <w:rFonts w:ascii="宋体" w:cs="等线 Light"/>
          <w:snapToGrid w:val="0"/>
          <w:color w:val="auto"/>
          <w:kern w:val="0"/>
          <w:sz w:val="24"/>
          <w:szCs w:val="24"/>
          <w:highlight w:val="none"/>
        </w:rPr>
      </w:pPr>
    </w:p>
    <w:p w14:paraId="4E7C0759">
      <w:pPr>
        <w:rPr>
          <w:b/>
          <w:bCs/>
          <w:color w:val="auto"/>
          <w:highlight w:val="none"/>
        </w:rPr>
      </w:pPr>
      <w:r>
        <w:rPr>
          <w:rFonts w:hint="eastAsia"/>
          <w:color w:val="auto"/>
          <w:kern w:val="0"/>
          <w:highlight w:val="none"/>
        </w:rPr>
        <w:br w:type="page"/>
      </w:r>
    </w:p>
    <w:p w14:paraId="0A6488B7">
      <w:pPr>
        <w:pStyle w:val="3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6FF2BCAC">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4F78D73C">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5D6DB49">
      <w:pPr>
        <w:rPr>
          <w:color w:val="auto"/>
          <w:highlight w:val="none"/>
        </w:rPr>
      </w:pPr>
    </w:p>
    <w:p w14:paraId="37CD2958">
      <w:pPr>
        <w:rPr>
          <w:color w:val="auto"/>
          <w:highlight w:val="none"/>
        </w:rPr>
      </w:pPr>
    </w:p>
    <w:p w14:paraId="45FFBA32">
      <w:pPr>
        <w:rPr>
          <w:color w:val="auto"/>
          <w:highlight w:val="none"/>
        </w:rPr>
      </w:pPr>
    </w:p>
    <w:p w14:paraId="6B16B711">
      <w:pPr>
        <w:rPr>
          <w:color w:val="auto"/>
          <w:highlight w:val="none"/>
        </w:rPr>
      </w:pPr>
      <w:r>
        <w:rPr>
          <w:rFonts w:hint="eastAsia"/>
          <w:color w:val="auto"/>
          <w:highlight w:val="none"/>
        </w:rPr>
        <w:br w:type="page"/>
      </w:r>
    </w:p>
    <w:p w14:paraId="37E7FC32">
      <w:pPr>
        <w:pStyle w:val="30"/>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14:paraId="328C392E">
      <w:pPr>
        <w:rPr>
          <w:color w:val="auto"/>
          <w:highlight w:val="none"/>
        </w:rPr>
      </w:pPr>
      <w:r>
        <w:rPr>
          <w:rFonts w:hint="eastAsia"/>
          <w:color w:val="auto"/>
          <w:highlight w:val="none"/>
        </w:rPr>
        <w:t>1、合同关键页（合同关键页</w:t>
      </w:r>
      <w:r>
        <w:rPr>
          <w:color w:val="auto"/>
          <w:highlight w:val="none"/>
        </w:rPr>
        <w:t>包含：甲乙双方名称、双方印章、项目名称、合同签订时间</w:t>
      </w:r>
      <w:r>
        <w:rPr>
          <w:rFonts w:hint="eastAsia"/>
          <w:color w:val="auto"/>
          <w:highlight w:val="none"/>
        </w:rPr>
        <w:t>、服务范围。）</w:t>
      </w:r>
    </w:p>
    <w:p w14:paraId="63BF4E8E">
      <w:pPr>
        <w:rPr>
          <w:color w:val="auto"/>
          <w:highlight w:val="none"/>
        </w:rPr>
      </w:pPr>
      <w:r>
        <w:rPr>
          <w:rFonts w:hint="eastAsia"/>
          <w:color w:val="auto"/>
          <w:highlight w:val="none"/>
        </w:rPr>
        <w:t>2、项目简介（格式自拟）</w:t>
      </w:r>
    </w:p>
    <w:p w14:paraId="3FBC8CC3">
      <w:pPr>
        <w:rPr>
          <w:color w:val="auto"/>
          <w:highlight w:val="none"/>
        </w:rPr>
      </w:pPr>
      <w:r>
        <w:rPr>
          <w:rFonts w:hint="eastAsia"/>
          <w:color w:val="auto"/>
          <w:highlight w:val="none"/>
        </w:rPr>
        <w:t>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62CA95AC">
      <w:pPr>
        <w:rPr>
          <w:color w:val="auto"/>
          <w:highlight w:val="none"/>
        </w:rPr>
      </w:pPr>
    </w:p>
    <w:p w14:paraId="25D69F72">
      <w:pPr>
        <w:rPr>
          <w:color w:val="auto"/>
          <w:highlight w:val="none"/>
          <w:lang w:val="zh-CN"/>
        </w:rPr>
      </w:pPr>
    </w:p>
    <w:p w14:paraId="551CC31A">
      <w:pPr>
        <w:pStyle w:val="10"/>
        <w:rPr>
          <w:color w:val="auto"/>
          <w:highlight w:val="none"/>
        </w:rPr>
      </w:pPr>
    </w:p>
    <w:p w14:paraId="15C9580C">
      <w:pPr>
        <w:widowControl/>
        <w:autoSpaceDE/>
        <w:autoSpaceDN/>
        <w:spacing w:line="240" w:lineRule="auto"/>
        <w:ind w:firstLine="0" w:firstLineChars="0"/>
        <w:jc w:val="left"/>
        <w:rPr>
          <w:bCs/>
          <w:color w:val="auto"/>
          <w:szCs w:val="32"/>
          <w:highlight w:val="none"/>
        </w:rPr>
      </w:pPr>
      <w:r>
        <w:rPr>
          <w:color w:val="auto"/>
          <w:highlight w:val="none"/>
        </w:rPr>
        <w:br w:type="page"/>
      </w:r>
    </w:p>
    <w:p w14:paraId="5982B091">
      <w:pPr>
        <w:rPr>
          <w:color w:val="auto"/>
          <w:highlight w:val="none"/>
          <w:lang w:val="zh-CN"/>
        </w:rPr>
        <w:sectPr>
          <w:pgSz w:w="11906" w:h="16838"/>
          <w:pgMar w:top="1440" w:right="1800" w:bottom="1440" w:left="1800" w:header="851" w:footer="992" w:gutter="0"/>
          <w:cols w:space="720" w:num="1"/>
          <w:docGrid w:type="lines" w:linePitch="312" w:charSpace="0"/>
        </w:sectPr>
      </w:pPr>
    </w:p>
    <w:p w14:paraId="590942EB">
      <w:pPr>
        <w:pStyle w:val="30"/>
        <w:ind w:firstLine="420"/>
        <w:rPr>
          <w:color w:val="auto"/>
          <w:highlight w:val="none"/>
        </w:rPr>
      </w:pPr>
      <w:r>
        <w:rPr>
          <w:rFonts w:hint="eastAsia"/>
          <w:color w:val="auto"/>
          <w:highlight w:val="none"/>
        </w:rPr>
        <w:t>（六）原厂授权</w:t>
      </w:r>
      <w:r>
        <w:rPr>
          <w:rFonts w:hint="eastAsia"/>
          <w:color w:val="auto"/>
          <w:highlight w:val="none"/>
          <w:lang w:val="en-US" w:eastAsia="zh-CN"/>
        </w:rPr>
        <w:t>函原件（如有）</w:t>
      </w:r>
    </w:p>
    <w:p w14:paraId="03E20140">
      <w:pPr>
        <w:rPr>
          <w:color w:val="auto"/>
          <w:highlight w:val="none"/>
        </w:rPr>
      </w:pPr>
    </w:p>
    <w:p w14:paraId="70BD5283">
      <w:pPr>
        <w:rPr>
          <w:color w:val="auto"/>
          <w:highlight w:val="none"/>
        </w:rPr>
      </w:pPr>
    </w:p>
    <w:p w14:paraId="18AADCF0">
      <w:pPr>
        <w:rPr>
          <w:color w:val="auto"/>
          <w:highlight w:val="none"/>
        </w:rPr>
      </w:pPr>
    </w:p>
    <w:p w14:paraId="3AE628F7">
      <w:pPr>
        <w:rPr>
          <w:color w:val="auto"/>
          <w:highlight w:val="none"/>
        </w:rPr>
        <w:sectPr>
          <w:pgSz w:w="11906" w:h="16838"/>
          <w:pgMar w:top="1440" w:right="1800" w:bottom="1440" w:left="1800" w:header="851" w:footer="992" w:gutter="0"/>
          <w:cols w:space="720" w:num="1"/>
          <w:docGrid w:type="lines" w:linePitch="312" w:charSpace="0"/>
        </w:sectPr>
      </w:pPr>
    </w:p>
    <w:p w14:paraId="10478926">
      <w:pPr>
        <w:pStyle w:val="30"/>
        <w:widowControl/>
        <w:autoSpaceDE/>
        <w:autoSpaceDN/>
        <w:ind w:firstLineChars="0"/>
        <w:jc w:val="center"/>
        <w:rPr>
          <w:rFonts w:hint="eastAsia"/>
          <w:color w:val="auto"/>
          <w:highlight w:val="none"/>
          <w:lang w:val="en-US"/>
        </w:rPr>
      </w:pPr>
      <w:r>
        <w:rPr>
          <w:rFonts w:hint="eastAsia"/>
          <w:color w:val="auto"/>
          <w:highlight w:val="none"/>
          <w:lang w:val="zh-CN"/>
        </w:rPr>
        <w:t>（</w:t>
      </w:r>
      <w:r>
        <w:rPr>
          <w:rFonts w:hint="eastAsia"/>
          <w:color w:val="auto"/>
          <w:highlight w:val="none"/>
        </w:rPr>
        <w:t>七</w:t>
      </w:r>
      <w:r>
        <w:rPr>
          <w:rFonts w:hint="eastAsia"/>
          <w:color w:val="auto"/>
          <w:highlight w:val="none"/>
          <w:lang w:val="zh-CN"/>
        </w:rPr>
        <w:t>）原厂</w:t>
      </w:r>
      <w:r>
        <w:rPr>
          <w:rFonts w:hint="eastAsia"/>
          <w:color w:val="auto"/>
          <w:highlight w:val="none"/>
        </w:rPr>
        <w:t>售后服务</w:t>
      </w:r>
      <w:r>
        <w:rPr>
          <w:rFonts w:hint="eastAsia"/>
          <w:color w:val="auto"/>
          <w:highlight w:val="none"/>
          <w:lang w:val="en-US" w:eastAsia="zh-CN"/>
        </w:rPr>
        <w:t>承诺函原件</w:t>
      </w:r>
    </w:p>
    <w:p w14:paraId="7485D687">
      <w:pPr>
        <w:pStyle w:val="11"/>
        <w:spacing w:line="360" w:lineRule="auto"/>
        <w:ind w:firstLine="420" w:firstLineChars="200"/>
        <w:jc w:val="left"/>
        <w:rPr>
          <w:rFonts w:hint="eastAsia" w:cs="Cambria"/>
          <w:color w:val="auto"/>
          <w:sz w:val="21"/>
          <w:szCs w:val="20"/>
          <w:highlight w:val="none"/>
          <w:lang w:eastAsia="zh-CN"/>
        </w:rPr>
      </w:pPr>
      <w:r>
        <w:rPr>
          <w:rFonts w:hint="eastAsia" w:cs="Cambria"/>
          <w:color w:val="auto"/>
          <w:sz w:val="21"/>
          <w:szCs w:val="20"/>
          <w:highlight w:val="none"/>
          <w:lang w:val="en-US" w:eastAsia="zh-CN"/>
        </w:rPr>
        <w:t>注：售后服务承诺函</w:t>
      </w:r>
      <w:r>
        <w:rPr>
          <w:rFonts w:hint="eastAsia" w:cs="Cambria"/>
          <w:color w:val="auto"/>
          <w:sz w:val="21"/>
          <w:szCs w:val="20"/>
          <w:highlight w:val="none"/>
        </w:rPr>
        <w:t>需明显标注原厂维保级别为7*24*4，即每周7天，每天24小时，4小时内达到现场，并加盖原厂鲜章。</w:t>
      </w:r>
    </w:p>
    <w:p w14:paraId="1B475029">
      <w:pPr>
        <w:rPr>
          <w:color w:val="auto"/>
          <w:highlight w:val="none"/>
          <w:lang w:val="zh-CN"/>
        </w:rPr>
      </w:pPr>
    </w:p>
    <w:p w14:paraId="11124339">
      <w:pPr>
        <w:rPr>
          <w:color w:val="auto"/>
          <w:highlight w:val="none"/>
          <w:lang w:val="zh-CN"/>
        </w:rPr>
      </w:pPr>
    </w:p>
    <w:p w14:paraId="4247D47B">
      <w:pPr>
        <w:rPr>
          <w:color w:val="auto"/>
          <w:highlight w:val="none"/>
          <w:lang w:val="zh-CN"/>
        </w:rPr>
      </w:pPr>
    </w:p>
    <w:p w14:paraId="1BCB8723">
      <w:pPr>
        <w:rPr>
          <w:color w:val="auto"/>
          <w:highlight w:val="none"/>
          <w:lang w:val="zh-CN"/>
        </w:rPr>
        <w:sectPr>
          <w:pgSz w:w="11906" w:h="16838"/>
          <w:pgMar w:top="1440" w:right="1800" w:bottom="1440" w:left="1800" w:header="851" w:footer="992" w:gutter="0"/>
          <w:cols w:space="720" w:num="1"/>
          <w:docGrid w:type="lines" w:linePitch="312" w:charSpace="0"/>
        </w:sectPr>
      </w:pPr>
    </w:p>
    <w:p w14:paraId="3EC9C1FD">
      <w:pPr>
        <w:pStyle w:val="30"/>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6E5FFF3B">
      <w:pPr>
        <w:rPr>
          <w:color w:val="auto"/>
          <w:highlight w:val="none"/>
          <w:lang w:val="zh-CN"/>
        </w:rPr>
      </w:pPr>
    </w:p>
    <w:p w14:paraId="0C9E896B">
      <w:pPr>
        <w:rPr>
          <w:color w:val="auto"/>
          <w:highlight w:val="none"/>
          <w:lang w:val="zh-CN"/>
        </w:rPr>
      </w:pPr>
    </w:p>
    <w:p w14:paraId="32FEF87B">
      <w:pPr>
        <w:rPr>
          <w:color w:val="auto"/>
          <w:highlight w:val="none"/>
          <w:lang w:val="zh-CN"/>
        </w:rPr>
        <w:sectPr>
          <w:pgSz w:w="11906" w:h="16838"/>
          <w:pgMar w:top="1440" w:right="1800" w:bottom="1440" w:left="1800" w:header="851" w:footer="992" w:gutter="0"/>
          <w:cols w:space="720" w:num="1"/>
          <w:docGrid w:type="lines" w:linePitch="312" w:charSpace="0"/>
        </w:sectPr>
      </w:pPr>
    </w:p>
    <w:p w14:paraId="5322B5E8">
      <w:pPr>
        <w:pStyle w:val="28"/>
        <w:rPr>
          <w:color w:val="auto"/>
          <w:highlight w:val="none"/>
        </w:rPr>
      </w:pPr>
      <w:r>
        <w:rPr>
          <w:rFonts w:hint="eastAsia"/>
          <w:color w:val="auto"/>
          <w:highlight w:val="none"/>
          <w:lang w:val="en-US" w:eastAsia="zh-CN"/>
        </w:rPr>
        <w:t>四</w:t>
      </w:r>
      <w:r>
        <w:rPr>
          <w:color w:val="auto"/>
          <w:highlight w:val="none"/>
        </w:rPr>
        <w:t>、响应性文件</w:t>
      </w:r>
    </w:p>
    <w:p w14:paraId="25E773F5">
      <w:pPr>
        <w:pStyle w:val="30"/>
        <w:rPr>
          <w:color w:val="auto"/>
          <w:highlight w:val="none"/>
        </w:rPr>
      </w:pPr>
      <w:r>
        <w:rPr>
          <w:rFonts w:hint="eastAsia"/>
          <w:color w:val="auto"/>
          <w:highlight w:val="none"/>
        </w:rPr>
        <w:t>（一）响应承诺函</w:t>
      </w:r>
    </w:p>
    <w:p w14:paraId="1475696E">
      <w:pPr>
        <w:rPr>
          <w:color w:val="auto"/>
          <w:highlight w:val="none"/>
        </w:rPr>
      </w:pPr>
      <w:r>
        <w:rPr>
          <w:rFonts w:hint="eastAsia"/>
          <w:color w:val="auto"/>
          <w:highlight w:val="none"/>
        </w:rPr>
        <w:t>根据第三章“项目要求”内容，做出整体承诺，格式自理。</w:t>
      </w:r>
    </w:p>
    <w:p w14:paraId="7CE80E6D">
      <w:pPr>
        <w:rPr>
          <w:color w:val="auto"/>
          <w:highlight w:val="none"/>
        </w:rPr>
      </w:pPr>
    </w:p>
    <w:p w14:paraId="7FF936C3">
      <w:pPr>
        <w:rPr>
          <w:color w:val="auto"/>
          <w:highlight w:val="none"/>
        </w:rPr>
      </w:pPr>
    </w:p>
    <w:p w14:paraId="01D3E039">
      <w:pPr>
        <w:rPr>
          <w:color w:val="auto"/>
          <w:highlight w:val="none"/>
        </w:rPr>
      </w:pPr>
    </w:p>
    <w:p w14:paraId="66087553">
      <w:pPr>
        <w:rPr>
          <w:color w:val="auto"/>
          <w:highlight w:val="none"/>
        </w:rPr>
        <w:sectPr>
          <w:pgSz w:w="11906" w:h="16838"/>
          <w:pgMar w:top="1440" w:right="1800" w:bottom="1440" w:left="1800" w:header="851" w:footer="992" w:gutter="0"/>
          <w:cols w:space="720" w:num="1"/>
          <w:docGrid w:type="lines" w:linePitch="312" w:charSpace="0"/>
        </w:sectPr>
      </w:pPr>
    </w:p>
    <w:p w14:paraId="2FF4A0FD">
      <w:pPr>
        <w:widowControl/>
        <w:numPr>
          <w:ilvl w:val="0"/>
          <w:numId w:val="6"/>
        </w:numPr>
        <w:autoSpaceDE/>
        <w:autoSpaceDN/>
        <w:spacing w:line="240" w:lineRule="auto"/>
        <w:ind w:firstLine="420" w:firstLineChars="0"/>
        <w:jc w:val="center"/>
        <w:outlineLvl w:val="2"/>
        <w:rPr>
          <w:rFonts w:hint="eastAsia"/>
          <w:color w:val="auto"/>
          <w:highlight w:val="none"/>
          <w:lang w:val="en-US" w:eastAsia="zh-CN"/>
        </w:rPr>
      </w:pPr>
      <w:r>
        <w:rPr>
          <w:rFonts w:hint="eastAsia"/>
          <w:color w:val="auto"/>
          <w:highlight w:val="none"/>
          <w:lang w:val="en-US" w:eastAsia="zh-CN"/>
        </w:rPr>
        <w:t>续保保费承诺函</w:t>
      </w:r>
    </w:p>
    <w:p w14:paraId="0E3C5B7B">
      <w:pPr>
        <w:widowControl/>
        <w:numPr>
          <w:ilvl w:val="-1"/>
          <w:numId w:val="0"/>
        </w:numPr>
        <w:autoSpaceDE/>
        <w:autoSpaceDN/>
        <w:spacing w:line="240" w:lineRule="auto"/>
        <w:ind w:firstLine="0" w:firstLineChars="0"/>
        <w:jc w:val="both"/>
        <w:rPr>
          <w:rFonts w:hint="default"/>
          <w:color w:val="auto"/>
          <w:highlight w:val="none"/>
          <w:lang w:val="en-US" w:eastAsia="zh-CN"/>
        </w:rPr>
      </w:pPr>
      <w:r>
        <w:rPr>
          <w:rFonts w:hint="eastAsia"/>
          <w:color w:val="auto"/>
          <w:highlight w:val="none"/>
          <w:lang w:val="en-US" w:eastAsia="zh-CN"/>
        </w:rPr>
        <w:t>注：根据第三章2.2.1要求提供承诺函，格式自拟</w:t>
      </w:r>
    </w:p>
    <w:p w14:paraId="36E279DF">
      <w:pPr>
        <w:widowControl/>
        <w:autoSpaceDE/>
        <w:autoSpaceDN/>
        <w:spacing w:line="240" w:lineRule="auto"/>
        <w:ind w:firstLine="420" w:firstLineChars="0"/>
        <w:jc w:val="center"/>
        <w:rPr>
          <w:rFonts w:hint="eastAsia" w:eastAsia="宋体"/>
          <w:color w:val="auto"/>
          <w:highlight w:val="none"/>
          <w:lang w:eastAsia="zh-CN"/>
        </w:rPr>
        <w:sectPr>
          <w:pgSz w:w="11906" w:h="16838"/>
          <w:pgMar w:top="1440" w:right="1800" w:bottom="1440" w:left="1800" w:header="851" w:footer="992" w:gutter="0"/>
          <w:cols w:space="425" w:num="1"/>
          <w:docGrid w:type="lines" w:linePitch="312" w:charSpace="0"/>
        </w:sectPr>
      </w:pPr>
    </w:p>
    <w:p w14:paraId="7E964D60">
      <w:pPr>
        <w:widowControl/>
        <w:numPr>
          <w:ilvl w:val="0"/>
          <w:numId w:val="6"/>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服务连续性预案</w:t>
      </w:r>
    </w:p>
    <w:p w14:paraId="333499DF">
      <w:pPr>
        <w:widowControl/>
        <w:numPr>
          <w:ilvl w:val="-1"/>
          <w:numId w:val="0"/>
        </w:numPr>
        <w:autoSpaceDE/>
        <w:autoSpaceDN/>
        <w:spacing w:line="240" w:lineRule="auto"/>
        <w:ind w:firstLine="0" w:firstLineChars="0"/>
        <w:jc w:val="center"/>
        <w:rPr>
          <w:rFonts w:hint="eastAsia"/>
          <w:color w:val="auto"/>
          <w:highlight w:val="none"/>
        </w:rPr>
      </w:pPr>
      <w:r>
        <w:rPr>
          <w:rFonts w:hint="eastAsia"/>
          <w:color w:val="auto"/>
          <w:highlight w:val="none"/>
          <w:lang w:eastAsia="zh-CN"/>
        </w:rPr>
        <w:t>（</w:t>
      </w:r>
      <w:r>
        <w:rPr>
          <w:rFonts w:hint="eastAsia"/>
          <w:color w:val="auto"/>
          <w:highlight w:val="none"/>
        </w:rPr>
        <w:t>服务连续性预案应考虑供应链风险产生的影响</w:t>
      </w:r>
      <w:r>
        <w:rPr>
          <w:rFonts w:hint="eastAsia"/>
          <w:color w:val="auto"/>
          <w:highlight w:val="none"/>
          <w:lang w:eastAsia="zh-CN"/>
        </w:rPr>
        <w:t>）</w:t>
      </w:r>
    </w:p>
    <w:p w14:paraId="507FA6AA">
      <w:pPr>
        <w:pStyle w:val="30"/>
        <w:rPr>
          <w:rFonts w:hint="eastAsia" w:eastAsia="宋体"/>
          <w:color w:val="auto"/>
          <w:highlight w:val="none"/>
          <w:lang w:eastAsia="zh-CN"/>
        </w:rPr>
        <w:sectPr>
          <w:pgSz w:w="11906" w:h="16838"/>
          <w:pgMar w:top="1440" w:right="1800" w:bottom="1440" w:left="1800" w:header="851" w:footer="992" w:gutter="0"/>
          <w:cols w:space="425" w:num="1"/>
          <w:docGrid w:type="lines" w:linePitch="312" w:charSpace="0"/>
        </w:sectPr>
      </w:pPr>
    </w:p>
    <w:p w14:paraId="5642EA9E">
      <w:pPr>
        <w:widowControl/>
        <w:numPr>
          <w:ilvl w:val="0"/>
          <w:numId w:val="6"/>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项目实施方案</w:t>
      </w:r>
    </w:p>
    <w:p w14:paraId="48BA9814">
      <w:pPr>
        <w:widowControl/>
        <w:numPr>
          <w:ilvl w:val="0"/>
          <w:numId w:val="0"/>
        </w:numPr>
        <w:autoSpaceDE/>
        <w:autoSpaceDN/>
        <w:spacing w:line="240" w:lineRule="auto"/>
        <w:jc w:val="center"/>
        <w:rPr>
          <w:rFonts w:hint="eastAsia"/>
          <w:color w:val="auto"/>
          <w:highlight w:val="none"/>
        </w:rPr>
        <w:sectPr>
          <w:pgSz w:w="11906" w:h="16838"/>
          <w:pgMar w:top="1440" w:right="1800" w:bottom="1440" w:left="1800" w:header="851" w:footer="992" w:gutter="0"/>
          <w:cols w:space="425" w:num="1"/>
          <w:docGrid w:type="lines" w:linePitch="312" w:charSpace="0"/>
        </w:sectPr>
      </w:pPr>
      <w:r>
        <w:rPr>
          <w:rFonts w:hint="eastAsia"/>
          <w:color w:val="auto"/>
          <w:highlight w:val="none"/>
          <w:lang w:eastAsia="zh-CN"/>
        </w:rPr>
        <w:t>（</w:t>
      </w:r>
      <w:r>
        <w:rPr>
          <w:rFonts w:hint="eastAsia"/>
          <w:color w:val="auto"/>
          <w:highlight w:val="none"/>
        </w:rPr>
        <w:t>方案应包括包括履行合同的时间计划、提交资料、人员安排等内容</w:t>
      </w:r>
      <w:r>
        <w:rPr>
          <w:rFonts w:hint="eastAsia"/>
          <w:color w:val="auto"/>
          <w:highlight w:val="none"/>
          <w:lang w:eastAsia="zh-CN"/>
        </w:rPr>
        <w:t>）</w:t>
      </w:r>
    </w:p>
    <w:p w14:paraId="3BCA9BF1">
      <w:pPr>
        <w:widowControl/>
        <w:numPr>
          <w:ilvl w:val="0"/>
          <w:numId w:val="6"/>
        </w:numPr>
        <w:autoSpaceDE/>
        <w:autoSpaceDN/>
        <w:spacing w:line="240" w:lineRule="auto"/>
        <w:ind w:left="0" w:leftChars="0" w:firstLine="420" w:firstLineChars="0"/>
        <w:jc w:val="center"/>
        <w:outlineLvl w:val="2"/>
        <w:rPr>
          <w:rFonts w:hint="eastAsia"/>
          <w:color w:val="auto"/>
          <w:highlight w:val="none"/>
          <w:lang w:val="en-US" w:eastAsia="zh-CN"/>
        </w:rPr>
      </w:pPr>
      <w:r>
        <w:rPr>
          <w:rFonts w:hint="eastAsia"/>
          <w:color w:val="auto"/>
          <w:highlight w:val="none"/>
          <w:lang w:val="en-US" w:eastAsia="zh-CN"/>
        </w:rPr>
        <w:t>售后服务和培训方案</w:t>
      </w:r>
    </w:p>
    <w:p w14:paraId="47B49950">
      <w:pPr>
        <w:widowControl/>
        <w:numPr>
          <w:ilvl w:val="0"/>
          <w:numId w:val="0"/>
        </w:numPr>
        <w:autoSpaceDE/>
        <w:autoSpaceDN/>
        <w:spacing w:line="240" w:lineRule="auto"/>
        <w:ind w:left="420" w:leftChars="0"/>
        <w:jc w:val="both"/>
        <w:outlineLvl w:val="2"/>
        <w:rPr>
          <w:rFonts w:hint="default"/>
          <w:color w:val="auto"/>
          <w:highlight w:val="none"/>
          <w:lang w:val="en-US" w:eastAsia="zh-CN"/>
        </w:rPr>
      </w:pPr>
      <w:r>
        <w:rPr>
          <w:rFonts w:hint="eastAsia"/>
          <w:color w:val="auto"/>
          <w:highlight w:val="none"/>
          <w:lang w:val="en-US" w:eastAsia="zh-CN"/>
        </w:rPr>
        <w:t>注：根据第三章要求提供，格式自拟。</w:t>
      </w:r>
    </w:p>
    <w:p w14:paraId="4F2AA99B">
      <w:pPr>
        <w:pStyle w:val="30"/>
        <w:rPr>
          <w:rFonts w:hint="eastAsia"/>
          <w:color w:val="auto"/>
          <w:highlight w:val="none"/>
        </w:rPr>
        <w:sectPr>
          <w:pgSz w:w="11906" w:h="16838"/>
          <w:pgMar w:top="1440" w:right="1800" w:bottom="1440" w:left="1800" w:header="851" w:footer="992" w:gutter="0"/>
          <w:cols w:space="425" w:num="1"/>
          <w:docGrid w:type="lines" w:linePitch="312" w:charSpace="0"/>
        </w:sectPr>
      </w:pPr>
    </w:p>
    <w:p w14:paraId="47766CA6">
      <w:pPr>
        <w:pStyle w:val="3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）其他（如有）</w:t>
      </w:r>
    </w:p>
    <w:p w14:paraId="727A9CAF">
      <w:pPr>
        <w:pStyle w:val="41"/>
        <w:rPr>
          <w:color w:val="auto"/>
          <w:highlight w:val="none"/>
        </w:rPr>
      </w:pPr>
      <w:r>
        <w:rPr>
          <w:color w:val="auto"/>
          <w:highlight w:val="none"/>
        </w:rPr>
        <w:t>（如第三章中要求提供的文件、方案等材料）</w:t>
      </w:r>
    </w:p>
    <w:p w14:paraId="3B9E8CD8">
      <w:pPr>
        <w:rPr>
          <w:color w:val="auto"/>
          <w:highlight w:val="none"/>
        </w:rPr>
      </w:pPr>
    </w:p>
    <w:p w14:paraId="7D3C1695">
      <w:pPr>
        <w:rPr>
          <w:color w:val="auto"/>
          <w:highlight w:val="none"/>
        </w:rPr>
      </w:pPr>
    </w:p>
    <w:p w14:paraId="7BB55C79">
      <w:pPr>
        <w:rPr>
          <w:color w:val="auto"/>
          <w:highlight w:val="none"/>
        </w:rPr>
        <w:sectPr>
          <w:pgSz w:w="11906" w:h="16838"/>
          <w:pgMar w:top="1440" w:right="1800" w:bottom="1440" w:left="1800" w:header="851" w:footer="992" w:gutter="0"/>
          <w:cols w:space="425" w:num="1"/>
          <w:docGrid w:type="lines" w:linePitch="312" w:charSpace="0"/>
        </w:sectPr>
      </w:pPr>
    </w:p>
    <w:p w14:paraId="7460053F">
      <w:pPr>
        <w:ind w:firstLine="630" w:firstLineChars="300"/>
        <w:jc w:val="center"/>
        <w:rPr>
          <w:rStyle w:val="23"/>
          <w:b/>
          <w:color w:val="auto"/>
          <w:highlight w:val="none"/>
        </w:rPr>
      </w:pPr>
      <w:r>
        <w:rPr>
          <w:rFonts w:hint="eastAsia"/>
          <w:color w:val="auto"/>
          <w:highlight w:val="none"/>
          <w:lang w:val="en-US" w:eastAsia="zh-CN"/>
        </w:rPr>
        <w:t>五、其他（如有）</w:t>
      </w:r>
    </w:p>
    <w:p w14:paraId="2F6F5326">
      <w:pPr>
        <w:rPr>
          <w:rStyle w:val="23"/>
          <w:b/>
          <w:color w:val="auto"/>
          <w:highlight w:val="none"/>
        </w:rPr>
      </w:pPr>
    </w:p>
    <w:p w14:paraId="4D3F761D">
      <w:pPr>
        <w:rPr>
          <w:rStyle w:val="23"/>
          <w:b/>
          <w:color w:val="auto"/>
          <w:highlight w:val="none"/>
        </w:rPr>
      </w:pPr>
    </w:p>
    <w:p w14:paraId="5421CC13">
      <w:pPr>
        <w:widowControl/>
        <w:autoSpaceDE/>
        <w:autoSpaceDN/>
        <w:spacing w:line="240" w:lineRule="auto"/>
        <w:ind w:firstLine="0" w:firstLineChars="0"/>
        <w:jc w:val="left"/>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3507">
    <w:pPr>
      <w:tabs>
        <w:tab w:val="center" w:pos="4153"/>
        <w:tab w:val="right" w:pos="8306"/>
      </w:tabs>
      <w:jc w:val="center"/>
    </w:pPr>
    <w:r>
      <w:fldChar w:fldCharType="begin"/>
    </w:r>
    <w:r>
      <w:instrText xml:space="preserve">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3CED419"/>
    <w:multiLevelType w:val="multilevel"/>
    <w:tmpl w:val="33CED41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498375E2"/>
    <w:multiLevelType w:val="multilevel"/>
    <w:tmpl w:val="498375E2"/>
    <w:lvl w:ilvl="0" w:tentative="0">
      <w:start w:val="1"/>
      <w:numFmt w:val="decimal"/>
      <w:lvlText w:val="%1、"/>
      <w:lvlJc w:val="left"/>
      <w:pPr>
        <w:ind w:left="360" w:hanging="360"/>
      </w:pPr>
      <w:rPr>
        <w:rFonts w:hint="default"/>
      </w:rPr>
    </w:lvl>
    <w:lvl w:ilvl="1" w:tentative="0">
      <w:start w:val="1"/>
      <w:numFmt w:val="decimalEnclosedCircle"/>
      <w:lvlText w:val="%2"/>
      <w:lvlJc w:val="left"/>
      <w:pPr>
        <w:ind w:left="409"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4">
    <w:nsid w:val="74245D53"/>
    <w:multiLevelType w:val="multilevel"/>
    <w:tmpl w:val="74245D53"/>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7A0A9ABF"/>
    <w:multiLevelType w:val="singleLevel"/>
    <w:tmpl w:val="7A0A9ABF"/>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1C048E"/>
    <w:rsid w:val="007A5C76"/>
    <w:rsid w:val="015B6D94"/>
    <w:rsid w:val="03684497"/>
    <w:rsid w:val="05BE78F1"/>
    <w:rsid w:val="06FC3783"/>
    <w:rsid w:val="0A5C592B"/>
    <w:rsid w:val="0ACC76D8"/>
    <w:rsid w:val="0F501F02"/>
    <w:rsid w:val="10F45FA7"/>
    <w:rsid w:val="113969C6"/>
    <w:rsid w:val="11691059"/>
    <w:rsid w:val="1288550F"/>
    <w:rsid w:val="13433B2C"/>
    <w:rsid w:val="15D867AD"/>
    <w:rsid w:val="15FB249C"/>
    <w:rsid w:val="1A9A04D5"/>
    <w:rsid w:val="1AB07CF9"/>
    <w:rsid w:val="1EFA1543"/>
    <w:rsid w:val="20947775"/>
    <w:rsid w:val="24C85C3F"/>
    <w:rsid w:val="27283CDD"/>
    <w:rsid w:val="27893417"/>
    <w:rsid w:val="29910CF5"/>
    <w:rsid w:val="2A8049CB"/>
    <w:rsid w:val="2B2251B9"/>
    <w:rsid w:val="2C7768C8"/>
    <w:rsid w:val="2E5C5D76"/>
    <w:rsid w:val="2EDF0755"/>
    <w:rsid w:val="2F900BD5"/>
    <w:rsid w:val="31B163D9"/>
    <w:rsid w:val="37A442EA"/>
    <w:rsid w:val="37B54749"/>
    <w:rsid w:val="39D6090D"/>
    <w:rsid w:val="3A085004"/>
    <w:rsid w:val="3E7013C9"/>
    <w:rsid w:val="3E846873"/>
    <w:rsid w:val="425F778B"/>
    <w:rsid w:val="48C7608A"/>
    <w:rsid w:val="49075815"/>
    <w:rsid w:val="497D499A"/>
    <w:rsid w:val="49A25E7B"/>
    <w:rsid w:val="49CA1EF2"/>
    <w:rsid w:val="4B296B88"/>
    <w:rsid w:val="4B2E05F8"/>
    <w:rsid w:val="4F202E8B"/>
    <w:rsid w:val="50904D01"/>
    <w:rsid w:val="532F0147"/>
    <w:rsid w:val="53EC4BF7"/>
    <w:rsid w:val="56222B52"/>
    <w:rsid w:val="58542568"/>
    <w:rsid w:val="58BF20C7"/>
    <w:rsid w:val="5A421A14"/>
    <w:rsid w:val="5F0C439F"/>
    <w:rsid w:val="6062071A"/>
    <w:rsid w:val="61CE03C0"/>
    <w:rsid w:val="62A768B8"/>
    <w:rsid w:val="63BE745F"/>
    <w:rsid w:val="6BEB1F0C"/>
    <w:rsid w:val="6D6942FE"/>
    <w:rsid w:val="6E981BFF"/>
    <w:rsid w:val="6FDD2BCD"/>
    <w:rsid w:val="6FF62C2D"/>
    <w:rsid w:val="71FD4747"/>
    <w:rsid w:val="731C29AB"/>
    <w:rsid w:val="7375150F"/>
    <w:rsid w:val="7C6D0971"/>
    <w:rsid w:val="7CEC1640"/>
    <w:rsid w:val="7E6B6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next w:val="10"/>
    <w:qFormat/>
    <w:uiPriority w:val="0"/>
    <w:pPr>
      <w:widowControl w:val="0"/>
      <w:autoSpaceDE w:val="0"/>
      <w:autoSpaceDN w:val="0"/>
      <w:adjustRightInd w:val="0"/>
      <w:spacing w:line="600" w:lineRule="exact"/>
      <w:ind w:left="735" w:firstLine="200" w:firstLineChars="200"/>
      <w:jc w:val="both"/>
      <w:textAlignment w:val="baseline"/>
    </w:pPr>
    <w:rPr>
      <w:rFonts w:ascii="楷体_GB2312" w:hAnsi="Cambria Math" w:eastAsia="楷体_GB2312" w:cs="Times New Roman"/>
      <w:kern w:val="0"/>
      <w:sz w:val="21"/>
      <w:szCs w:val="20"/>
      <w:lang w:val="en-US" w:eastAsia="zh-CN" w:bidi="ar-SA"/>
    </w:rPr>
  </w:style>
  <w:style w:type="paragraph" w:styleId="17">
    <w:name w:val="index 7"/>
    <w:basedOn w:val="1"/>
    <w:next w:val="1"/>
    <w:autoRedefine/>
    <w:qFormat/>
    <w:uiPriority w:val="0"/>
    <w:pPr>
      <w:ind w:left="2520"/>
    </w:pPr>
  </w:style>
  <w:style w:type="paragraph" w:styleId="18">
    <w:name w:val="index 9"/>
    <w:basedOn w:val="1"/>
    <w:next w:val="1"/>
    <w:autoRedefine/>
    <w:qFormat/>
    <w:uiPriority w:val="0"/>
    <w:pPr>
      <w:ind w:left="3360"/>
    </w:pPr>
  </w:style>
  <w:style w:type="paragraph" w:styleId="19">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2">
    <w:name w:val="annotation reference"/>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0"/>
    <w:rPr>
      <w:rFonts w:ascii="Times New Roman" w:hAnsi="Times New Roman" w:eastAsia="宋体" w:cs="Times New Roman"/>
      <w:b/>
      <w:bCs/>
      <w:snapToGrid w:val="0"/>
      <w:szCs w:val="24"/>
    </w:rPr>
  </w:style>
  <w:style w:type="character" w:customStyle="1" w:styleId="26">
    <w:name w:val="标题 3 Char"/>
    <w:basedOn w:val="21"/>
    <w:autoRedefine/>
    <w:qFormat/>
    <w:uiPriority w:val="0"/>
    <w:rPr>
      <w:b/>
      <w:bCs/>
      <w:szCs w:val="32"/>
    </w:rPr>
  </w:style>
  <w:style w:type="character" w:customStyle="1" w:styleId="27">
    <w:name w:val="标题 5 Char"/>
    <w:autoRedefine/>
    <w:qFormat/>
    <w:uiPriority w:val="0"/>
    <w:rPr>
      <w:rFonts w:ascii="Times New Roman" w:hAnsi="Times New Roman" w:eastAsia="宋体"/>
      <w:b/>
      <w:sz w:val="28"/>
    </w:rPr>
  </w:style>
  <w:style w:type="paragraph" w:customStyle="1" w:styleId="28">
    <w:name w:val="参选文件格式1"/>
    <w:basedOn w:val="1"/>
    <w:next w:val="1"/>
    <w:link w:val="29"/>
    <w:autoRedefine/>
    <w:qFormat/>
    <w:uiPriority w:val="0"/>
    <w:pPr>
      <w:ind w:firstLine="0" w:firstLineChars="0"/>
      <w:jc w:val="center"/>
      <w:outlineLvl w:val="1"/>
    </w:pPr>
    <w:rPr>
      <w:b/>
      <w:sz w:val="28"/>
    </w:rPr>
  </w:style>
  <w:style w:type="character" w:customStyle="1" w:styleId="29">
    <w:name w:val="参选文件格式1 Char"/>
    <w:basedOn w:val="21"/>
    <w:link w:val="28"/>
    <w:autoRedefine/>
    <w:qFormat/>
    <w:uiPriority w:val="0"/>
    <w:rPr>
      <w:rFonts w:ascii="Times New Roman" w:hAnsi="Times New Roman" w:eastAsia="宋体" w:cs="Cambria Math"/>
      <w:b/>
      <w:kern w:val="2"/>
      <w:sz w:val="28"/>
      <w:szCs w:val="20"/>
      <w:lang w:val="en-US" w:eastAsia="zh-CN" w:bidi="ar-SA"/>
    </w:rPr>
  </w:style>
  <w:style w:type="paragraph" w:customStyle="1" w:styleId="30">
    <w:name w:val="参选文件格式2"/>
    <w:basedOn w:val="1"/>
    <w:next w:val="1"/>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2">
    <w:name w:val="参选文件格式3 Char"/>
    <w:basedOn w:val="21"/>
    <w:link w:val="31"/>
    <w:autoRedefine/>
    <w:qFormat/>
    <w:uiPriority w:val="0"/>
    <w:rPr>
      <w:rFonts w:ascii="宋体" w:hAnsi="宋体" w:eastAsia="宋体" w:cs="Cambria Math"/>
      <w:b/>
      <w:snapToGrid w:val="0"/>
      <w:kern w:val="0"/>
      <w:sz w:val="21"/>
      <w:szCs w:val="20"/>
      <w:lang w:val="en-US" w:eastAsia="zh-CN" w:bidi="ar-SA"/>
    </w:rPr>
  </w:style>
  <w:style w:type="character" w:customStyle="1" w:styleId="33">
    <w:name w:val="标题 4 字符"/>
    <w:autoRedefine/>
    <w:qFormat/>
    <w:uiPriority w:val="0"/>
    <w:rPr>
      <w:rFonts w:cs="Times New Roman"/>
      <w:bCs/>
      <w:szCs w:val="28"/>
    </w:rPr>
  </w:style>
  <w:style w:type="paragraph" w:customStyle="1" w:styleId="34">
    <w:name w:val="表格"/>
    <w:basedOn w:val="1"/>
    <w:qFormat/>
    <w:uiPriority w:val="0"/>
    <w:pPr>
      <w:spacing w:line="240" w:lineRule="auto"/>
      <w:ind w:firstLine="0" w:firstLineChars="0"/>
    </w:pPr>
    <w:rPr>
      <w:bCs/>
      <w:szCs w:val="18"/>
    </w:rPr>
  </w:style>
  <w:style w:type="paragraph" w:customStyle="1" w:styleId="35">
    <w:name w:val="表格（标题）"/>
    <w:basedOn w:val="1"/>
    <w:qFormat/>
    <w:uiPriority w:val="0"/>
    <w:pPr>
      <w:spacing w:line="240" w:lineRule="auto"/>
      <w:ind w:firstLine="0" w:firstLineChars="0"/>
      <w:jc w:val="center"/>
    </w:pPr>
    <w:rPr>
      <w:b/>
      <w:bCs/>
      <w:szCs w:val="18"/>
    </w:rPr>
  </w:style>
  <w:style w:type="paragraph" w:customStyle="1" w:styleId="36">
    <w:name w:val="标题2（无级别）"/>
    <w:basedOn w:val="1"/>
    <w:next w:val="1"/>
    <w:qFormat/>
    <w:uiPriority w:val="0"/>
    <w:pPr>
      <w:ind w:firstLine="0" w:firstLineChars="0"/>
    </w:pPr>
    <w:rPr>
      <w:rFonts w:cs="Times New Roman"/>
      <w:b/>
      <w:bCs/>
      <w:snapToGrid w:val="0"/>
      <w:szCs w:val="24"/>
    </w:rPr>
  </w:style>
  <w:style w:type="paragraph" w:customStyle="1" w:styleId="37">
    <w:name w:val="标题3（无级别）"/>
    <w:basedOn w:val="1"/>
    <w:next w:val="1"/>
    <w:qFormat/>
    <w:uiPriority w:val="0"/>
    <w:rPr>
      <w:b/>
      <w:bCs/>
      <w:szCs w:val="32"/>
    </w:rPr>
  </w:style>
  <w:style w:type="paragraph" w:customStyle="1" w:styleId="38">
    <w:name w:val="小五"/>
    <w:basedOn w:val="1"/>
    <w:next w:val="1"/>
    <w:qFormat/>
    <w:uiPriority w:val="0"/>
    <w:pPr>
      <w:spacing w:line="240" w:lineRule="auto"/>
      <w:ind w:firstLine="0" w:firstLineChars="0"/>
    </w:pPr>
    <w:rPr>
      <w:rFonts w:cs="Times New Roman"/>
      <w:sz w:val="18"/>
      <w:szCs w:val="18"/>
    </w:rPr>
  </w:style>
  <w:style w:type="paragraph" w:customStyle="1" w:styleId="39">
    <w:name w:val="封面标题"/>
    <w:basedOn w:val="1"/>
    <w:qFormat/>
    <w:uiPriority w:val="0"/>
    <w:pPr>
      <w:ind w:firstLine="0" w:firstLineChars="0"/>
      <w:jc w:val="center"/>
    </w:pPr>
    <w:rPr>
      <w:rFonts w:cs="Times New Roman"/>
      <w:b/>
      <w:snapToGrid w:val="0"/>
      <w:kern w:val="0"/>
      <w:sz w:val="48"/>
      <w:szCs w:val="84"/>
    </w:rPr>
  </w:style>
  <w:style w:type="paragraph" w:customStyle="1" w:styleId="40">
    <w:name w:val="封面文件名"/>
    <w:basedOn w:val="1"/>
    <w:qFormat/>
    <w:uiPriority w:val="0"/>
    <w:pPr>
      <w:ind w:firstLine="0" w:firstLineChars="0"/>
      <w:jc w:val="center"/>
    </w:pPr>
    <w:rPr>
      <w:rFonts w:cs="Times New Roman"/>
      <w:b/>
      <w:snapToGrid w:val="0"/>
      <w:kern w:val="0"/>
      <w:sz w:val="96"/>
      <w:szCs w:val="96"/>
    </w:rPr>
  </w:style>
  <w:style w:type="paragraph" w:customStyle="1" w:styleId="41">
    <w:name w:val="正文居中"/>
    <w:basedOn w:val="1"/>
    <w:qFormat/>
    <w:uiPriority w:val="0"/>
    <w:pPr>
      <w:ind w:firstLine="0" w:firstLineChars="0"/>
      <w:jc w:val="center"/>
    </w:pPr>
  </w:style>
  <w:style w:type="paragraph" w:styleId="42">
    <w:name w:val="List Paragraph"/>
    <w:basedOn w:val="1"/>
    <w:qFormat/>
    <w:uiPriority w:val="0"/>
  </w:style>
  <w:style w:type="character" w:customStyle="1" w:styleId="43">
    <w:name w:val="font21"/>
    <w:autoRedefine/>
    <w:qFormat/>
    <w:uiPriority w:val="0"/>
    <w:rPr>
      <w:rFonts w:ascii="宋体" w:eastAsia="宋体" w:cs="宋体"/>
      <w:color w:val="000000"/>
      <w:sz w:val="21"/>
      <w:szCs w:val="21"/>
      <w:u w:val="none"/>
      <w:lang w:bidi="ar-SA"/>
    </w:rPr>
  </w:style>
  <w:style w:type="paragraph" w:customStyle="1" w:styleId="44">
    <w:name w:val="列表段落1"/>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65EB3EE5-9827-4952-A119-C968BF272DE7}">
  <ds:schemaRefs/>
</ds:datastoreItem>
</file>

<file path=docProps/app.xml><?xml version="1.0" encoding="utf-8"?>
<Properties xmlns="http://schemas.openxmlformats.org/officeDocument/2006/extended-properties" xmlns:vt="http://schemas.openxmlformats.org/officeDocument/2006/docPropsVTypes">
  <Template>Normal.eit</Template>
  <Pages>55</Pages>
  <Words>17986</Words>
  <Characters>19680</Characters>
  <Lines>0</Lines>
  <Paragraphs>932</Paragraphs>
  <TotalTime>0</TotalTime>
  <ScaleCrop>false</ScaleCrop>
  <LinksUpToDate>false</LinksUpToDate>
  <CharactersWithSpaces>20755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2025-07-15T06:17:59Z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292294F90160415FA0C6BD32619ACEC5_13</vt:lpwstr>
  </property>
  <property fmtid="{D5CDD505-2E9C-101B-9397-08002B2CF9AE}" pid="4" name="KSOTemplateDocerSaveRecord">
    <vt:lpwstr>eyJoZGlkIjoiYTQ5ZmY1ODA0NTUyNTIzOGU4NGRmM2JhYjg3Y2Q0YjMiLCJ1c2VySWQiOiIxNTcyMDkyNjg5In0=</vt:lpwstr>
  </property>
</Properties>
</file>