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1044"/>
    <w:p w14:paraId="65A44879"/>
    <w:p w14:paraId="4EB491E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重庆三峡银行流量监测平台</w:t>
      </w:r>
    </w:p>
    <w:p w14:paraId="5F1C7ABD"/>
    <w:p w14:paraId="32A86BCF"/>
    <w:p w14:paraId="19EAEEE1"/>
    <w:p w14:paraId="5FB49DBA"/>
    <w:p w14:paraId="17CD96B7"/>
    <w:p w14:paraId="20B8B518"/>
    <w:p w14:paraId="61F9F696"/>
    <w:p w14:paraId="521FB6AA">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2F8EEC97"/>
    <w:p w14:paraId="5EA098F8"/>
    <w:p w14:paraId="2244BD80"/>
    <w:p w14:paraId="6E73D80E"/>
    <w:p w14:paraId="7D17D3CC"/>
    <w:p w14:paraId="3442B9E2"/>
    <w:p w14:paraId="5FE26CE1"/>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EF1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F6CCB1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435A6367">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1AE9C41F">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E22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502A79F">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4F66241">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7</w:t>
            </w:r>
            <w:r>
              <w:rPr>
                <w:rFonts w:cs="Times New Roman"/>
                <w:b/>
                <w:snapToGrid w:val="0"/>
                <w:kern w:val="0"/>
                <w:sz w:val="30"/>
                <w:szCs w:val="30"/>
              </w:rPr>
              <w:t>月</w:t>
            </w:r>
          </w:p>
        </w:tc>
        <w:tc>
          <w:tcPr>
            <w:tcW w:w="2020" w:type="dxa"/>
            <w:vMerge w:val="continue"/>
            <w:tcBorders>
              <w:tl2br w:val="nil"/>
              <w:tr2bl w:val="nil"/>
            </w:tcBorders>
            <w:vAlign w:val="center"/>
          </w:tcPr>
          <w:p w14:paraId="1484999C"/>
        </w:tc>
      </w:tr>
    </w:tbl>
    <w:p w14:paraId="4CFAD374"/>
    <w:p w14:paraId="06F4140C">
      <w:pPr>
        <w:sectPr>
          <w:pgSz w:w="11906" w:h="16838"/>
          <w:pgMar w:top="1440" w:right="1800" w:bottom="1440" w:left="1800" w:header="851" w:footer="992" w:gutter="0"/>
          <w:pgNumType w:start="1"/>
          <w:cols w:space="720" w:num="1"/>
          <w:docGrid w:type="lines" w:linePitch="312" w:charSpace="0"/>
        </w:sectPr>
      </w:pPr>
    </w:p>
    <w:p w14:paraId="27217347">
      <w:pPr>
        <w:pStyle w:val="48"/>
      </w:pPr>
      <w:r>
        <w:t>目录</w:t>
      </w:r>
    </w:p>
    <w:p w14:paraId="22167FDC">
      <w:pPr>
        <w:pStyle w:val="17"/>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_Toc28956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_Toc28956 \h </w:instrText>
      </w:r>
      <w:r>
        <w:fldChar w:fldCharType="separate"/>
      </w:r>
      <w:r>
        <w:t>1</w:t>
      </w:r>
      <w:r>
        <w:fldChar w:fldCharType="end"/>
      </w:r>
      <w:r>
        <w:rPr>
          <w:rFonts w:ascii="宋体" w:hAnsi="宋体"/>
          <w:snapToGrid w:val="0"/>
          <w:kern w:val="0"/>
          <w:szCs w:val="24"/>
          <w:highlight w:val="yellow"/>
        </w:rPr>
        <w:fldChar w:fldCharType="end"/>
      </w:r>
    </w:p>
    <w:p w14:paraId="6D8C5575">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_Toc16423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_Toc16423 \h </w:instrText>
      </w:r>
      <w:r>
        <w:fldChar w:fldCharType="separate"/>
      </w:r>
      <w:r>
        <w:t>5</w:t>
      </w:r>
      <w:r>
        <w:fldChar w:fldCharType="end"/>
      </w:r>
      <w:r>
        <w:rPr>
          <w:rFonts w:ascii="宋体" w:hAnsi="宋体"/>
          <w:snapToGrid w:val="0"/>
          <w:kern w:val="0"/>
          <w:szCs w:val="24"/>
          <w:highlight w:val="yellow"/>
        </w:rPr>
        <w:fldChar w:fldCharType="end"/>
      </w:r>
    </w:p>
    <w:p w14:paraId="1BF06294">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_Toc1052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_Toc1052 \h </w:instrText>
      </w:r>
      <w:r>
        <w:fldChar w:fldCharType="separate"/>
      </w:r>
      <w:r>
        <w:t>12</w:t>
      </w:r>
      <w:r>
        <w:fldChar w:fldCharType="end"/>
      </w:r>
      <w:r>
        <w:rPr>
          <w:rFonts w:ascii="宋体" w:hAnsi="宋体"/>
          <w:snapToGrid w:val="0"/>
          <w:kern w:val="0"/>
          <w:szCs w:val="24"/>
          <w:highlight w:val="yellow"/>
        </w:rPr>
        <w:fldChar w:fldCharType="end"/>
      </w:r>
    </w:p>
    <w:p w14:paraId="6CBF81F9">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_Toc3888 </w:instrText>
      </w:r>
      <w:r>
        <w:rPr>
          <w:rFonts w:ascii="宋体" w:hAnsi="宋体"/>
          <w:snapToGrid w:val="0"/>
          <w:kern w:val="0"/>
          <w:szCs w:val="24"/>
          <w:highlight w:val="yellow"/>
        </w:rPr>
        <w:fldChar w:fldCharType="separate"/>
      </w:r>
      <w:r>
        <w:rPr>
          <w:rFonts w:hint="eastAsia"/>
        </w:rPr>
        <w:t>第四章 评审办法（经评审的最低价法）</w:t>
      </w:r>
      <w:r>
        <w:tab/>
      </w:r>
      <w:r>
        <w:fldChar w:fldCharType="begin"/>
      </w:r>
      <w:r>
        <w:instrText xml:space="preserve"> PAGEREF _Toc3888 \h </w:instrText>
      </w:r>
      <w:r>
        <w:fldChar w:fldCharType="separate"/>
      </w:r>
      <w:r>
        <w:t>19</w:t>
      </w:r>
      <w:r>
        <w:fldChar w:fldCharType="end"/>
      </w:r>
      <w:r>
        <w:rPr>
          <w:rFonts w:ascii="宋体" w:hAnsi="宋体"/>
          <w:snapToGrid w:val="0"/>
          <w:kern w:val="0"/>
          <w:szCs w:val="24"/>
          <w:highlight w:val="yellow"/>
        </w:rPr>
        <w:fldChar w:fldCharType="end"/>
      </w:r>
    </w:p>
    <w:p w14:paraId="06FA1BF3">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_Toc27278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_Toc27278 \h </w:instrText>
      </w:r>
      <w:r>
        <w:fldChar w:fldCharType="separate"/>
      </w:r>
      <w:r>
        <w:t>23</w:t>
      </w:r>
      <w:r>
        <w:fldChar w:fldCharType="end"/>
      </w:r>
      <w:r>
        <w:rPr>
          <w:rFonts w:ascii="宋体" w:hAnsi="宋体"/>
          <w:snapToGrid w:val="0"/>
          <w:kern w:val="0"/>
          <w:szCs w:val="24"/>
          <w:highlight w:val="yellow"/>
        </w:rPr>
        <w:fldChar w:fldCharType="end"/>
      </w:r>
    </w:p>
    <w:p w14:paraId="3C5A0702">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_Toc7761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_Toc7761 \h </w:instrText>
      </w:r>
      <w:r>
        <w:fldChar w:fldCharType="separate"/>
      </w:r>
      <w:r>
        <w:t>36</w:t>
      </w:r>
      <w:r>
        <w:fldChar w:fldCharType="end"/>
      </w:r>
      <w:r>
        <w:rPr>
          <w:rFonts w:ascii="宋体" w:hAnsi="宋体"/>
          <w:snapToGrid w:val="0"/>
          <w:kern w:val="0"/>
          <w:szCs w:val="24"/>
          <w:highlight w:val="yellow"/>
        </w:rPr>
        <w:fldChar w:fldCharType="end"/>
      </w:r>
    </w:p>
    <w:p w14:paraId="279A27FF">
      <w:pPr>
        <w:widowControl/>
        <w:jc w:val="left"/>
        <w:rPr>
          <w:rFonts w:hint="eastAsia" w:ascii="宋体" w:hAnsi="宋体"/>
          <w:snapToGrid w:val="0"/>
          <w:kern w:val="0"/>
          <w:sz w:val="24"/>
          <w:szCs w:val="24"/>
          <w:highlight w:val="yellow"/>
        </w:rPr>
      </w:pPr>
      <w:r>
        <w:rPr>
          <w:rFonts w:ascii="宋体" w:hAnsi="宋体"/>
          <w:snapToGrid w:val="0"/>
          <w:kern w:val="0"/>
          <w:szCs w:val="24"/>
          <w:highlight w:val="yellow"/>
        </w:rPr>
        <w:fldChar w:fldCharType="end"/>
      </w:r>
    </w:p>
    <w:p w14:paraId="2976D1A1">
      <w:pPr>
        <w:widowControl/>
        <w:jc w:val="left"/>
        <w:rPr>
          <w:rFonts w:hint="eastAsia"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5AEC1463">
      <w:pPr>
        <w:pStyle w:val="2"/>
      </w:pPr>
      <w:bookmarkStart w:id="0" w:name="_Toc440628903"/>
      <w:bookmarkStart w:id="1" w:name="_Toc469574661"/>
      <w:bookmarkStart w:id="2" w:name="_Toc6745"/>
      <w:bookmarkStart w:id="3" w:name="_Toc28956"/>
      <w:r>
        <w:rPr>
          <w:rFonts w:hint="eastAsia"/>
        </w:rPr>
        <w:t>第一章</w:t>
      </w:r>
      <w:bookmarkEnd w:id="0"/>
      <w:r>
        <w:rPr>
          <w:rFonts w:hint="eastAsia"/>
        </w:rPr>
        <w:t xml:space="preserve"> </w:t>
      </w:r>
      <w:bookmarkEnd w:id="1"/>
      <w:bookmarkEnd w:id="2"/>
      <w:r>
        <w:rPr>
          <w:rFonts w:hint="eastAsia"/>
        </w:rPr>
        <w:t>询比公告</w:t>
      </w:r>
      <w:bookmarkEnd w:id="3"/>
    </w:p>
    <w:p w14:paraId="6B35BDD3">
      <w:bookmarkStart w:id="4" w:name="_Toc55379218"/>
      <w:bookmarkStart w:id="5" w:name="_Toc89675127"/>
      <w:r>
        <w:rPr>
          <w:rFonts w:hint="eastAsia"/>
        </w:rPr>
        <w:t>我行于2023年采购一套流量监测平台，通过该平台监测覆盖我行西永数据中心网络流量，强化我行网络安全监测响应能力。为完善我行流量监测平台覆盖范围，有效提升我行整体网络安全监测响应能力</w:t>
      </w:r>
      <w:r>
        <w:t>，拟</w:t>
      </w:r>
      <w:r>
        <w:rPr>
          <w:rFonts w:hint="eastAsia"/>
        </w:rPr>
        <w:t>采购一套流量监测平台</w:t>
      </w:r>
      <w:r>
        <w:t>。</w:t>
      </w:r>
      <w:r>
        <w:rPr>
          <w:rFonts w:hint="eastAsia"/>
        </w:rPr>
        <w:t>现对重庆三峡银行</w:t>
      </w:r>
      <w:r>
        <w:t>流量监测平台</w:t>
      </w:r>
      <w:r>
        <w:rPr>
          <w:rFonts w:hint="eastAsia"/>
        </w:rPr>
        <w:t>进行公开询比，</w:t>
      </w:r>
      <w:r>
        <w:t>特邀请有</w:t>
      </w:r>
      <w:bookmarkStart w:id="6" w:name="_Hlk59455120"/>
      <w:r>
        <w:t>意向</w:t>
      </w:r>
      <w:bookmarkEnd w:id="6"/>
      <w:r>
        <w:t>的潜在</w:t>
      </w:r>
      <w:r>
        <w:rPr>
          <w:rFonts w:hint="eastAsia"/>
        </w:rPr>
        <w:t>响应人参与响应</w:t>
      </w:r>
      <w:r>
        <w:t>。</w:t>
      </w:r>
    </w:p>
    <w:p w14:paraId="160E623B">
      <w:pPr>
        <w:pStyle w:val="3"/>
      </w:pPr>
      <w:r>
        <w:rPr>
          <w:rFonts w:hint="eastAsia"/>
        </w:rPr>
        <w:t>1. 询比项目内容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1549"/>
        <w:gridCol w:w="1541"/>
        <w:gridCol w:w="1915"/>
      </w:tblGrid>
      <w:tr w14:paraId="74B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908C307">
            <w:pPr>
              <w:pStyle w:val="44"/>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02CE592B">
            <w:pPr>
              <w:pStyle w:val="44"/>
            </w:pPr>
            <w:r>
              <w:rPr>
                <w:rFonts w:hint="eastAsia"/>
              </w:rPr>
              <w:t>项目名称</w:t>
            </w:r>
          </w:p>
        </w:tc>
        <w:tc>
          <w:tcPr>
            <w:tcW w:w="1549" w:type="dxa"/>
            <w:tcBorders>
              <w:top w:val="single" w:color="auto" w:sz="4" w:space="0"/>
              <w:left w:val="single" w:color="auto" w:sz="4" w:space="0"/>
              <w:bottom w:val="single" w:color="auto" w:sz="4" w:space="0"/>
              <w:right w:val="single" w:color="auto" w:sz="4" w:space="0"/>
            </w:tcBorders>
            <w:vAlign w:val="center"/>
          </w:tcPr>
          <w:p w14:paraId="12FC4838">
            <w:pPr>
              <w:pStyle w:val="44"/>
            </w:pPr>
            <w:r>
              <w:rPr>
                <w:rFonts w:hint="eastAsia"/>
              </w:rPr>
              <w:t>最高限价</w:t>
            </w:r>
          </w:p>
        </w:tc>
        <w:tc>
          <w:tcPr>
            <w:tcW w:w="1541" w:type="dxa"/>
            <w:tcBorders>
              <w:top w:val="single" w:color="auto" w:sz="4" w:space="0"/>
              <w:left w:val="single" w:color="auto" w:sz="4" w:space="0"/>
              <w:bottom w:val="single" w:color="auto" w:sz="4" w:space="0"/>
              <w:right w:val="single" w:color="auto" w:sz="4" w:space="0"/>
            </w:tcBorders>
            <w:vAlign w:val="center"/>
          </w:tcPr>
          <w:p w14:paraId="107789AE">
            <w:pPr>
              <w:pStyle w:val="44"/>
            </w:pPr>
            <w:r>
              <w:rPr>
                <w:rFonts w:hint="eastAsia"/>
              </w:rPr>
              <w:t>成交供应商</w:t>
            </w:r>
          </w:p>
          <w:p w14:paraId="207FA0FF">
            <w:pPr>
              <w:pStyle w:val="44"/>
            </w:pPr>
            <w:r>
              <w:rPr>
                <w:rFonts w:hint="eastAsia"/>
              </w:rPr>
              <w:t>数量</w:t>
            </w:r>
          </w:p>
        </w:tc>
        <w:tc>
          <w:tcPr>
            <w:tcW w:w="1915" w:type="dxa"/>
            <w:tcBorders>
              <w:top w:val="single" w:color="auto" w:sz="4" w:space="0"/>
              <w:left w:val="single" w:color="auto" w:sz="4" w:space="0"/>
              <w:bottom w:val="single" w:color="auto" w:sz="4" w:space="0"/>
              <w:right w:val="single" w:color="auto" w:sz="4" w:space="0"/>
            </w:tcBorders>
            <w:vAlign w:val="center"/>
          </w:tcPr>
          <w:p w14:paraId="7A42E4BF">
            <w:pPr>
              <w:pStyle w:val="44"/>
            </w:pPr>
            <w:r>
              <w:rPr>
                <w:rFonts w:hint="eastAsia"/>
              </w:rPr>
              <w:t>备注</w:t>
            </w:r>
          </w:p>
        </w:tc>
      </w:tr>
      <w:tr w14:paraId="3E87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4A205A1">
            <w:pPr>
              <w:pStyle w:val="43"/>
              <w:jc w:val="center"/>
            </w:pPr>
            <w:r>
              <w:rPr>
                <w:rFonts w:hint="eastAsia"/>
              </w:rPr>
              <w:t>1</w:t>
            </w:r>
          </w:p>
        </w:tc>
        <w:tc>
          <w:tcPr>
            <w:tcW w:w="3063" w:type="dxa"/>
            <w:tcBorders>
              <w:top w:val="single" w:color="auto" w:sz="4" w:space="0"/>
              <w:left w:val="single" w:color="auto" w:sz="4" w:space="0"/>
              <w:bottom w:val="single" w:color="auto" w:sz="4" w:space="0"/>
              <w:right w:val="single" w:color="auto" w:sz="4" w:space="0"/>
            </w:tcBorders>
            <w:vAlign w:val="center"/>
          </w:tcPr>
          <w:p w14:paraId="23F61813">
            <w:pPr>
              <w:pStyle w:val="43"/>
              <w:jc w:val="center"/>
            </w:pPr>
            <w:r>
              <w:t>重庆三峡银行流量监测平台</w:t>
            </w:r>
          </w:p>
        </w:tc>
        <w:tc>
          <w:tcPr>
            <w:tcW w:w="1549" w:type="dxa"/>
            <w:tcBorders>
              <w:top w:val="single" w:color="auto" w:sz="4" w:space="0"/>
              <w:left w:val="single" w:color="auto" w:sz="4" w:space="0"/>
              <w:bottom w:val="single" w:color="auto" w:sz="4" w:space="0"/>
              <w:right w:val="single" w:color="auto" w:sz="4" w:space="0"/>
            </w:tcBorders>
            <w:vAlign w:val="center"/>
          </w:tcPr>
          <w:p w14:paraId="2D86D66A">
            <w:pPr>
              <w:pStyle w:val="43"/>
              <w:jc w:val="center"/>
            </w:pPr>
            <w:r>
              <w:t>1,392,500元</w:t>
            </w:r>
          </w:p>
        </w:tc>
        <w:tc>
          <w:tcPr>
            <w:tcW w:w="1541" w:type="dxa"/>
            <w:tcBorders>
              <w:top w:val="single" w:color="auto" w:sz="4" w:space="0"/>
              <w:left w:val="single" w:color="auto" w:sz="4" w:space="0"/>
              <w:bottom w:val="single" w:color="auto" w:sz="4" w:space="0"/>
              <w:right w:val="single" w:color="auto" w:sz="4" w:space="0"/>
            </w:tcBorders>
            <w:vAlign w:val="center"/>
          </w:tcPr>
          <w:p w14:paraId="1BDE16E0">
            <w:pPr>
              <w:pStyle w:val="43"/>
              <w:jc w:val="center"/>
            </w:pPr>
            <w:r>
              <w:t>1</w:t>
            </w:r>
          </w:p>
        </w:tc>
        <w:tc>
          <w:tcPr>
            <w:tcW w:w="1915" w:type="dxa"/>
            <w:tcBorders>
              <w:top w:val="single" w:color="auto" w:sz="4" w:space="0"/>
              <w:left w:val="single" w:color="auto" w:sz="4" w:space="0"/>
              <w:bottom w:val="single" w:color="auto" w:sz="4" w:space="0"/>
              <w:right w:val="single" w:color="auto" w:sz="4" w:space="0"/>
            </w:tcBorders>
            <w:vAlign w:val="center"/>
          </w:tcPr>
          <w:p w14:paraId="17B00B71">
            <w:pPr>
              <w:pStyle w:val="43"/>
              <w:jc w:val="center"/>
            </w:pPr>
            <w:r>
              <w:t>本次采购1台信创流量探针，一台信创流量监测平台，详细参数参考第三章第3条技术要求。</w:t>
            </w:r>
          </w:p>
        </w:tc>
      </w:tr>
    </w:tbl>
    <w:p w14:paraId="51AA2867">
      <w:pPr>
        <w:pStyle w:val="3"/>
      </w:pPr>
      <w:bookmarkStart w:id="7" w:name="_Toc469574664"/>
      <w:bookmarkStart w:id="8" w:name="_Toc288224935"/>
      <w:bookmarkStart w:id="9" w:name="_Toc297817088"/>
      <w:bookmarkStart w:id="10" w:name="_Toc55379219"/>
      <w:bookmarkStart w:id="11" w:name="_Toc89675128"/>
      <w:r>
        <w:rPr>
          <w:rFonts w:hint="eastAsia"/>
        </w:rPr>
        <w:t>2. 响应人资格要求</w:t>
      </w:r>
      <w:bookmarkEnd w:id="7"/>
      <w:bookmarkEnd w:id="8"/>
      <w:bookmarkEnd w:id="9"/>
      <w:bookmarkEnd w:id="10"/>
      <w:bookmarkEnd w:id="11"/>
    </w:p>
    <w:p w14:paraId="1485B193">
      <w:bookmarkStart w:id="12" w:name="_Hlk55488870"/>
      <w:r>
        <w:rPr>
          <w:rFonts w:hint="eastAsia"/>
        </w:rPr>
        <w:t>2.1 具有独立承担民事责任的能力</w:t>
      </w:r>
    </w:p>
    <w:p w14:paraId="0C88EB61">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5D2A5D6">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DB5197F">
      <w:r>
        <w:rPr>
          <w:rFonts w:hint="eastAsia"/>
        </w:rPr>
        <w:t>2.3 本项目不允许任何形式的转包【提供书面声明】。</w:t>
      </w:r>
    </w:p>
    <w:p w14:paraId="72980E6D">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23DC21D">
      <w:r>
        <w:rPr>
          <w:rFonts w:hint="eastAsia"/>
        </w:rPr>
        <w:t>2.5 本次询比不接受联合体响应。</w:t>
      </w:r>
    </w:p>
    <w:p w14:paraId="4654B7B0">
      <w:r>
        <w:rPr>
          <w:rFonts w:hint="eastAsia"/>
        </w:rPr>
        <w:t>2.6 20</w:t>
      </w:r>
      <w:r>
        <w:t>22</w:t>
      </w:r>
      <w:r>
        <w:rPr>
          <w:rFonts w:hint="eastAsia"/>
        </w:rPr>
        <w:t>年</w:t>
      </w:r>
      <w:r>
        <w:t>1</w:t>
      </w:r>
      <w:r>
        <w:rPr>
          <w:rFonts w:hint="eastAsia"/>
        </w:rPr>
        <w:t>月1日至今具有</w:t>
      </w:r>
      <w:r>
        <w:t>金融行业</w:t>
      </w:r>
      <w:r>
        <w:rPr>
          <w:rFonts w:hint="eastAsia"/>
        </w:rPr>
        <w:t>相关实施案例（需提供合同复印件和项目简介）不少于</w:t>
      </w:r>
      <w:r>
        <w:t>3</w:t>
      </w:r>
      <w:r>
        <w:rPr>
          <w:rFonts w:hint="eastAsia"/>
        </w:rPr>
        <w:t>家，低于</w:t>
      </w:r>
      <w:r>
        <w:t>3</w:t>
      </w:r>
      <w:r>
        <w:rPr>
          <w:rFonts w:hint="eastAsia"/>
        </w:rPr>
        <w:t>个案例（不含</w:t>
      </w:r>
      <w:r>
        <w:t>3</w:t>
      </w:r>
      <w:r>
        <w:rPr>
          <w:rFonts w:hint="eastAsia"/>
        </w:rPr>
        <w:t>个）取消</w:t>
      </w:r>
      <w:r>
        <w:t>响应</w:t>
      </w:r>
      <w:r>
        <w:rPr>
          <w:rFonts w:hint="eastAsia"/>
        </w:rPr>
        <w:t>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482F9BE0">
      <w:r>
        <w:rPr>
          <w:rFonts w:hint="eastAsia"/>
        </w:rPr>
        <w:t>2.</w:t>
      </w:r>
      <w:r>
        <w:t>7 响应</w:t>
      </w:r>
      <w:r>
        <w:rPr>
          <w:rFonts w:hint="eastAsia"/>
        </w:rPr>
        <w:t>人为</w:t>
      </w:r>
      <w:r>
        <w:t>生产</w:t>
      </w:r>
      <w:r>
        <w:rPr>
          <w:rFonts w:hint="eastAsia"/>
        </w:rPr>
        <w:t>厂商或其合法代理商</w:t>
      </w:r>
    </w:p>
    <w:p w14:paraId="3546C5AD">
      <w:r>
        <w:rPr>
          <w:rFonts w:hint="eastAsia"/>
        </w:rPr>
        <w:t>（1）若为厂商直接参与</w:t>
      </w:r>
      <w:r>
        <w:t>响应</w:t>
      </w:r>
      <w:r>
        <w:rPr>
          <w:rFonts w:hint="eastAsia"/>
        </w:rPr>
        <w:t>，需提供售后服务承诺函（包括原厂维保时间及售后服务等级）原件。【提供售后服务承诺函】</w:t>
      </w:r>
    </w:p>
    <w:p w14:paraId="12AF707C">
      <w:r>
        <w:rPr>
          <w:rFonts w:hint="eastAsia"/>
        </w:rPr>
        <w:t>（2）若为代理商参与</w:t>
      </w:r>
      <w:r>
        <w:t>响应</w:t>
      </w:r>
      <w:r>
        <w:rPr>
          <w:rFonts w:hint="eastAsia"/>
        </w:rPr>
        <w:t>，</w:t>
      </w:r>
      <w:r>
        <w:t>响应</w:t>
      </w:r>
      <w:r>
        <w:rPr>
          <w:rFonts w:hint="eastAsia"/>
        </w:rPr>
        <w:t>人须提供</w:t>
      </w:r>
      <w:r>
        <w:t>响应</w:t>
      </w:r>
      <w:r>
        <w:rPr>
          <w:rFonts w:hint="eastAsia"/>
        </w:rPr>
        <w:t>产品原厂对本项目出具的</w:t>
      </w:r>
      <w:r>
        <w:t>响应</w:t>
      </w:r>
      <w:r>
        <w:rPr>
          <w:rFonts w:hint="eastAsia"/>
        </w:rPr>
        <w:t>授权函原件及售后服务承诺函（包括原厂维保时间及售后服务等级）原件。【提供原厂</w:t>
      </w:r>
      <w:r>
        <w:t>响应</w:t>
      </w:r>
      <w:r>
        <w:rPr>
          <w:rFonts w:hint="eastAsia"/>
        </w:rPr>
        <w:t>授权函原件及售后服务承诺函】</w:t>
      </w:r>
    </w:p>
    <w:p w14:paraId="1C9E3475">
      <w:r>
        <w:rPr>
          <w:rFonts w:hint="eastAsia"/>
        </w:rPr>
        <w:t>注:以上证明文件若采购人存疑，响应人需提供原件备查，响应文件中须附相关证明文件复印件并逐页加盖公章。</w:t>
      </w:r>
    </w:p>
    <w:p w14:paraId="2AC92F18">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2F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center"/>
          </w:tcPr>
          <w:p w14:paraId="52B754E0">
            <w:pPr>
              <w:pStyle w:val="44"/>
              <w:jc w:val="center"/>
            </w:pPr>
            <w:r>
              <w:rPr>
                <w:rFonts w:hint="eastAsia"/>
              </w:rPr>
              <w:t>序号</w:t>
            </w:r>
          </w:p>
        </w:tc>
        <w:tc>
          <w:tcPr>
            <w:tcW w:w="4933" w:type="dxa"/>
            <w:vAlign w:val="center"/>
          </w:tcPr>
          <w:p w14:paraId="3B729755">
            <w:pPr>
              <w:pStyle w:val="44"/>
              <w:jc w:val="center"/>
            </w:pPr>
            <w:r>
              <w:rPr>
                <w:rFonts w:hint="eastAsia"/>
              </w:rPr>
              <w:t>公司</w:t>
            </w:r>
          </w:p>
        </w:tc>
      </w:tr>
      <w:tr w14:paraId="5680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526" w:type="dxa"/>
            <w:vAlign w:val="center"/>
          </w:tcPr>
          <w:p w14:paraId="6F76DB4B">
            <w:pPr>
              <w:pStyle w:val="43"/>
              <w:jc w:val="center"/>
            </w:pPr>
            <w:r>
              <w:rPr>
                <w:rFonts w:hint="eastAsia" w:cs="宋体"/>
                <w:szCs w:val="21"/>
              </w:rPr>
              <w:t>1</w:t>
            </w:r>
          </w:p>
        </w:tc>
        <w:tc>
          <w:tcPr>
            <w:tcW w:w="4933" w:type="dxa"/>
            <w:tcBorders>
              <w:left w:val="single" w:color="auto" w:sz="4" w:space="0"/>
            </w:tcBorders>
            <w:vAlign w:val="center"/>
          </w:tcPr>
          <w:p w14:paraId="26BAA25B">
            <w:pPr>
              <w:pStyle w:val="43"/>
              <w:jc w:val="center"/>
            </w:pPr>
            <w:r>
              <w:rPr>
                <w:rFonts w:hint="eastAsia" w:cs="宋体"/>
                <w:szCs w:val="21"/>
              </w:rPr>
              <w:t>依米康软件技术（深圳）有限责任公司</w:t>
            </w:r>
          </w:p>
        </w:tc>
      </w:tr>
    </w:tbl>
    <w:p w14:paraId="70C366CA"/>
    <w:bookmarkEnd w:id="12"/>
    <w:p w14:paraId="3CECAB7F">
      <w:pPr>
        <w:pStyle w:val="3"/>
      </w:pPr>
      <w:bookmarkStart w:id="13" w:name="_Toc55379220"/>
      <w:bookmarkStart w:id="14" w:name="_Toc297817090"/>
      <w:bookmarkStart w:id="15" w:name="_Toc469574667"/>
      <w:bookmarkStart w:id="16" w:name="_Toc89675130"/>
      <w:r>
        <w:rPr>
          <w:rFonts w:hint="eastAsia"/>
        </w:rPr>
        <w:t>3. 询比文件的获取</w:t>
      </w:r>
      <w:bookmarkEnd w:id="13"/>
    </w:p>
    <w:p w14:paraId="25C8E5FD">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8</w:t>
      </w:r>
      <w:r>
        <w:rPr>
          <w:rFonts w:hint="eastAsia"/>
        </w:rPr>
        <w:t>月</w:t>
      </w:r>
      <w:r>
        <w:rPr>
          <w:rFonts w:hint="eastAsia"/>
          <w:u w:val="single"/>
          <w:lang w:val="en-US" w:eastAsia="zh-CN"/>
        </w:rPr>
        <w:t>7</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w:t>
      </w:r>
    </w:p>
    <w:p w14:paraId="63EB9225">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7</w:t>
      </w:r>
      <w:r>
        <w:rPr>
          <w:rFonts w:hint="eastAsia"/>
        </w:rPr>
        <w:t>月</w:t>
      </w:r>
      <w:r>
        <w:rPr>
          <w:rFonts w:hint="eastAsia"/>
          <w:u w:val="single"/>
          <w:lang w:val="en-US" w:eastAsia="zh-CN"/>
        </w:rPr>
        <w:t>21</w:t>
      </w:r>
      <w:r>
        <w:rPr>
          <w:rFonts w:hint="eastAsia"/>
        </w:rPr>
        <w:t>日到响应截止时间，在重庆市公共资源交易网（www.cqggzy.com）下载询比文件。</w:t>
      </w:r>
    </w:p>
    <w:p w14:paraId="40177896">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7</w:t>
      </w:r>
      <w:r>
        <w:rPr>
          <w:rFonts w:hint="eastAsia"/>
        </w:rPr>
        <w:t>月</w:t>
      </w:r>
      <w:r>
        <w:rPr>
          <w:rFonts w:hint="eastAsia"/>
          <w:u w:val="single"/>
          <w:lang w:val="en-US" w:eastAsia="zh-CN"/>
        </w:rPr>
        <w:t>24</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19A0B491">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7E8FD4B">
      <w:pPr>
        <w:pStyle w:val="3"/>
      </w:pPr>
      <w:bookmarkStart w:id="17" w:name="_Toc55379221"/>
      <w:r>
        <w:rPr>
          <w:rFonts w:hint="eastAsia"/>
        </w:rPr>
        <w:t>4. 响应保证金的递交</w:t>
      </w:r>
      <w:bookmarkEnd w:id="14"/>
      <w:bookmarkEnd w:id="15"/>
      <w:bookmarkEnd w:id="16"/>
      <w:bookmarkEnd w:id="17"/>
    </w:p>
    <w:p w14:paraId="67197AAD">
      <w:bookmarkStart w:id="18" w:name="_Toc469574668"/>
      <w:bookmarkStart w:id="19" w:name="_Toc55379222"/>
      <w:bookmarkStart w:id="20" w:name="_Toc89675131"/>
      <w:bookmarkStart w:id="21" w:name="_Toc297817091"/>
      <w:r>
        <w:rPr>
          <w:rFonts w:hint="eastAsia"/>
        </w:rPr>
        <w:t>4.1 响应保证金的金额：</w:t>
      </w:r>
      <w:r>
        <w:rPr>
          <w:rFonts w:hint="eastAsia"/>
          <w:b/>
          <w:bCs/>
          <w:u w:val="single"/>
        </w:rPr>
        <w:t xml:space="preserve"> </w:t>
      </w:r>
      <w:r>
        <w:rPr>
          <w:b/>
          <w:bCs/>
          <w:u w:val="single"/>
        </w:rPr>
        <w:t>27,000</w:t>
      </w:r>
      <w:r>
        <w:rPr>
          <w:rFonts w:hint="eastAsia"/>
          <w:b/>
          <w:bCs/>
          <w:u w:val="single"/>
        </w:rPr>
        <w:t xml:space="preserve"> 元整（大写：</w:t>
      </w:r>
      <w:r>
        <w:rPr>
          <w:b/>
          <w:bCs/>
          <w:u w:val="single"/>
        </w:rPr>
        <w:t>贰万柒仟元整</w:t>
      </w:r>
      <w:r>
        <w:rPr>
          <w:rFonts w:hint="eastAsia"/>
          <w:b/>
          <w:bCs/>
          <w:u w:val="single"/>
        </w:rPr>
        <w:t>）</w:t>
      </w:r>
      <w:r>
        <w:rPr>
          <w:rFonts w:hint="eastAsia"/>
        </w:rPr>
        <w:t>。</w:t>
      </w:r>
    </w:p>
    <w:p w14:paraId="779DE281">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163DECA">
      <w:pPr>
        <w:rPr>
          <w:b/>
          <w:bCs/>
        </w:rPr>
      </w:pPr>
      <w:r>
        <w:rPr>
          <w:rFonts w:hint="eastAsia"/>
          <w:b/>
          <w:bCs/>
        </w:rPr>
        <w:t>响应人必须在付款凭证备注栏中注明项目简称。可简写成：</w:t>
      </w:r>
      <w:r>
        <w:rPr>
          <w:rFonts w:hint="eastAsia"/>
          <w:b/>
          <w:bCs/>
          <w:u w:val="single"/>
        </w:rPr>
        <w:t xml:space="preserve"> </w:t>
      </w:r>
      <w:r>
        <w:rPr>
          <w:b/>
          <w:bCs/>
          <w:u w:val="single"/>
        </w:rPr>
        <w:t>重庆三峡银行流量监测平台</w:t>
      </w:r>
      <w:r>
        <w:rPr>
          <w:rFonts w:hint="eastAsia"/>
          <w:b/>
          <w:bCs/>
        </w:rPr>
        <w:t>。</w:t>
      </w:r>
    </w:p>
    <w:p w14:paraId="46613266">
      <w:r>
        <w:rPr>
          <w:rFonts w:hint="eastAsia"/>
        </w:rPr>
        <w:t>4.3 响应保证金递交的截止时间同响应截止时间。响应保证金以重庆市公共资源交易中心询比现场展示的保证金交纳情况为准。</w:t>
      </w:r>
    </w:p>
    <w:p w14:paraId="1980D5CD">
      <w:r>
        <w:rPr>
          <w:rFonts w:hint="eastAsia"/>
        </w:rPr>
        <w:t>4.</w:t>
      </w:r>
      <w:r>
        <w:t>4</w:t>
      </w:r>
      <w:r>
        <w:rPr>
          <w:rFonts w:hint="eastAsia"/>
        </w:rPr>
        <w:t xml:space="preserve"> 响应保证金专用账户如下：</w:t>
      </w:r>
    </w:p>
    <w:p w14:paraId="4E367AEC">
      <w:r>
        <w:rPr>
          <w:rFonts w:hint="eastAsia"/>
        </w:rPr>
        <w:t>详见重庆市公共资源交易网（www.cqggzy.com）对应本项目询比公告信息栏中的保证金信息。</w:t>
      </w:r>
    </w:p>
    <w:p w14:paraId="3E44E8FB">
      <w:pPr>
        <w:pStyle w:val="3"/>
      </w:pPr>
      <w:r>
        <w:rPr>
          <w:rFonts w:hint="eastAsia"/>
        </w:rPr>
        <w:t>5. 市场主体信息登记</w:t>
      </w:r>
    </w:p>
    <w:p w14:paraId="3E1AFD19">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5564977E">
      <w:pPr>
        <w:pStyle w:val="3"/>
      </w:pPr>
      <w:r>
        <w:rPr>
          <w:rFonts w:hint="eastAsia"/>
        </w:rPr>
        <w:t>6. 响应文件的递交</w:t>
      </w:r>
    </w:p>
    <w:p w14:paraId="02AFCD92">
      <w:bookmarkStart w:id="22" w:name="_Toc89675132"/>
      <w:bookmarkStart w:id="23" w:name="_Toc55379223"/>
      <w:bookmarkStart w:id="24" w:name="_Toc469574669"/>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8</w:t>
      </w:r>
      <w:r>
        <w:rPr>
          <w:rFonts w:hint="eastAsia"/>
        </w:rPr>
        <w:t>月</w:t>
      </w:r>
      <w:r>
        <w:rPr>
          <w:rFonts w:hint="eastAsia"/>
          <w:u w:val="single"/>
          <w:lang w:val="en-US" w:eastAsia="zh-CN"/>
        </w:rPr>
        <w:t>7</w:t>
      </w:r>
      <w:r>
        <w:rPr>
          <w:rFonts w:hint="eastAsia"/>
        </w:rPr>
        <w:t>日</w:t>
      </w:r>
      <w:r>
        <w:rPr>
          <w:rFonts w:hint="eastAsia"/>
          <w:u w:val="single"/>
          <w:lang w:val="en-US" w:eastAsia="zh-CN"/>
        </w:rPr>
        <w:t>10</w:t>
      </w:r>
      <w:r>
        <w:rPr>
          <w:rFonts w:hint="eastAsia"/>
        </w:rPr>
        <w:t>时</w:t>
      </w:r>
      <w:r>
        <w:rPr>
          <w:rFonts w:hint="eastAsia"/>
          <w:u w:val="single"/>
          <w:lang w:val="en-US" w:eastAsia="zh-CN"/>
        </w:rPr>
        <w:t>00</w:t>
      </w:r>
      <w:r>
        <w:rPr>
          <w:rFonts w:hint="eastAsia"/>
        </w:rPr>
        <w:t>分(北京时间)至响应截止时间。</w:t>
      </w:r>
    </w:p>
    <w:p w14:paraId="0FD252E4">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48D93F4">
      <w:r>
        <w:rPr>
          <w:rFonts w:hint="eastAsia"/>
        </w:rPr>
        <w:t>6.3 逾期送达的响应文件，不予接收。</w:t>
      </w:r>
    </w:p>
    <w:p w14:paraId="3422A85A">
      <w:pPr>
        <w:pStyle w:val="3"/>
      </w:pPr>
      <w:r>
        <w:rPr>
          <w:rFonts w:hint="eastAsia"/>
        </w:rPr>
        <w:t>7. 发布公告的媒介</w:t>
      </w:r>
      <w:bookmarkEnd w:id="22"/>
      <w:bookmarkEnd w:id="23"/>
      <w:bookmarkEnd w:id="24"/>
    </w:p>
    <w:p w14:paraId="10690BDA">
      <w:bookmarkStart w:id="25" w:name="_Toc469574670"/>
      <w:bookmarkStart w:id="26" w:name="_Toc89675133"/>
      <w:bookmarkStart w:id="27" w:name="_Toc250565211"/>
      <w:bookmarkStart w:id="28" w:name="_Toc55379224"/>
      <w:r>
        <w:rPr>
          <w:rFonts w:hint="eastAsia"/>
        </w:rPr>
        <w:t>本次询比公告同时在《重庆市公共资源交易网（www.cqggzy.com）》《重庆三峡银行官网（https://www.ccqtgb.com）》和《中国招标投标公共服务平台（http://www.cebpubservice.com）》上发布。</w:t>
      </w:r>
    </w:p>
    <w:p w14:paraId="7B9093EB">
      <w:pPr>
        <w:pStyle w:val="3"/>
      </w:pPr>
      <w:r>
        <w:rPr>
          <w:rFonts w:hint="eastAsia"/>
        </w:rPr>
        <w:t>8. 联系方式</w:t>
      </w:r>
      <w:bookmarkEnd w:id="25"/>
      <w:bookmarkEnd w:id="26"/>
      <w:bookmarkEnd w:id="27"/>
      <w:bookmarkEnd w:id="28"/>
    </w:p>
    <w:p w14:paraId="1645DAE0"/>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C50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1387AB8">
            <w:pPr>
              <w:ind w:firstLine="0" w:firstLineChars="0"/>
              <w:jc w:val="left"/>
            </w:pPr>
            <w:r>
              <w:rPr>
                <w:rFonts w:hint="eastAsia"/>
              </w:rPr>
              <w:t>8.1 项目需求咨询</w:t>
            </w:r>
          </w:p>
        </w:tc>
      </w:tr>
      <w:tr w14:paraId="7913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46CB84A">
            <w:pPr>
              <w:ind w:firstLine="0" w:firstLineChars="0"/>
              <w:jc w:val="left"/>
              <w:rPr>
                <w:rFonts w:cs="宋体"/>
                <w:szCs w:val="21"/>
              </w:rPr>
            </w:pPr>
            <w:r>
              <w:rPr>
                <w:rFonts w:hint="eastAsia"/>
              </w:rPr>
              <w:t>项目联系人：</w:t>
            </w:r>
            <w:r>
              <w:t>杨大露</w:t>
            </w:r>
          </w:p>
        </w:tc>
        <w:tc>
          <w:tcPr>
            <w:tcW w:w="4480" w:type="dxa"/>
            <w:tcBorders>
              <w:top w:val="nil"/>
              <w:left w:val="nil"/>
              <w:bottom w:val="nil"/>
              <w:right w:val="single" w:color="auto" w:sz="4" w:space="0"/>
            </w:tcBorders>
          </w:tcPr>
          <w:p w14:paraId="6D1900DB">
            <w:pPr>
              <w:ind w:firstLine="0" w:firstLineChars="0"/>
              <w:jc w:val="left"/>
              <w:rPr>
                <w:rFonts w:cs="宋体"/>
                <w:szCs w:val="21"/>
              </w:rPr>
            </w:pPr>
            <w:r>
              <w:rPr>
                <w:rFonts w:hint="eastAsia"/>
              </w:rPr>
              <w:t>联系方式：</w:t>
            </w:r>
            <w:r>
              <w:t>13389677106</w:t>
            </w:r>
          </w:p>
        </w:tc>
      </w:tr>
      <w:tr w14:paraId="12ED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3B90A4">
            <w:pPr>
              <w:ind w:firstLine="0" w:firstLineChars="0"/>
              <w:jc w:val="left"/>
            </w:pPr>
          </w:p>
        </w:tc>
      </w:tr>
      <w:tr w14:paraId="41C2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33DEDE7">
            <w:pPr>
              <w:ind w:firstLine="0" w:firstLineChars="0"/>
              <w:jc w:val="left"/>
            </w:pPr>
            <w:r>
              <w:rPr>
                <w:rFonts w:hint="eastAsia"/>
              </w:rPr>
              <w:t>8.2 项目流程咨询</w:t>
            </w:r>
          </w:p>
        </w:tc>
      </w:tr>
      <w:tr w14:paraId="1D58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981E43">
            <w:pPr>
              <w:ind w:firstLine="0" w:firstLineChars="0"/>
              <w:jc w:val="left"/>
            </w:pPr>
            <w:r>
              <w:rPr>
                <w:rFonts w:hint="eastAsia"/>
              </w:rPr>
              <w:t>平台服务机构：重庆联合产权交易所集团股份有限公司</w:t>
            </w:r>
          </w:p>
        </w:tc>
      </w:tr>
      <w:tr w14:paraId="7505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7F827D6">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13B4ABDD">
            <w:pPr>
              <w:ind w:firstLine="0" w:firstLineChars="0"/>
              <w:jc w:val="left"/>
              <w:rPr>
                <w:rFonts w:cs="宋体"/>
                <w:szCs w:val="21"/>
              </w:rPr>
            </w:pPr>
            <w:r>
              <w:rPr>
                <w:rFonts w:hint="eastAsia"/>
              </w:rPr>
              <w:t>联系方式：023-63621694</w:t>
            </w:r>
          </w:p>
        </w:tc>
      </w:tr>
      <w:tr w14:paraId="6D07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906848">
            <w:pPr>
              <w:ind w:firstLine="0" w:firstLineChars="0"/>
              <w:jc w:val="left"/>
            </w:pPr>
          </w:p>
        </w:tc>
      </w:tr>
      <w:tr w14:paraId="54B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EE9C08">
            <w:pPr>
              <w:ind w:firstLine="0" w:firstLineChars="0"/>
              <w:jc w:val="left"/>
            </w:pPr>
            <w:r>
              <w:rPr>
                <w:rFonts w:hint="eastAsia"/>
              </w:rPr>
              <w:t>8.3 采购人联系方式</w:t>
            </w:r>
          </w:p>
        </w:tc>
      </w:tr>
      <w:tr w14:paraId="7844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2358226">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CC754D7">
            <w:pPr>
              <w:ind w:firstLine="0" w:firstLineChars="0"/>
              <w:jc w:val="left"/>
              <w:rPr>
                <w:rFonts w:cs="宋体"/>
                <w:szCs w:val="21"/>
              </w:rPr>
            </w:pPr>
            <w:r>
              <w:rPr>
                <w:rFonts w:hint="eastAsia"/>
              </w:rPr>
              <w:t>联系方式：023-88890395</w:t>
            </w:r>
          </w:p>
        </w:tc>
      </w:tr>
      <w:tr w14:paraId="3F4C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D043526">
            <w:pPr>
              <w:ind w:firstLine="0" w:firstLineChars="0"/>
              <w:jc w:val="left"/>
            </w:pPr>
            <w:r>
              <w:rPr>
                <w:rFonts w:hint="eastAsia"/>
              </w:rPr>
              <w:t>采购人地址：重庆市渝北区嘉州路88号中渝国际都会4号写字楼21层</w:t>
            </w:r>
          </w:p>
        </w:tc>
      </w:tr>
    </w:tbl>
    <w:p w14:paraId="5E6530E0"/>
    <w:p w14:paraId="077DFE30">
      <w:pPr>
        <w:spacing w:line="240" w:lineRule="auto"/>
        <w:ind w:firstLine="0" w:firstLineChars="0"/>
        <w:jc w:val="right"/>
      </w:pPr>
      <w:r>
        <w:rPr>
          <w:rFonts w:hint="eastAsia"/>
        </w:rPr>
        <w:t>重庆三峡银行股份有限公司</w:t>
      </w:r>
    </w:p>
    <w:p w14:paraId="18255A7C">
      <w:pPr>
        <w:jc w:val="right"/>
      </w:pPr>
      <w:bookmarkStart w:id="95" w:name="_GoBack"/>
      <w:bookmarkEnd w:id="95"/>
      <w:r>
        <w:rPr>
          <w:rFonts w:hint="eastAsia"/>
        </w:rPr>
        <w:t>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w:t>
      </w:r>
    </w:p>
    <w:p w14:paraId="1641AFD0">
      <w:pPr>
        <w:sectPr>
          <w:footerReference r:id="rId5" w:type="default"/>
          <w:pgSz w:w="11906" w:h="16838"/>
          <w:pgMar w:top="1440" w:right="1800" w:bottom="1440" w:left="1800" w:header="851" w:footer="992" w:gutter="0"/>
          <w:pgNumType w:start="1"/>
          <w:cols w:space="720" w:num="1"/>
          <w:docGrid w:type="lines" w:linePitch="312" w:charSpace="0"/>
        </w:sectPr>
      </w:pPr>
      <w:bookmarkStart w:id="29" w:name="_Toc303066033"/>
      <w:bookmarkStart w:id="30" w:name="_Toc89675159"/>
    </w:p>
    <w:p w14:paraId="3ECD64B8">
      <w:pPr>
        <w:pStyle w:val="2"/>
      </w:pPr>
      <w:bookmarkStart w:id="31" w:name="_Toc16423"/>
      <w:r>
        <w:rPr>
          <w:rFonts w:hint="eastAsia"/>
        </w:rPr>
        <w:t>第二章 响应人须知</w:t>
      </w:r>
      <w:bookmarkEnd w:id="29"/>
      <w:bookmarkEnd w:id="30"/>
      <w:bookmarkEnd w:id="31"/>
    </w:p>
    <w:p w14:paraId="518D50B3">
      <w:pPr>
        <w:pStyle w:val="3"/>
      </w:pPr>
      <w:bookmarkStart w:id="32" w:name="_Toc89675160"/>
      <w:r>
        <w:rPr>
          <w:rFonts w:hint="eastAsia"/>
        </w:rPr>
        <w:t>1. 采购人</w:t>
      </w:r>
    </w:p>
    <w:p w14:paraId="326CBC12">
      <w:r>
        <w:t>重庆三峡银行股份有限公司</w:t>
      </w:r>
      <w:r>
        <w:rPr>
          <w:rFonts w:hint="eastAsia"/>
        </w:rPr>
        <w:t>。</w:t>
      </w:r>
    </w:p>
    <w:bookmarkEnd w:id="32"/>
    <w:p w14:paraId="09784562">
      <w:pPr>
        <w:pStyle w:val="3"/>
      </w:pPr>
      <w:bookmarkStart w:id="33" w:name="_Toc89675161"/>
      <w:r>
        <w:rPr>
          <w:rFonts w:hint="eastAsia"/>
        </w:rPr>
        <w:t xml:space="preserve">2. </w:t>
      </w:r>
      <w:bookmarkEnd w:id="33"/>
      <w:r>
        <w:rPr>
          <w:rFonts w:hint="eastAsia"/>
        </w:rPr>
        <w:t>响应人</w:t>
      </w:r>
    </w:p>
    <w:p w14:paraId="35E01BF9">
      <w:r>
        <w:rPr>
          <w:rFonts w:hint="eastAsia"/>
        </w:rPr>
        <w:t>为采购人提供工程、货物和服务的承包商、供货商和服务商。</w:t>
      </w:r>
    </w:p>
    <w:p w14:paraId="44A9A3CB">
      <w:pPr>
        <w:pStyle w:val="4"/>
      </w:pPr>
      <w:r>
        <w:rPr>
          <w:rFonts w:hint="eastAsia"/>
        </w:rPr>
        <w:t>2.1 合格响应人条件</w:t>
      </w:r>
    </w:p>
    <w:p w14:paraId="63E414B2">
      <w:r>
        <w:rPr>
          <w:rFonts w:hint="eastAsia"/>
        </w:rPr>
        <w:t>合格响应人应完全符合询比文件第一章中规定的响应人资格条件，并对询比文件作出实质性响应。</w:t>
      </w:r>
    </w:p>
    <w:p w14:paraId="35AB2402">
      <w:pPr>
        <w:pStyle w:val="4"/>
      </w:pPr>
      <w:r>
        <w:rPr>
          <w:rFonts w:hint="eastAsia"/>
        </w:rPr>
        <w:t>2.2 响应人的风险</w:t>
      </w:r>
    </w:p>
    <w:p w14:paraId="41BF6F96">
      <w:r>
        <w:rPr>
          <w:rFonts w:hint="eastAsia"/>
        </w:rPr>
        <w:t>响应人没有按照询比文件要求提供全部资料，或者响应人没有对询比文件在各方面作出实质性响应，可能导致响应被拒绝或评定为无效响应。</w:t>
      </w:r>
    </w:p>
    <w:p w14:paraId="533B3742">
      <w:pPr>
        <w:pStyle w:val="3"/>
      </w:pPr>
      <w:bookmarkStart w:id="34" w:name="_Toc89675162"/>
      <w:r>
        <w:rPr>
          <w:rFonts w:hint="eastAsia"/>
        </w:rPr>
        <w:t xml:space="preserve">3. </w:t>
      </w:r>
      <w:bookmarkEnd w:id="34"/>
      <w:r>
        <w:rPr>
          <w:rFonts w:hint="eastAsia"/>
        </w:rPr>
        <w:t>询比文件</w:t>
      </w:r>
    </w:p>
    <w:p w14:paraId="330870A2">
      <w:r>
        <w:rPr>
          <w:rFonts w:hint="eastAsia"/>
        </w:rPr>
        <w:t>采购人根据自身采购方案或需求编制的采购文件。</w:t>
      </w:r>
    </w:p>
    <w:p w14:paraId="4478CC26">
      <w:r>
        <w:rPr>
          <w:rFonts w:hint="eastAsia"/>
        </w:rPr>
        <w:t>询比文件是响应人编制响应文件的依据，是评审委员会评判依据和标准。询比文件也是采购人与成交供应商签订合同的基础。</w:t>
      </w:r>
    </w:p>
    <w:p w14:paraId="1FCF1CC3">
      <w:r>
        <w:rPr>
          <w:rFonts w:hint="eastAsia"/>
        </w:rPr>
        <w:t>采购人对询比文件所作的一切有效的书面通知、修改及补充，都是询比文件不可分割的部分。</w:t>
      </w:r>
    </w:p>
    <w:p w14:paraId="27228EEB">
      <w:pPr>
        <w:pStyle w:val="3"/>
      </w:pPr>
      <w:bookmarkStart w:id="35" w:name="_Toc89675163"/>
      <w:r>
        <w:rPr>
          <w:rFonts w:hint="eastAsia"/>
        </w:rPr>
        <w:t xml:space="preserve">4. </w:t>
      </w:r>
      <w:bookmarkEnd w:id="35"/>
      <w:r>
        <w:rPr>
          <w:rFonts w:hint="eastAsia"/>
        </w:rPr>
        <w:t>响应</w:t>
      </w:r>
    </w:p>
    <w:p w14:paraId="7D2EBF90">
      <w:r>
        <w:rPr>
          <w:rFonts w:hint="eastAsia"/>
        </w:rPr>
        <w:t>响应人应当按照询比文件的要求编制响应文件，并对询比文件提出的要求和条件作出实质性响应。</w:t>
      </w:r>
    </w:p>
    <w:p w14:paraId="6DB8B653">
      <w:pPr>
        <w:pStyle w:val="4"/>
      </w:pPr>
      <w:r>
        <w:rPr>
          <w:rFonts w:hint="eastAsia"/>
        </w:rPr>
        <w:t>4.1 响应文件</w:t>
      </w:r>
    </w:p>
    <w:p w14:paraId="31C556EB">
      <w:r>
        <w:rPr>
          <w:rFonts w:hint="eastAsia"/>
        </w:rPr>
        <w:t>参与询比活动的响应人按照询比文件的要求编制提交的要约文件的统称。</w:t>
      </w:r>
    </w:p>
    <w:p w14:paraId="39A03004">
      <w:pPr>
        <w:pStyle w:val="4"/>
      </w:pPr>
      <w:r>
        <w:rPr>
          <w:rFonts w:hint="eastAsia"/>
        </w:rPr>
        <w:t>4.2 响应文件组成</w:t>
      </w:r>
    </w:p>
    <w:p w14:paraId="21DDE962">
      <w:r>
        <w:rPr>
          <w:rFonts w:hint="eastAsia"/>
        </w:rPr>
        <w:t>响应文件由响应人所作的一切有效补充、修改和承诺等文件组成，响应人应按照第六章“响应文件格式”规定的目录顺序组织编写和装订，否则有可能影响响应人的响应文件评审。</w:t>
      </w:r>
    </w:p>
    <w:p w14:paraId="04BCC54C">
      <w:pPr>
        <w:pStyle w:val="4"/>
      </w:pPr>
      <w:r>
        <w:rPr>
          <w:rFonts w:hint="eastAsia"/>
        </w:rPr>
        <w:t>4.3 联合响应</w:t>
      </w:r>
    </w:p>
    <w:p w14:paraId="629B6F39">
      <w:r>
        <w:rPr>
          <w:rFonts w:hint="eastAsia"/>
        </w:rPr>
        <w:t>本询比项目不接受联合响应</w:t>
      </w:r>
    </w:p>
    <w:p w14:paraId="24BE3BE7">
      <w:pPr>
        <w:pStyle w:val="4"/>
      </w:pPr>
      <w:r>
        <w:rPr>
          <w:rFonts w:hint="eastAsia"/>
        </w:rPr>
        <w:t>4.4 响应有效期</w:t>
      </w:r>
    </w:p>
    <w:p w14:paraId="5B6C04E2">
      <w:r>
        <w:rPr>
          <w:rFonts w:hint="eastAsia"/>
        </w:rPr>
        <w:t>响应有效期为响应截止时间后90天内。</w:t>
      </w:r>
    </w:p>
    <w:p w14:paraId="3F54AD1B">
      <w:pPr>
        <w:pStyle w:val="4"/>
      </w:pPr>
      <w:r>
        <w:rPr>
          <w:rFonts w:hint="eastAsia"/>
        </w:rPr>
        <w:t>4.5 响应保证金</w:t>
      </w:r>
    </w:p>
    <w:p w14:paraId="58F578D9">
      <w:r>
        <w:rPr>
          <w:rFonts w:hint="eastAsia"/>
        </w:rPr>
        <w:t>4.5.1 响应人应在响应截止时间前，按询比文件第一章规定向采购人缴纳响应保证金。</w:t>
      </w:r>
    </w:p>
    <w:p w14:paraId="59C298CB">
      <w:r>
        <w:rPr>
          <w:rFonts w:hint="eastAsia"/>
        </w:rPr>
        <w:t>4.5.2 响应保证金为响应的有效约束条件。</w:t>
      </w:r>
    </w:p>
    <w:p w14:paraId="53BCC62E">
      <w:r>
        <w:rPr>
          <w:rFonts w:hint="eastAsia"/>
        </w:rPr>
        <w:t>4.5.3 响应保证金有效期与响应文件有效期一致。</w:t>
      </w:r>
    </w:p>
    <w:p w14:paraId="030374B5">
      <w:r>
        <w:rPr>
          <w:rFonts w:hint="eastAsia"/>
        </w:rPr>
        <w:t>4.5.4 响应保证金币种应与响应报价币种相同。</w:t>
      </w:r>
    </w:p>
    <w:p w14:paraId="03354EAE">
      <w:r>
        <w:rPr>
          <w:rFonts w:hint="eastAsia"/>
        </w:rPr>
        <w:t>4.5.5 响应保证金的退还：</w:t>
      </w:r>
    </w:p>
    <w:p w14:paraId="26605D9E">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C48DA00">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439921F">
      <w:r>
        <w:rPr>
          <w:rFonts w:hint="eastAsia"/>
        </w:rPr>
        <w:t>响应保证金专用账户由重庆市公共资源交易中心制定，关于保证金相关情况的问题请咨询重庆市公共资源交易中心，联系电话023-63621694。</w:t>
      </w:r>
    </w:p>
    <w:p w14:paraId="1D777B17">
      <w:r>
        <w:rPr>
          <w:rFonts w:hint="eastAsia"/>
        </w:rPr>
        <w:t>4.5.6 响应人有下列情形之一的，响应保证金将不予退还：</w:t>
      </w:r>
    </w:p>
    <w:p w14:paraId="6822F27E">
      <w:r>
        <w:rPr>
          <w:rFonts w:hint="eastAsia"/>
        </w:rPr>
        <w:t>4.5.6.1 响应人在响应有效期内撤销响应文件的；</w:t>
      </w:r>
    </w:p>
    <w:p w14:paraId="5D949B1E">
      <w:r>
        <w:rPr>
          <w:rFonts w:hint="eastAsia"/>
        </w:rPr>
        <w:t>4.5.6.2 响应人在响应过程中弄虚作假，提供虚假材料的；</w:t>
      </w:r>
    </w:p>
    <w:p w14:paraId="491A035D">
      <w:r>
        <w:rPr>
          <w:rFonts w:hint="eastAsia"/>
        </w:rPr>
        <w:t>4.5.6.3 成交供应商无故弃选或无正当理由不与采购人签订合同的；</w:t>
      </w:r>
    </w:p>
    <w:p w14:paraId="439C8D83">
      <w:r>
        <w:rPr>
          <w:rFonts w:hint="eastAsia"/>
        </w:rPr>
        <w:t>4.5.6.4 成交供应商将成交项目转让给他人或者在响应文件中未说明且未经询比单位同意，将成交项目分包给他人的；</w:t>
      </w:r>
    </w:p>
    <w:p w14:paraId="25BCAC1B">
      <w:r>
        <w:rPr>
          <w:rFonts w:hint="eastAsia"/>
        </w:rPr>
        <w:t>4.5.6.5 成交供应商拒绝履行合同义务的；</w:t>
      </w:r>
    </w:p>
    <w:p w14:paraId="676F3C5D">
      <w:r>
        <w:rPr>
          <w:rFonts w:hint="eastAsia"/>
        </w:rPr>
        <w:t>4.5.6.6 其他严重扰乱询比程序的；</w:t>
      </w:r>
    </w:p>
    <w:p w14:paraId="7AA8B051">
      <w:pPr>
        <w:pStyle w:val="4"/>
      </w:pPr>
      <w:r>
        <w:rPr>
          <w:rFonts w:hint="eastAsia"/>
        </w:rPr>
        <w:t>4.6 响应文件的份数和签署</w:t>
      </w:r>
    </w:p>
    <w:p w14:paraId="36CF249E">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22E0B56">
      <w:r>
        <w:rPr>
          <w:rFonts w:hint="eastAsia"/>
        </w:rPr>
        <w:t>4.6.2 响应文件正本中，每一页均应由响应人加盖公章，其中规定格式的文件应当按要求签名和加盖响应人公章。</w:t>
      </w:r>
    </w:p>
    <w:p w14:paraId="781B3DB7">
      <w:r>
        <w:rPr>
          <w:rFonts w:hint="eastAsia"/>
        </w:rPr>
        <w:t>4.6.3 若响应人对响应文件的错处作必要修改，则应在修改处加盖响应人公章或由法人或委托代理人签字确认。</w:t>
      </w:r>
    </w:p>
    <w:p w14:paraId="514777EB">
      <w:r>
        <w:rPr>
          <w:rFonts w:hint="eastAsia"/>
        </w:rPr>
        <w:t>4.6.4 电报、电话、邮寄、传真形式的响应文件概不接受。</w:t>
      </w:r>
    </w:p>
    <w:p w14:paraId="206EA434">
      <w:pPr>
        <w:pStyle w:val="4"/>
      </w:pPr>
      <w:r>
        <w:rPr>
          <w:rFonts w:hint="eastAsia"/>
        </w:rPr>
        <w:t>4.7 响应文件的密封与标记</w:t>
      </w:r>
    </w:p>
    <w:p w14:paraId="393D92D2">
      <w:r>
        <w:rPr>
          <w:rFonts w:hint="eastAsia"/>
        </w:rPr>
        <w:t>响应文件的正本、副本、电子文件装入一个文件大袋进行密封。密封袋上注明项目名称、响应人名称及“不准提前启封”字样。信封的封口须加盖响应人公章或授权代表签字。</w:t>
      </w:r>
    </w:p>
    <w:p w14:paraId="008EB152">
      <w:r>
        <w:rPr>
          <w:rFonts w:hint="eastAsia"/>
        </w:rPr>
        <w:t>如果未按上述规定进行密封和标记，则其响应将作为无效响应处理。</w:t>
      </w:r>
    </w:p>
    <w:p w14:paraId="5A86C0FF">
      <w:pPr>
        <w:pStyle w:val="4"/>
      </w:pPr>
      <w:r>
        <w:rPr>
          <w:rFonts w:hint="eastAsia"/>
        </w:rPr>
        <w:t>4.8 响应报价</w:t>
      </w:r>
    </w:p>
    <w:p w14:paraId="7525EC95">
      <w:r>
        <w:rPr>
          <w:rFonts w:hint="eastAsia"/>
        </w:rPr>
        <w:t>4.8.1 响应人应严格按照“响应文件格式”填写报价。</w:t>
      </w:r>
    </w:p>
    <w:p w14:paraId="0F62DBC7">
      <w:r>
        <w:rPr>
          <w:rFonts w:hint="eastAsia"/>
        </w:rPr>
        <w:t>4.8.2 响应人的报价为一次性报价，即在响应有效期内响应价格固定不变。</w:t>
      </w:r>
    </w:p>
    <w:p w14:paraId="64C88AB1">
      <w:r>
        <w:rPr>
          <w:rFonts w:hint="eastAsia"/>
        </w:rPr>
        <w:t>4.8.3 本项目只接受一个响应报价，有选择的或有条件的响应将不予接受。</w:t>
      </w:r>
    </w:p>
    <w:p w14:paraId="0BE3B78D">
      <w:r>
        <w:rPr>
          <w:rFonts w:hint="eastAsia"/>
        </w:rPr>
        <w:t>4.8.4 响应报价不得高于最高限价。</w:t>
      </w:r>
    </w:p>
    <w:p w14:paraId="01531113">
      <w:pPr>
        <w:pStyle w:val="4"/>
      </w:pPr>
      <w:r>
        <w:rPr>
          <w:rFonts w:hint="eastAsia"/>
        </w:rPr>
        <w:t>4.9 修正错误</w:t>
      </w:r>
    </w:p>
    <w:p w14:paraId="641EB589">
      <w:r>
        <w:rPr>
          <w:rFonts w:hint="eastAsia"/>
        </w:rPr>
        <w:t>若响应文件出现计算或表达上的错误，修正错误的原则如下：</w:t>
      </w:r>
    </w:p>
    <w:p w14:paraId="0870CF41">
      <w:r>
        <w:rPr>
          <w:rFonts w:hint="eastAsia"/>
        </w:rPr>
        <w:t>4.9.1 响应文件的大写金额和小写金额不一致的，以大写金额为准；</w:t>
      </w:r>
    </w:p>
    <w:p w14:paraId="0370821C">
      <w:r>
        <w:rPr>
          <w:rFonts w:hint="eastAsia"/>
        </w:rPr>
        <w:t>4.9.2 总价金额与按单价汇总金额不一致的，以单价金额计算结果为准；</w:t>
      </w:r>
    </w:p>
    <w:p w14:paraId="538B2460">
      <w:r>
        <w:rPr>
          <w:rFonts w:hint="eastAsia"/>
        </w:rPr>
        <w:t>4.9.3 单价金额小数点有明显错位的，应以总价为准，并修正单价；</w:t>
      </w:r>
    </w:p>
    <w:p w14:paraId="19BEB1A0">
      <w:r>
        <w:rPr>
          <w:rFonts w:hint="eastAsia"/>
        </w:rPr>
        <w:t>4.9.4 对不同文字文本响应文件的解释发生异议的，以中文文本为准。</w:t>
      </w:r>
    </w:p>
    <w:p w14:paraId="3BB0E764">
      <w:r>
        <w:rPr>
          <w:rFonts w:hint="eastAsia"/>
        </w:rPr>
        <w:t>4.9.5 含税金额与不含税金额不一致的，以含税金额为准。</w:t>
      </w:r>
    </w:p>
    <w:p w14:paraId="4E541F51">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DDF06DC">
      <w:pPr>
        <w:pStyle w:val="3"/>
      </w:pPr>
      <w:bookmarkStart w:id="36" w:name="_Toc89675166"/>
      <w:r>
        <w:rPr>
          <w:rFonts w:hint="eastAsia"/>
        </w:rPr>
        <w:t>5. 询比程序</w:t>
      </w:r>
    </w:p>
    <w:p w14:paraId="7F0546D2">
      <w:r>
        <w:rPr>
          <w:rFonts w:hint="eastAsia"/>
        </w:rPr>
        <w:t>主持人按下列程序进行询比：</w:t>
      </w:r>
    </w:p>
    <w:p w14:paraId="476CA30E">
      <w:r>
        <w:rPr>
          <w:rFonts w:hint="eastAsia"/>
        </w:rPr>
        <w:t>5.1 宣布询比纪律；</w:t>
      </w:r>
    </w:p>
    <w:p w14:paraId="05ECC61C">
      <w:r>
        <w:rPr>
          <w:rFonts w:hint="eastAsia"/>
        </w:rPr>
        <w:t>5.2 宣布采购人、唱标人、记录人、监督人等有关人员姓名；</w:t>
      </w:r>
    </w:p>
    <w:p w14:paraId="5DF3A596">
      <w:r>
        <w:rPr>
          <w:rFonts w:hint="eastAsia"/>
        </w:rPr>
        <w:t>5.3 公布在响应截止时间前递交响应文件的响应人名称，并点名确认响应人是否派人到场；</w:t>
      </w:r>
    </w:p>
    <w:p w14:paraId="4F12FAD1">
      <w:r>
        <w:rPr>
          <w:rFonts w:hint="eastAsia"/>
        </w:rPr>
        <w:t>5.4 展示响应保证金，响应保证金缴款不全或有误的，则记录在案交由评审委员会评审；</w:t>
      </w:r>
    </w:p>
    <w:p w14:paraId="7269C042">
      <w:r>
        <w:rPr>
          <w:rFonts w:hint="eastAsia"/>
        </w:rPr>
        <w:t>5.5 封装情况检查：响应人或者其推选的代表检查各响应文件的封装情况并确认；</w:t>
      </w:r>
    </w:p>
    <w:p w14:paraId="11FD60AA">
      <w:r>
        <w:rPr>
          <w:rFonts w:hint="eastAsia"/>
        </w:rPr>
        <w:t>5.6 设有最高限价的，公布最高限价；</w:t>
      </w:r>
    </w:p>
    <w:p w14:paraId="162407F4">
      <w:r>
        <w:rPr>
          <w:rFonts w:hint="eastAsia"/>
        </w:rPr>
        <w:t>5.7 开启响应文件；</w:t>
      </w:r>
    </w:p>
    <w:p w14:paraId="050A6F23">
      <w:r>
        <w:rPr>
          <w:rFonts w:hint="eastAsia"/>
        </w:rPr>
        <w:t>5.8 采购人代表、响应人代表、监督人、记录人等有关人员在询比记录上签字确认；</w:t>
      </w:r>
    </w:p>
    <w:p w14:paraId="68A322ED">
      <w:r>
        <w:rPr>
          <w:rFonts w:hint="eastAsia"/>
        </w:rPr>
        <w:t>5.9 询比结束。</w:t>
      </w:r>
    </w:p>
    <w:p w14:paraId="59CCED27">
      <w:pPr>
        <w:pStyle w:val="3"/>
      </w:pPr>
      <w:r>
        <w:rPr>
          <w:rFonts w:hint="eastAsia"/>
        </w:rPr>
        <w:t>6. 评审</w:t>
      </w:r>
    </w:p>
    <w:p w14:paraId="696C3A2C">
      <w:r>
        <w:rPr>
          <w:rFonts w:hint="eastAsia"/>
        </w:rPr>
        <w:t>见第四章内容。</w:t>
      </w:r>
    </w:p>
    <w:p w14:paraId="56201B3A">
      <w:pPr>
        <w:pStyle w:val="3"/>
      </w:pPr>
      <w:r>
        <w:rPr>
          <w:rFonts w:hint="eastAsia"/>
        </w:rPr>
        <w:t xml:space="preserve">7. </w:t>
      </w:r>
      <w:bookmarkEnd w:id="36"/>
      <w:r>
        <w:rPr>
          <w:rFonts w:hint="eastAsia"/>
        </w:rPr>
        <w:t>确定成交供应商</w:t>
      </w:r>
    </w:p>
    <w:p w14:paraId="56264372">
      <w:r>
        <w:rPr>
          <w:rFonts w:hint="eastAsia"/>
        </w:rPr>
        <w:t>7.1 确定成交供应商原则</w:t>
      </w:r>
    </w:p>
    <w:p w14:paraId="5BC67EAA">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0187536A">
      <w:r>
        <w:rPr>
          <w:rFonts w:hint="eastAsia"/>
        </w:rPr>
        <w:t>7.2 不承诺最低价格成交。</w:t>
      </w:r>
    </w:p>
    <w:p w14:paraId="56810006">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76CB14E">
      <w:pPr>
        <w:pStyle w:val="3"/>
      </w:pPr>
      <w:bookmarkStart w:id="37" w:name="_Toc12245"/>
      <w:bookmarkStart w:id="38" w:name="_Toc89675168"/>
      <w:r>
        <w:rPr>
          <w:rFonts w:hint="eastAsia"/>
        </w:rPr>
        <w:t>8. 签订合同</w:t>
      </w:r>
      <w:bookmarkEnd w:id="37"/>
      <w:bookmarkEnd w:id="38"/>
    </w:p>
    <w:p w14:paraId="196B2CC7">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4E3978C">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124CAAC">
      <w:r>
        <w:rPr>
          <w:rFonts w:hint="eastAsia"/>
        </w:rPr>
        <w:t>8.3 询比文件、成交供应商的响应文件及澄清文件等，均为签订合同的依据。</w:t>
      </w:r>
    </w:p>
    <w:p w14:paraId="2F7C1EEC">
      <w:r>
        <w:rPr>
          <w:rFonts w:hint="eastAsia"/>
        </w:rPr>
        <w:t>8.4 合同生效条款由供需双方约定，法律、行政法规规定应当办理批准、登记等手续后生效的合同，依照其规定。</w:t>
      </w:r>
    </w:p>
    <w:p w14:paraId="2CE0524C">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E87E9A1">
      <w:r>
        <w:rPr>
          <w:rFonts w:hint="eastAsia"/>
        </w:rPr>
        <w:t>8.6 该项目不允许任何形式的转包。</w:t>
      </w:r>
    </w:p>
    <w:p w14:paraId="65E43409">
      <w:pPr>
        <w:pStyle w:val="3"/>
      </w:pPr>
      <w:r>
        <w:rPr>
          <w:rFonts w:hint="eastAsia"/>
        </w:rPr>
        <w:t>9. 纪律与要求</w:t>
      </w:r>
    </w:p>
    <w:p w14:paraId="746473EA">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316BA9EA">
      <w:r>
        <w:rPr>
          <w:rFonts w:hint="eastAsia"/>
        </w:rPr>
        <w:t>9.1 有下列情形之一的，属于响应人相互串通响应：</w:t>
      </w:r>
    </w:p>
    <w:p w14:paraId="7EA56FFB">
      <w:r>
        <w:rPr>
          <w:rFonts w:hint="eastAsia"/>
        </w:rPr>
        <w:t>9.1.1 响应人之间协商响应报价等响应文件的实质性内容；</w:t>
      </w:r>
    </w:p>
    <w:p w14:paraId="3C65B0EA">
      <w:r>
        <w:rPr>
          <w:rFonts w:hint="eastAsia"/>
        </w:rPr>
        <w:t>9.1.2 响应人之间约定成交供应商；</w:t>
      </w:r>
    </w:p>
    <w:p w14:paraId="5EFCDC1D">
      <w:r>
        <w:rPr>
          <w:rFonts w:hint="eastAsia"/>
        </w:rPr>
        <w:t>9.1.3 响应人之间约定部分响应人放弃响应或者成交；</w:t>
      </w:r>
    </w:p>
    <w:p w14:paraId="3A3D5CA7">
      <w:r>
        <w:rPr>
          <w:rFonts w:hint="eastAsia"/>
        </w:rPr>
        <w:t>9.1.4 属于同一集团、协会、商会等组织成员的响应人按照该组织要求协同响应；</w:t>
      </w:r>
    </w:p>
    <w:p w14:paraId="2062A25A">
      <w:r>
        <w:rPr>
          <w:rFonts w:hint="eastAsia"/>
        </w:rPr>
        <w:t>9.1.5 响应人之间为谋取成交或者排斥特定响应人而采取的其他联合行动。</w:t>
      </w:r>
    </w:p>
    <w:p w14:paraId="21FCFE2F">
      <w:r>
        <w:rPr>
          <w:rFonts w:hint="eastAsia"/>
        </w:rPr>
        <w:t>9.2 有下列情形之一的，视为响应人相互串通响应：</w:t>
      </w:r>
    </w:p>
    <w:p w14:paraId="05067FCA">
      <w:r>
        <w:rPr>
          <w:rFonts w:hint="eastAsia"/>
        </w:rPr>
        <w:t>9.2.1 不同响应人的响应文件由同一单位或者个人编制；</w:t>
      </w:r>
    </w:p>
    <w:p w14:paraId="1FCD906B">
      <w:r>
        <w:rPr>
          <w:rFonts w:hint="eastAsia"/>
        </w:rPr>
        <w:t>9.2.2 不同响应人委托同一单位或者个人办理响应事宜；</w:t>
      </w:r>
    </w:p>
    <w:p w14:paraId="6D3EEE5F">
      <w:r>
        <w:rPr>
          <w:rFonts w:hint="eastAsia"/>
        </w:rPr>
        <w:t>9.2.3 不同响应人的响应文件载明的项目管理成员为同一人；</w:t>
      </w:r>
    </w:p>
    <w:p w14:paraId="39CDFAF2">
      <w:r>
        <w:rPr>
          <w:rFonts w:hint="eastAsia"/>
        </w:rPr>
        <w:t>9.2.4 不同响应人的响应文件相互混装；</w:t>
      </w:r>
    </w:p>
    <w:p w14:paraId="056EC79D">
      <w:r>
        <w:rPr>
          <w:rFonts w:hint="eastAsia"/>
        </w:rPr>
        <w:t>9.2.5 不同响应人的响应保证金从同一单位或者个人的账户转出。</w:t>
      </w:r>
    </w:p>
    <w:p w14:paraId="7683F99A">
      <w:r>
        <w:rPr>
          <w:rFonts w:hint="eastAsia"/>
        </w:rPr>
        <w:t>9.3 使用通过受让或者租借等方式获取的资格、资质证书响应的，属于以他人名义响应。</w:t>
      </w:r>
    </w:p>
    <w:p w14:paraId="7E0820C7">
      <w:r>
        <w:rPr>
          <w:rFonts w:hint="eastAsia"/>
        </w:rPr>
        <w:t>9.4 响应人有下列情形之一的，属于弄虚作假的行为：</w:t>
      </w:r>
    </w:p>
    <w:p w14:paraId="019561C6">
      <w:r>
        <w:rPr>
          <w:rFonts w:hint="eastAsia"/>
        </w:rPr>
        <w:t>9.4.1 使用伪造、变造的许可证件；</w:t>
      </w:r>
    </w:p>
    <w:p w14:paraId="5DAE05E9">
      <w:r>
        <w:rPr>
          <w:rFonts w:hint="eastAsia"/>
        </w:rPr>
        <w:t>9.4.2 提供虚假的财务状况或者虚假业绩；</w:t>
      </w:r>
    </w:p>
    <w:p w14:paraId="153391B3">
      <w:r>
        <w:rPr>
          <w:rFonts w:hint="eastAsia"/>
        </w:rPr>
        <w:t>9.4.3 提供虚假的项目负责人或者主要技术人员简历、劳动关系证明；</w:t>
      </w:r>
    </w:p>
    <w:p w14:paraId="56CB7E72">
      <w:r>
        <w:rPr>
          <w:rFonts w:hint="eastAsia"/>
        </w:rPr>
        <w:t>9.4.4 提供虚假的信用状况；</w:t>
      </w:r>
    </w:p>
    <w:p w14:paraId="35CF696E">
      <w:r>
        <w:rPr>
          <w:rFonts w:hint="eastAsia"/>
        </w:rPr>
        <w:t>9.4.5 其它弄虚作假的行为。</w:t>
      </w:r>
    </w:p>
    <w:p w14:paraId="6D67ABC4">
      <w:r>
        <w:rPr>
          <w:rFonts w:hint="eastAsia"/>
        </w:rPr>
        <w:t>针对以上情况，采购人有权没收响应人的响应保证金，并保留进一步追究由此带来损失的权利。</w:t>
      </w:r>
    </w:p>
    <w:p w14:paraId="07A8C8B1">
      <w:pPr>
        <w:pStyle w:val="3"/>
      </w:pPr>
      <w:bookmarkStart w:id="39" w:name="_Toc89675169"/>
      <w:r>
        <w:rPr>
          <w:rFonts w:hint="eastAsia"/>
        </w:rPr>
        <w:t>10. 提问、质疑、投诉</w:t>
      </w:r>
    </w:p>
    <w:p w14:paraId="61BDEFBF">
      <w:r>
        <w:rPr>
          <w:rFonts w:hint="eastAsia"/>
        </w:rPr>
        <w:t>10.1 补遗内容可能影响响应文件编制的，须在响应截止时间3日前发布，发布时间至响应截止时间不足3日的，须相应延后响应截止时间。</w:t>
      </w:r>
    </w:p>
    <w:p w14:paraId="3B164D56">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42BEDF6">
      <w:r>
        <w:rPr>
          <w:rFonts w:hint="eastAsia"/>
        </w:rPr>
        <w:t>10.3 响应人对公示的成交结果有质疑，响应人需在公示期内以书面形式向采购人提出质疑。采购人认为有必要对响应人所提质疑进行答复时，将以书面形式进行答复。</w:t>
      </w:r>
    </w:p>
    <w:p w14:paraId="728FD021">
      <w:r>
        <w:rPr>
          <w:rFonts w:hint="eastAsia"/>
        </w:rPr>
        <w:t>10.4 响应人对采购人的答复不满意或者有质疑，可向采购人纪检监察部投诉。</w:t>
      </w:r>
    </w:p>
    <w:p w14:paraId="2478F0B2">
      <w:r>
        <w:rPr>
          <w:rFonts w:hint="eastAsia"/>
        </w:rPr>
        <w:t>采购质疑邮箱：</w:t>
      </w:r>
      <w:r>
        <w:t>sx.jcb@ccqtgb.com</w:t>
      </w:r>
    </w:p>
    <w:p w14:paraId="0A007873">
      <w:r>
        <w:rPr>
          <w:rFonts w:hint="eastAsia"/>
        </w:rPr>
        <w:t>采购投诉邮箱：</w:t>
      </w:r>
      <w:bookmarkStart w:id="40" w:name="_Hlk74215856"/>
      <w:r>
        <w:rPr>
          <w:rFonts w:hint="eastAsia"/>
        </w:rPr>
        <w:t>sxyhjjz@</w:t>
      </w:r>
      <w:r>
        <w:t>ccqtgb</w:t>
      </w:r>
      <w:r>
        <w:rPr>
          <w:rFonts w:hint="eastAsia"/>
        </w:rPr>
        <w:t>.com</w:t>
      </w:r>
      <w:bookmarkEnd w:id="40"/>
    </w:p>
    <w:p w14:paraId="20E74B66">
      <w:pPr>
        <w:pStyle w:val="3"/>
      </w:pPr>
      <w:bookmarkStart w:id="41" w:name="_Toc11439"/>
      <w:bookmarkStart w:id="42" w:name="_Toc275199618"/>
      <w:bookmarkStart w:id="43" w:name="_Toc15059431"/>
      <w:bookmarkStart w:id="44" w:name="_Toc440628924"/>
      <w:bookmarkStart w:id="45" w:name="_Toc89675157"/>
      <w:r>
        <w:rPr>
          <w:rFonts w:hint="eastAsia"/>
        </w:rPr>
        <w:t>11. 无效响应条款</w:t>
      </w:r>
      <w:bookmarkEnd w:id="41"/>
      <w:bookmarkEnd w:id="42"/>
      <w:bookmarkEnd w:id="43"/>
      <w:bookmarkEnd w:id="44"/>
      <w:bookmarkEnd w:id="45"/>
    </w:p>
    <w:p w14:paraId="35E164BB">
      <w:r>
        <w:rPr>
          <w:rFonts w:hint="eastAsia"/>
        </w:rPr>
        <w:t>响应人或其响应文件出现下列情况之一者，应为无效响应：</w:t>
      </w:r>
    </w:p>
    <w:p w14:paraId="348F76A3">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59ABE258">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B23276A">
      <w:r>
        <w:rPr>
          <w:rFonts w:hint="eastAsia"/>
        </w:rPr>
        <w:t>11.3 响应人超出其营业执照或事业单位法人证书上经营范围（业务范围）响应的。</w:t>
      </w:r>
    </w:p>
    <w:p w14:paraId="6E7CAB90">
      <w:r>
        <w:rPr>
          <w:rFonts w:hint="eastAsia"/>
        </w:rPr>
        <w:t>11.4 单位负责人为同一人或者存在直接控股、管理关系的不同响应人，不得参加同一合同项下的采购活动。</w:t>
      </w:r>
    </w:p>
    <w:p w14:paraId="3F3F361A">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68667B99">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65E26655">
      <w:r>
        <w:rPr>
          <w:rFonts w:hint="eastAsia"/>
        </w:rPr>
        <w:t>11.7 响应文件</w:t>
      </w:r>
      <w:r>
        <w:t>出现多个</w:t>
      </w:r>
      <w:r>
        <w:rPr>
          <w:rFonts w:hint="eastAsia"/>
        </w:rPr>
        <w:t>响应</w:t>
      </w:r>
      <w:r>
        <w:t>方案或</w:t>
      </w:r>
      <w:r>
        <w:rPr>
          <w:rFonts w:hint="eastAsia"/>
        </w:rPr>
        <w:t>响应报价</w:t>
      </w:r>
      <w:r>
        <w:t>的</w:t>
      </w:r>
      <w:r>
        <w:rPr>
          <w:rFonts w:hint="eastAsia"/>
        </w:rPr>
        <w:t>。</w:t>
      </w:r>
    </w:p>
    <w:p w14:paraId="7DDCC28E">
      <w:r>
        <w:rPr>
          <w:rFonts w:hint="eastAsia"/>
        </w:rPr>
        <w:t>11.8 响应报价</w:t>
      </w:r>
      <w:r>
        <w:t>超出最高限价的</w:t>
      </w:r>
      <w:r>
        <w:rPr>
          <w:rFonts w:hint="eastAsia"/>
        </w:rPr>
        <w:t>。</w:t>
      </w:r>
    </w:p>
    <w:p w14:paraId="39F18D08">
      <w:r>
        <w:rPr>
          <w:rFonts w:hint="eastAsia"/>
        </w:rPr>
        <w:t>11.9 响应文件</w:t>
      </w:r>
      <w:r>
        <w:t>含有违反国家法律、法规的内容，或附有</w:t>
      </w:r>
      <w:r>
        <w:rPr>
          <w:rFonts w:hint="eastAsia"/>
        </w:rPr>
        <w:t>采购人</w:t>
      </w:r>
      <w:r>
        <w:t>不能接受的条件的。</w:t>
      </w:r>
    </w:p>
    <w:p w14:paraId="55398216">
      <w:r>
        <w:rPr>
          <w:rFonts w:hint="eastAsia"/>
        </w:rPr>
        <w:t>11.10 出现影响询比公正的违法、违规行为的。</w:t>
      </w:r>
    </w:p>
    <w:p w14:paraId="397C32F0">
      <w:r>
        <w:rPr>
          <w:rFonts w:hint="eastAsia"/>
        </w:rPr>
        <w:t>11.11 与采购人、评审专家、其他响应人恶意串通。</w:t>
      </w:r>
    </w:p>
    <w:p w14:paraId="3CDA5EC9">
      <w:r>
        <w:rPr>
          <w:rFonts w:hint="eastAsia"/>
        </w:rPr>
        <w:t>11.12 参与响应的法人发生合并、分立、破产等重大变化后，不再具备询比要求的资格条件的。</w:t>
      </w:r>
    </w:p>
    <w:p w14:paraId="6F920167">
      <w:r>
        <w:rPr>
          <w:rFonts w:hint="eastAsia"/>
        </w:rPr>
        <w:t>11.13 提供虚假材料谋取成交资格的。</w:t>
      </w:r>
    </w:p>
    <w:p w14:paraId="3B070F3B">
      <w:r>
        <w:rPr>
          <w:rFonts w:hint="eastAsia"/>
        </w:rPr>
        <w:t>11.14 响应文件含有采购人不能接受的附件条件的。</w:t>
      </w:r>
    </w:p>
    <w:p w14:paraId="17C4EF98">
      <w:pPr>
        <w:pStyle w:val="3"/>
      </w:pPr>
      <w:r>
        <w:rPr>
          <w:rFonts w:hint="eastAsia"/>
        </w:rPr>
        <w:t>12. 询比失败情形</w:t>
      </w:r>
    </w:p>
    <w:p w14:paraId="76CB0806">
      <w:r>
        <w:rPr>
          <w:rFonts w:hint="eastAsia"/>
        </w:rPr>
        <w:t>12.1 出现以下情形本次询比失败：</w:t>
      </w:r>
    </w:p>
    <w:p w14:paraId="33904A60">
      <w:r>
        <w:rPr>
          <w:rFonts w:hint="eastAsia"/>
        </w:rPr>
        <w:t>12.1.1 首次询比的项目，截至响应截止时间，响应人少于3个的。</w:t>
      </w:r>
    </w:p>
    <w:p w14:paraId="5CFF1CFB">
      <w:r>
        <w:rPr>
          <w:rFonts w:hint="eastAsia"/>
        </w:rPr>
        <w:t>12.1.2 经评审委员会评审后否决所有响应的。</w:t>
      </w:r>
    </w:p>
    <w:p w14:paraId="11D5AEF4">
      <w:r>
        <w:rPr>
          <w:rFonts w:hint="eastAsia"/>
        </w:rPr>
        <w:t>12.1.3 法律法规规定的其他情形。</w:t>
      </w:r>
    </w:p>
    <w:p w14:paraId="7729D0A3">
      <w:r>
        <w:rPr>
          <w:rFonts w:hint="eastAsia"/>
        </w:rPr>
        <w:t>12.2 重新询比和不再询比</w:t>
      </w:r>
    </w:p>
    <w:p w14:paraId="68666BB2">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7656D942">
      <w:pPr>
        <w:pStyle w:val="3"/>
      </w:pPr>
      <w:r>
        <w:rPr>
          <w:rFonts w:hint="eastAsia"/>
        </w:rPr>
        <w:t>13. 终止</w:t>
      </w:r>
      <w:bookmarkEnd w:id="39"/>
      <w:r>
        <w:rPr>
          <w:rFonts w:hint="eastAsia"/>
        </w:rPr>
        <w:t>询比</w:t>
      </w:r>
    </w:p>
    <w:p w14:paraId="1DB01A04">
      <w:r>
        <w:rPr>
          <w:rFonts w:hint="eastAsia"/>
        </w:rPr>
        <w:t>13.1 因情况发生变化或其他原因造成该项目取消的，本次询比自动终止，双方互不承担责任，采购人有息退还响应保证金。</w:t>
      </w:r>
    </w:p>
    <w:p w14:paraId="7C31B2DE">
      <w:r>
        <w:rPr>
          <w:rFonts w:hint="eastAsia"/>
        </w:rPr>
        <w:t>13.2 签订合同之前，采购人发现成交候选人经营、财务状况发生较大变化或存在违法行为，采购人认为可能影响其履约能力的，采购人可废除成交供应商或成交候选人资格。</w:t>
      </w:r>
    </w:p>
    <w:p w14:paraId="5927B8F6">
      <w:pPr>
        <w:pStyle w:val="3"/>
      </w:pPr>
      <w:r>
        <w:rPr>
          <w:rFonts w:hint="eastAsia"/>
        </w:rPr>
        <w:t>14. 参与项目费用</w:t>
      </w:r>
    </w:p>
    <w:p w14:paraId="2B978B2A">
      <w:r>
        <w:rPr>
          <w:rFonts w:hint="eastAsia"/>
        </w:rPr>
        <w:t>响应人参与本询比项目时，一切与响应有关的费用均由响应人自理。</w:t>
      </w:r>
    </w:p>
    <w:p w14:paraId="622FECE5">
      <w:pPr>
        <w:rPr>
          <w:rFonts w:hint="eastAsia"/>
        </w:rPr>
      </w:pPr>
      <w:r>
        <w:rPr>
          <w:rFonts w:hint="eastAsia"/>
        </w:rPr>
        <w:t>本项目平台服务费为</w:t>
      </w:r>
      <w:r>
        <w:rPr>
          <w:rFonts w:hint="eastAsia"/>
          <w:lang w:val="en-US" w:eastAsia="zh-CN"/>
        </w:rPr>
        <w:t xml:space="preserve"> </w:t>
      </w:r>
      <w:r>
        <w:rPr>
          <w:rFonts w:hint="eastAsia"/>
        </w:rPr>
        <w:t>15000</w:t>
      </w:r>
      <w:r>
        <w:rPr>
          <w:rFonts w:hint="eastAsia"/>
          <w:lang w:val="en-US" w:eastAsia="zh-CN"/>
        </w:rPr>
        <w:t xml:space="preserve"> </w:t>
      </w:r>
      <w:r>
        <w:rPr>
          <w:rFonts w:hint="eastAsia"/>
        </w:rPr>
        <w:t>元，由成交供应商向重庆联合产权交易所集团股份有限公司支付。成交供应商应在领取成交通知书时一次性缴纳，请各响应人综合考虑进行报价。</w:t>
      </w:r>
    </w:p>
    <w:p w14:paraId="0FF0FE52">
      <w:r>
        <w:br w:type="page"/>
      </w:r>
    </w:p>
    <w:p w14:paraId="61915E25">
      <w:pPr>
        <w:pStyle w:val="2"/>
      </w:pPr>
      <w:bookmarkStart w:id="46" w:name="_Toc1052"/>
      <w:r>
        <w:rPr>
          <w:rFonts w:hint="eastAsia"/>
        </w:rPr>
        <w:t>第三章 项目要求</w:t>
      </w:r>
      <w:bookmarkEnd w:id="46"/>
    </w:p>
    <w:p w14:paraId="4BA478A9">
      <w:pPr>
        <w:pStyle w:val="3"/>
        <w:ind w:left="360" w:hanging="360"/>
      </w:pPr>
      <w:r>
        <w:t>1.</w:t>
      </w:r>
      <w:r>
        <w:rPr>
          <w:rFonts w:hint="eastAsia"/>
        </w:rPr>
        <w:t xml:space="preserve"> 总体要求</w:t>
      </w:r>
    </w:p>
    <w:p w14:paraId="056D6FD5">
      <w:r>
        <w:rPr>
          <w:rFonts w:hint="eastAsia" w:hAnsi="方正仿宋_GBK"/>
        </w:rPr>
        <w:t>完善我行流量监测平台覆盖范围，有效提升我行整体网络安全监测响应能力</w:t>
      </w:r>
      <w:r>
        <w:rPr>
          <w:rFonts w:hAnsi="方正仿宋_GBK"/>
        </w:rPr>
        <w:t>。本次采购信创流量探针1台，信创流量监测平台1台，具体参数详见第三章第3条技术要求。</w:t>
      </w:r>
    </w:p>
    <w:p w14:paraId="7C606EFC">
      <w:pPr>
        <w:pStyle w:val="3"/>
        <w:ind w:left="360" w:hanging="360"/>
      </w:pPr>
      <w:r>
        <w:t>2.</w:t>
      </w:r>
      <w:r>
        <w:rPr>
          <w:rFonts w:hint="eastAsia"/>
        </w:rPr>
        <w:t xml:space="preserve"> 项目要求</w:t>
      </w:r>
    </w:p>
    <w:p w14:paraId="0651FFDE">
      <w:r>
        <w:rPr>
          <w:rFonts w:hint="eastAsia"/>
        </w:rPr>
        <w:t>2</w:t>
      </w:r>
      <w:r>
        <w:t xml:space="preserve">.1 </w:t>
      </w:r>
      <w:r>
        <w:rPr>
          <w:rFonts w:hint="eastAsia"/>
        </w:rPr>
        <w:t>项目要求</w:t>
      </w:r>
    </w:p>
    <w:p w14:paraId="5DF21E09">
      <w:r>
        <w:t>1</w:t>
      </w:r>
      <w:r>
        <w:rPr>
          <w:rFonts w:hint="eastAsia"/>
        </w:rPr>
        <w:t>）此次采购的设备应与具有相应的后续扩容性，满足市场主流产品的兼容性；</w:t>
      </w:r>
    </w:p>
    <w:p w14:paraId="0C1074BD">
      <w:r>
        <w:t>2</w:t>
      </w:r>
      <w:r>
        <w:rPr>
          <w:rFonts w:hint="eastAsia"/>
        </w:rPr>
        <w:t>）保证所采购设备均为原厂正规渠道行货，供货商需获得原厂授权证明文件。</w:t>
      </w:r>
    </w:p>
    <w:p w14:paraId="2D0E2D58">
      <w:r>
        <w:rPr>
          <w:rFonts w:hint="eastAsia"/>
        </w:rPr>
        <w:t>2</w:t>
      </w:r>
      <w:r>
        <w:t xml:space="preserve">.2 </w:t>
      </w:r>
      <w:r>
        <w:rPr>
          <w:rFonts w:hint="eastAsia"/>
        </w:rPr>
        <w:t>下列技术要求是对本次采购设备的关键性描述，响应人必须严格遵守：</w:t>
      </w:r>
    </w:p>
    <w:p w14:paraId="4D50AB18">
      <w:r>
        <w:rPr>
          <w:rFonts w:hint="eastAsia"/>
        </w:rPr>
        <w:t>1）先进性：技术选择考虑先进性，即采用业界先进的、主流技术来进行设计。</w:t>
      </w:r>
    </w:p>
    <w:p w14:paraId="33450640">
      <w:r>
        <w:rPr>
          <w:rFonts w:hint="eastAsia"/>
        </w:rPr>
        <w:t>2）成熟性：采用成熟的技术及成熟产品和经过工程实践检验的先进技术。</w:t>
      </w:r>
    </w:p>
    <w:p w14:paraId="2594F429">
      <w:r>
        <w:rPr>
          <w:rFonts w:hint="eastAsia"/>
        </w:rPr>
        <w:t>3）开放性：系统采用开放的技术标准，保证将来交互平台的延展使用。</w:t>
      </w:r>
    </w:p>
    <w:p w14:paraId="67D266DC">
      <w:r>
        <w:rPr>
          <w:rFonts w:hint="eastAsia"/>
        </w:rPr>
        <w:t>4）标准化：系统采用标准化的设计和标准化的主流产品。</w:t>
      </w:r>
    </w:p>
    <w:p w14:paraId="5B9BE561">
      <w:r>
        <w:rPr>
          <w:rFonts w:hint="eastAsia"/>
        </w:rPr>
        <w:t>5）可扩展性：本次设备采购充分考虑未来3年的发展，为将来的扩展留有余地。</w:t>
      </w:r>
    </w:p>
    <w:p w14:paraId="47072631">
      <w:r>
        <w:rPr>
          <w:rFonts w:hint="eastAsia"/>
        </w:rPr>
        <w:t>6）安全性及可靠性：包括系统自身安全和信息传递的安全。</w:t>
      </w:r>
    </w:p>
    <w:p w14:paraId="50D0ECE8">
      <w:r>
        <w:rPr>
          <w:rFonts w:hint="eastAsia"/>
        </w:rPr>
        <w:t>7）兼容性：本次采购的设备可以接入未来互联网视频会议设备主流产品。</w:t>
      </w:r>
    </w:p>
    <w:p w14:paraId="0F0B9691">
      <w:pPr>
        <w:pStyle w:val="3"/>
        <w:ind w:left="360" w:hanging="360"/>
      </w:pPr>
      <w:r>
        <w:t>3.</w:t>
      </w:r>
      <w:r>
        <w:rPr>
          <w:rFonts w:hint="eastAsia"/>
        </w:rPr>
        <w:t xml:space="preserve"> </w:t>
      </w:r>
      <w:r>
        <w:t>技术</w:t>
      </w:r>
      <w:r>
        <w:rPr>
          <w:rFonts w:hint="eastAsia"/>
        </w:rPr>
        <w:t>要求</w:t>
      </w:r>
    </w:p>
    <w:p w14:paraId="6B9ACAE5">
      <w:pPr>
        <w:rPr>
          <w:rFonts w:ascii="宋体"/>
          <w:b/>
          <w:szCs w:val="24"/>
        </w:rPr>
      </w:pPr>
      <w:r>
        <w:t>在本次询比中，响应人须保证所提供的设备满足下列相关指</w:t>
      </w:r>
      <w:bookmarkStart w:id="47" w:name="OLE_LINK1"/>
      <w:r>
        <w:t>标</w:t>
      </w:r>
      <w:bookmarkEnd w:id="47"/>
      <w:r>
        <w:t>要求，并在不影响应用运行及改变系统架构前提下，能平滑过渡升级满足未来3至5年的需求，并提供本项目涉及软硬件的5年原厂维保服务及7*24*4原厂响应服务。</w:t>
      </w:r>
      <w:r>
        <w:rPr>
          <w:rFonts w:hint="eastAsia" w:ascii="宋体"/>
          <w:b/>
          <w:szCs w:val="24"/>
        </w:rPr>
        <w:t>所有技术参数要求皆可正偏离，</w:t>
      </w:r>
      <w:r>
        <w:rPr>
          <w:rFonts w:ascii="宋体"/>
          <w:b/>
          <w:szCs w:val="24"/>
        </w:rPr>
        <w:t>不接受有负偏离项</w:t>
      </w:r>
      <w:r>
        <w:rPr>
          <w:rFonts w:hint="eastAsia" w:ascii="宋体"/>
          <w:b/>
          <w:szCs w:val="24"/>
        </w:rPr>
        <w:t>【根据第三章第</w:t>
      </w:r>
      <w:r>
        <w:rPr>
          <w:rFonts w:ascii="宋体"/>
          <w:b/>
          <w:szCs w:val="24"/>
        </w:rPr>
        <w:t>3</w:t>
      </w:r>
      <w:r>
        <w:rPr>
          <w:rFonts w:hint="eastAsia" w:ascii="宋体"/>
          <w:b/>
          <w:szCs w:val="24"/>
        </w:rPr>
        <w:t>条“技术要求”提供对应标段内容的技术条款偏离表】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7353"/>
      </w:tblGrid>
      <w:tr w14:paraId="0CC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9" w:type="dxa"/>
            <w:gridSpan w:val="2"/>
            <w:tcBorders>
              <w:top w:val="single" w:color="auto" w:sz="4" w:space="0"/>
              <w:left w:val="single" w:color="auto" w:sz="4" w:space="0"/>
              <w:bottom w:val="single" w:color="auto" w:sz="4" w:space="0"/>
              <w:right w:val="single" w:color="auto" w:sz="4" w:space="0"/>
            </w:tcBorders>
            <w:shd w:val="clear" w:color="auto" w:fill="auto"/>
          </w:tcPr>
          <w:p w14:paraId="72406BA0">
            <w:pPr>
              <w:spacing w:line="240" w:lineRule="auto"/>
              <w:ind w:firstLine="0" w:firstLineChars="0"/>
              <w:jc w:val="center"/>
              <w:rPr>
                <w:rFonts w:hint="eastAsia" w:ascii="宋体" w:hAnsi="宋体" w:cs="宋体"/>
                <w:b/>
                <w:bCs/>
                <w:snapToGrid w:val="0"/>
                <w:color w:val="000000"/>
                <w:szCs w:val="21"/>
              </w:rPr>
            </w:pPr>
            <w:r>
              <w:rPr>
                <w:rFonts w:hint="eastAsia" w:ascii="宋体" w:hAnsi="宋体" w:cs="宋体"/>
                <w:b/>
                <w:bCs/>
                <w:snapToGrid w:val="0"/>
                <w:color w:val="000000"/>
                <w:szCs w:val="21"/>
              </w:rPr>
              <w:t>流量监测平台</w:t>
            </w:r>
          </w:p>
        </w:tc>
      </w:tr>
      <w:tr w14:paraId="0FFA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Borders>
              <w:top w:val="single" w:color="auto" w:sz="4" w:space="0"/>
              <w:left w:val="single" w:color="auto" w:sz="4" w:space="0"/>
              <w:bottom w:val="single" w:color="auto" w:sz="4" w:space="0"/>
              <w:right w:val="single" w:color="auto" w:sz="4" w:space="0"/>
            </w:tcBorders>
            <w:shd w:val="clear" w:color="auto" w:fill="auto"/>
          </w:tcPr>
          <w:p w14:paraId="605BDFAB">
            <w:pPr>
              <w:spacing w:line="240" w:lineRule="auto"/>
              <w:ind w:firstLine="0" w:firstLineChars="0"/>
              <w:jc w:val="center"/>
              <w:rPr>
                <w:rFonts w:hint="eastAsia" w:ascii="宋体" w:hAnsi="宋体" w:cs="宋体"/>
                <w:b/>
                <w:bCs/>
                <w:color w:val="000000"/>
                <w:szCs w:val="21"/>
              </w:rPr>
            </w:pPr>
            <w:r>
              <w:rPr>
                <w:rFonts w:hint="eastAsia" w:ascii="宋体" w:hAnsi="宋体" w:cs="宋体"/>
                <w:b/>
                <w:bCs/>
                <w:color w:val="000000"/>
                <w:szCs w:val="21"/>
              </w:rPr>
              <w:t>指标项</w:t>
            </w:r>
          </w:p>
        </w:tc>
        <w:tc>
          <w:tcPr>
            <w:tcW w:w="7353" w:type="dxa"/>
            <w:tcBorders>
              <w:top w:val="single" w:color="auto" w:sz="4" w:space="0"/>
              <w:left w:val="single" w:color="auto" w:sz="4" w:space="0"/>
              <w:bottom w:val="single" w:color="auto" w:sz="4" w:space="0"/>
              <w:right w:val="single" w:color="auto" w:sz="4" w:space="0"/>
            </w:tcBorders>
            <w:shd w:val="clear" w:color="auto" w:fill="auto"/>
          </w:tcPr>
          <w:p w14:paraId="36F8ED9F">
            <w:pPr>
              <w:spacing w:line="240" w:lineRule="auto"/>
              <w:ind w:firstLine="0" w:firstLineChars="0"/>
              <w:jc w:val="center"/>
              <w:rPr>
                <w:rFonts w:hint="eastAsia" w:ascii="宋体" w:hAnsi="宋体" w:cs="宋体"/>
                <w:b/>
                <w:bCs/>
                <w:color w:val="000000"/>
                <w:szCs w:val="21"/>
              </w:rPr>
            </w:pPr>
            <w:r>
              <w:rPr>
                <w:rFonts w:hint="eastAsia" w:ascii="宋体" w:hAnsi="宋体" w:cs="宋体"/>
                <w:b/>
                <w:bCs/>
                <w:color w:val="000000"/>
                <w:szCs w:val="21"/>
              </w:rPr>
              <w:t>参数要求</w:t>
            </w:r>
          </w:p>
        </w:tc>
      </w:tr>
      <w:tr w14:paraId="0CA6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6651E670">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总体要求</w:t>
            </w:r>
          </w:p>
        </w:tc>
        <w:tc>
          <w:tcPr>
            <w:tcW w:w="7353" w:type="dxa"/>
            <w:tcBorders>
              <w:top w:val="single" w:color="auto" w:sz="4" w:space="0"/>
              <w:left w:val="single" w:color="auto" w:sz="4" w:space="0"/>
              <w:bottom w:val="single" w:color="auto" w:sz="4" w:space="0"/>
              <w:right w:val="single" w:color="auto" w:sz="4" w:space="0"/>
            </w:tcBorders>
            <w:shd w:val="clear" w:color="auto" w:fill="auto"/>
          </w:tcPr>
          <w:p w14:paraId="0BC2CCAC">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非OEM设备，采用国产CPU芯片、国产操作系统；提供国家权威机构出具的检测报告复印件及加盖制造商公章；设备采用国产操作系统；需详细说明操作系统版本号。</w:t>
            </w:r>
          </w:p>
          <w:p w14:paraId="1201A70A">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平台支持横向扩容，安全分析性能不足时，在不影响安全检测分析同时平滑扩容平台节点，提升分析处理性能；</w:t>
            </w:r>
          </w:p>
          <w:p w14:paraId="36CDF245">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支持纳管行内原有流量监测平台；</w:t>
            </w:r>
          </w:p>
        </w:tc>
      </w:tr>
      <w:tr w14:paraId="4DF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52F584E3">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硬件参数</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45F5D0FA">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平台要求：</w:t>
            </w:r>
          </w:p>
          <w:p w14:paraId="7C47CAF6">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双交流电源，最大日志处理速度≥30000eps；≥2个千兆电口、≥4个万兆光口插槽、≥4个扩展槽；≥32核CPU，≥96G内存，≥960G SSD+64TSATA存储，提供威胁情报、威胁规则库等软件升级服务。</w:t>
            </w:r>
          </w:p>
          <w:p w14:paraId="74AE25C8">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探针要求：</w:t>
            </w:r>
          </w:p>
          <w:p w14:paraId="0174149C">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双交流电源，流量处理能力≥15G；≥4个千兆电口、≥4个万兆光口插槽、≥6个扩展槽；≥48核CPU，≥128G内存，≥8TSATA存储，提供威胁情报、威胁规则库等软件升级服务。</w:t>
            </w:r>
          </w:p>
        </w:tc>
      </w:tr>
      <w:tr w14:paraId="57C6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vMerge w:val="restart"/>
            <w:tcBorders>
              <w:top w:val="single" w:color="auto" w:sz="4" w:space="0"/>
              <w:left w:val="single" w:color="auto" w:sz="4" w:space="0"/>
              <w:right w:val="single" w:color="auto" w:sz="4" w:space="0"/>
            </w:tcBorders>
            <w:shd w:val="clear" w:color="auto" w:fill="auto"/>
            <w:vAlign w:val="center"/>
          </w:tcPr>
          <w:p w14:paraId="48188842">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流量采集与识别</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55EB8666">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支持IPv4和IPv6网络环境下的部署，接口支持IPv4、IPv6配置，支持对IPv4路由监控和对IPv6路由监控，可同时对IPv4和IPv6网络流量分析检测。</w:t>
            </w:r>
          </w:p>
        </w:tc>
      </w:tr>
      <w:tr w14:paraId="7826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vMerge w:val="continue"/>
            <w:tcBorders>
              <w:left w:val="single" w:color="auto" w:sz="4" w:space="0"/>
              <w:right w:val="single" w:color="auto" w:sz="4" w:space="0"/>
            </w:tcBorders>
            <w:shd w:val="clear" w:color="auto" w:fill="auto"/>
            <w:vAlign w:val="center"/>
          </w:tcPr>
          <w:p w14:paraId="31C2512A"/>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58E2DE68">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常见协议识别并还原网络流量，用于取证分析、威胁发现，支持：tcp、udp、icmp、http、dns、dhcp、smtp、pop3、imap、webmail、db2、oracle、mysql、mssql-db、sctp、sybase、smb、sip、ftp、snmp、telnet、nfs、ssl、ssh、ldap、radius、kerberos、netbios、ntp、vnc、ipv6、tidb、kingbase、mqtt等。</w:t>
            </w:r>
          </w:p>
        </w:tc>
      </w:tr>
      <w:tr w14:paraId="036B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6" w:type="dxa"/>
            <w:vMerge w:val="continue"/>
            <w:tcBorders>
              <w:left w:val="single" w:color="auto" w:sz="4" w:space="0"/>
              <w:right w:val="single" w:color="auto" w:sz="4" w:space="0"/>
            </w:tcBorders>
            <w:shd w:val="clear" w:color="auto" w:fill="auto"/>
            <w:vAlign w:val="center"/>
          </w:tcPr>
          <w:p w14:paraId="17ABDE91"/>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7D553165">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配置网络日志外发的标准模式、精简模式、自定义模式，支持外发的网络日志的类型包括：TCP流量、UDP流量、异常流量、SSL加密协商、登录行为、域名解析、文件传输、FTP控制通道、LDAP行为、web访问、邮件行为、数据库操作、telnet命令、旁路阻断、MQ流量、Radius行为、Kerberos行为、ICMP流量、syn流量、DHCP解析等20种网络日志。每种网络日志，都支持自定义配置外发的字段。（提供能够体现上述功能及配置选项的截图并加盖制造商公章）</w:t>
            </w:r>
          </w:p>
        </w:tc>
      </w:tr>
      <w:tr w14:paraId="22A2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vMerge w:val="continue"/>
            <w:tcBorders>
              <w:left w:val="single" w:color="auto" w:sz="4" w:space="0"/>
              <w:right w:val="single" w:color="auto" w:sz="4" w:space="0"/>
            </w:tcBorders>
            <w:shd w:val="clear" w:color="auto" w:fill="auto"/>
            <w:vAlign w:val="center"/>
          </w:tcPr>
          <w:p w14:paraId="01F29C22"/>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2A0D98EA">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支持对HTTP、FTP_DATA、SMB、SMTP、POP3、WEBMAIL、IMAP、TFTP、NFS等类型协议流量中出现文件传输行为进行发现和还原，并记录文件MD5发送至平台设备</w:t>
            </w:r>
          </w:p>
        </w:tc>
      </w:tr>
      <w:tr w14:paraId="0AB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66" w:type="dxa"/>
            <w:vMerge w:val="continue"/>
            <w:tcBorders>
              <w:left w:val="single" w:color="auto" w:sz="4" w:space="0"/>
              <w:bottom w:val="single" w:color="auto" w:sz="4" w:space="0"/>
              <w:right w:val="single" w:color="auto" w:sz="4" w:space="0"/>
            </w:tcBorders>
            <w:shd w:val="clear" w:color="auto" w:fill="auto"/>
            <w:vAlign w:val="center"/>
          </w:tcPr>
          <w:p w14:paraId="541D9948"/>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35C7F590">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支持手动和FTP方式批量导入PCAP包对离线流量采集，文件大小不低于1个G；并记录PCAP包导入记录及检测状态。</w:t>
            </w:r>
          </w:p>
        </w:tc>
      </w:tr>
      <w:tr w14:paraId="1A42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E1EB3">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流量威胁检测</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62DDCE9D">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常见攻击行为检测，支持HTTP双向流量动态检测，检出类型包括：SQL注入，命令执行，代码执行，跨站脚本攻击，权限绕过，暴力破解，扫描工具，数据库攻击，敏感信息泄露，挖矿检测，蠕虫传播，目录遍历，文件包含等。</w:t>
            </w:r>
          </w:p>
        </w:tc>
      </w:tr>
      <w:tr w14:paraId="2762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BE0E8"/>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022DA96D">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支持网络攻击检测，检出类型包括：各种协议的帐号暴力破解，Mysql UDF提权攻击、Microsoft Windows NetLogon权限提升漏洞攻击，向日葵、TeamViewer，psexec远程执行、smbexec在目标上远程执行命令，DCSync_DCShadow疑似攻击、域用户口令爆破行为、域内密码喷洒攻击，njRat后门程序变种通信行为、Cobaltstrike HTTPS beacon通信等</w:t>
            </w:r>
          </w:p>
        </w:tc>
      </w:tr>
      <w:tr w14:paraId="097F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2DB15"/>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5B91A58C">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灵活开启机器学习模型，增强检测精度，模型至少包括：ICMP隧道检测、DNSTunnel检测、HTTP隧道检测、CS流量检测、MSF检测、挖矿流量检测、代理流量检测、暗网流量检测、弱口令检测、SSH爆破登录成功检测。（提供能够体现上述功能及配置选项的截图并加盖制造商公章）</w:t>
            </w:r>
          </w:p>
        </w:tc>
      </w:tr>
      <w:tr w14:paraId="6D7D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49877"/>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1B47DC2C">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隐秘信道检测。检测类型包括：ICMP、DNS协议等隐蔽隧道攻击检测，恶意软件加密通信的检测，加密web应用的流量检测，非法应用加密通信的检测，SSL加密协议相关的漏洞与攻击的检测，加密通道攻击行为检测，支持JA3指纹检测。</w:t>
            </w:r>
          </w:p>
        </w:tc>
      </w:tr>
      <w:tr w14:paraId="6391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restart"/>
            <w:tcBorders>
              <w:top w:val="single" w:color="auto" w:sz="4" w:space="0"/>
              <w:left w:val="single" w:color="auto" w:sz="4" w:space="0"/>
              <w:right w:val="single" w:color="auto" w:sz="4" w:space="0"/>
            </w:tcBorders>
            <w:shd w:val="clear" w:color="auto" w:fill="auto"/>
            <w:vAlign w:val="center"/>
          </w:tcPr>
          <w:p w14:paraId="49145F1B">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资产识别与管理</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569A24E1">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支持基于流量和终端来识别资产信息；支持对资产进行标签化、权重管理，资产分组，地理信息配置功能；支持从资产访问关系，资产漏洞，资产基线维度，漏洞众测平台联动维度分析资产。</w:t>
            </w:r>
          </w:p>
        </w:tc>
      </w:tr>
      <w:tr w14:paraId="133C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bottom w:val="single" w:color="auto" w:sz="4" w:space="0"/>
              <w:right w:val="single" w:color="auto" w:sz="4" w:space="0"/>
            </w:tcBorders>
            <w:shd w:val="clear" w:color="auto" w:fill="auto"/>
            <w:vAlign w:val="center"/>
          </w:tcPr>
          <w:p w14:paraId="1055FFB5"/>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41EBC08F">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通过主机资产详情查看全部关联告警，关联告警支持按照IP归并，支持多维度统计，包括但不限于：告警资产数量，不同攻击结果/攻击维度的资产数量，失陷资产组分布，未处置告警/全部告警、不同攻击结果/攻击维度告警数量、告警类型分布情况、攻击阶段分布情况、告警趋势图。（提供能够体现上述功能及配置选项的截图并加盖制造商公章）</w:t>
            </w:r>
          </w:p>
        </w:tc>
      </w:tr>
      <w:tr w14:paraId="6FD2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restart"/>
            <w:tcBorders>
              <w:top w:val="single" w:color="auto" w:sz="4" w:space="0"/>
              <w:left w:val="single" w:color="auto" w:sz="4" w:space="0"/>
              <w:right w:val="single" w:color="auto" w:sz="4" w:space="0"/>
            </w:tcBorders>
            <w:shd w:val="clear" w:color="auto" w:fill="auto"/>
            <w:vAlign w:val="center"/>
          </w:tcPr>
          <w:p w14:paraId="70324725">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威胁情报告警检测</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0B529497">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基于流量日志进行实时和历史回溯的威胁情报匹配，并自动标记告警标签，包括：情报回溯、自定义情报、内生情报等；IOC类型包括IP，域名等类型，情报总量不低于700万条；检测类型包含APT事件、僵尸网络、勒索软件、黑市工具、远控木马、窃密木马、网络蠕虫、流氓推广、恶意下载、感染型病毒、挖矿病毒、其他恶意软件。</w:t>
            </w:r>
          </w:p>
        </w:tc>
      </w:tr>
      <w:tr w14:paraId="0E40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right w:val="single" w:color="auto" w:sz="4" w:space="0"/>
            </w:tcBorders>
            <w:shd w:val="clear" w:color="auto" w:fill="auto"/>
            <w:vAlign w:val="center"/>
          </w:tcPr>
          <w:p w14:paraId="28CD2C41"/>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0FE6A46B">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支持专项统计分析告警命中的威胁情报，支持对检索结果进行实时统计，包括威胁事件数量、影响资产数量、威胁类型统计、威胁级别分布等。</w:t>
            </w:r>
          </w:p>
        </w:tc>
      </w:tr>
      <w:tr w14:paraId="7C8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bottom w:val="single" w:color="auto" w:sz="4" w:space="0"/>
              <w:right w:val="single" w:color="auto" w:sz="4" w:space="0"/>
            </w:tcBorders>
            <w:shd w:val="clear" w:color="auto" w:fill="auto"/>
            <w:vAlign w:val="center"/>
          </w:tcPr>
          <w:p w14:paraId="64D4522A"/>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0AEFD998">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支持基于文件动态检测发现有外联行为的IP和域名生成可疑的IOC列表，人工确认后生成IOC。（提供能够体现上述功能及配置选项的截图并加盖制造商公章）</w:t>
            </w:r>
          </w:p>
        </w:tc>
      </w:tr>
      <w:tr w14:paraId="231F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tcBorders>
              <w:left w:val="single" w:color="auto" w:sz="4" w:space="0"/>
              <w:right w:val="single" w:color="auto" w:sz="4" w:space="0"/>
            </w:tcBorders>
            <w:shd w:val="clear" w:color="auto" w:fill="auto"/>
            <w:vAlign w:val="center"/>
          </w:tcPr>
          <w:p w14:paraId="56F0806A">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重保模式</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7A6B4F11">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支持在重保期间进行专项分析呈现，阶段分为初始化阶段，备战阶段，实战阶段，战后阶段</w:t>
            </w:r>
          </w:p>
        </w:tc>
      </w:tr>
      <w:tr w14:paraId="5495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restart"/>
            <w:tcBorders>
              <w:left w:val="single" w:color="auto" w:sz="4" w:space="0"/>
              <w:right w:val="single" w:color="auto" w:sz="4" w:space="0"/>
            </w:tcBorders>
            <w:shd w:val="clear" w:color="auto" w:fill="auto"/>
            <w:vAlign w:val="center"/>
          </w:tcPr>
          <w:p w14:paraId="59177EEC">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告警分析</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1AF43ED2">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支持对告警进行自动化分类，支持将告警自动划分为人工渗透、自动化攻击、业务风险及其他威胁四大类别，自动区分低价值告警，突出高风险告警、快速锁定关键威胁。</w:t>
            </w:r>
          </w:p>
        </w:tc>
      </w:tr>
      <w:tr w14:paraId="1F5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right w:val="single" w:color="auto" w:sz="4" w:space="0"/>
            </w:tcBorders>
            <w:shd w:val="clear" w:color="auto" w:fill="auto"/>
            <w:vAlign w:val="center"/>
          </w:tcPr>
          <w:p w14:paraId="03E0B6AA"/>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0B5171FE">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支持对勒索告警进行专项分析，可识别勒索家族包括：Cerber、Tescrypt、Strictor、WannaCry等。</w:t>
            </w:r>
          </w:p>
        </w:tc>
      </w:tr>
      <w:tr w14:paraId="0BE0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right w:val="single" w:color="auto" w:sz="4" w:space="0"/>
            </w:tcBorders>
            <w:shd w:val="clear" w:color="auto" w:fill="auto"/>
            <w:vAlign w:val="center"/>
          </w:tcPr>
          <w:p w14:paraId="5B6A9E89"/>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60B1227B">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识别24+币种。币种类型包括：比特币、比特现金、以太坊、以太经典、莱特币、CKB、渡鸦币、大零币、ZEN、KDA、HNS、德信币、达世币、云储币、尔格币、CFX、MEER、小零币、极特币、XVG、CHI、STC、门罗币、TON等，挖矿病毒威胁情报数不低于98000。</w:t>
            </w:r>
          </w:p>
        </w:tc>
      </w:tr>
      <w:tr w14:paraId="5265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right w:val="single" w:color="auto" w:sz="4" w:space="0"/>
            </w:tcBorders>
            <w:shd w:val="clear" w:color="auto" w:fill="auto"/>
            <w:vAlign w:val="center"/>
          </w:tcPr>
          <w:p w14:paraId="6ECD36CC"/>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5E4C70D9">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支持以单独威胁情报、应用安全、系统安全和设备安全专项分析页面。其中应用安全具备web安全、数据库安全、中间件安全和邮件安全分析纬度；系统安全具备暴力破解、弱口令和未授权访问分析纬度。</w:t>
            </w:r>
          </w:p>
        </w:tc>
      </w:tr>
      <w:tr w14:paraId="6CE0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right w:val="single" w:color="auto" w:sz="4" w:space="0"/>
            </w:tcBorders>
            <w:shd w:val="clear" w:color="auto" w:fill="auto"/>
            <w:vAlign w:val="center"/>
          </w:tcPr>
          <w:p w14:paraId="6281D055"/>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42DF2F8F">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支持基于网络日志进行专项行为分析，包括：DNS行为，非常规访问，邮件行为，登录行为，WEB行为，数据库行为，访问行为，旁路阻断行为，分析子类不低于27种。</w:t>
            </w:r>
          </w:p>
        </w:tc>
      </w:tr>
      <w:tr w14:paraId="76E0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66" w:type="dxa"/>
            <w:vMerge w:val="continue"/>
            <w:tcBorders>
              <w:left w:val="single" w:color="auto" w:sz="4" w:space="0"/>
              <w:bottom w:val="single" w:color="auto" w:sz="4" w:space="0"/>
              <w:right w:val="single" w:color="auto" w:sz="4" w:space="0"/>
            </w:tcBorders>
            <w:shd w:val="clear" w:color="auto" w:fill="auto"/>
            <w:vAlign w:val="center"/>
          </w:tcPr>
          <w:p w14:paraId="5B122B94"/>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47A18E9F">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对任意线索的自定义拓线及溯源取证分析，支持以可视化分析画布形式展示拓线过程并支持结果快照导出;支持对于给定线索的溯源结果展示，包括但不限于攻击溯源、失陷主机分析、暴力破解分析弱口令分析等。（提供能够体现上述功能及配置选项的截图并加盖制造商公章）</w:t>
            </w:r>
          </w:p>
        </w:tc>
      </w:tr>
      <w:tr w14:paraId="29A6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775EAECB">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可视化大屏</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655FF10D">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支持不少于11个不同维度的可视化大屏态势分析，包括：综合态势，挖矿态势，威胁事件态势，资产态势，外部访问态势，横向访问态势， 外联访问态势，脆弱性态势，文件威胁态势，邮件威胁态势，威胁感知态势。支持以客户端形式3D可视化效果呈现威胁态势</w:t>
            </w:r>
          </w:p>
        </w:tc>
      </w:tr>
      <w:tr w14:paraId="61C9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F2585">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系统管理</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47992C73">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支持系统日志、告警日志、原始告警等通过syslog，邮件，KAFKA；钉钉、飞书、微信、短信等方式进行外发。</w:t>
            </w:r>
          </w:p>
        </w:tc>
      </w:tr>
      <w:tr w14:paraId="0E05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0B521"/>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281BBC15">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支持与行内桌面终端管理工具联动，系统检测威胁事件后可向行内桌面终端管理工具控制中心下发指令自动执行终端隔离和扫描操作。（提供能够体现上述功能及配置选项的截图或功能承诺函并加盖制造商公章）</w:t>
            </w:r>
          </w:p>
        </w:tc>
      </w:tr>
      <w:tr w14:paraId="06D3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41A8AA1E">
            <w:pPr>
              <w:ind w:firstLine="0" w:firstLineChars="0"/>
            </w:pPr>
            <w:r>
              <w:rPr>
                <w:rFonts w:hint="eastAsia" w:ascii="宋体" w:hAnsi="宋体" w:cs="宋体"/>
                <w:color w:val="000000"/>
                <w:szCs w:val="21"/>
              </w:rPr>
              <w:t>资质要求</w:t>
            </w:r>
          </w:p>
        </w:tc>
        <w:tc>
          <w:tcPr>
            <w:tcW w:w="7353" w:type="dxa"/>
            <w:tcBorders>
              <w:top w:val="single" w:color="auto" w:sz="4" w:space="0"/>
              <w:left w:val="single" w:color="auto" w:sz="4" w:space="0"/>
              <w:bottom w:val="single" w:color="auto" w:sz="4" w:space="0"/>
              <w:right w:val="single" w:color="auto" w:sz="4" w:space="0"/>
            </w:tcBorders>
            <w:shd w:val="clear" w:color="auto" w:fill="auto"/>
            <w:vAlign w:val="center"/>
          </w:tcPr>
          <w:p w14:paraId="7606498F">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产品制造商具有中国信息安全测评中心颁发的国家信息安全测评信息安全服务资质证书（安全工程类三级或以上）。（提供有效证书复印件，加盖制造商公章）</w:t>
            </w:r>
          </w:p>
        </w:tc>
      </w:tr>
      <w:tr w14:paraId="410A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449FF730">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服务</w:t>
            </w:r>
          </w:p>
        </w:tc>
        <w:tc>
          <w:tcPr>
            <w:tcW w:w="7353" w:type="dxa"/>
            <w:tcBorders>
              <w:top w:val="single" w:color="auto" w:sz="4" w:space="0"/>
              <w:left w:val="single" w:color="auto" w:sz="4" w:space="0"/>
              <w:bottom w:val="single" w:color="auto" w:sz="4" w:space="0"/>
              <w:right w:val="single" w:color="auto" w:sz="4" w:space="0"/>
            </w:tcBorders>
            <w:shd w:val="clear" w:color="auto" w:fill="auto"/>
          </w:tcPr>
          <w:p w14:paraId="77513408">
            <w:pPr>
              <w:spacing w:line="240" w:lineRule="auto"/>
              <w:ind w:firstLine="0" w:firstLineChars="0"/>
              <w:rPr>
                <w:rFonts w:hint="eastAsia" w:ascii="宋体" w:hAnsi="宋体" w:cs="宋体"/>
                <w:color w:val="000000"/>
                <w:szCs w:val="21"/>
              </w:rPr>
            </w:pPr>
            <w:r>
              <w:rPr>
                <w:rFonts w:hint="eastAsia" w:ascii="宋体" w:hAnsi="宋体" w:cs="宋体"/>
                <w:color w:val="000000"/>
                <w:szCs w:val="21"/>
              </w:rPr>
              <w:t>要求不少于5年原厂硬件维保及软件功能库升级服务以及软件版本升级服务，要求提供生产厂商7*24等级的技术支持服务，生产厂商在本地有售后服务人员及机构，并在本地设有产品备件库，提供相关证明材料；</w:t>
            </w:r>
          </w:p>
        </w:tc>
      </w:tr>
    </w:tbl>
    <w:p w14:paraId="39A6D40A">
      <w:pPr>
        <w:rPr>
          <w:color w:val="000000"/>
        </w:rPr>
      </w:pPr>
      <w:r>
        <w:rPr>
          <w:rFonts w:hint="eastAsia"/>
          <w:color w:val="000000"/>
        </w:rPr>
        <w:t>响应人需提供上述参数要求中的</w:t>
      </w:r>
      <w:r>
        <w:rPr>
          <w:rFonts w:hint="eastAsia" w:ascii="宋体" w:hAnsi="宋体" w:cs="宋体"/>
          <w:color w:val="000000"/>
          <w:szCs w:val="21"/>
        </w:rPr>
        <w:t>检测报告复印件</w:t>
      </w:r>
      <w:r>
        <w:rPr>
          <w:rFonts w:hint="eastAsia"/>
          <w:color w:val="000000"/>
        </w:rPr>
        <w:t>、截图、资质证书复印件及证明文件等</w:t>
      </w:r>
      <w:r>
        <w:rPr>
          <w:rFonts w:hint="eastAsia" w:ascii="宋体" w:hAnsi="宋体" w:cs="宋体"/>
          <w:color w:val="000000"/>
          <w:szCs w:val="21"/>
        </w:rPr>
        <w:t>并加盖原厂公章</w:t>
      </w:r>
      <w:r>
        <w:rPr>
          <w:rFonts w:hint="eastAsia"/>
          <w:color w:val="000000"/>
        </w:rPr>
        <w:t>【提供满足参数要求的证明文件】</w:t>
      </w:r>
    </w:p>
    <w:p w14:paraId="563731C4">
      <w:pPr>
        <w:shd w:val="clear" w:color="auto" w:fill="auto"/>
        <w:rPr>
          <w:color w:val="000000"/>
        </w:rPr>
      </w:pPr>
      <w:r>
        <w:rPr>
          <w:rFonts w:hint="eastAsia"/>
          <w:color w:val="000000"/>
        </w:rPr>
        <w:t>采购人有权要求第一</w:t>
      </w:r>
      <w:r>
        <w:rPr>
          <w:color w:val="000000"/>
        </w:rPr>
        <w:t>和第二</w:t>
      </w:r>
      <w:r>
        <w:rPr>
          <w:rFonts w:hint="eastAsia"/>
          <w:color w:val="000000"/>
        </w:rPr>
        <w:t>候选人在成交结果公示发出后5个工作日内提供佐证材料原件并对所</w:t>
      </w:r>
      <w:r>
        <w:rPr>
          <w:color w:val="000000"/>
        </w:rPr>
        <w:t>响应</w:t>
      </w:r>
      <w:r>
        <w:rPr>
          <w:rFonts w:hint="eastAsia"/>
          <w:color w:val="000000"/>
        </w:rPr>
        <w:t>产品进行功能测试。第一</w:t>
      </w:r>
      <w:r>
        <w:rPr>
          <w:color w:val="000000"/>
        </w:rPr>
        <w:t>和第二</w:t>
      </w:r>
      <w:r>
        <w:rPr>
          <w:rFonts w:hint="eastAsia"/>
          <w:color w:val="000000"/>
        </w:rPr>
        <w:t>候选人所</w:t>
      </w:r>
      <w:r>
        <w:rPr>
          <w:color w:val="000000"/>
        </w:rPr>
        <w:t>响应</w:t>
      </w:r>
      <w:r>
        <w:rPr>
          <w:rFonts w:hint="eastAsia"/>
          <w:color w:val="000000"/>
        </w:rPr>
        <w:t>产品测试结果不能满足技术参数要求，却在响应文件中响应无偏离或正偏离的，视为虚假响应。</w:t>
      </w:r>
      <w:r>
        <w:rPr>
          <w:rFonts w:hint="eastAsia"/>
          <w:color w:val="000000"/>
          <w:highlight w:val="none"/>
        </w:rPr>
        <w:t>候选人须承担相应法律责任和因此行为给采购人造成的经济损失。</w:t>
      </w:r>
    </w:p>
    <w:p w14:paraId="6C4D3136">
      <w:pPr>
        <w:pStyle w:val="3"/>
        <w:ind w:left="360" w:hanging="360"/>
      </w:pPr>
      <w:r>
        <w:t>4.</w:t>
      </w:r>
      <w:r>
        <w:rPr>
          <w:rFonts w:hint="eastAsia"/>
        </w:rPr>
        <w:t xml:space="preserve"> 其他</w:t>
      </w:r>
      <w:r>
        <w:t>技术要求</w:t>
      </w:r>
    </w:p>
    <w:p w14:paraId="437EAF2D">
      <w:r>
        <w:t>1</w:t>
      </w:r>
      <w:r>
        <w:rPr>
          <w:rFonts w:hint="eastAsia"/>
        </w:rPr>
        <w:t>）操作系统、数据库和中间件满足以下要求：服务端操作系统支持Linux（RHEL 7.7），支持Oracle（19C）数据库（支持rac），支持Weblogic（12.2.1.3及以上）中间件及Tomcat中间件。</w:t>
      </w:r>
    </w:p>
    <w:p w14:paraId="3BB28654">
      <w:r>
        <w:t>2</w:t>
      </w:r>
      <w:r>
        <w:rPr>
          <w:rFonts w:hint="eastAsia"/>
        </w:rPr>
        <w:t>）必须支持Windows全系操作系统，即WinXP/Win7/Win8/Win10，支持谷歌、360、IE6及以上版本浏览器使用。</w:t>
      </w:r>
    </w:p>
    <w:p w14:paraId="5F3B67F0">
      <w:r>
        <w:t>3</w:t>
      </w:r>
      <w:r>
        <w:rPr>
          <w:rFonts w:hint="eastAsia"/>
        </w:rPr>
        <w:t>）系统可集群部署，支持负载均衡，具备横向可扩展性。</w:t>
      </w:r>
    </w:p>
    <w:p w14:paraId="3AD21126">
      <w:r>
        <w:t>4</w:t>
      </w:r>
      <w:r>
        <w:rPr>
          <w:rFonts w:hint="eastAsia"/>
        </w:rPr>
        <w:t>）系统处理能力能够满足现有业务数据以及未来三年可能发展的业务数据量。</w:t>
      </w:r>
    </w:p>
    <w:p w14:paraId="2E10998D">
      <w:r>
        <w:t>5</w:t>
      </w:r>
      <w:r>
        <w:rPr>
          <w:rFonts w:hint="eastAsia"/>
        </w:rPr>
        <w:t>）系统需支持dns方式连接数据库以及应用。</w:t>
      </w:r>
    </w:p>
    <w:p w14:paraId="208134AB">
      <w:r>
        <w:t>6</w:t>
      </w:r>
      <w:r>
        <w:rPr>
          <w:rFonts w:hint="eastAsia"/>
        </w:rPr>
        <w:t>）原则上不对系统许可（license）做限制。</w:t>
      </w:r>
    </w:p>
    <w:p w14:paraId="6A15CBF7">
      <w:r>
        <w:t>7</w:t>
      </w:r>
      <w:r>
        <w:rPr>
          <w:rFonts w:hint="eastAsia"/>
        </w:rPr>
        <w:t>）需支持IPV6协议。</w:t>
      </w:r>
    </w:p>
    <w:p w14:paraId="2EFB440F">
      <w:r>
        <w:t>8</w:t>
      </w:r>
      <w:r>
        <w:rPr>
          <w:rFonts w:hint="eastAsia"/>
        </w:rPr>
        <w:t>）禁止应用软件部署使用的安装码或授权码与其运行的基础环境（如：硬盘序列号、CPU序列号或网卡序列号等）进行绑定。</w:t>
      </w:r>
    </w:p>
    <w:p w14:paraId="5C1CFAF5">
      <w:pPr>
        <w:pStyle w:val="3"/>
        <w:ind w:left="360" w:hanging="360"/>
      </w:pPr>
      <w:bookmarkStart w:id="48" w:name="_Toc89675144"/>
      <w:bookmarkStart w:id="49" w:name="_Toc15059418"/>
      <w:r>
        <w:t>5.</w:t>
      </w:r>
      <w:r>
        <w:rPr>
          <w:rFonts w:hint="eastAsia"/>
        </w:rPr>
        <w:t xml:space="preserve"> 交付周期、地点</w:t>
      </w:r>
      <w:bookmarkEnd w:id="48"/>
      <w:bookmarkEnd w:id="49"/>
    </w:p>
    <w:p w14:paraId="3A6E2C95">
      <w:pPr>
        <w:pStyle w:val="4"/>
      </w:pPr>
      <w:bookmarkStart w:id="50" w:name="_Toc89675146"/>
      <w:bookmarkStart w:id="51" w:name="_Toc15059420"/>
      <w:bookmarkStart w:id="52" w:name="_Toc432254881"/>
      <w:bookmarkStart w:id="53" w:name="_Toc1125"/>
      <w:bookmarkStart w:id="54" w:name="_Toc387826347"/>
      <w:bookmarkStart w:id="55" w:name="_Toc440628915"/>
      <w:r>
        <w:t>5</w:t>
      </w:r>
      <w:r>
        <w:rPr>
          <w:rFonts w:hint="eastAsia"/>
        </w:rPr>
        <w:t>.1 交付时间</w:t>
      </w:r>
    </w:p>
    <w:p w14:paraId="449FCA35">
      <w:r>
        <w:rPr>
          <w:rFonts w:hint="eastAsia"/>
        </w:rPr>
        <w:t>本项目设备的交付周期为</w:t>
      </w:r>
      <w:r>
        <w:t>30个工作日内</w:t>
      </w:r>
      <w:r>
        <w:rPr>
          <w:rFonts w:hint="eastAsia"/>
        </w:rPr>
        <w:t>，原则上以</w:t>
      </w:r>
      <w:r>
        <w:t>合同签订</w:t>
      </w:r>
      <w:r>
        <w:rPr>
          <w:rFonts w:hint="eastAsia"/>
        </w:rPr>
        <w:t>之日起开始计算。</w:t>
      </w:r>
    </w:p>
    <w:p w14:paraId="596261FB">
      <w:pPr>
        <w:pStyle w:val="4"/>
      </w:pPr>
      <w:r>
        <w:t>5</w:t>
      </w:r>
      <w:r>
        <w:rPr>
          <w:rFonts w:hint="eastAsia"/>
        </w:rPr>
        <w:t>.2 实施及交付地点</w:t>
      </w:r>
    </w:p>
    <w:p w14:paraId="4BA28AD5">
      <w:r>
        <w:rPr>
          <w:rFonts w:hint="eastAsia"/>
        </w:rPr>
        <w:t>重庆市。</w:t>
      </w:r>
    </w:p>
    <w:p w14:paraId="0BDE7FD1">
      <w:pPr>
        <w:pStyle w:val="3"/>
        <w:ind w:left="360" w:hanging="360"/>
      </w:pPr>
      <w:r>
        <w:t>6.</w:t>
      </w:r>
      <w:r>
        <w:rPr>
          <w:rFonts w:hint="eastAsia"/>
        </w:rPr>
        <w:t xml:space="preserve"> 售后服务和支持</w:t>
      </w:r>
    </w:p>
    <w:p w14:paraId="04BAEDBA">
      <w:r>
        <w:t>1</w:t>
      </w:r>
      <w:r>
        <w:rPr>
          <w:rFonts w:hint="eastAsia"/>
        </w:rPr>
        <w:t>）遵守《中华人民共和国产品质量法》和《消费者权益保护法》的相关规定，供货厂商应提供服务标准可高于以上规定，但不得降低。</w:t>
      </w:r>
    </w:p>
    <w:p w14:paraId="63AE00FF">
      <w:r>
        <w:rPr>
          <w:rFonts w:hint="eastAsia"/>
        </w:rPr>
        <w:t>2）为采购人提供维保前咨询服务。</w:t>
      </w:r>
    </w:p>
    <w:p w14:paraId="6F52A6E9">
      <w:r>
        <w:rPr>
          <w:rFonts w:hint="eastAsia"/>
        </w:rPr>
        <w:t>3）维保服务质量保证期以生产企业的有效承诺为准。</w:t>
      </w:r>
    </w:p>
    <w:p w14:paraId="16DA2026">
      <w:r>
        <w:rPr>
          <w:rFonts w:hint="eastAsia"/>
        </w:rPr>
        <w:t>4）对维保范围内设备进行定期维护保养外，在接到采购人设备故障的通知后应及时派人前往维护解决（主城区2小时到现场，远郊区4小时到现场，如需更换故障设备零部件，须在48小时内完成）。</w:t>
      </w:r>
    </w:p>
    <w:p w14:paraId="78480CE8">
      <w:r>
        <w:rPr>
          <w:rFonts w:hint="eastAsia"/>
        </w:rPr>
        <w:t>5）本采购项目自验收之日（签收之日起三个月的试运行时间）起，免费维保期要求为</w:t>
      </w:r>
      <w:r>
        <w:t>5</w:t>
      </w:r>
      <w:r>
        <w:rPr>
          <w:rFonts w:hint="eastAsia"/>
        </w:rPr>
        <w:t>年。</w:t>
      </w:r>
    </w:p>
    <w:p w14:paraId="69F4830A">
      <w:pPr>
        <w:rPr>
          <w:color w:val="000000"/>
        </w:rPr>
      </w:pPr>
      <w:r>
        <w:t>6）</w:t>
      </w:r>
      <w:r>
        <w:rPr>
          <w:rFonts w:hint="eastAsia"/>
          <w:color w:val="000000"/>
        </w:rPr>
        <w:t>硬件系统维保服务结束后，若续保7*24*4（4小时响应）级别服务，设备维保费用每年不超过该产品成交价格单价金额的10%。</w:t>
      </w:r>
    </w:p>
    <w:p w14:paraId="37DDB708">
      <w:pPr>
        <w:rPr>
          <w:rFonts w:hint="eastAsia"/>
        </w:rPr>
      </w:pPr>
      <w:r>
        <w:rPr>
          <w:rFonts w:hint="eastAsia"/>
          <w:color w:val="000000"/>
        </w:rPr>
        <w:t>7）在不次询比中，响应人应在响应文件中提供售后服务方案供采购人查看，方案应包括项目实施完后版本升级方案，威胁情报和规则库更新方案以及频次，设备故障后的应急响应方案等内容。【售后服务方案】</w:t>
      </w:r>
    </w:p>
    <w:p w14:paraId="10FB78EA">
      <w:pPr>
        <w:pStyle w:val="3"/>
        <w:ind w:left="360" w:hanging="360"/>
      </w:pPr>
      <w:r>
        <w:t>7.</w:t>
      </w:r>
      <w:r>
        <w:rPr>
          <w:rFonts w:hint="eastAsia"/>
        </w:rPr>
        <w:t xml:space="preserve"> 服务连续性预案</w:t>
      </w:r>
    </w:p>
    <w:p w14:paraId="4E0E1DE3">
      <w:r>
        <w:rPr>
          <w:rFonts w:hint="eastAsia"/>
        </w:rPr>
        <w:t>在本次询比中，响应人应在响应文件中提供服务连续性预案供采购人查看，服务连续性预案应考虑供应链风险产生的影响。【提供服务连续性预案】</w:t>
      </w:r>
    </w:p>
    <w:p w14:paraId="46138AB8">
      <w:pPr>
        <w:pStyle w:val="3"/>
        <w:ind w:left="360" w:hanging="360"/>
      </w:pPr>
      <w:r>
        <w:t>8.</w:t>
      </w:r>
      <w:r>
        <w:rPr>
          <w:rFonts w:hint="eastAsia"/>
        </w:rPr>
        <w:t xml:space="preserve"> 项目实施方案</w:t>
      </w:r>
    </w:p>
    <w:p w14:paraId="2B41894C">
      <w:r>
        <w:rPr>
          <w:rFonts w:hint="eastAsia"/>
        </w:rPr>
        <w:t>在本次询比中，响应人应在响应文件中提供项目实施方案供采购人查看，方案应包括包括履行合同的时间计划、提交资料、人员安排等内容。【提供项目实施方案】</w:t>
      </w:r>
    </w:p>
    <w:bookmarkEnd w:id="50"/>
    <w:bookmarkEnd w:id="51"/>
    <w:p w14:paraId="0EC09AC2">
      <w:pPr>
        <w:pStyle w:val="3"/>
        <w:ind w:left="360" w:hanging="360"/>
      </w:pPr>
      <w:bookmarkStart w:id="56" w:name="_Toc89675148"/>
      <w:bookmarkStart w:id="57" w:name="_Toc15059422"/>
      <w:r>
        <w:t>9.</w:t>
      </w:r>
      <w:r>
        <w:rPr>
          <w:rFonts w:hint="eastAsia"/>
        </w:rPr>
        <w:t xml:space="preserve"> 付款方式</w:t>
      </w:r>
      <w:bookmarkEnd w:id="56"/>
      <w:bookmarkEnd w:id="57"/>
    </w:p>
    <w:p w14:paraId="71293DAD">
      <w:pPr>
        <w:rPr>
          <w:color w:val="000000"/>
        </w:rPr>
      </w:pPr>
      <w:r>
        <w:rPr>
          <w:rFonts w:hint="eastAsia" w:cs="Times New Roman"/>
          <w:b/>
          <w:bCs/>
          <w:snapToGrid w:val="0"/>
          <w:color w:val="000000"/>
          <w:szCs w:val="24"/>
        </w:rPr>
        <w:t>9.1．</w:t>
      </w:r>
      <w:r>
        <w:rPr>
          <w:rFonts w:hint="eastAsia"/>
          <w:color w:val="000000"/>
        </w:rPr>
        <w:t>履约保证金</w:t>
      </w:r>
    </w:p>
    <w:p w14:paraId="06FBAD86">
      <w:pPr>
        <w:rPr>
          <w:color w:val="000000"/>
        </w:rPr>
      </w:pPr>
      <w:r>
        <w:rPr>
          <w:rFonts w:hint="eastAsia"/>
          <w:color w:val="000000"/>
        </w:rPr>
        <w:t>成交供应商向采购人支付</w:t>
      </w:r>
      <w:r>
        <w:rPr>
          <w:color w:val="000000"/>
        </w:rPr>
        <w:t>合同金额5%</w:t>
      </w:r>
      <w:r>
        <w:rPr>
          <w:rFonts w:hint="eastAsia"/>
          <w:color w:val="000000"/>
        </w:rPr>
        <w:t>作为履约保证金，合同签订后</w:t>
      </w:r>
      <w:r>
        <w:rPr>
          <w:color w:val="000000"/>
        </w:rPr>
        <w:t>10</w:t>
      </w:r>
      <w:r>
        <w:rPr>
          <w:rFonts w:hint="eastAsia"/>
          <w:color w:val="000000"/>
        </w:rPr>
        <w:t>个工作日内成交供应商将履约保证金存至采购人指定账户，</w:t>
      </w:r>
      <w:r>
        <w:rPr>
          <w:color w:val="000000"/>
        </w:rPr>
        <w:t>设备维保到期后</w:t>
      </w:r>
      <w:r>
        <w:rPr>
          <w:rFonts w:hint="eastAsia"/>
          <w:color w:val="000000"/>
        </w:rPr>
        <w:t>，成交供应商在20日内向采购人申请退还履约保证金，采购人需在收到申请后60日内确认成交供应商无违约行为并将履约保证金退还成交供应商。除不可抗力原因外，</w:t>
      </w:r>
      <w:r>
        <w:rPr>
          <w:color w:val="000000"/>
        </w:rPr>
        <w:t>成交供应商</w:t>
      </w:r>
      <w:r>
        <w:rPr>
          <w:rFonts w:hint="eastAsia"/>
          <w:color w:val="000000"/>
        </w:rPr>
        <w:t>不得以任何理由中断或拒绝供货</w:t>
      </w:r>
      <w:r>
        <w:rPr>
          <w:color w:val="000000"/>
        </w:rPr>
        <w:t>，如果成交供应商因非不可抗力的原因中断或拒绝供货，采购人将扣罚全部履约保证金。</w:t>
      </w:r>
    </w:p>
    <w:p w14:paraId="08C296CC">
      <w:pPr>
        <w:rPr>
          <w:color w:val="000000"/>
        </w:rPr>
      </w:pPr>
      <w:r>
        <w:rPr>
          <w:rFonts w:hint="eastAsia"/>
          <w:color w:val="000000"/>
        </w:rPr>
        <w:t>1.履约担保金额：成交供应商向采购人支付</w:t>
      </w:r>
      <w:r>
        <w:rPr>
          <w:color w:val="000000"/>
        </w:rPr>
        <w:t>合同金额5%</w:t>
      </w:r>
      <w:r>
        <w:rPr>
          <w:rFonts w:hint="eastAsia"/>
          <w:color w:val="000000"/>
        </w:rPr>
        <w:t>；</w:t>
      </w:r>
    </w:p>
    <w:p w14:paraId="1B77548F">
      <w:pPr>
        <w:rPr>
          <w:color w:val="000000"/>
        </w:rPr>
      </w:pPr>
      <w:r>
        <w:rPr>
          <w:rFonts w:hint="eastAsia"/>
          <w:color w:val="000000"/>
        </w:rPr>
        <w:t>2.履约担保提交时间：合同签订后</w:t>
      </w:r>
      <w:r>
        <w:rPr>
          <w:color w:val="000000"/>
        </w:rPr>
        <w:t>10</w:t>
      </w:r>
      <w:r>
        <w:rPr>
          <w:rFonts w:hint="eastAsia"/>
          <w:color w:val="000000"/>
        </w:rPr>
        <w:t>个工作日内；</w:t>
      </w:r>
    </w:p>
    <w:p w14:paraId="39D2ACAB">
      <w:pPr>
        <w:rPr>
          <w:color w:val="000000"/>
        </w:rPr>
      </w:pPr>
      <w:r>
        <w:rPr>
          <w:rFonts w:hint="eastAsia"/>
          <w:color w:val="000000"/>
        </w:rPr>
        <w:t>3.履约保证金缴纳方式：通过转账或电汇方式直接划付至下面指定的账户</w:t>
      </w:r>
    </w:p>
    <w:p w14:paraId="2C8E055E">
      <w:pPr>
        <w:rPr>
          <w:color w:val="000000"/>
        </w:rPr>
      </w:pPr>
      <w:r>
        <w:rPr>
          <w:rFonts w:hint="eastAsia"/>
          <w:color w:val="000000"/>
        </w:rPr>
        <w:t>户名：重庆三峡银行股份有限公司</w:t>
      </w:r>
    </w:p>
    <w:p w14:paraId="291CA363">
      <w:pPr>
        <w:rPr>
          <w:color w:val="000000"/>
        </w:rPr>
      </w:pPr>
      <w:r>
        <w:rPr>
          <w:rFonts w:hint="eastAsia"/>
          <w:color w:val="000000"/>
        </w:rPr>
        <w:t>账号：0101014040000043</w:t>
      </w:r>
    </w:p>
    <w:p w14:paraId="0E0E3F35">
      <w:pPr>
        <w:rPr>
          <w:color w:val="000000"/>
        </w:rPr>
      </w:pPr>
      <w:r>
        <w:rPr>
          <w:rFonts w:hint="eastAsia"/>
          <w:color w:val="000000"/>
        </w:rPr>
        <w:t>开户行：重庆三峡银行营业部</w:t>
      </w:r>
    </w:p>
    <w:p w14:paraId="13AF6513">
      <w:pPr>
        <w:rPr>
          <w:color w:val="000000"/>
        </w:rPr>
      </w:pPr>
      <w:r>
        <w:rPr>
          <w:rFonts w:hint="eastAsia"/>
          <w:color w:val="000000"/>
        </w:rPr>
        <w:t>在款项来源处或空白处注明：重庆三峡银行</w:t>
      </w:r>
      <w:r>
        <w:rPr>
          <w:color w:val="000000"/>
        </w:rPr>
        <w:t>流量监测平台</w:t>
      </w:r>
      <w:r>
        <w:rPr>
          <w:rFonts w:hint="eastAsia"/>
          <w:color w:val="000000"/>
        </w:rPr>
        <w:t>履约保证金</w:t>
      </w:r>
    </w:p>
    <w:p w14:paraId="1A85723E">
      <w:pPr>
        <w:rPr>
          <w:color w:val="000000"/>
        </w:rPr>
      </w:pPr>
      <w:r>
        <w:rPr>
          <w:rFonts w:hint="eastAsia"/>
          <w:color w:val="000000"/>
        </w:rPr>
        <w:t>9.2．结算方式</w:t>
      </w:r>
    </w:p>
    <w:p w14:paraId="118E9832">
      <w:pPr>
        <w:rPr>
          <w:color w:val="000000"/>
        </w:rPr>
      </w:pPr>
      <w:r>
        <w:rPr>
          <w:color w:val="000000"/>
        </w:rPr>
        <w:t>合同签订完成后，成交供应商按要求将</w:t>
      </w:r>
      <w:r>
        <w:rPr>
          <w:rFonts w:hint="eastAsia"/>
          <w:color w:val="000000"/>
        </w:rPr>
        <w:t>设备</w:t>
      </w:r>
      <w:r>
        <w:rPr>
          <w:color w:val="000000"/>
        </w:rPr>
        <w:t>送</w:t>
      </w:r>
      <w:r>
        <w:rPr>
          <w:rFonts w:hint="eastAsia"/>
          <w:color w:val="000000"/>
        </w:rPr>
        <w:t>达指定现场</w:t>
      </w:r>
      <w:r>
        <w:rPr>
          <w:color w:val="000000"/>
        </w:rPr>
        <w:t>。设备</w:t>
      </w:r>
      <w:r>
        <w:rPr>
          <w:rFonts w:hint="eastAsia"/>
          <w:color w:val="000000"/>
        </w:rPr>
        <w:t>签收、完成初始化安装，设备自【加电调试通过之日】起正常运行三个月，按要求完成新设备的安装和部署工作并</w:t>
      </w:r>
      <w:r>
        <w:rPr>
          <w:color w:val="000000"/>
        </w:rPr>
        <w:t>完成最终</w:t>
      </w:r>
      <w:r>
        <w:rPr>
          <w:rFonts w:hint="eastAsia"/>
          <w:color w:val="000000"/>
        </w:rPr>
        <w:t>验收合格后</w:t>
      </w:r>
      <w:r>
        <w:rPr>
          <w:color w:val="000000"/>
        </w:rPr>
        <w:t>，</w:t>
      </w:r>
      <w:r>
        <w:rPr>
          <w:rFonts w:hint="eastAsia"/>
          <w:color w:val="000000"/>
        </w:rPr>
        <w:t>且确认生产厂商质保承诺符合质保要求后30个工作日内，</w:t>
      </w:r>
      <w:r>
        <w:rPr>
          <w:color w:val="000000"/>
        </w:rPr>
        <w:t>成交供应商</w:t>
      </w:r>
      <w:r>
        <w:rPr>
          <w:rFonts w:hint="eastAsia"/>
          <w:color w:val="000000"/>
        </w:rPr>
        <w:t>向采购人提供合法、全额（本合同全部款项）的增值税专用发票，甲方支付合同总金额的</w:t>
      </w:r>
      <w:r>
        <w:rPr>
          <w:color w:val="000000"/>
        </w:rPr>
        <w:t>100</w:t>
      </w:r>
      <w:r>
        <w:rPr>
          <w:rFonts w:hint="eastAsia"/>
          <w:color w:val="000000"/>
        </w:rPr>
        <w:t>%</w:t>
      </w:r>
      <w:r>
        <w:rPr>
          <w:color w:val="000000"/>
        </w:rPr>
        <w:t>。</w:t>
      </w:r>
    </w:p>
    <w:p w14:paraId="188F3F4C">
      <w:pPr>
        <w:rPr>
          <w:color w:val="000000"/>
        </w:rPr>
      </w:pPr>
      <w:r>
        <w:rPr>
          <w:rFonts w:hint="eastAsia"/>
          <w:color w:val="000000"/>
        </w:rPr>
        <w:t>9.3．</w:t>
      </w:r>
      <w:r>
        <w:rPr>
          <w:color w:val="000000"/>
        </w:rPr>
        <w:t>违约情况</w:t>
      </w:r>
    </w:p>
    <w:p w14:paraId="5EEDFD6A">
      <w:pPr>
        <w:rPr>
          <w:color w:val="000000"/>
        </w:rPr>
      </w:pPr>
      <w:r>
        <w:rPr>
          <w:color w:val="000000"/>
        </w:rPr>
        <w:t>成交供应商在以下几种情况下出现违约，将导致全部扣除履约保证金。</w:t>
      </w:r>
    </w:p>
    <w:p w14:paraId="6F63914E">
      <w:pPr>
        <w:rPr>
          <w:color w:val="000000"/>
        </w:rPr>
      </w:pPr>
      <w:r>
        <w:rPr>
          <w:rFonts w:hint="eastAsia"/>
          <w:color w:val="000000"/>
        </w:rPr>
        <w:t>1，</w:t>
      </w:r>
      <w:r>
        <w:rPr>
          <w:color w:val="000000"/>
        </w:rPr>
        <w:t>所到货设备原厂维保服务内容不满足合同中要求。</w:t>
      </w:r>
    </w:p>
    <w:p w14:paraId="34984590">
      <w:pPr>
        <w:rPr>
          <w:color w:val="000000"/>
        </w:rPr>
      </w:pPr>
      <w:r>
        <w:rPr>
          <w:color w:val="000000"/>
        </w:rPr>
        <w:t>2，未按合同约定时限供货。</w:t>
      </w:r>
    </w:p>
    <w:p w14:paraId="678FD52E"/>
    <w:p w14:paraId="4B77927B">
      <w:pPr>
        <w:pStyle w:val="3"/>
        <w:ind w:left="360" w:hanging="360"/>
      </w:pPr>
      <w:bookmarkStart w:id="58" w:name="_Toc15059424"/>
      <w:bookmarkStart w:id="59" w:name="_Toc89675150"/>
      <w:r>
        <w:t>10.</w:t>
      </w:r>
      <w:r>
        <w:rPr>
          <w:rFonts w:hint="eastAsia"/>
        </w:rPr>
        <w:t xml:space="preserve"> 保密条款</w:t>
      </w:r>
      <w:bookmarkEnd w:id="52"/>
      <w:bookmarkEnd w:id="53"/>
      <w:bookmarkEnd w:id="54"/>
      <w:bookmarkEnd w:id="55"/>
      <w:bookmarkEnd w:id="58"/>
      <w:bookmarkEnd w:id="59"/>
    </w:p>
    <w:p w14:paraId="66987696">
      <w:pPr>
        <w:pStyle w:val="4"/>
      </w:pPr>
      <w:r>
        <w:rPr>
          <w:rFonts w:hint="eastAsia"/>
        </w:rPr>
        <w:t>1</w:t>
      </w:r>
      <w:r>
        <w:t>1</w:t>
      </w:r>
      <w:r>
        <w:rPr>
          <w:rFonts w:hint="eastAsia"/>
        </w:rPr>
        <w:t>.1 保密范围</w:t>
      </w:r>
    </w:p>
    <w:p w14:paraId="022AA688">
      <w:r>
        <w:rPr>
          <w:rFonts w:hint="eastAsia"/>
        </w:rPr>
        <w:t>成交供应商在实施过程中接触到的采购人知识产权、经营信息等。</w:t>
      </w:r>
    </w:p>
    <w:p w14:paraId="6D3B6694">
      <w:pPr>
        <w:pStyle w:val="4"/>
      </w:pPr>
      <w:r>
        <w:t>11</w:t>
      </w:r>
      <w:r>
        <w:rPr>
          <w:rFonts w:hint="eastAsia"/>
        </w:rPr>
        <w:t>.2 保密责任</w:t>
      </w:r>
    </w:p>
    <w:p w14:paraId="24FB5F09">
      <w:r>
        <w:rPr>
          <w:rFonts w:hint="eastAsia"/>
        </w:rPr>
        <w:t>双方互为保密资料的提供方和接受方，负有保密义务，承担保密责任。除经过双方书面同意，任何一方不得将有关内容提供给合同以外的第三人。</w:t>
      </w:r>
    </w:p>
    <w:p w14:paraId="2A81AAD7">
      <w:pPr>
        <w:pStyle w:val="3"/>
        <w:ind w:left="360" w:hanging="360"/>
      </w:pPr>
      <w:r>
        <w:t>11.</w:t>
      </w:r>
      <w:r>
        <w:rPr>
          <w:rFonts w:hint="eastAsia"/>
        </w:rPr>
        <w:t xml:space="preserve"> 报价要求</w:t>
      </w:r>
    </w:p>
    <w:p w14:paraId="3466FA48">
      <w:r>
        <w:t>1</w:t>
      </w:r>
      <w:r>
        <w:rPr>
          <w:rFonts w:hint="eastAsia"/>
        </w:rPr>
        <w:t>）响应人应严格按照《响应文件格式》的“报价一览表”和“分项报价明细表”的格式认真填写。</w:t>
      </w:r>
    </w:p>
    <w:p w14:paraId="63994699">
      <w:r>
        <w:t>2</w:t>
      </w:r>
      <w:r>
        <w:rPr>
          <w:rFonts w:hint="eastAsia"/>
        </w:rPr>
        <w:t>）“分项报价明细表”里需详细写明各类硬件、中间件、操作系统、实施费用等产品模块名称及价格。</w:t>
      </w:r>
    </w:p>
    <w:p w14:paraId="2D7EAD42">
      <w:pPr>
        <w:pStyle w:val="3"/>
        <w:ind w:left="360" w:hanging="360"/>
      </w:pPr>
      <w:bookmarkStart w:id="60" w:name="_Toc89675152"/>
      <w:bookmarkStart w:id="61" w:name="_Toc15059426"/>
      <w:r>
        <w:t>12.</w:t>
      </w:r>
      <w:r>
        <w:rPr>
          <w:rFonts w:hint="eastAsia"/>
        </w:rPr>
        <w:t xml:space="preserve"> 知识产权</w:t>
      </w:r>
      <w:bookmarkEnd w:id="60"/>
      <w:bookmarkEnd w:id="61"/>
    </w:p>
    <w:p w14:paraId="24B59590">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2BBBF96">
      <w:pPr>
        <w:pStyle w:val="3"/>
        <w:ind w:left="360" w:hanging="360"/>
      </w:pPr>
      <w:bookmarkStart w:id="62" w:name="_Toc89675153"/>
      <w:bookmarkStart w:id="63" w:name="_Toc15059427"/>
      <w:r>
        <w:t>13.</w:t>
      </w:r>
      <w:r>
        <w:rPr>
          <w:rFonts w:hint="eastAsia"/>
        </w:rPr>
        <w:t xml:space="preserve"> 其他</w:t>
      </w:r>
      <w:bookmarkEnd w:id="62"/>
      <w:bookmarkEnd w:id="63"/>
    </w:p>
    <w:p w14:paraId="444BF3FB">
      <w:pPr>
        <w:spacing w:line="600" w:lineRule="exact"/>
      </w:pPr>
      <w:r>
        <w:t>1</w:t>
      </w:r>
      <w:r>
        <w:rPr>
          <w:rFonts w:hint="eastAsia"/>
        </w:rPr>
        <w:t>）响应人必须在响应承诺函中对本章内容做出整体性响应和承诺，承诺内容必须达到本章及询比文件其他条款的要求。</w:t>
      </w:r>
    </w:p>
    <w:p w14:paraId="2BD97F68">
      <w:r>
        <w:rPr>
          <w:rFonts w:hint="eastAsia"/>
        </w:rPr>
        <w:t>2）响应人必须在技术条款偏离表中对本章第3条“技术要求”表格中内容逐条响应，内容齐全、无遗漏。</w:t>
      </w:r>
    </w:p>
    <w:p w14:paraId="5E9BE58B">
      <w:pPr>
        <w:spacing w:line="600" w:lineRule="exact"/>
      </w:pPr>
      <w:r>
        <w:rPr>
          <w:rFonts w:hint="eastAsia"/>
        </w:rPr>
        <w:t>3）响应人应根据本章内容和要求，提供对应资料，无遗漏。</w:t>
      </w:r>
    </w:p>
    <w:p w14:paraId="1FEBEB1A">
      <w:pPr>
        <w:spacing w:line="600" w:lineRule="exact"/>
      </w:pPr>
      <w:r>
        <w:rPr>
          <w:rFonts w:hint="eastAsia"/>
        </w:rPr>
        <w:t>4）其他未尽事宜由供需双方在合同中详细约定。</w:t>
      </w:r>
    </w:p>
    <w:p w14:paraId="63CE78AF">
      <w:pPr>
        <w:snapToGrid w:val="0"/>
        <w:rPr>
          <w:rFonts w:cs="宋体"/>
          <w:snapToGrid w:val="0"/>
          <w:color w:val="FF0000"/>
          <w:kern w:val="0"/>
          <w:szCs w:val="24"/>
        </w:rPr>
      </w:pPr>
      <w:r>
        <w:rPr>
          <w:rFonts w:hint="eastAsia" w:cs="宋体"/>
          <w:snapToGrid w:val="0"/>
          <w:color w:val="FF0000"/>
          <w:kern w:val="0"/>
          <w:szCs w:val="24"/>
        </w:rPr>
        <w:br w:type="page"/>
      </w:r>
    </w:p>
    <w:p w14:paraId="29F9699E">
      <w:pPr>
        <w:pStyle w:val="2"/>
      </w:pPr>
      <w:bookmarkStart w:id="64" w:name="_Toc3888"/>
      <w:bookmarkStart w:id="65" w:name="_Toc29189"/>
      <w:r>
        <w:rPr>
          <w:rFonts w:hint="eastAsia"/>
        </w:rPr>
        <w:t>第四章 评审办法（经评审的最低价法）</w:t>
      </w:r>
      <w:bookmarkEnd w:id="64"/>
    </w:p>
    <w:p w14:paraId="6C3FF9CD">
      <w:pPr>
        <w:pStyle w:val="3"/>
      </w:pPr>
      <w:r>
        <w:rPr>
          <w:rFonts w:hint="eastAsia"/>
        </w:rPr>
        <w:t>评审办法前附表</w:t>
      </w:r>
    </w:p>
    <w:p w14:paraId="32FDE3C4">
      <w:r>
        <w:t>若</w:t>
      </w:r>
      <w:r>
        <w:rPr>
          <w:rFonts w:hint="eastAsia"/>
        </w:rPr>
        <w:t>评审办法前附表</w:t>
      </w:r>
      <w:r>
        <w:t>与正文不一致的地方，以</w:t>
      </w:r>
      <w:r>
        <w:rPr>
          <w:rFonts w:hint="eastAsia"/>
        </w:rPr>
        <w:t>评审办法前附表</w:t>
      </w:r>
      <w: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5EF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572E8D7">
            <w:pPr>
              <w:pStyle w:val="44"/>
            </w:pPr>
            <w:r>
              <w:rPr>
                <w:rFonts w:hint="eastAsia"/>
              </w:rPr>
              <w:t>条款号</w:t>
            </w:r>
          </w:p>
        </w:tc>
        <w:tc>
          <w:tcPr>
            <w:tcW w:w="1253" w:type="dxa"/>
            <w:vAlign w:val="center"/>
          </w:tcPr>
          <w:p w14:paraId="4FF0E310">
            <w:pPr>
              <w:pStyle w:val="44"/>
            </w:pPr>
            <w:r>
              <w:rPr>
                <w:rFonts w:hint="eastAsia"/>
              </w:rPr>
              <w:t>评审因素</w:t>
            </w:r>
          </w:p>
        </w:tc>
        <w:tc>
          <w:tcPr>
            <w:tcW w:w="7229" w:type="dxa"/>
            <w:gridSpan w:val="2"/>
            <w:vAlign w:val="center"/>
          </w:tcPr>
          <w:p w14:paraId="3A7B6038">
            <w:pPr>
              <w:pStyle w:val="44"/>
            </w:pPr>
            <w:r>
              <w:rPr>
                <w:rFonts w:hint="eastAsia"/>
              </w:rPr>
              <w:t>评审标准</w:t>
            </w:r>
          </w:p>
        </w:tc>
      </w:tr>
      <w:tr w14:paraId="471F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9A2A9AF">
            <w:pPr>
              <w:pStyle w:val="43"/>
            </w:pPr>
            <w:r>
              <w:rPr>
                <w:rFonts w:hint="eastAsia"/>
              </w:rPr>
              <w:t>1</w:t>
            </w:r>
          </w:p>
        </w:tc>
        <w:tc>
          <w:tcPr>
            <w:tcW w:w="1253" w:type="dxa"/>
            <w:tcBorders>
              <w:left w:val="single" w:color="auto" w:sz="4" w:space="0"/>
            </w:tcBorders>
            <w:vAlign w:val="center"/>
          </w:tcPr>
          <w:p w14:paraId="1543DE21">
            <w:pPr>
              <w:pStyle w:val="43"/>
            </w:pPr>
            <w:r>
              <w:rPr>
                <w:rFonts w:hint="eastAsia"/>
              </w:rPr>
              <w:t>评审方法</w:t>
            </w:r>
          </w:p>
        </w:tc>
        <w:tc>
          <w:tcPr>
            <w:tcW w:w="7229" w:type="dxa"/>
            <w:gridSpan w:val="2"/>
            <w:tcBorders>
              <w:left w:val="single" w:color="auto" w:sz="4" w:space="0"/>
            </w:tcBorders>
            <w:vAlign w:val="center"/>
          </w:tcPr>
          <w:p w14:paraId="43FD5518">
            <w:pPr>
              <w:pStyle w:val="43"/>
            </w:pPr>
            <w:r>
              <w:rPr>
                <w:rFonts w:hint="eastAsia"/>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条进行报价排序，符合性审查合格的响应人中按报价由低到高推荐1-3名成交候选人。若出现响应人响应报价相同的，由评审委员会按照</w:t>
            </w:r>
            <w:r>
              <w:rPr>
                <w:rFonts w:cs="Times New Roman"/>
                <w:color w:val="000000"/>
                <w:kern w:val="0"/>
                <w:szCs w:val="24"/>
              </w:rPr>
              <w:t>单个案例金额</w:t>
            </w:r>
            <w:r>
              <w:rPr>
                <w:rFonts w:hint="eastAsia" w:cs="Times New Roman"/>
                <w:color w:val="000000"/>
                <w:kern w:val="0"/>
                <w:szCs w:val="24"/>
              </w:rPr>
              <w:t>最大</w:t>
            </w:r>
            <w:r>
              <w:rPr>
                <w:rFonts w:hint="eastAsia"/>
              </w:rPr>
              <w:t>原则排序。</w:t>
            </w:r>
          </w:p>
        </w:tc>
      </w:tr>
      <w:tr w14:paraId="2AA8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E4E7293">
            <w:pPr>
              <w:pStyle w:val="43"/>
            </w:pPr>
            <w:r>
              <w:rPr>
                <w:rFonts w:hint="eastAsia"/>
              </w:rPr>
              <w:t>2.1</w:t>
            </w:r>
          </w:p>
        </w:tc>
        <w:tc>
          <w:tcPr>
            <w:tcW w:w="1253" w:type="dxa"/>
            <w:tcBorders>
              <w:left w:val="single" w:color="auto" w:sz="4" w:space="0"/>
            </w:tcBorders>
            <w:vAlign w:val="center"/>
          </w:tcPr>
          <w:p w14:paraId="73229279">
            <w:pPr>
              <w:pStyle w:val="43"/>
            </w:pPr>
            <w:r>
              <w:rPr>
                <w:rFonts w:hint="eastAsia"/>
              </w:rPr>
              <w:t>符合性审查标准</w:t>
            </w:r>
          </w:p>
        </w:tc>
        <w:tc>
          <w:tcPr>
            <w:tcW w:w="7229" w:type="dxa"/>
            <w:gridSpan w:val="2"/>
            <w:tcBorders>
              <w:left w:val="single" w:color="auto" w:sz="4" w:space="0"/>
            </w:tcBorders>
            <w:vAlign w:val="center"/>
          </w:tcPr>
          <w:p w14:paraId="4F21FD2D">
            <w:pPr>
              <w:pStyle w:val="43"/>
            </w:pPr>
            <w:r>
              <w:rPr>
                <w:rFonts w:hint="eastAsia"/>
              </w:rPr>
              <w:t>所有响应人进行符合性审查。符合性审查内容：资格评审、形式评审、响应性评审。</w:t>
            </w:r>
          </w:p>
        </w:tc>
      </w:tr>
      <w:tr w14:paraId="3E1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E1E333">
            <w:pPr>
              <w:pStyle w:val="43"/>
            </w:pPr>
            <w:r>
              <w:rPr>
                <w:rFonts w:hint="eastAsia"/>
              </w:rPr>
              <w:t>2.2</w:t>
            </w:r>
          </w:p>
        </w:tc>
        <w:tc>
          <w:tcPr>
            <w:tcW w:w="1253" w:type="dxa"/>
            <w:tcBorders>
              <w:left w:val="single" w:color="auto" w:sz="4" w:space="0"/>
            </w:tcBorders>
            <w:vAlign w:val="center"/>
          </w:tcPr>
          <w:p w14:paraId="1F1ACBB5">
            <w:pPr>
              <w:pStyle w:val="43"/>
            </w:pPr>
            <w:r>
              <w:rPr>
                <w:rFonts w:hint="eastAsia"/>
              </w:rPr>
              <w:t>报价排序</w:t>
            </w:r>
          </w:p>
        </w:tc>
        <w:tc>
          <w:tcPr>
            <w:tcW w:w="7229" w:type="dxa"/>
            <w:gridSpan w:val="2"/>
            <w:tcBorders>
              <w:left w:val="single" w:color="auto" w:sz="4" w:space="0"/>
            </w:tcBorders>
            <w:vAlign w:val="center"/>
          </w:tcPr>
          <w:p w14:paraId="175265E4">
            <w:pPr>
              <w:pStyle w:val="43"/>
            </w:pPr>
            <w:r>
              <w:rPr>
                <w:rFonts w:hint="eastAsia"/>
              </w:rPr>
              <w:t>对报价不高于最高限价的所有响应人的响应文件，符合性审查合格的按照含税报价由低到高的顺序排序。</w:t>
            </w:r>
          </w:p>
        </w:tc>
      </w:tr>
      <w:tr w14:paraId="2C10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82" w:type="dxa"/>
            <w:vAlign w:val="center"/>
          </w:tcPr>
          <w:p w14:paraId="13C513F6">
            <w:pPr>
              <w:pStyle w:val="43"/>
            </w:pPr>
            <w:r>
              <w:rPr>
                <w:rFonts w:hint="eastAsia"/>
              </w:rPr>
              <w:t>2.2.1</w:t>
            </w:r>
          </w:p>
        </w:tc>
        <w:tc>
          <w:tcPr>
            <w:tcW w:w="1253" w:type="dxa"/>
            <w:tcBorders>
              <w:left w:val="single" w:color="auto" w:sz="4" w:space="0"/>
            </w:tcBorders>
            <w:vAlign w:val="center"/>
          </w:tcPr>
          <w:p w14:paraId="30E66208">
            <w:pPr>
              <w:pStyle w:val="43"/>
            </w:pPr>
            <w:r>
              <w:rPr>
                <w:rFonts w:hint="eastAsia"/>
              </w:rPr>
              <w:t>资格评审标准</w:t>
            </w:r>
          </w:p>
        </w:tc>
        <w:tc>
          <w:tcPr>
            <w:tcW w:w="1753" w:type="dxa"/>
            <w:tcBorders>
              <w:left w:val="single" w:color="auto" w:sz="4" w:space="0"/>
            </w:tcBorders>
            <w:vAlign w:val="center"/>
          </w:tcPr>
          <w:p w14:paraId="2E5F1511">
            <w:pPr>
              <w:pStyle w:val="43"/>
            </w:pPr>
            <w:r>
              <w:rPr>
                <w:rFonts w:hint="eastAsia"/>
              </w:rPr>
              <w:t>资格条件要求</w:t>
            </w:r>
          </w:p>
        </w:tc>
        <w:tc>
          <w:tcPr>
            <w:tcW w:w="5476" w:type="dxa"/>
            <w:tcBorders>
              <w:left w:val="single" w:color="auto" w:sz="4" w:space="0"/>
            </w:tcBorders>
            <w:vAlign w:val="center"/>
          </w:tcPr>
          <w:p w14:paraId="11961CB9">
            <w:pPr>
              <w:pStyle w:val="43"/>
            </w:pPr>
            <w:r>
              <w:rPr>
                <w:rFonts w:hint="eastAsia"/>
              </w:rPr>
              <w:t>符合第一章“2. 响应人资格要求”规定</w:t>
            </w:r>
          </w:p>
        </w:tc>
      </w:tr>
      <w:tr w14:paraId="2022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48C6C9C">
            <w:pPr>
              <w:pStyle w:val="43"/>
            </w:pPr>
            <w:r>
              <w:rPr>
                <w:rFonts w:hint="eastAsia"/>
              </w:rPr>
              <w:t>2.2.2</w:t>
            </w:r>
          </w:p>
        </w:tc>
        <w:tc>
          <w:tcPr>
            <w:tcW w:w="1253" w:type="dxa"/>
            <w:vMerge w:val="restart"/>
            <w:tcBorders>
              <w:left w:val="single" w:color="auto" w:sz="4" w:space="0"/>
            </w:tcBorders>
            <w:vAlign w:val="center"/>
          </w:tcPr>
          <w:p w14:paraId="43783F61">
            <w:pPr>
              <w:pStyle w:val="43"/>
            </w:pPr>
            <w:r>
              <w:rPr>
                <w:rFonts w:hint="eastAsia"/>
              </w:rPr>
              <w:t>形式评审标准</w:t>
            </w:r>
          </w:p>
        </w:tc>
        <w:tc>
          <w:tcPr>
            <w:tcW w:w="1753" w:type="dxa"/>
            <w:tcBorders>
              <w:left w:val="single" w:color="auto" w:sz="4" w:space="0"/>
            </w:tcBorders>
            <w:vAlign w:val="center"/>
          </w:tcPr>
          <w:p w14:paraId="15D47227">
            <w:pPr>
              <w:pStyle w:val="43"/>
            </w:pPr>
            <w:r>
              <w:rPr>
                <w:rFonts w:hint="eastAsia"/>
              </w:rPr>
              <w:t>响应人名称</w:t>
            </w:r>
          </w:p>
        </w:tc>
        <w:tc>
          <w:tcPr>
            <w:tcW w:w="5476" w:type="dxa"/>
            <w:tcBorders>
              <w:left w:val="single" w:color="auto" w:sz="4" w:space="0"/>
            </w:tcBorders>
            <w:vAlign w:val="center"/>
          </w:tcPr>
          <w:p w14:paraId="7A4D8859">
            <w:pPr>
              <w:pStyle w:val="43"/>
            </w:pPr>
            <w:r>
              <w:rPr>
                <w:rFonts w:hint="eastAsia"/>
              </w:rPr>
              <w:t>与营业执照、资格证明材料一致</w:t>
            </w:r>
          </w:p>
        </w:tc>
      </w:tr>
      <w:tr w14:paraId="2BC6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E2F1B87"/>
        </w:tc>
        <w:tc>
          <w:tcPr>
            <w:tcW w:w="1253" w:type="dxa"/>
            <w:vMerge w:val="continue"/>
            <w:tcBorders>
              <w:left w:val="single" w:color="auto" w:sz="4" w:space="0"/>
            </w:tcBorders>
            <w:vAlign w:val="center"/>
          </w:tcPr>
          <w:p w14:paraId="630D9696"/>
        </w:tc>
        <w:tc>
          <w:tcPr>
            <w:tcW w:w="1753" w:type="dxa"/>
            <w:tcBorders>
              <w:left w:val="single" w:color="auto" w:sz="4" w:space="0"/>
            </w:tcBorders>
            <w:vAlign w:val="center"/>
          </w:tcPr>
          <w:p w14:paraId="4A0F8A60">
            <w:pPr>
              <w:pStyle w:val="43"/>
            </w:pPr>
            <w:r>
              <w:rPr>
                <w:rFonts w:hint="eastAsia"/>
              </w:rPr>
              <w:t>响应文件的签字盖章</w:t>
            </w:r>
          </w:p>
        </w:tc>
        <w:tc>
          <w:tcPr>
            <w:tcW w:w="5476" w:type="dxa"/>
            <w:tcBorders>
              <w:left w:val="single" w:color="auto" w:sz="4" w:space="0"/>
            </w:tcBorders>
            <w:vAlign w:val="center"/>
          </w:tcPr>
          <w:p w14:paraId="19823194">
            <w:pPr>
              <w:pStyle w:val="43"/>
            </w:pPr>
            <w:r>
              <w:rPr>
                <w:rFonts w:hint="eastAsia"/>
              </w:rPr>
              <w:t>符合第二章“响应人须知”4.6 条规定</w:t>
            </w:r>
          </w:p>
        </w:tc>
      </w:tr>
      <w:tr w14:paraId="3E1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F3F5F2E"/>
        </w:tc>
        <w:tc>
          <w:tcPr>
            <w:tcW w:w="1253" w:type="dxa"/>
            <w:vMerge w:val="continue"/>
            <w:tcBorders>
              <w:left w:val="single" w:color="auto" w:sz="4" w:space="0"/>
            </w:tcBorders>
            <w:vAlign w:val="center"/>
          </w:tcPr>
          <w:p w14:paraId="15E54695"/>
        </w:tc>
        <w:tc>
          <w:tcPr>
            <w:tcW w:w="1753" w:type="dxa"/>
            <w:tcBorders>
              <w:left w:val="single" w:color="auto" w:sz="4" w:space="0"/>
            </w:tcBorders>
            <w:vAlign w:val="center"/>
          </w:tcPr>
          <w:p w14:paraId="63DD2C2B">
            <w:pPr>
              <w:pStyle w:val="43"/>
            </w:pPr>
            <w:r>
              <w:rPr>
                <w:rFonts w:hint="eastAsia"/>
              </w:rPr>
              <w:t>响应文件的密封</w:t>
            </w:r>
          </w:p>
        </w:tc>
        <w:tc>
          <w:tcPr>
            <w:tcW w:w="5476" w:type="dxa"/>
            <w:tcBorders>
              <w:left w:val="single" w:color="auto" w:sz="4" w:space="0"/>
            </w:tcBorders>
            <w:vAlign w:val="center"/>
          </w:tcPr>
          <w:p w14:paraId="0615D957">
            <w:pPr>
              <w:pStyle w:val="43"/>
            </w:pPr>
            <w:r>
              <w:rPr>
                <w:rFonts w:hint="eastAsia"/>
              </w:rPr>
              <w:t>符合第二章“响应人须知”4.7 条规定</w:t>
            </w:r>
          </w:p>
        </w:tc>
      </w:tr>
      <w:tr w14:paraId="67F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B8E04EA"/>
        </w:tc>
        <w:tc>
          <w:tcPr>
            <w:tcW w:w="1253" w:type="dxa"/>
            <w:vMerge w:val="continue"/>
            <w:tcBorders>
              <w:left w:val="single" w:color="auto" w:sz="4" w:space="0"/>
            </w:tcBorders>
            <w:vAlign w:val="center"/>
          </w:tcPr>
          <w:p w14:paraId="5353A32B"/>
        </w:tc>
        <w:tc>
          <w:tcPr>
            <w:tcW w:w="1753" w:type="dxa"/>
            <w:tcBorders>
              <w:left w:val="single" w:color="auto" w:sz="4" w:space="0"/>
            </w:tcBorders>
            <w:vAlign w:val="center"/>
          </w:tcPr>
          <w:p w14:paraId="10F2540A">
            <w:pPr>
              <w:pStyle w:val="43"/>
            </w:pPr>
            <w:r>
              <w:rPr>
                <w:rFonts w:hint="eastAsia"/>
              </w:rPr>
              <w:t>响应文件格式</w:t>
            </w:r>
          </w:p>
        </w:tc>
        <w:tc>
          <w:tcPr>
            <w:tcW w:w="5476" w:type="dxa"/>
            <w:tcBorders>
              <w:left w:val="single" w:color="auto" w:sz="4" w:space="0"/>
            </w:tcBorders>
            <w:vAlign w:val="center"/>
          </w:tcPr>
          <w:p w14:paraId="05BA2624">
            <w:pPr>
              <w:pStyle w:val="43"/>
            </w:pPr>
            <w:r>
              <w:rPr>
                <w:rFonts w:hint="eastAsia"/>
              </w:rPr>
              <w:t>符合第六章“响应文件格式”的要求</w:t>
            </w:r>
          </w:p>
        </w:tc>
      </w:tr>
      <w:tr w14:paraId="26ED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D6E25D0"/>
        </w:tc>
        <w:tc>
          <w:tcPr>
            <w:tcW w:w="1253" w:type="dxa"/>
            <w:vMerge w:val="continue"/>
            <w:tcBorders>
              <w:left w:val="single" w:color="auto" w:sz="4" w:space="0"/>
            </w:tcBorders>
            <w:vAlign w:val="center"/>
          </w:tcPr>
          <w:p w14:paraId="0231CDBF"/>
        </w:tc>
        <w:tc>
          <w:tcPr>
            <w:tcW w:w="1753" w:type="dxa"/>
            <w:tcBorders>
              <w:left w:val="single" w:color="auto" w:sz="4" w:space="0"/>
            </w:tcBorders>
            <w:vAlign w:val="center"/>
          </w:tcPr>
          <w:p w14:paraId="3907F07D">
            <w:pPr>
              <w:pStyle w:val="43"/>
            </w:pPr>
            <w:r>
              <w:rPr>
                <w:rFonts w:hint="eastAsia"/>
              </w:rPr>
              <w:t>响应文件组成</w:t>
            </w:r>
          </w:p>
        </w:tc>
        <w:tc>
          <w:tcPr>
            <w:tcW w:w="5476" w:type="dxa"/>
            <w:tcBorders>
              <w:left w:val="single" w:color="auto" w:sz="4" w:space="0"/>
            </w:tcBorders>
            <w:vAlign w:val="center"/>
          </w:tcPr>
          <w:p w14:paraId="2B97B170">
            <w:pPr>
              <w:pStyle w:val="43"/>
            </w:pPr>
            <w:r>
              <w:rPr>
                <w:rFonts w:hint="eastAsia"/>
              </w:rPr>
              <w:t>符合第二章“响应人须知”4.2 条规定，内容齐全、无遗漏</w:t>
            </w:r>
          </w:p>
        </w:tc>
      </w:tr>
      <w:tr w14:paraId="7451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atLeast"/>
          <w:jc w:val="center"/>
        </w:trPr>
        <w:tc>
          <w:tcPr>
            <w:tcW w:w="982" w:type="dxa"/>
            <w:vMerge w:val="continue"/>
          </w:tcPr>
          <w:p w14:paraId="06868659"/>
        </w:tc>
        <w:tc>
          <w:tcPr>
            <w:tcW w:w="1253" w:type="dxa"/>
            <w:vMerge w:val="continue"/>
            <w:tcBorders>
              <w:left w:val="single" w:color="auto" w:sz="4" w:space="0"/>
            </w:tcBorders>
            <w:vAlign w:val="center"/>
          </w:tcPr>
          <w:p w14:paraId="37E373CF"/>
        </w:tc>
        <w:tc>
          <w:tcPr>
            <w:tcW w:w="1753" w:type="dxa"/>
            <w:tcBorders>
              <w:left w:val="single" w:color="auto" w:sz="4" w:space="0"/>
            </w:tcBorders>
            <w:vAlign w:val="center"/>
          </w:tcPr>
          <w:p w14:paraId="2F6ADE83">
            <w:pPr>
              <w:pStyle w:val="43"/>
            </w:pPr>
            <w:r>
              <w:rPr>
                <w:rFonts w:hint="eastAsia"/>
              </w:rPr>
              <w:t>联合体响应</w:t>
            </w:r>
          </w:p>
        </w:tc>
        <w:tc>
          <w:tcPr>
            <w:tcW w:w="5476" w:type="dxa"/>
            <w:tcBorders>
              <w:left w:val="single" w:color="auto" w:sz="4" w:space="0"/>
            </w:tcBorders>
            <w:vAlign w:val="center"/>
          </w:tcPr>
          <w:p w14:paraId="5C029A5E">
            <w:pPr>
              <w:pStyle w:val="43"/>
            </w:pPr>
            <w:r>
              <w:rPr>
                <w:rFonts w:hint="eastAsia"/>
              </w:rPr>
              <w:t>符合第一章“2. 响应人资格要求”2.5 条的要求</w:t>
            </w:r>
          </w:p>
        </w:tc>
      </w:tr>
      <w:tr w14:paraId="6C70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56387736">
            <w:pPr>
              <w:pStyle w:val="43"/>
            </w:pPr>
            <w:r>
              <w:rPr>
                <w:rFonts w:hint="eastAsia"/>
              </w:rPr>
              <w:t>2.2.3</w:t>
            </w:r>
          </w:p>
        </w:tc>
        <w:tc>
          <w:tcPr>
            <w:tcW w:w="1253" w:type="dxa"/>
            <w:vMerge w:val="restart"/>
            <w:tcBorders>
              <w:left w:val="single" w:color="auto" w:sz="4" w:space="0"/>
            </w:tcBorders>
            <w:vAlign w:val="center"/>
          </w:tcPr>
          <w:p w14:paraId="07F6F1B9">
            <w:pPr>
              <w:pStyle w:val="43"/>
            </w:pPr>
            <w:r>
              <w:rPr>
                <w:rFonts w:hint="eastAsia"/>
              </w:rPr>
              <w:t>响应性评审标准</w:t>
            </w:r>
          </w:p>
        </w:tc>
        <w:tc>
          <w:tcPr>
            <w:tcW w:w="1753" w:type="dxa"/>
            <w:tcBorders>
              <w:left w:val="single" w:color="auto" w:sz="4" w:space="0"/>
            </w:tcBorders>
            <w:vAlign w:val="center"/>
          </w:tcPr>
          <w:p w14:paraId="66D1499D">
            <w:pPr>
              <w:pStyle w:val="43"/>
            </w:pPr>
            <w:r>
              <w:rPr>
                <w:rFonts w:hint="eastAsia"/>
              </w:rPr>
              <w:t>响应内容</w:t>
            </w:r>
          </w:p>
        </w:tc>
        <w:tc>
          <w:tcPr>
            <w:tcW w:w="5476" w:type="dxa"/>
            <w:tcBorders>
              <w:left w:val="single" w:color="auto" w:sz="4" w:space="0"/>
            </w:tcBorders>
            <w:vAlign w:val="center"/>
          </w:tcPr>
          <w:p w14:paraId="1D7D04D0">
            <w:pPr>
              <w:pStyle w:val="43"/>
            </w:pPr>
            <w:r>
              <w:rPr>
                <w:rFonts w:hint="eastAsia"/>
              </w:rPr>
              <w:t>1. 在响应承诺函中对第三章“项目要求”内容做出整体承诺；</w:t>
            </w:r>
          </w:p>
          <w:p w14:paraId="68863EF3">
            <w:pPr>
              <w:pStyle w:val="43"/>
            </w:pPr>
            <w:r>
              <w:rPr>
                <w:rFonts w:hint="eastAsia"/>
              </w:rPr>
              <w:t>2. 根据第一章“2. 响应人</w:t>
            </w:r>
            <w:r>
              <w:t>资格要求”和第三章“项目要求”的要求规定，提供对应</w:t>
            </w:r>
            <w:r>
              <w:rPr>
                <w:rFonts w:hint="eastAsia"/>
              </w:rPr>
              <w:t>材料</w:t>
            </w:r>
            <w:r>
              <w:t>，内容齐全、无遗漏。</w:t>
            </w:r>
          </w:p>
          <w:p w14:paraId="7A93BBEC">
            <w:pPr>
              <w:pStyle w:val="43"/>
            </w:pPr>
            <w:r>
              <w:rPr>
                <w:rFonts w:hint="eastAsia"/>
              </w:rPr>
              <w:t>3. 根据第三章“3. 技术要求”中表格内容，提供技术条款偏离表，内容齐全、无遗漏，无负偏差。</w:t>
            </w:r>
          </w:p>
        </w:tc>
      </w:tr>
      <w:tr w14:paraId="46B6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477CD4"/>
        </w:tc>
        <w:tc>
          <w:tcPr>
            <w:tcW w:w="1253" w:type="dxa"/>
            <w:vMerge w:val="continue"/>
            <w:tcBorders>
              <w:left w:val="single" w:color="auto" w:sz="4" w:space="0"/>
            </w:tcBorders>
          </w:tcPr>
          <w:p w14:paraId="721DBAA3"/>
        </w:tc>
        <w:tc>
          <w:tcPr>
            <w:tcW w:w="1753" w:type="dxa"/>
            <w:tcBorders>
              <w:left w:val="single" w:color="auto" w:sz="4" w:space="0"/>
            </w:tcBorders>
            <w:vAlign w:val="center"/>
          </w:tcPr>
          <w:p w14:paraId="1200FD34">
            <w:pPr>
              <w:pStyle w:val="43"/>
            </w:pPr>
            <w:r>
              <w:rPr>
                <w:rFonts w:hint="eastAsia"/>
              </w:rPr>
              <w:t>响应文件份数</w:t>
            </w:r>
          </w:p>
        </w:tc>
        <w:tc>
          <w:tcPr>
            <w:tcW w:w="5476" w:type="dxa"/>
            <w:tcBorders>
              <w:left w:val="single" w:color="auto" w:sz="4" w:space="0"/>
            </w:tcBorders>
            <w:vAlign w:val="center"/>
          </w:tcPr>
          <w:p w14:paraId="3873FC08">
            <w:pPr>
              <w:pStyle w:val="43"/>
            </w:pPr>
            <w:r>
              <w:rPr>
                <w:rFonts w:hint="eastAsia"/>
              </w:rPr>
              <w:t>符合第二章“响应人须知”4.6 条规定</w:t>
            </w:r>
          </w:p>
        </w:tc>
      </w:tr>
      <w:tr w14:paraId="441E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36801B2"/>
        </w:tc>
        <w:tc>
          <w:tcPr>
            <w:tcW w:w="1253" w:type="dxa"/>
            <w:vMerge w:val="continue"/>
            <w:tcBorders>
              <w:left w:val="single" w:color="auto" w:sz="4" w:space="0"/>
            </w:tcBorders>
          </w:tcPr>
          <w:p w14:paraId="3B6903DB"/>
        </w:tc>
        <w:tc>
          <w:tcPr>
            <w:tcW w:w="1753" w:type="dxa"/>
            <w:tcBorders>
              <w:left w:val="single" w:color="auto" w:sz="4" w:space="0"/>
            </w:tcBorders>
            <w:vAlign w:val="center"/>
          </w:tcPr>
          <w:p w14:paraId="531B775B">
            <w:pPr>
              <w:pStyle w:val="43"/>
            </w:pPr>
            <w:r>
              <w:rPr>
                <w:rFonts w:hint="eastAsia"/>
              </w:rPr>
              <w:t>响应方案唯一</w:t>
            </w:r>
          </w:p>
        </w:tc>
        <w:tc>
          <w:tcPr>
            <w:tcW w:w="5476" w:type="dxa"/>
            <w:tcBorders>
              <w:left w:val="single" w:color="auto" w:sz="4" w:space="0"/>
            </w:tcBorders>
            <w:vAlign w:val="center"/>
          </w:tcPr>
          <w:p w14:paraId="001BDEE6">
            <w:pPr>
              <w:pStyle w:val="43"/>
            </w:pPr>
            <w:r>
              <w:rPr>
                <w:rFonts w:hint="eastAsia"/>
              </w:rPr>
              <w:t>只能有一个方案响应。</w:t>
            </w:r>
          </w:p>
        </w:tc>
      </w:tr>
      <w:tr w14:paraId="66FF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A9AE00D"/>
        </w:tc>
        <w:tc>
          <w:tcPr>
            <w:tcW w:w="1253" w:type="dxa"/>
            <w:vMerge w:val="continue"/>
            <w:tcBorders>
              <w:left w:val="single" w:color="auto" w:sz="4" w:space="0"/>
            </w:tcBorders>
          </w:tcPr>
          <w:p w14:paraId="4FF070D7"/>
        </w:tc>
        <w:tc>
          <w:tcPr>
            <w:tcW w:w="1753" w:type="dxa"/>
            <w:tcBorders>
              <w:left w:val="single" w:color="auto" w:sz="4" w:space="0"/>
            </w:tcBorders>
            <w:vAlign w:val="center"/>
          </w:tcPr>
          <w:p w14:paraId="731FD775">
            <w:pPr>
              <w:pStyle w:val="43"/>
            </w:pPr>
            <w:r>
              <w:rPr>
                <w:rFonts w:hint="eastAsia"/>
              </w:rPr>
              <w:t>响应报价</w:t>
            </w:r>
          </w:p>
        </w:tc>
        <w:tc>
          <w:tcPr>
            <w:tcW w:w="5476" w:type="dxa"/>
            <w:tcBorders>
              <w:left w:val="single" w:color="auto" w:sz="4" w:space="0"/>
            </w:tcBorders>
            <w:vAlign w:val="center"/>
          </w:tcPr>
          <w:p w14:paraId="0FE41A0F">
            <w:pPr>
              <w:pStyle w:val="43"/>
            </w:pPr>
            <w:r>
              <w:rPr>
                <w:rFonts w:hint="eastAsia"/>
              </w:rPr>
              <w:t>符合第二章“响应人须知”4.8 条规定</w:t>
            </w:r>
          </w:p>
        </w:tc>
      </w:tr>
      <w:tr w14:paraId="195B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902F50E"/>
        </w:tc>
        <w:tc>
          <w:tcPr>
            <w:tcW w:w="1253" w:type="dxa"/>
            <w:vMerge w:val="continue"/>
            <w:tcBorders>
              <w:left w:val="single" w:color="auto" w:sz="4" w:space="0"/>
            </w:tcBorders>
          </w:tcPr>
          <w:p w14:paraId="2FE387D6"/>
        </w:tc>
        <w:tc>
          <w:tcPr>
            <w:tcW w:w="1753" w:type="dxa"/>
            <w:tcBorders>
              <w:left w:val="single" w:color="auto" w:sz="4" w:space="0"/>
            </w:tcBorders>
            <w:vAlign w:val="center"/>
          </w:tcPr>
          <w:p w14:paraId="48461824">
            <w:pPr>
              <w:pStyle w:val="43"/>
            </w:pPr>
            <w:r>
              <w:rPr>
                <w:rFonts w:hint="eastAsia"/>
              </w:rPr>
              <w:t>响应有效期</w:t>
            </w:r>
          </w:p>
        </w:tc>
        <w:tc>
          <w:tcPr>
            <w:tcW w:w="5476" w:type="dxa"/>
            <w:tcBorders>
              <w:left w:val="single" w:color="auto" w:sz="4" w:space="0"/>
            </w:tcBorders>
          </w:tcPr>
          <w:p w14:paraId="60C9DF99">
            <w:pPr>
              <w:pStyle w:val="43"/>
            </w:pPr>
            <w:r>
              <w:rPr>
                <w:rFonts w:hint="eastAsia"/>
              </w:rPr>
              <w:t>符合第二章“响应人须知”4.4 条规定</w:t>
            </w:r>
          </w:p>
        </w:tc>
      </w:tr>
      <w:tr w14:paraId="7531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7BD98CD"/>
        </w:tc>
        <w:tc>
          <w:tcPr>
            <w:tcW w:w="1253" w:type="dxa"/>
            <w:vMerge w:val="continue"/>
            <w:tcBorders>
              <w:left w:val="single" w:color="auto" w:sz="4" w:space="0"/>
            </w:tcBorders>
          </w:tcPr>
          <w:p w14:paraId="3918CA34"/>
        </w:tc>
        <w:tc>
          <w:tcPr>
            <w:tcW w:w="1753" w:type="dxa"/>
            <w:tcBorders>
              <w:left w:val="single" w:color="auto" w:sz="4" w:space="0"/>
            </w:tcBorders>
            <w:vAlign w:val="center"/>
          </w:tcPr>
          <w:p w14:paraId="650A3135">
            <w:pPr>
              <w:pStyle w:val="43"/>
            </w:pPr>
            <w:r>
              <w:rPr>
                <w:rFonts w:hint="eastAsia"/>
              </w:rPr>
              <w:t>响应保证金</w:t>
            </w:r>
          </w:p>
        </w:tc>
        <w:tc>
          <w:tcPr>
            <w:tcW w:w="5476" w:type="dxa"/>
            <w:tcBorders>
              <w:left w:val="single" w:color="auto" w:sz="4" w:space="0"/>
            </w:tcBorders>
          </w:tcPr>
          <w:p w14:paraId="3F11E858">
            <w:pPr>
              <w:pStyle w:val="43"/>
            </w:pPr>
            <w:r>
              <w:rPr>
                <w:rFonts w:hint="eastAsia"/>
              </w:rPr>
              <w:t>按时足额缴纳响应保证金，以重庆市公共资源交易中心《投标保证金交纳情况一览表》为准。</w:t>
            </w:r>
          </w:p>
        </w:tc>
      </w:tr>
      <w:tr w14:paraId="429F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2" w:type="dxa"/>
            <w:vAlign w:val="center"/>
          </w:tcPr>
          <w:p w14:paraId="03F2C456">
            <w:pPr>
              <w:pStyle w:val="43"/>
            </w:pPr>
            <w:r>
              <w:rPr>
                <w:rFonts w:hint="eastAsia"/>
              </w:rPr>
              <w:t>3</w:t>
            </w:r>
          </w:p>
        </w:tc>
        <w:tc>
          <w:tcPr>
            <w:tcW w:w="1253" w:type="dxa"/>
            <w:tcBorders>
              <w:left w:val="single" w:color="auto" w:sz="4" w:space="0"/>
            </w:tcBorders>
            <w:vAlign w:val="center"/>
          </w:tcPr>
          <w:p w14:paraId="2F306626">
            <w:pPr>
              <w:pStyle w:val="43"/>
            </w:pPr>
            <w:r>
              <w:rPr>
                <w:rFonts w:hint="eastAsia"/>
              </w:rPr>
              <w:t>评审程序</w:t>
            </w:r>
          </w:p>
        </w:tc>
        <w:tc>
          <w:tcPr>
            <w:tcW w:w="7229" w:type="dxa"/>
            <w:gridSpan w:val="2"/>
            <w:tcBorders>
              <w:left w:val="single" w:color="auto" w:sz="4" w:space="0"/>
            </w:tcBorders>
          </w:tcPr>
          <w:p w14:paraId="75910B11">
            <w:pPr>
              <w:pStyle w:val="43"/>
            </w:pPr>
            <w:r>
              <w:rPr>
                <w:rFonts w:hint="eastAsia"/>
              </w:rPr>
              <w:t>1.评审委员会所有响应文件进行符合性审查</w:t>
            </w:r>
          </w:p>
          <w:p w14:paraId="392DC08F">
            <w:pPr>
              <w:pStyle w:val="43"/>
            </w:pPr>
            <w:r>
              <w:rPr>
                <w:rFonts w:hint="eastAsia"/>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3F51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C435E08">
            <w:pPr>
              <w:pStyle w:val="43"/>
            </w:pPr>
            <w:r>
              <w:rPr>
                <w:rFonts w:hint="eastAsia"/>
              </w:rPr>
              <w:t>3.4</w:t>
            </w:r>
          </w:p>
        </w:tc>
        <w:tc>
          <w:tcPr>
            <w:tcW w:w="1253" w:type="dxa"/>
            <w:tcBorders>
              <w:left w:val="single" w:color="auto" w:sz="4" w:space="0"/>
            </w:tcBorders>
            <w:vAlign w:val="center"/>
          </w:tcPr>
          <w:p w14:paraId="355DA376">
            <w:pPr>
              <w:pStyle w:val="43"/>
            </w:pPr>
            <w:r>
              <w:rPr>
                <w:rFonts w:hint="eastAsia"/>
              </w:rPr>
              <w:t>评审结果</w:t>
            </w:r>
          </w:p>
        </w:tc>
        <w:tc>
          <w:tcPr>
            <w:tcW w:w="7229" w:type="dxa"/>
            <w:gridSpan w:val="2"/>
            <w:tcBorders>
              <w:left w:val="single" w:color="auto" w:sz="4" w:space="0"/>
            </w:tcBorders>
            <w:vAlign w:val="center"/>
          </w:tcPr>
          <w:p w14:paraId="24D123E4">
            <w:pPr>
              <w:pStyle w:val="43"/>
            </w:pPr>
            <w:r>
              <w:rPr>
                <w:rFonts w:hint="eastAsia"/>
              </w:rPr>
              <w:t>3.4.1 评审委员会按经评审的最低价法推荐成交候选人。</w:t>
            </w:r>
          </w:p>
          <w:p w14:paraId="5DB300FA">
            <w:pPr>
              <w:pStyle w:val="43"/>
            </w:pPr>
            <w:r>
              <w:rPr>
                <w:rFonts w:hint="eastAsia"/>
              </w:rPr>
              <w:t>3.4.2 评审委员会完成评审后，应当向采购人提交书面评审报告。</w:t>
            </w:r>
          </w:p>
        </w:tc>
      </w:tr>
    </w:tbl>
    <w:p w14:paraId="5A804612">
      <w:pPr>
        <w:rPr>
          <w:rFonts w:hint="eastAsia" w:ascii="宋体" w:hAnsi="宋体" w:cs="宋体"/>
          <w:snapToGrid w:val="0"/>
          <w:szCs w:val="21"/>
        </w:rPr>
      </w:pPr>
      <w:r>
        <w:rPr>
          <w:rFonts w:hint="eastAsia" w:ascii="宋体" w:hAnsi="宋体" w:cs="宋体"/>
          <w:snapToGrid w:val="0"/>
          <w:szCs w:val="21"/>
        </w:rPr>
        <w:br w:type="page"/>
      </w:r>
    </w:p>
    <w:p w14:paraId="37D95053">
      <w:pPr>
        <w:pStyle w:val="3"/>
      </w:pPr>
      <w:bookmarkStart w:id="66" w:name="_Toc32646"/>
      <w:bookmarkStart w:id="67" w:name="_Toc25275"/>
      <w:bookmarkStart w:id="68" w:name="_Toc2724"/>
      <w:r>
        <w:t>1.</w:t>
      </w:r>
      <w:r>
        <w:rPr>
          <w:rFonts w:hint="eastAsia"/>
        </w:rPr>
        <w:t xml:space="preserve"> 评审</w:t>
      </w:r>
      <w:r>
        <w:t>方法</w:t>
      </w:r>
      <w:bookmarkEnd w:id="66"/>
      <w:bookmarkEnd w:id="67"/>
      <w:bookmarkEnd w:id="68"/>
    </w:p>
    <w:p w14:paraId="50AAF01B">
      <w:r>
        <w:rPr>
          <w:rFonts w:hint="eastAsia"/>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0C506D61">
      <w:pPr>
        <w:pStyle w:val="3"/>
      </w:pPr>
      <w:bookmarkStart w:id="69" w:name="_Toc10761"/>
      <w:bookmarkStart w:id="70" w:name="_Toc15579"/>
      <w:bookmarkStart w:id="71" w:name="_Toc2555"/>
      <w:r>
        <w:t>2.</w:t>
      </w:r>
      <w:r>
        <w:rPr>
          <w:rFonts w:hint="eastAsia"/>
        </w:rPr>
        <w:t xml:space="preserve"> </w:t>
      </w:r>
      <w:r>
        <w:t>评审标准</w:t>
      </w:r>
      <w:bookmarkEnd w:id="69"/>
      <w:bookmarkEnd w:id="70"/>
      <w:bookmarkEnd w:id="71"/>
    </w:p>
    <w:p w14:paraId="758603C9">
      <w:pPr>
        <w:pStyle w:val="4"/>
      </w:pPr>
      <w:bookmarkStart w:id="72" w:name="_Toc15271"/>
      <w:r>
        <w:t>2.</w:t>
      </w:r>
      <w:r>
        <w:rPr>
          <w:rFonts w:hint="eastAsia"/>
        </w:rPr>
        <w:t>1 符合性审查标准</w:t>
      </w:r>
      <w:bookmarkEnd w:id="72"/>
    </w:p>
    <w:p w14:paraId="02447974">
      <w:r>
        <w:rPr>
          <w:rFonts w:hint="eastAsia"/>
        </w:rPr>
        <w:t>按评审办法前附表约定的审查标准进行符合性审查。符合性审查内容：资格评审、形式评审、响应性评审。</w:t>
      </w:r>
    </w:p>
    <w:p w14:paraId="2F30E98A">
      <w:r>
        <w:t>2.</w:t>
      </w:r>
      <w:r>
        <w:rPr>
          <w:rFonts w:hint="eastAsia"/>
        </w:rPr>
        <w:t>1</w:t>
      </w:r>
      <w:r>
        <w:t>.</w:t>
      </w:r>
      <w:r>
        <w:rPr>
          <w:rFonts w:hint="eastAsia"/>
        </w:rPr>
        <w:t>1 资格评审标准：见评审办法前附表。</w:t>
      </w:r>
    </w:p>
    <w:p w14:paraId="5299895E">
      <w:r>
        <w:t>2.</w:t>
      </w:r>
      <w:r>
        <w:rPr>
          <w:rFonts w:hint="eastAsia"/>
        </w:rPr>
        <w:t>1</w:t>
      </w:r>
      <w:r>
        <w:t>.</w:t>
      </w:r>
      <w:r>
        <w:rPr>
          <w:rFonts w:hint="eastAsia"/>
        </w:rPr>
        <w:t>2 形式评审标准：见评审办法前附表。</w:t>
      </w:r>
    </w:p>
    <w:p w14:paraId="7826DCD7">
      <w:r>
        <w:t>2.</w:t>
      </w:r>
      <w:r>
        <w:rPr>
          <w:rFonts w:hint="eastAsia"/>
        </w:rPr>
        <w:t>1</w:t>
      </w:r>
      <w:r>
        <w:t>.</w:t>
      </w:r>
      <w:r>
        <w:rPr>
          <w:rFonts w:hint="eastAsia"/>
        </w:rPr>
        <w:t>3 响应性评审标准：见评审办法前附表。</w:t>
      </w:r>
    </w:p>
    <w:p w14:paraId="7C5AB746">
      <w:pPr>
        <w:pStyle w:val="4"/>
      </w:pPr>
      <w:r>
        <w:t>2.</w:t>
      </w:r>
      <w:r>
        <w:rPr>
          <w:rFonts w:hint="eastAsia"/>
        </w:rPr>
        <w:t>2 报价</w:t>
      </w:r>
      <w:r>
        <w:t>排序</w:t>
      </w:r>
      <w:r>
        <w:rPr>
          <w:rFonts w:hint="eastAsia"/>
        </w:rPr>
        <w:t>标准</w:t>
      </w:r>
    </w:p>
    <w:p w14:paraId="2B02DD98">
      <w:r>
        <w:rPr>
          <w:rFonts w:hint="eastAsia"/>
        </w:rPr>
        <w:t>见评审办法前附表。</w:t>
      </w:r>
    </w:p>
    <w:p w14:paraId="2F7CC8AE">
      <w:pPr>
        <w:pStyle w:val="3"/>
      </w:pPr>
      <w:bookmarkStart w:id="73" w:name="_Toc26015"/>
      <w:bookmarkStart w:id="74" w:name="_Toc7105"/>
      <w:bookmarkStart w:id="75" w:name="_Toc26445"/>
      <w:r>
        <w:t>3.</w:t>
      </w:r>
      <w:r>
        <w:rPr>
          <w:rFonts w:hint="eastAsia"/>
        </w:rPr>
        <w:t xml:space="preserve"> 评审</w:t>
      </w:r>
      <w:r>
        <w:t>程序</w:t>
      </w:r>
      <w:bookmarkEnd w:id="73"/>
      <w:bookmarkEnd w:id="74"/>
      <w:bookmarkEnd w:id="75"/>
    </w:p>
    <w:p w14:paraId="248852B1">
      <w:pPr>
        <w:pStyle w:val="4"/>
      </w:pPr>
      <w:bookmarkStart w:id="76" w:name="_Toc19164"/>
      <w:r>
        <w:t>3.</w:t>
      </w:r>
      <w:r>
        <w:rPr>
          <w:rFonts w:hint="eastAsia"/>
        </w:rPr>
        <w:t>1 符合性审查</w:t>
      </w:r>
      <w:bookmarkEnd w:id="76"/>
    </w:p>
    <w:p w14:paraId="1B22F308">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条规定的标准对响应文件进行符合性审查。符合性审查顺序：资格评审、形式评审、响应性评审。</w:t>
      </w:r>
    </w:p>
    <w:p w14:paraId="75EC3856">
      <w:r>
        <w:rPr>
          <w:rFonts w:hint="eastAsia"/>
        </w:rPr>
        <w:t>有一项不符合评审标准的，作否决响应处理。</w:t>
      </w:r>
    </w:p>
    <w:p w14:paraId="2FD90EB6">
      <w:r>
        <w:t>3.</w:t>
      </w:r>
      <w:r>
        <w:rPr>
          <w:rFonts w:hint="eastAsia"/>
        </w:rPr>
        <w:t>1</w:t>
      </w:r>
      <w:r>
        <w:t xml:space="preserve">.2 </w:t>
      </w:r>
      <w:r>
        <w:rPr>
          <w:rFonts w:hint="eastAsia"/>
        </w:rPr>
        <w:t>响应人</w:t>
      </w:r>
      <w:r>
        <w:t>有以下情形之一的，</w:t>
      </w:r>
      <w:r>
        <w:rPr>
          <w:rFonts w:hint="eastAsia"/>
        </w:rPr>
        <w:t>其响应文件将被否决：</w:t>
      </w:r>
    </w:p>
    <w:p w14:paraId="5AB5B4DC">
      <w:r>
        <w:rPr>
          <w:rFonts w:hint="eastAsia"/>
        </w:rPr>
        <w:t>3.1.2.1 有</w:t>
      </w:r>
      <w:r>
        <w:t>第二章“</w:t>
      </w:r>
      <w:r>
        <w:rPr>
          <w:rFonts w:hint="eastAsia"/>
        </w:rPr>
        <w:t>响应人</w:t>
      </w:r>
      <w:r>
        <w:t>须知”第</w:t>
      </w:r>
      <w:r>
        <w:rPr>
          <w:rFonts w:hint="eastAsia"/>
        </w:rPr>
        <w:t>9 条以及第11 条</w:t>
      </w:r>
      <w:r>
        <w:t>规定的任何一种情形的；</w:t>
      </w:r>
    </w:p>
    <w:p w14:paraId="73BF5283">
      <w:r>
        <w:rPr>
          <w:rFonts w:hint="eastAsia"/>
        </w:rPr>
        <w:t>3.1.2.2 有串通响应、弄虚作假等其他违反相关法律、法规行为的；</w:t>
      </w:r>
    </w:p>
    <w:p w14:paraId="4151678B">
      <w:r>
        <w:rPr>
          <w:rFonts w:hint="eastAsia"/>
        </w:rPr>
        <w:t>3.1.2.3 不按评审委员会要求澄清、说明或补正的。</w:t>
      </w:r>
    </w:p>
    <w:p w14:paraId="7F0F5F47">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3C21FC11">
      <w:pPr>
        <w:pStyle w:val="4"/>
      </w:pPr>
      <w:bookmarkStart w:id="77" w:name="_Toc14647"/>
      <w:r>
        <w:t>3.</w:t>
      </w:r>
      <w:r>
        <w:rPr>
          <w:rFonts w:hint="eastAsia"/>
        </w:rPr>
        <w:t>2 报价排序</w:t>
      </w:r>
    </w:p>
    <w:p w14:paraId="626B78A9">
      <w:r>
        <w:rPr>
          <w:rFonts w:hint="eastAsia"/>
        </w:rPr>
        <w:t>对报价不高于最高限价的所有响应人的响应文件，按照报价由低到高的顺序排序。</w:t>
      </w:r>
    </w:p>
    <w:p w14:paraId="500F5A48">
      <w:pPr>
        <w:pStyle w:val="4"/>
      </w:pPr>
      <w:r>
        <w:t>3.</w:t>
      </w:r>
      <w:r>
        <w:rPr>
          <w:rFonts w:hint="eastAsia"/>
        </w:rPr>
        <w:t>3</w:t>
      </w:r>
      <w:r>
        <w:t xml:space="preserve"> </w:t>
      </w:r>
      <w:r>
        <w:rPr>
          <w:rFonts w:hint="eastAsia"/>
        </w:rPr>
        <w:t>响应文件的澄清和补正</w:t>
      </w:r>
      <w:bookmarkEnd w:id="77"/>
    </w:p>
    <w:p w14:paraId="77E88DD5">
      <w:r>
        <w:t>3.</w:t>
      </w:r>
      <w:r>
        <w:rPr>
          <w:rFonts w:hint="eastAsia"/>
        </w:rPr>
        <w:t>3</w:t>
      </w:r>
      <w:r>
        <w:t xml:space="preserve">.1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14:paraId="4E711E93">
      <w:r>
        <w:t>3.</w:t>
      </w:r>
      <w:r>
        <w:rPr>
          <w:rFonts w:hint="eastAsia"/>
        </w:rPr>
        <w:t>3</w:t>
      </w:r>
      <w:r>
        <w:t xml:space="preserve">.2 </w:t>
      </w:r>
      <w:r>
        <w:rPr>
          <w:rFonts w:hint="eastAsia"/>
        </w:rPr>
        <w:t>澄清、说明和补正不得改变响应文件的实质性内容（算术性错误修正的除外）。响应人的书面澄清、说明和补正属于响应文件的组成部分。</w:t>
      </w:r>
    </w:p>
    <w:p w14:paraId="3695D63C">
      <w:r>
        <w:t>3.</w:t>
      </w:r>
      <w:r>
        <w:rPr>
          <w:rFonts w:hint="eastAsia"/>
        </w:rPr>
        <w:t>3</w:t>
      </w:r>
      <w:r>
        <w:t>.</w:t>
      </w:r>
      <w:r>
        <w:rPr>
          <w:rFonts w:hint="eastAsia"/>
        </w:rPr>
        <w:t>3</w:t>
      </w:r>
      <w:r>
        <w:t xml:space="preserve"> </w:t>
      </w:r>
      <w:r>
        <w:rPr>
          <w:rFonts w:hint="eastAsia"/>
        </w:rPr>
        <w:t>评审委员会对响应人提交的澄清、说明或补正有疑问的，可以要求响应人进一步澄清、说明或补正，直至满足评审委员会的要求。</w:t>
      </w:r>
    </w:p>
    <w:p w14:paraId="7B34E3A2">
      <w:pPr>
        <w:pStyle w:val="4"/>
      </w:pPr>
      <w:bookmarkStart w:id="78" w:name="_Toc479262406"/>
      <w:bookmarkStart w:id="79" w:name="_Toc25249"/>
      <w:bookmarkStart w:id="80" w:name="_Toc484465184"/>
      <w:r>
        <w:t>3.</w:t>
      </w:r>
      <w:r>
        <w:rPr>
          <w:rFonts w:hint="eastAsia"/>
        </w:rPr>
        <w:t>4</w:t>
      </w:r>
      <w:r>
        <w:t xml:space="preserve"> </w:t>
      </w:r>
      <w:r>
        <w:rPr>
          <w:rFonts w:hint="eastAsia"/>
        </w:rPr>
        <w:t>评审结果</w:t>
      </w:r>
      <w:bookmarkEnd w:id="78"/>
      <w:bookmarkEnd w:id="79"/>
      <w:bookmarkEnd w:id="80"/>
    </w:p>
    <w:p w14:paraId="31DD94FE">
      <w:r>
        <w:t>3.</w:t>
      </w:r>
      <w:r>
        <w:rPr>
          <w:rFonts w:hint="eastAsia"/>
        </w:rPr>
        <w:t>4</w:t>
      </w:r>
      <w:r>
        <w:t>.1</w:t>
      </w:r>
      <w:r>
        <w:rPr>
          <w:rFonts w:hint="eastAsia"/>
        </w:rPr>
        <w:t xml:space="preserve"> 评审委员会按经评审的最低价法推荐成交候选人。</w:t>
      </w:r>
    </w:p>
    <w:p w14:paraId="4D36A7B2">
      <w:r>
        <w:t>3.</w:t>
      </w:r>
      <w:r>
        <w:rPr>
          <w:rFonts w:hint="eastAsia"/>
        </w:rPr>
        <w:t>4</w:t>
      </w:r>
      <w:r>
        <w:t>.2</w:t>
      </w:r>
      <w:r>
        <w:rPr>
          <w:rFonts w:hint="eastAsia"/>
        </w:rPr>
        <w:t xml:space="preserve"> 评审委员会完成评审后，应当向采购人提交书面评审报告和成交候选人名单。</w:t>
      </w:r>
    </w:p>
    <w:p w14:paraId="5F7E05E5">
      <w:r>
        <w:rPr>
          <w:rFonts w:hint="eastAsia"/>
        </w:rPr>
        <w:t>3.4.3 有效响应不足三个的，经评审委员会判定，响应人具有相对行业竞争力的，可继续进行评审并确定成交候选人。</w:t>
      </w:r>
    </w:p>
    <w:p w14:paraId="26AE12F6">
      <w:pPr>
        <w:pStyle w:val="4"/>
      </w:pPr>
      <w:r>
        <w:rPr>
          <w:rFonts w:hint="eastAsia"/>
        </w:rPr>
        <w:t>3.5 对评审委员会成员的纪律要求</w:t>
      </w:r>
    </w:p>
    <w:p w14:paraId="348471BA">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4C650C76">
      <w:pPr>
        <w:pStyle w:val="4"/>
      </w:pPr>
      <w:r>
        <w:rPr>
          <w:rFonts w:hint="eastAsia"/>
        </w:rPr>
        <w:t>3.6 对与评审活动有关的工作人员的纪律要求</w:t>
      </w:r>
    </w:p>
    <w:p w14:paraId="20277E2A">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bookmarkEnd w:id="65"/>
    <w:p w14:paraId="2931BA0B"/>
    <w:p w14:paraId="18825720">
      <w:pPr>
        <w:sectPr>
          <w:pgSz w:w="11906" w:h="16838"/>
          <w:pgMar w:top="1440" w:right="1800" w:bottom="1440" w:left="1800" w:header="851" w:footer="992" w:gutter="0"/>
          <w:cols w:space="720" w:num="1"/>
          <w:docGrid w:type="lines" w:linePitch="312" w:charSpace="0"/>
        </w:sectPr>
      </w:pPr>
    </w:p>
    <w:p w14:paraId="755585B7">
      <w:pPr>
        <w:pStyle w:val="2"/>
      </w:pPr>
      <w:bookmarkStart w:id="81" w:name="_Toc27278"/>
      <w:bookmarkStart w:id="82" w:name="_Toc150953074"/>
      <w:bookmarkStart w:id="83" w:name="_Toc303066034"/>
      <w:bookmarkStart w:id="84" w:name="_Toc89675170"/>
      <w:r>
        <w:rPr>
          <w:rFonts w:hint="eastAsia"/>
        </w:rPr>
        <w:t>第五章 合同</w:t>
      </w:r>
      <w:r>
        <w:t>模板</w:t>
      </w:r>
      <w:bookmarkEnd w:id="81"/>
      <w:bookmarkEnd w:id="82"/>
    </w:p>
    <w:p w14:paraId="4E157EC1">
      <w:pPr>
        <w:ind w:firstLine="0" w:firstLineChars="0"/>
        <w:jc w:val="center"/>
      </w:pPr>
      <w:r>
        <w:rPr>
          <w:rFonts w:hint="eastAsia"/>
        </w:rPr>
        <w:t>（本章节的合同条款及格式仅供参考，具体以合同签订时为准）</w:t>
      </w:r>
    </w:p>
    <w:p w14:paraId="4448A878">
      <w:pPr>
        <w:jc w:val="right"/>
        <w:rPr>
          <w:rFonts w:ascii="宋体"/>
          <w:sz w:val="28"/>
        </w:rPr>
      </w:pPr>
      <w:r>
        <w:rPr>
          <w:rFonts w:hint="eastAsia" w:ascii="宋体"/>
          <w:sz w:val="28"/>
        </w:rPr>
        <w:t>编号：SXYHXXKJ202_____</w:t>
      </w:r>
    </w:p>
    <w:p w14:paraId="0D24A48B">
      <w:pPr>
        <w:jc w:val="center"/>
        <w:rPr>
          <w:rFonts w:ascii="宋体"/>
          <w:b/>
          <w:sz w:val="44"/>
        </w:rPr>
      </w:pPr>
    </w:p>
    <w:p w14:paraId="40D2C5E1">
      <w:pPr>
        <w:jc w:val="center"/>
        <w:rPr>
          <w:rFonts w:ascii="宋体"/>
          <w:b/>
          <w:sz w:val="44"/>
        </w:rPr>
      </w:pPr>
    </w:p>
    <w:p w14:paraId="18494CB6">
      <w:pPr>
        <w:jc w:val="center"/>
        <w:rPr>
          <w:rFonts w:ascii="宋体"/>
          <w:b/>
          <w:sz w:val="44"/>
        </w:rPr>
      </w:pPr>
    </w:p>
    <w:p w14:paraId="061A06E0">
      <w:pPr>
        <w:jc w:val="center"/>
        <w:rPr>
          <w:rFonts w:ascii="宋体"/>
          <w:b/>
          <w:sz w:val="44"/>
        </w:rPr>
      </w:pPr>
      <w:r>
        <w:rPr>
          <w:rFonts w:hint="eastAsia" w:ascii="宋体"/>
          <w:b/>
          <w:sz w:val="44"/>
        </w:rPr>
        <w:t xml:space="preserve">  重庆三峡银行股份有限公司</w:t>
      </w:r>
    </w:p>
    <w:p w14:paraId="0DDA26AC">
      <w:pPr>
        <w:jc w:val="center"/>
        <w:rPr>
          <w:rFonts w:ascii="宋体"/>
          <w:b/>
          <w:sz w:val="44"/>
        </w:rPr>
      </w:pPr>
    </w:p>
    <w:p w14:paraId="4363A318">
      <w:pPr>
        <w:jc w:val="center"/>
        <w:rPr>
          <w:rFonts w:ascii="宋体"/>
          <w:b/>
          <w:sz w:val="44"/>
        </w:rPr>
      </w:pPr>
      <w:r>
        <w:rPr>
          <w:rFonts w:hint="eastAsia" w:ascii="宋体"/>
          <w:b/>
          <w:sz w:val="44"/>
        </w:rPr>
        <w:t>与</w:t>
      </w:r>
    </w:p>
    <w:p w14:paraId="5E8996AB">
      <w:pPr>
        <w:jc w:val="center"/>
        <w:rPr>
          <w:rFonts w:ascii="宋体"/>
          <w:b/>
          <w:sz w:val="44"/>
        </w:rPr>
      </w:pPr>
    </w:p>
    <w:p w14:paraId="5B1C9A5E">
      <w:pPr>
        <w:jc w:val="center"/>
        <w:rPr>
          <w:rFonts w:ascii="宋体"/>
          <w:b/>
          <w:sz w:val="44"/>
        </w:rPr>
      </w:pPr>
      <w:r>
        <w:rPr>
          <w:rFonts w:hint="eastAsia" w:ascii="宋体"/>
          <w:b/>
          <w:sz w:val="44"/>
        </w:rPr>
        <w:t xml:space="preserve">  xxxxx公司</w:t>
      </w:r>
    </w:p>
    <w:p w14:paraId="179B1E4D">
      <w:pPr>
        <w:jc w:val="center"/>
        <w:rPr>
          <w:rFonts w:ascii="宋体"/>
          <w:sz w:val="32"/>
          <w:szCs w:val="32"/>
        </w:rPr>
      </w:pPr>
    </w:p>
    <w:p w14:paraId="7B37EEFE">
      <w:pPr>
        <w:jc w:val="center"/>
        <w:rPr>
          <w:rFonts w:ascii="宋体"/>
          <w:sz w:val="32"/>
          <w:szCs w:val="32"/>
        </w:rPr>
      </w:pPr>
    </w:p>
    <w:p w14:paraId="2F176FDE">
      <w:pPr>
        <w:jc w:val="center"/>
        <w:rPr>
          <w:rFonts w:ascii="宋体"/>
          <w:sz w:val="32"/>
          <w:szCs w:val="32"/>
        </w:rPr>
      </w:pPr>
      <w:r>
        <w:rPr>
          <w:rFonts w:ascii="宋体"/>
          <w:sz w:val="32"/>
          <w:szCs w:val="32"/>
        </w:rPr>
        <w:t xml:space="preserve">  (流量监测平台)</w:t>
      </w:r>
    </w:p>
    <w:p w14:paraId="01145EB7">
      <w:pPr>
        <w:jc w:val="center"/>
        <w:rPr>
          <w:rFonts w:ascii="宋体"/>
          <w:sz w:val="36"/>
        </w:rPr>
      </w:pPr>
    </w:p>
    <w:p w14:paraId="6F1740CF">
      <w:pPr>
        <w:jc w:val="center"/>
        <w:rPr>
          <w:rFonts w:ascii="宋体"/>
          <w:b/>
          <w:sz w:val="48"/>
        </w:rPr>
      </w:pPr>
      <w:r>
        <w:rPr>
          <w:rFonts w:hint="eastAsia" w:ascii="宋体"/>
          <w:b/>
          <w:sz w:val="48"/>
        </w:rPr>
        <w:t>购 销 合 同</w:t>
      </w:r>
    </w:p>
    <w:p w14:paraId="774DA4B0">
      <w:pPr>
        <w:rPr>
          <w:rFonts w:ascii="宋体"/>
          <w:b/>
          <w:sz w:val="48"/>
        </w:rPr>
      </w:pPr>
    </w:p>
    <w:p w14:paraId="7E8EE5F2">
      <w:pPr>
        <w:rPr>
          <w:rFonts w:ascii="宋体"/>
          <w:b/>
          <w:sz w:val="18"/>
        </w:rPr>
      </w:pPr>
    </w:p>
    <w:p w14:paraId="049AE1B3">
      <w:pPr>
        <w:rPr>
          <w:rFonts w:ascii="宋体"/>
          <w:b/>
          <w:sz w:val="18"/>
        </w:rPr>
      </w:pPr>
    </w:p>
    <w:p w14:paraId="7EC87BA8">
      <w:pPr>
        <w:rPr>
          <w:rFonts w:ascii="宋体"/>
          <w:b/>
          <w:sz w:val="18"/>
        </w:rPr>
      </w:pPr>
    </w:p>
    <w:p w14:paraId="15639536">
      <w:pPr>
        <w:tabs>
          <w:tab w:val="left" w:pos="1843"/>
        </w:tabs>
        <w:rPr>
          <w:rFonts w:ascii="宋体"/>
          <w:b/>
          <w:sz w:val="18"/>
        </w:rPr>
      </w:pPr>
    </w:p>
    <w:p w14:paraId="416082BA">
      <w:pPr>
        <w:ind w:left="2551" w:leftChars="1215"/>
        <w:rPr>
          <w:rFonts w:ascii="宋体"/>
          <w:b/>
          <w:sz w:val="28"/>
          <w:szCs w:val="28"/>
        </w:rPr>
      </w:pPr>
    </w:p>
    <w:p w14:paraId="5E507F1F">
      <w:pPr>
        <w:ind w:left="2551" w:leftChars="1215"/>
        <w:rPr>
          <w:rFonts w:ascii="宋体"/>
          <w:b/>
          <w:sz w:val="28"/>
          <w:szCs w:val="28"/>
        </w:rPr>
      </w:pPr>
      <w:r>
        <w:rPr>
          <w:rFonts w:hint="eastAsia" w:ascii="宋体"/>
          <w:b/>
          <w:sz w:val="28"/>
          <w:szCs w:val="28"/>
        </w:rPr>
        <w:t>签订地点：重庆</w:t>
      </w:r>
    </w:p>
    <w:p w14:paraId="204DE849">
      <w:pPr>
        <w:rPr>
          <w:rFonts w:ascii="宋体"/>
          <w:b/>
          <w:sz w:val="28"/>
          <w:szCs w:val="28"/>
        </w:rPr>
      </w:pPr>
    </w:p>
    <w:p w14:paraId="3DA28A17">
      <w:pPr>
        <w:rPr>
          <w:rFonts w:ascii="宋体"/>
          <w:b/>
          <w:sz w:val="28"/>
          <w:szCs w:val="28"/>
        </w:rPr>
      </w:pPr>
    </w:p>
    <w:p w14:paraId="706B653B">
      <w:pPr>
        <w:rPr>
          <w:rFonts w:ascii="宋体"/>
          <w:b/>
          <w:sz w:val="24"/>
        </w:rPr>
      </w:pPr>
      <w:r>
        <w:rPr>
          <w:rFonts w:hint="eastAsia" w:ascii="宋体"/>
          <w:b/>
          <w:sz w:val="24"/>
        </w:rPr>
        <w:t>甲    方：重庆三峡银行股份有限公司</w:t>
      </w:r>
    </w:p>
    <w:p w14:paraId="0188675E">
      <w:pPr>
        <w:rPr>
          <w:rFonts w:ascii="宋体"/>
          <w:b/>
          <w:sz w:val="24"/>
        </w:rPr>
      </w:pPr>
      <w:r>
        <w:rPr>
          <w:rFonts w:hint="eastAsia" w:ascii="宋体"/>
          <w:sz w:val="24"/>
        </w:rPr>
        <w:t>地    址：重庆市渝北区嘉州路88号中渝国际都会4号写字楼</w:t>
      </w:r>
    </w:p>
    <w:p w14:paraId="381E33D6">
      <w:pPr>
        <w:rPr>
          <w:rFonts w:ascii="宋体"/>
          <w:sz w:val="24"/>
        </w:rPr>
      </w:pPr>
      <w:r>
        <w:rPr>
          <w:rFonts w:hint="eastAsia" w:ascii="宋体"/>
          <w:sz w:val="24"/>
        </w:rPr>
        <w:t>法定代表人：刘江桥</w:t>
      </w:r>
    </w:p>
    <w:p w14:paraId="01E483E4">
      <w:pPr>
        <w:rPr>
          <w:rFonts w:ascii="宋体"/>
          <w:bCs/>
          <w:sz w:val="24"/>
        </w:rPr>
      </w:pPr>
      <w:r>
        <w:rPr>
          <w:rFonts w:hint="eastAsia" w:ascii="宋体"/>
          <w:sz w:val="24"/>
        </w:rPr>
        <w:t>邮政编码：</w:t>
      </w:r>
    </w:p>
    <w:p w14:paraId="57E5E4E4">
      <w:pPr>
        <w:rPr>
          <w:rFonts w:ascii="宋体"/>
          <w:sz w:val="24"/>
        </w:rPr>
      </w:pPr>
      <w:r>
        <w:rPr>
          <w:rFonts w:hint="eastAsia" w:ascii="宋体"/>
          <w:sz w:val="24"/>
        </w:rPr>
        <w:t>联系人：</w:t>
      </w:r>
      <w:r>
        <w:rPr>
          <w:rFonts w:ascii="宋体"/>
          <w:color w:val="000000"/>
          <w:sz w:val="24"/>
        </w:rPr>
        <w:t>杨大露</w:t>
      </w:r>
    </w:p>
    <w:p w14:paraId="1C593B6B">
      <w:pPr>
        <w:rPr>
          <w:rFonts w:ascii="宋体"/>
          <w:sz w:val="24"/>
        </w:rPr>
      </w:pPr>
      <w:r>
        <w:rPr>
          <w:rFonts w:hint="eastAsia" w:ascii="宋体"/>
          <w:sz w:val="24"/>
        </w:rPr>
        <w:t>联系电话：</w:t>
      </w:r>
      <w:r>
        <w:rPr>
          <w:rFonts w:hint="eastAsia" w:ascii="宋体"/>
          <w:color w:val="000000"/>
          <w:sz w:val="24"/>
        </w:rPr>
        <w:t>13</w:t>
      </w:r>
      <w:r>
        <w:rPr>
          <w:rFonts w:ascii="宋体"/>
          <w:color w:val="000000"/>
          <w:sz w:val="24"/>
        </w:rPr>
        <w:t>389677106</w:t>
      </w:r>
    </w:p>
    <w:p w14:paraId="49262D9F">
      <w:pPr>
        <w:rPr>
          <w:rFonts w:ascii="宋体"/>
          <w:sz w:val="24"/>
        </w:rPr>
      </w:pPr>
      <w:r>
        <w:rPr>
          <w:rFonts w:hint="eastAsia" w:ascii="宋体"/>
          <w:sz w:val="24"/>
        </w:rPr>
        <w:t>传真号码：</w:t>
      </w:r>
    </w:p>
    <w:p w14:paraId="0647B544">
      <w:pPr>
        <w:rPr>
          <w:rFonts w:ascii="宋体"/>
          <w:bCs/>
          <w:sz w:val="24"/>
        </w:rPr>
      </w:pPr>
      <w:r>
        <w:rPr>
          <w:rFonts w:hint="eastAsia" w:ascii="宋体"/>
          <w:bCs/>
          <w:sz w:val="24"/>
        </w:rPr>
        <w:t>电子邮箱：</w:t>
      </w:r>
    </w:p>
    <w:p w14:paraId="3D1DBCC2">
      <w:pPr>
        <w:rPr>
          <w:rFonts w:ascii="宋体"/>
          <w:b/>
          <w:sz w:val="24"/>
        </w:rPr>
      </w:pPr>
    </w:p>
    <w:p w14:paraId="29BC32FD">
      <w:pPr>
        <w:rPr>
          <w:rFonts w:ascii="宋体"/>
          <w:b/>
          <w:sz w:val="24"/>
        </w:rPr>
      </w:pPr>
      <w:r>
        <w:rPr>
          <w:rFonts w:hint="eastAsia" w:ascii="宋体"/>
          <w:b/>
          <w:sz w:val="24"/>
        </w:rPr>
        <w:t>乙    方：xxxxx公司</w:t>
      </w:r>
      <w:r>
        <w:rPr>
          <w:rFonts w:hint="eastAsia" w:ascii="宋体"/>
          <w:b/>
          <w:sz w:val="24"/>
        </w:rPr>
        <w:tab/>
      </w:r>
    </w:p>
    <w:p w14:paraId="5BDD1991">
      <w:pPr>
        <w:rPr>
          <w:rFonts w:ascii="宋体"/>
          <w:bCs/>
          <w:sz w:val="24"/>
        </w:rPr>
      </w:pPr>
      <w:r>
        <w:rPr>
          <w:rFonts w:hint="eastAsia" w:ascii="宋体"/>
          <w:bCs/>
          <w:sz w:val="24"/>
        </w:rPr>
        <w:t>地    址：</w:t>
      </w:r>
    </w:p>
    <w:p w14:paraId="4E58455E">
      <w:pPr>
        <w:rPr>
          <w:rFonts w:ascii="宋体"/>
          <w:bCs/>
          <w:sz w:val="24"/>
        </w:rPr>
      </w:pPr>
      <w:r>
        <w:rPr>
          <w:rFonts w:hint="eastAsia" w:ascii="宋体"/>
          <w:bCs/>
          <w:sz w:val="24"/>
        </w:rPr>
        <w:t xml:space="preserve">法人代表： </w:t>
      </w:r>
    </w:p>
    <w:p w14:paraId="1227F177">
      <w:pPr>
        <w:rPr>
          <w:rFonts w:ascii="宋体"/>
          <w:bCs/>
          <w:sz w:val="24"/>
        </w:rPr>
      </w:pPr>
      <w:r>
        <w:rPr>
          <w:rFonts w:hint="eastAsia" w:ascii="宋体"/>
          <w:bCs/>
          <w:sz w:val="24"/>
        </w:rPr>
        <w:t>邮政编码：</w:t>
      </w:r>
    </w:p>
    <w:p w14:paraId="3BF36518">
      <w:pPr>
        <w:rPr>
          <w:rFonts w:ascii="宋体"/>
          <w:bCs/>
          <w:sz w:val="24"/>
        </w:rPr>
      </w:pPr>
      <w:r>
        <w:rPr>
          <w:rFonts w:hint="eastAsia" w:ascii="宋体"/>
          <w:bCs/>
          <w:sz w:val="24"/>
        </w:rPr>
        <w:t>联系人：</w:t>
      </w:r>
    </w:p>
    <w:p w14:paraId="0E1D5D7A">
      <w:pPr>
        <w:rPr>
          <w:rFonts w:ascii="宋体"/>
          <w:bCs/>
          <w:sz w:val="24"/>
        </w:rPr>
      </w:pPr>
      <w:r>
        <w:rPr>
          <w:rFonts w:hint="eastAsia" w:ascii="宋体"/>
          <w:bCs/>
          <w:sz w:val="24"/>
        </w:rPr>
        <w:t>联系电话：</w:t>
      </w:r>
    </w:p>
    <w:p w14:paraId="45FEC3AA">
      <w:pPr>
        <w:rPr>
          <w:rFonts w:ascii="宋体"/>
          <w:bCs/>
          <w:sz w:val="24"/>
        </w:rPr>
      </w:pPr>
      <w:r>
        <w:rPr>
          <w:rFonts w:hint="eastAsia" w:ascii="宋体"/>
          <w:bCs/>
          <w:sz w:val="24"/>
        </w:rPr>
        <w:t>传真号码：</w:t>
      </w:r>
    </w:p>
    <w:p w14:paraId="58A10B4A">
      <w:pPr>
        <w:rPr>
          <w:rFonts w:ascii="宋体"/>
          <w:bCs/>
          <w:sz w:val="24"/>
        </w:rPr>
      </w:pPr>
      <w:r>
        <w:rPr>
          <w:rFonts w:hint="eastAsia" w:ascii="宋体"/>
          <w:bCs/>
          <w:sz w:val="24"/>
        </w:rPr>
        <w:t>电子邮箱：</w:t>
      </w:r>
    </w:p>
    <w:p w14:paraId="175C4BEB">
      <w:pPr>
        <w:numPr>
          <w:ilvl w:val="0"/>
          <w:numId w:val="1"/>
        </w:numPr>
        <w:tabs>
          <w:tab w:val="left" w:pos="993"/>
          <w:tab w:val="clear" w:pos="877"/>
        </w:tabs>
        <w:spacing w:before="240"/>
        <w:ind w:left="877" w:hanging="877" w:firstLineChars="0"/>
        <w:rPr>
          <w:rFonts w:ascii="宋体"/>
          <w:b/>
          <w:sz w:val="24"/>
        </w:rPr>
      </w:pPr>
      <w:r>
        <w:rPr>
          <w:rFonts w:hint="eastAsia" w:ascii="宋体"/>
          <w:b/>
          <w:sz w:val="24"/>
        </w:rPr>
        <w:t>本合同事宜</w:t>
      </w:r>
    </w:p>
    <w:p w14:paraId="4DC9EA00">
      <w:pPr>
        <w:spacing w:before="240"/>
        <w:ind w:firstLine="470" w:firstLineChars="196"/>
        <w:rPr>
          <w:rFonts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 xml:space="preserve">  </w:t>
      </w:r>
      <w:r>
        <w:rPr>
          <w:rFonts w:ascii="宋体"/>
          <w:color w:val="000000"/>
          <w:sz w:val="24"/>
          <w:u w:val="single"/>
        </w:rPr>
        <w:t>流量监测平台</w:t>
      </w:r>
      <w:r>
        <w:rPr>
          <w:rFonts w:hint="eastAsia" w:ascii="宋体"/>
          <w:color w:val="000000"/>
          <w:sz w:val="24"/>
          <w:u w:val="single"/>
        </w:rPr>
        <w:t xml:space="preserve"> </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1AD65E7F">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本合同产品及金额</w:t>
      </w:r>
    </w:p>
    <w:tbl>
      <w:tblPr>
        <w:tblStyle w:val="2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661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2BAC5848">
            <w:pPr>
              <w:jc w:val="center"/>
              <w:rPr>
                <w:b/>
              </w:rPr>
            </w:pPr>
            <w:r>
              <w:rPr>
                <w:rFonts w:hint="eastAsia"/>
                <w:b/>
              </w:rPr>
              <w:t>产品名称</w:t>
            </w:r>
          </w:p>
        </w:tc>
        <w:tc>
          <w:tcPr>
            <w:tcW w:w="2268" w:type="dxa"/>
            <w:tcBorders>
              <w:tl2br w:val="nil"/>
              <w:tr2bl w:val="nil"/>
            </w:tcBorders>
            <w:vAlign w:val="center"/>
          </w:tcPr>
          <w:p w14:paraId="6CD9FEC9">
            <w:pPr>
              <w:ind w:left="252"/>
              <w:jc w:val="center"/>
              <w:rPr>
                <w:b/>
              </w:rPr>
            </w:pPr>
            <w:r>
              <w:rPr>
                <w:rFonts w:hint="eastAsia"/>
                <w:b/>
              </w:rPr>
              <w:t>产品型号及规格</w:t>
            </w:r>
          </w:p>
        </w:tc>
        <w:tc>
          <w:tcPr>
            <w:tcW w:w="1134" w:type="dxa"/>
            <w:tcBorders>
              <w:tl2br w:val="nil"/>
              <w:tr2bl w:val="nil"/>
            </w:tcBorders>
            <w:vAlign w:val="center"/>
          </w:tcPr>
          <w:p w14:paraId="17EA9ACA">
            <w:pPr>
              <w:jc w:val="center"/>
              <w:rPr>
                <w:b/>
              </w:rPr>
            </w:pPr>
            <w:r>
              <w:rPr>
                <w:rFonts w:hint="eastAsia"/>
                <w:b/>
              </w:rPr>
              <w:t>单价（元）</w:t>
            </w:r>
          </w:p>
        </w:tc>
        <w:tc>
          <w:tcPr>
            <w:tcW w:w="1276" w:type="dxa"/>
            <w:tcBorders>
              <w:tl2br w:val="nil"/>
              <w:tr2bl w:val="nil"/>
            </w:tcBorders>
            <w:vAlign w:val="center"/>
          </w:tcPr>
          <w:p w14:paraId="4930A9CF">
            <w:pPr>
              <w:jc w:val="center"/>
              <w:rPr>
                <w:b/>
              </w:rPr>
            </w:pPr>
            <w:r>
              <w:rPr>
                <w:rFonts w:hint="eastAsia"/>
                <w:b/>
              </w:rPr>
              <w:t>数量（台）</w:t>
            </w:r>
          </w:p>
        </w:tc>
        <w:tc>
          <w:tcPr>
            <w:tcW w:w="1276" w:type="dxa"/>
            <w:tcBorders>
              <w:tl2br w:val="nil"/>
              <w:tr2bl w:val="nil"/>
            </w:tcBorders>
            <w:vAlign w:val="center"/>
          </w:tcPr>
          <w:p w14:paraId="33E2C537">
            <w:pPr>
              <w:jc w:val="center"/>
              <w:rPr>
                <w:b/>
              </w:rPr>
            </w:pPr>
            <w:r>
              <w:rPr>
                <w:rFonts w:hint="eastAsia"/>
                <w:b/>
              </w:rPr>
              <w:t>税率</w:t>
            </w:r>
          </w:p>
        </w:tc>
        <w:tc>
          <w:tcPr>
            <w:tcW w:w="1276" w:type="dxa"/>
            <w:tcBorders>
              <w:tl2br w:val="nil"/>
              <w:tr2bl w:val="nil"/>
            </w:tcBorders>
            <w:vAlign w:val="center"/>
          </w:tcPr>
          <w:p w14:paraId="4408AAA5">
            <w:pPr>
              <w:jc w:val="center"/>
              <w:rPr>
                <w:b/>
              </w:rPr>
            </w:pPr>
            <w:r>
              <w:rPr>
                <w:rFonts w:hint="eastAsia"/>
                <w:b/>
              </w:rPr>
              <w:t>总金额含税（元）</w:t>
            </w:r>
          </w:p>
        </w:tc>
      </w:tr>
      <w:tr w14:paraId="6E3F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F805C46">
            <w:pPr>
              <w:jc w:val="center"/>
            </w:pPr>
          </w:p>
        </w:tc>
        <w:tc>
          <w:tcPr>
            <w:tcW w:w="2268" w:type="dxa"/>
            <w:tcBorders>
              <w:tl2br w:val="nil"/>
              <w:tr2bl w:val="nil"/>
            </w:tcBorders>
            <w:vAlign w:val="center"/>
          </w:tcPr>
          <w:p w14:paraId="5368011B">
            <w:pPr>
              <w:ind w:left="207"/>
              <w:jc w:val="left"/>
              <w:rPr>
                <w:rFonts w:ascii="宋体"/>
              </w:rPr>
            </w:pPr>
          </w:p>
        </w:tc>
        <w:tc>
          <w:tcPr>
            <w:tcW w:w="1134" w:type="dxa"/>
            <w:tcBorders>
              <w:tl2br w:val="nil"/>
              <w:tr2bl w:val="nil"/>
            </w:tcBorders>
            <w:vAlign w:val="center"/>
          </w:tcPr>
          <w:p w14:paraId="5305085A">
            <w:pPr>
              <w:jc w:val="center"/>
              <w:rPr>
                <w:rFonts w:ascii="宋体"/>
              </w:rPr>
            </w:pPr>
          </w:p>
        </w:tc>
        <w:tc>
          <w:tcPr>
            <w:tcW w:w="1276" w:type="dxa"/>
            <w:tcBorders>
              <w:tl2br w:val="nil"/>
              <w:tr2bl w:val="nil"/>
            </w:tcBorders>
            <w:vAlign w:val="center"/>
          </w:tcPr>
          <w:p w14:paraId="19EE4164">
            <w:pPr>
              <w:jc w:val="center"/>
              <w:rPr>
                <w:rFonts w:ascii="宋体"/>
              </w:rPr>
            </w:pPr>
          </w:p>
        </w:tc>
        <w:tc>
          <w:tcPr>
            <w:tcW w:w="1276" w:type="dxa"/>
            <w:tcBorders>
              <w:tl2br w:val="nil"/>
              <w:tr2bl w:val="nil"/>
            </w:tcBorders>
          </w:tcPr>
          <w:p w14:paraId="02989098">
            <w:pPr>
              <w:jc w:val="center"/>
              <w:rPr>
                <w:rFonts w:ascii="宋体"/>
              </w:rPr>
            </w:pPr>
          </w:p>
        </w:tc>
        <w:tc>
          <w:tcPr>
            <w:tcW w:w="1276" w:type="dxa"/>
            <w:tcBorders>
              <w:tl2br w:val="nil"/>
              <w:tr2bl w:val="nil"/>
            </w:tcBorders>
            <w:vAlign w:val="center"/>
          </w:tcPr>
          <w:p w14:paraId="223CAB4D">
            <w:pPr>
              <w:jc w:val="center"/>
              <w:rPr>
                <w:rFonts w:ascii="宋体"/>
              </w:rPr>
            </w:pPr>
          </w:p>
        </w:tc>
      </w:tr>
      <w:tr w14:paraId="7654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76F8FA4">
            <w:pPr>
              <w:jc w:val="center"/>
            </w:pPr>
          </w:p>
        </w:tc>
        <w:tc>
          <w:tcPr>
            <w:tcW w:w="2268" w:type="dxa"/>
            <w:tcBorders>
              <w:tl2br w:val="nil"/>
              <w:tr2bl w:val="nil"/>
            </w:tcBorders>
            <w:vAlign w:val="center"/>
          </w:tcPr>
          <w:p w14:paraId="072A902E">
            <w:pPr>
              <w:ind w:left="207"/>
              <w:jc w:val="left"/>
              <w:rPr>
                <w:rFonts w:ascii="宋体"/>
              </w:rPr>
            </w:pPr>
          </w:p>
        </w:tc>
        <w:tc>
          <w:tcPr>
            <w:tcW w:w="1134" w:type="dxa"/>
            <w:tcBorders>
              <w:tl2br w:val="nil"/>
              <w:tr2bl w:val="nil"/>
            </w:tcBorders>
            <w:vAlign w:val="center"/>
          </w:tcPr>
          <w:p w14:paraId="1F1F6BE9">
            <w:pPr>
              <w:jc w:val="center"/>
              <w:rPr>
                <w:rFonts w:ascii="宋体"/>
              </w:rPr>
            </w:pPr>
          </w:p>
        </w:tc>
        <w:tc>
          <w:tcPr>
            <w:tcW w:w="1276" w:type="dxa"/>
            <w:tcBorders>
              <w:tl2br w:val="nil"/>
              <w:tr2bl w:val="nil"/>
            </w:tcBorders>
            <w:vAlign w:val="center"/>
          </w:tcPr>
          <w:p w14:paraId="38E11D69">
            <w:pPr>
              <w:jc w:val="center"/>
              <w:rPr>
                <w:rFonts w:ascii="宋体"/>
              </w:rPr>
            </w:pPr>
          </w:p>
        </w:tc>
        <w:tc>
          <w:tcPr>
            <w:tcW w:w="1276" w:type="dxa"/>
            <w:tcBorders>
              <w:tl2br w:val="nil"/>
              <w:tr2bl w:val="nil"/>
            </w:tcBorders>
          </w:tcPr>
          <w:p w14:paraId="609D055F">
            <w:pPr>
              <w:jc w:val="center"/>
              <w:rPr>
                <w:rFonts w:ascii="宋体"/>
              </w:rPr>
            </w:pPr>
          </w:p>
        </w:tc>
        <w:tc>
          <w:tcPr>
            <w:tcW w:w="1276" w:type="dxa"/>
            <w:tcBorders>
              <w:tl2br w:val="nil"/>
              <w:tr2bl w:val="nil"/>
            </w:tcBorders>
            <w:vAlign w:val="center"/>
          </w:tcPr>
          <w:p w14:paraId="69C5532B">
            <w:pPr>
              <w:jc w:val="center"/>
              <w:rPr>
                <w:rFonts w:ascii="宋体"/>
              </w:rPr>
            </w:pPr>
          </w:p>
        </w:tc>
      </w:tr>
      <w:tr w14:paraId="334D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A70449B">
            <w:pPr>
              <w:jc w:val="center"/>
            </w:pPr>
          </w:p>
        </w:tc>
        <w:tc>
          <w:tcPr>
            <w:tcW w:w="2268" w:type="dxa"/>
            <w:tcBorders>
              <w:tl2br w:val="nil"/>
              <w:tr2bl w:val="nil"/>
            </w:tcBorders>
            <w:vAlign w:val="center"/>
          </w:tcPr>
          <w:p w14:paraId="1B7F272C">
            <w:pPr>
              <w:ind w:left="207"/>
              <w:jc w:val="left"/>
              <w:rPr>
                <w:rFonts w:ascii="宋体"/>
              </w:rPr>
            </w:pPr>
          </w:p>
        </w:tc>
        <w:tc>
          <w:tcPr>
            <w:tcW w:w="1134" w:type="dxa"/>
            <w:tcBorders>
              <w:tl2br w:val="nil"/>
              <w:tr2bl w:val="nil"/>
            </w:tcBorders>
            <w:vAlign w:val="center"/>
          </w:tcPr>
          <w:p w14:paraId="6155C861">
            <w:pPr>
              <w:jc w:val="center"/>
              <w:rPr>
                <w:rFonts w:ascii="宋体"/>
              </w:rPr>
            </w:pPr>
          </w:p>
        </w:tc>
        <w:tc>
          <w:tcPr>
            <w:tcW w:w="1276" w:type="dxa"/>
            <w:tcBorders>
              <w:tl2br w:val="nil"/>
              <w:tr2bl w:val="nil"/>
            </w:tcBorders>
            <w:vAlign w:val="center"/>
          </w:tcPr>
          <w:p w14:paraId="5A991F6A">
            <w:pPr>
              <w:jc w:val="center"/>
              <w:rPr>
                <w:rFonts w:ascii="宋体"/>
              </w:rPr>
            </w:pPr>
          </w:p>
        </w:tc>
        <w:tc>
          <w:tcPr>
            <w:tcW w:w="1276" w:type="dxa"/>
            <w:tcBorders>
              <w:tl2br w:val="nil"/>
              <w:tr2bl w:val="nil"/>
            </w:tcBorders>
          </w:tcPr>
          <w:p w14:paraId="1E0F625F">
            <w:pPr>
              <w:jc w:val="center"/>
              <w:rPr>
                <w:rFonts w:ascii="宋体"/>
              </w:rPr>
            </w:pPr>
          </w:p>
        </w:tc>
        <w:tc>
          <w:tcPr>
            <w:tcW w:w="1276" w:type="dxa"/>
            <w:tcBorders>
              <w:tl2br w:val="nil"/>
              <w:tr2bl w:val="nil"/>
            </w:tcBorders>
            <w:vAlign w:val="center"/>
          </w:tcPr>
          <w:p w14:paraId="20B5D39B">
            <w:pPr>
              <w:jc w:val="center"/>
              <w:rPr>
                <w:rFonts w:ascii="宋体"/>
              </w:rPr>
            </w:pPr>
          </w:p>
        </w:tc>
      </w:tr>
      <w:tr w14:paraId="1E70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2CC2B08">
            <w:pPr>
              <w:jc w:val="center"/>
            </w:pPr>
          </w:p>
        </w:tc>
        <w:tc>
          <w:tcPr>
            <w:tcW w:w="2268" w:type="dxa"/>
            <w:tcBorders>
              <w:tl2br w:val="nil"/>
              <w:tr2bl w:val="nil"/>
            </w:tcBorders>
            <w:vAlign w:val="center"/>
          </w:tcPr>
          <w:p w14:paraId="61B3FC58">
            <w:pPr>
              <w:ind w:left="207"/>
              <w:jc w:val="left"/>
              <w:rPr>
                <w:rFonts w:ascii="宋体"/>
              </w:rPr>
            </w:pPr>
          </w:p>
        </w:tc>
        <w:tc>
          <w:tcPr>
            <w:tcW w:w="1134" w:type="dxa"/>
            <w:tcBorders>
              <w:tl2br w:val="nil"/>
              <w:tr2bl w:val="nil"/>
            </w:tcBorders>
            <w:vAlign w:val="center"/>
          </w:tcPr>
          <w:p w14:paraId="7F2B41C4">
            <w:pPr>
              <w:jc w:val="center"/>
              <w:rPr>
                <w:rFonts w:ascii="宋体"/>
              </w:rPr>
            </w:pPr>
          </w:p>
        </w:tc>
        <w:tc>
          <w:tcPr>
            <w:tcW w:w="1276" w:type="dxa"/>
            <w:tcBorders>
              <w:tl2br w:val="nil"/>
              <w:tr2bl w:val="nil"/>
            </w:tcBorders>
            <w:vAlign w:val="center"/>
          </w:tcPr>
          <w:p w14:paraId="2101E004">
            <w:pPr>
              <w:jc w:val="center"/>
              <w:rPr>
                <w:rFonts w:ascii="宋体"/>
              </w:rPr>
            </w:pPr>
          </w:p>
        </w:tc>
        <w:tc>
          <w:tcPr>
            <w:tcW w:w="1276" w:type="dxa"/>
            <w:tcBorders>
              <w:tl2br w:val="nil"/>
              <w:tr2bl w:val="nil"/>
            </w:tcBorders>
          </w:tcPr>
          <w:p w14:paraId="050FE07E">
            <w:pPr>
              <w:jc w:val="center"/>
              <w:rPr>
                <w:rFonts w:ascii="宋体"/>
              </w:rPr>
            </w:pPr>
          </w:p>
        </w:tc>
        <w:tc>
          <w:tcPr>
            <w:tcW w:w="1276" w:type="dxa"/>
            <w:tcBorders>
              <w:tl2br w:val="nil"/>
              <w:tr2bl w:val="nil"/>
            </w:tcBorders>
            <w:vAlign w:val="center"/>
          </w:tcPr>
          <w:p w14:paraId="3D527FC4">
            <w:pPr>
              <w:jc w:val="center"/>
              <w:rPr>
                <w:rFonts w:ascii="宋体"/>
              </w:rPr>
            </w:pPr>
          </w:p>
        </w:tc>
      </w:tr>
      <w:tr w14:paraId="0933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7C2F920">
            <w:pPr>
              <w:jc w:val="center"/>
            </w:pPr>
          </w:p>
        </w:tc>
        <w:tc>
          <w:tcPr>
            <w:tcW w:w="7230" w:type="dxa"/>
            <w:gridSpan w:val="5"/>
            <w:tcBorders>
              <w:tl2br w:val="nil"/>
              <w:tr2bl w:val="nil"/>
            </w:tcBorders>
            <w:vAlign w:val="center"/>
          </w:tcPr>
          <w:p w14:paraId="47393B1F">
            <w:pPr>
              <w:rPr>
                <w:rFonts w:ascii="宋体"/>
              </w:rPr>
            </w:pPr>
            <w:r>
              <w:rPr>
                <w:rFonts w:hint="eastAsia"/>
              </w:rPr>
              <w:t>合计（含税） 大写（人民币）：</w:t>
            </w:r>
          </w:p>
        </w:tc>
      </w:tr>
    </w:tbl>
    <w:p w14:paraId="12B22A65">
      <w:pPr>
        <w:tabs>
          <w:tab w:val="left" w:pos="851"/>
        </w:tabs>
        <w:rPr>
          <w:rFonts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4A34D418">
      <w:pPr>
        <w:tabs>
          <w:tab w:val="left" w:pos="851"/>
        </w:tabs>
        <w:rPr>
          <w:rFonts w:ascii="宋体"/>
          <w:color w:val="000000"/>
          <w:sz w:val="24"/>
        </w:rPr>
      </w:pPr>
      <w:r>
        <w:rPr>
          <w:rFonts w:hint="eastAsia" w:ascii="宋体"/>
          <w:color w:val="000000"/>
          <w:sz w:val="24"/>
        </w:rPr>
        <w:t>上述合同金额包含___年【乙方/生产厂商/第三方】提供的质保，质保期为加电测试通过正常运行且甲方确认</w:t>
      </w:r>
      <w:r>
        <w:rPr>
          <w:rFonts w:hint="eastAsia" w:ascii="宋体" w:cs="宋体"/>
          <w:sz w:val="24"/>
          <w:szCs w:val="21"/>
        </w:rPr>
        <w:t>生产厂商维保服务承诺函符合质保要求</w:t>
      </w:r>
      <w:r>
        <w:rPr>
          <w:rFonts w:hint="eastAsia" w:ascii="宋体"/>
          <w:color w:val="000000"/>
          <w:sz w:val="24"/>
        </w:rPr>
        <w:t>三个月后      年并延期至6月30日或12月31日中较近日期（即质保延期最长不超过半年），质保期内服务内容详见附件3。除此外甲方无需支付其他费用。</w:t>
      </w:r>
    </w:p>
    <w:p w14:paraId="3EEA3979">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付款方式</w:t>
      </w:r>
    </w:p>
    <w:p w14:paraId="1DC5D6E1">
      <w:pPr>
        <w:jc w:val="left"/>
        <w:rPr>
          <w:rFonts w:ascii="宋体" w:cs="宋体"/>
          <w:snapToGrid w:val="0"/>
          <w:color w:val="000000"/>
          <w:kern w:val="0"/>
          <w:szCs w:val="24"/>
        </w:rPr>
      </w:pPr>
      <w:r>
        <w:rPr>
          <w:rFonts w:hint="eastAsia" w:ascii="宋体"/>
          <w:color w:val="000000"/>
          <w:sz w:val="24"/>
        </w:rPr>
        <w:t>3.1</w:t>
      </w:r>
      <w:r>
        <w:rPr>
          <w:rFonts w:hint="eastAsia" w:ascii="宋体" w:cs="宋体"/>
          <w:snapToGrid w:val="0"/>
          <w:color w:val="000000"/>
          <w:kern w:val="0"/>
          <w:sz w:val="24"/>
          <w:szCs w:val="24"/>
        </w:rPr>
        <w:t>履约保证金</w:t>
      </w:r>
    </w:p>
    <w:p w14:paraId="3EC3DA47">
      <w:pPr>
        <w:jc w:val="left"/>
        <w:rPr>
          <w:rFonts w:ascii="宋体" w:cs="宋体"/>
          <w:snapToGrid w:val="0"/>
          <w:color w:val="000000"/>
          <w:kern w:val="0"/>
          <w:sz w:val="24"/>
          <w:szCs w:val="24"/>
        </w:rPr>
      </w:pPr>
      <w:r>
        <w:rPr>
          <w:rFonts w:hint="eastAsia" w:ascii="宋体" w:cs="宋体"/>
          <w:snapToGrid w:val="0"/>
          <w:color w:val="000000"/>
          <w:kern w:val="0"/>
          <w:sz w:val="24"/>
          <w:szCs w:val="24"/>
        </w:rPr>
        <w:t>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作为履约保证金，合同签订后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个工作日内乙方将履约保证金存至甲方指定账户，</w:t>
      </w:r>
      <w:r>
        <w:rPr>
          <w:rFonts w:ascii="宋体" w:cs="宋体"/>
          <w:snapToGrid w:val="0"/>
          <w:color w:val="000000"/>
          <w:kern w:val="0"/>
          <w:sz w:val="24"/>
          <w:szCs w:val="24"/>
        </w:rPr>
        <w:t>设备维保到期后</w:t>
      </w:r>
      <w:r>
        <w:rPr>
          <w:rFonts w:hint="eastAsia" w:ascii="宋体" w:cs="宋体"/>
          <w:snapToGrid w:val="0"/>
          <w:color w:val="000000"/>
          <w:kern w:val="0"/>
          <w:sz w:val="24"/>
          <w:szCs w:val="24"/>
        </w:rPr>
        <w:t>，乙方在20日内向甲方申请退还履约保证金，甲方需在收到申请后60日内确认乙方无违约行为并将履约保证金退还乙方。</w:t>
      </w:r>
      <w:r>
        <w:rPr>
          <w:rFonts w:hint="eastAsia" w:ascii="宋体"/>
          <w:color w:val="000000"/>
          <w:sz w:val="24"/>
        </w:rPr>
        <w:t>除不可抗力原因外，</w:t>
      </w:r>
      <w:r>
        <w:rPr>
          <w:rFonts w:ascii="宋体"/>
          <w:color w:val="000000"/>
          <w:sz w:val="24"/>
        </w:rPr>
        <w:t>乙方</w:t>
      </w:r>
      <w:r>
        <w:rPr>
          <w:rFonts w:hint="eastAsia" w:ascii="宋体"/>
          <w:color w:val="000000"/>
          <w:sz w:val="24"/>
        </w:rPr>
        <w:t>不得以任何理由中断或拒绝供货</w:t>
      </w:r>
      <w:r>
        <w:rPr>
          <w:rFonts w:ascii="宋体"/>
          <w:color w:val="000000"/>
          <w:sz w:val="24"/>
        </w:rPr>
        <w:t>，如果乙方因非不可抗力的原因中断或拒绝供货，甲方将扣罚全部履约保证金。</w:t>
      </w:r>
    </w:p>
    <w:p w14:paraId="0DF6EABE">
      <w:pPr>
        <w:jc w:val="left"/>
        <w:rPr>
          <w:rFonts w:ascii="宋体" w:cs="宋体"/>
          <w:snapToGrid w:val="0"/>
          <w:color w:val="000000"/>
          <w:kern w:val="0"/>
          <w:sz w:val="24"/>
          <w:szCs w:val="24"/>
        </w:rPr>
      </w:pPr>
      <w:r>
        <w:rPr>
          <w:rFonts w:hint="eastAsia" w:ascii="宋体" w:cs="宋体"/>
          <w:snapToGrid w:val="0"/>
          <w:color w:val="000000"/>
          <w:kern w:val="0"/>
          <w:sz w:val="24"/>
          <w:szCs w:val="24"/>
        </w:rPr>
        <w:t>1.履约担保金额：乙方向甲方支付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w:t>
      </w:r>
    </w:p>
    <w:p w14:paraId="20B0DCDD">
      <w:pPr>
        <w:jc w:val="left"/>
        <w:rPr>
          <w:rFonts w:ascii="宋体" w:cs="宋体"/>
          <w:snapToGrid w:val="0"/>
          <w:color w:val="000000"/>
          <w:kern w:val="0"/>
          <w:sz w:val="24"/>
          <w:szCs w:val="24"/>
        </w:rPr>
      </w:pPr>
      <w:r>
        <w:rPr>
          <w:rFonts w:hint="eastAsia" w:ascii="宋体" w:cs="宋体"/>
          <w:snapToGrid w:val="0"/>
          <w:color w:val="000000"/>
          <w:kern w:val="0"/>
          <w:sz w:val="24"/>
          <w:szCs w:val="24"/>
        </w:rPr>
        <w:t>2.履约担保提交时间：合同签订后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w:t>
      </w:r>
    </w:p>
    <w:p w14:paraId="1CE33927">
      <w:pPr>
        <w:jc w:val="left"/>
        <w:rPr>
          <w:rFonts w:ascii="宋体" w:cs="宋体"/>
          <w:snapToGrid w:val="0"/>
          <w:color w:val="000000"/>
          <w:kern w:val="0"/>
          <w:sz w:val="24"/>
          <w:szCs w:val="24"/>
        </w:rPr>
      </w:pPr>
      <w:r>
        <w:rPr>
          <w:rFonts w:hint="eastAsia" w:ascii="宋体" w:cs="宋体"/>
          <w:snapToGrid w:val="0"/>
          <w:color w:val="000000"/>
          <w:kern w:val="0"/>
          <w:sz w:val="24"/>
          <w:szCs w:val="24"/>
        </w:rPr>
        <w:t>3.履约保证金缴纳方式：通过转账或电汇方式直接划付至下面指定的账户</w:t>
      </w:r>
    </w:p>
    <w:p w14:paraId="1CA9E924">
      <w:pPr>
        <w:jc w:val="left"/>
        <w:rPr>
          <w:rFonts w:ascii="宋体" w:cs="宋体"/>
          <w:snapToGrid w:val="0"/>
          <w:color w:val="000000"/>
          <w:kern w:val="0"/>
          <w:sz w:val="24"/>
          <w:szCs w:val="24"/>
        </w:rPr>
      </w:pPr>
      <w:r>
        <w:rPr>
          <w:rFonts w:hint="eastAsia" w:ascii="宋体" w:cs="宋体"/>
          <w:snapToGrid w:val="0"/>
          <w:color w:val="000000"/>
          <w:kern w:val="0"/>
          <w:sz w:val="24"/>
          <w:szCs w:val="24"/>
        </w:rPr>
        <w:t>户名：重庆三峡银行股份有限公司</w:t>
      </w:r>
    </w:p>
    <w:p w14:paraId="69966501">
      <w:pPr>
        <w:jc w:val="left"/>
        <w:rPr>
          <w:rFonts w:ascii="宋体" w:cs="宋体"/>
          <w:snapToGrid w:val="0"/>
          <w:color w:val="000000"/>
          <w:kern w:val="0"/>
          <w:sz w:val="24"/>
          <w:szCs w:val="24"/>
        </w:rPr>
      </w:pPr>
      <w:r>
        <w:rPr>
          <w:rFonts w:hint="eastAsia" w:ascii="宋体" w:cs="宋体"/>
          <w:snapToGrid w:val="0"/>
          <w:color w:val="000000"/>
          <w:kern w:val="0"/>
          <w:sz w:val="24"/>
          <w:szCs w:val="24"/>
        </w:rPr>
        <w:t>账号：0101014040000043</w:t>
      </w:r>
    </w:p>
    <w:p w14:paraId="5B991486">
      <w:pPr>
        <w:jc w:val="left"/>
        <w:rPr>
          <w:rFonts w:ascii="宋体" w:cs="宋体"/>
          <w:snapToGrid w:val="0"/>
          <w:color w:val="000000"/>
          <w:kern w:val="0"/>
          <w:sz w:val="24"/>
          <w:szCs w:val="24"/>
        </w:rPr>
      </w:pPr>
      <w:r>
        <w:rPr>
          <w:rFonts w:hint="eastAsia" w:ascii="宋体" w:cs="宋体"/>
          <w:snapToGrid w:val="0"/>
          <w:color w:val="000000"/>
          <w:kern w:val="0"/>
          <w:sz w:val="24"/>
          <w:szCs w:val="24"/>
        </w:rPr>
        <w:t>开户行：重庆三峡银行营业部</w:t>
      </w:r>
    </w:p>
    <w:p w14:paraId="49207887">
      <w:pPr>
        <w:ind w:left="420" w:firstLine="140" w:firstLineChars="0"/>
        <w:jc w:val="left"/>
        <w:rPr>
          <w:rFonts w:ascii="宋体" w:cs="宋体"/>
          <w:snapToGrid w:val="0"/>
          <w:color w:val="000000"/>
          <w:kern w:val="0"/>
          <w:sz w:val="24"/>
          <w:szCs w:val="24"/>
        </w:rPr>
      </w:pPr>
      <w:r>
        <w:rPr>
          <w:rFonts w:hint="eastAsia" w:ascii="宋体" w:cs="宋体"/>
          <w:snapToGrid w:val="0"/>
          <w:color w:val="000000"/>
          <w:kern w:val="0"/>
          <w:sz w:val="24"/>
          <w:szCs w:val="24"/>
        </w:rPr>
        <w:t>在款项来源处或空白处注明：</w:t>
      </w:r>
      <w:r>
        <w:rPr>
          <w:rFonts w:hint="eastAsia" w:ascii="宋体" w:cs="宋体"/>
          <w:snapToGrid w:val="0"/>
          <w:color w:val="000000"/>
          <w:kern w:val="0"/>
          <w:sz w:val="24"/>
          <w:szCs w:val="24"/>
          <w:u w:val="single"/>
        </w:rPr>
        <w:t>重庆三峡银行</w:t>
      </w:r>
      <w:r>
        <w:rPr>
          <w:rFonts w:ascii="宋体" w:cs="宋体"/>
          <w:snapToGrid w:val="0"/>
          <w:color w:val="000000"/>
          <w:kern w:val="0"/>
          <w:sz w:val="24"/>
          <w:szCs w:val="24"/>
          <w:u w:val="single"/>
        </w:rPr>
        <w:t>流量监测平台</w:t>
      </w:r>
      <w:r>
        <w:rPr>
          <w:rFonts w:hint="eastAsia" w:ascii="宋体" w:cs="宋体"/>
          <w:snapToGrid w:val="0"/>
          <w:color w:val="000000"/>
          <w:kern w:val="0"/>
          <w:sz w:val="24"/>
          <w:szCs w:val="24"/>
        </w:rPr>
        <w:t>履约保证金</w:t>
      </w:r>
    </w:p>
    <w:p w14:paraId="2C67DE5B">
      <w:pPr>
        <w:jc w:val="left"/>
        <w:rPr>
          <w:rFonts w:ascii="宋体" w:cs="宋体"/>
          <w:snapToGrid w:val="0"/>
          <w:color w:val="000000"/>
          <w:kern w:val="0"/>
          <w:sz w:val="24"/>
          <w:szCs w:val="24"/>
        </w:rPr>
      </w:pPr>
      <w:r>
        <w:rPr>
          <w:rFonts w:ascii="宋体" w:cs="宋体"/>
          <w:snapToGrid w:val="0"/>
          <w:color w:val="000000"/>
          <w:kern w:val="0"/>
          <w:sz w:val="24"/>
          <w:szCs w:val="24"/>
        </w:rPr>
        <w:t>3.2</w:t>
      </w:r>
      <w:r>
        <w:rPr>
          <w:rFonts w:hint="eastAsia" w:ascii="宋体" w:cs="宋体"/>
          <w:snapToGrid w:val="0"/>
          <w:color w:val="000000"/>
          <w:kern w:val="0"/>
          <w:sz w:val="24"/>
          <w:szCs w:val="24"/>
        </w:rPr>
        <w:t>结算方式</w:t>
      </w:r>
    </w:p>
    <w:p w14:paraId="04379E9D">
      <w:pPr>
        <w:jc w:val="left"/>
        <w:rPr>
          <w:rFonts w:ascii="宋体" w:cs="宋体"/>
          <w:snapToGrid w:val="0"/>
          <w:color w:val="000000"/>
          <w:kern w:val="0"/>
          <w:szCs w:val="24"/>
        </w:rPr>
      </w:pPr>
      <w:r>
        <w:rPr>
          <w:color w:val="000000"/>
        </w:rPr>
        <w:t>合同签订完成后，乙方按要求将</w:t>
      </w:r>
      <w:r>
        <w:rPr>
          <w:rFonts w:hint="eastAsia"/>
          <w:color w:val="000000"/>
        </w:rPr>
        <w:t>设备</w:t>
      </w:r>
      <w:r>
        <w:rPr>
          <w:color w:val="000000"/>
        </w:rPr>
        <w:t>送</w:t>
      </w:r>
      <w:r>
        <w:rPr>
          <w:rFonts w:hint="eastAsia"/>
          <w:color w:val="000000"/>
        </w:rPr>
        <w:t>达指定现场</w:t>
      </w:r>
      <w:r>
        <w:rPr>
          <w:color w:val="000000"/>
        </w:rPr>
        <w:t>。设备</w:t>
      </w:r>
      <w:r>
        <w:rPr>
          <w:rFonts w:hint="eastAsia"/>
          <w:color w:val="000000"/>
        </w:rPr>
        <w:t>签收、完成初始化安装并测试通过，设备自【加电调试通过之日】起正常运行三个月，按要求完成新设备的安装和部署工作并</w:t>
      </w:r>
      <w:r>
        <w:rPr>
          <w:color w:val="000000"/>
        </w:rPr>
        <w:t>完成最终</w:t>
      </w:r>
      <w:r>
        <w:rPr>
          <w:rFonts w:hint="eastAsia"/>
          <w:color w:val="000000"/>
        </w:rPr>
        <w:t>验收合格后</w:t>
      </w:r>
      <w:r>
        <w:rPr>
          <w:color w:val="000000"/>
        </w:rPr>
        <w:t>，</w:t>
      </w:r>
      <w:r>
        <w:rPr>
          <w:rFonts w:hint="eastAsia"/>
          <w:color w:val="000000"/>
        </w:rPr>
        <w:t>且确认生产厂商质保承诺符合质保要求后30个工作日内，</w:t>
      </w:r>
      <w:r>
        <w:rPr>
          <w:color w:val="000000"/>
        </w:rPr>
        <w:t>乙方</w:t>
      </w:r>
      <w:r>
        <w:rPr>
          <w:rFonts w:hint="eastAsia"/>
          <w:color w:val="000000"/>
        </w:rPr>
        <w:t>向</w:t>
      </w:r>
      <w:r>
        <w:rPr>
          <w:color w:val="000000"/>
        </w:rPr>
        <w:t>甲方</w:t>
      </w:r>
      <w:r>
        <w:rPr>
          <w:rFonts w:hint="eastAsia"/>
          <w:color w:val="000000"/>
        </w:rPr>
        <w:t>提供合法、全额（本合同全部款项）的增值税专用发票，甲方支付合同总金额的</w:t>
      </w:r>
      <w:r>
        <w:rPr>
          <w:color w:val="000000"/>
        </w:rPr>
        <w:t>100</w:t>
      </w:r>
      <w:r>
        <w:rPr>
          <w:rFonts w:hint="eastAsia"/>
          <w:color w:val="000000"/>
        </w:rPr>
        <w:t>%</w:t>
      </w:r>
      <w:r>
        <w:rPr>
          <w:rFonts w:ascii="宋体" w:cs="宋体"/>
          <w:snapToGrid w:val="0"/>
          <w:color w:val="000000"/>
          <w:kern w:val="0"/>
          <w:sz w:val="24"/>
          <w:szCs w:val="24"/>
        </w:rPr>
        <w:t>即     元（大写：      ）</w:t>
      </w:r>
      <w:r>
        <w:rPr>
          <w:color w:val="000000"/>
        </w:rPr>
        <w:t>。</w:t>
      </w:r>
    </w:p>
    <w:p w14:paraId="19853C0B">
      <w:pPr>
        <w:jc w:val="left"/>
        <w:rPr>
          <w:color w:val="000000"/>
        </w:rPr>
      </w:pPr>
      <w:r>
        <w:rPr>
          <w:rFonts w:hint="eastAsia" w:ascii="宋体"/>
          <w:color w:val="000000"/>
          <w:sz w:val="24"/>
        </w:rPr>
        <w:t>3.</w:t>
      </w:r>
      <w:r>
        <w:rPr>
          <w:rFonts w:ascii="宋体"/>
          <w:color w:val="000000"/>
          <w:sz w:val="24"/>
        </w:rPr>
        <w:t>3</w:t>
      </w:r>
      <w:r>
        <w:rPr>
          <w:color w:val="000000"/>
        </w:rPr>
        <w:t>违约情况</w:t>
      </w:r>
    </w:p>
    <w:p w14:paraId="2A0E95E9">
      <w:pPr>
        <w:jc w:val="left"/>
        <w:rPr>
          <w:color w:val="000000"/>
        </w:rPr>
      </w:pPr>
      <w:r>
        <w:rPr>
          <w:color w:val="000000"/>
        </w:rPr>
        <w:t>成交供应商在以下几种情况下出现违约，将导致全部扣除履约保证金。</w:t>
      </w:r>
    </w:p>
    <w:p w14:paraId="2D2B40BC">
      <w:pPr>
        <w:ind w:left="873"/>
        <w:jc w:val="left"/>
        <w:rPr>
          <w:color w:val="000000"/>
        </w:rPr>
      </w:pPr>
      <w:r>
        <w:rPr>
          <w:rFonts w:ascii="宋体" w:cs="宋体"/>
          <w:snapToGrid w:val="0"/>
          <w:color w:val="000000"/>
          <w:kern w:val="0"/>
          <w:szCs w:val="24"/>
        </w:rPr>
        <w:t>1.</w:t>
      </w:r>
      <w:r>
        <w:rPr>
          <w:color w:val="000000"/>
        </w:rPr>
        <w:t>所到货设备原厂维保服务内容不满足合同中要求。</w:t>
      </w:r>
    </w:p>
    <w:p w14:paraId="7740F6ED">
      <w:pPr>
        <w:ind w:left="873"/>
        <w:jc w:val="left"/>
        <w:rPr>
          <w:rFonts w:ascii="宋体" w:cs="宋体"/>
          <w:snapToGrid w:val="0"/>
          <w:color w:val="000000"/>
          <w:kern w:val="0"/>
          <w:sz w:val="24"/>
          <w:szCs w:val="24"/>
        </w:rPr>
      </w:pPr>
      <w:r>
        <w:rPr>
          <w:rFonts w:ascii="宋体" w:cs="宋体"/>
          <w:snapToGrid w:val="0"/>
          <w:color w:val="000000"/>
          <w:kern w:val="0"/>
          <w:sz w:val="24"/>
          <w:szCs w:val="24"/>
        </w:rPr>
        <w:t>2.超过合同约定时限供货。</w:t>
      </w:r>
    </w:p>
    <w:p w14:paraId="2DF8D5F8">
      <w:pPr>
        <w:tabs>
          <w:tab w:val="left" w:pos="851"/>
        </w:tabs>
        <w:rPr>
          <w:rFonts w:ascii="宋体"/>
          <w:color w:val="000000"/>
          <w:sz w:val="24"/>
        </w:rPr>
      </w:pPr>
      <w:r>
        <w:rPr>
          <w:rFonts w:hint="eastAsia" w:ascii="宋体"/>
          <w:color w:val="000000"/>
          <w:sz w:val="24"/>
        </w:rPr>
        <w:t>3.2到本合同甲方所指定的交货地点并经甲方签收</w:t>
      </w:r>
      <w:r>
        <w:rPr>
          <w:rFonts w:hint="eastAsia" w:ascii="宋体"/>
          <w:sz w:val="24"/>
        </w:rPr>
        <w:t>、完成初始化安装并测试通过</w:t>
      </w:r>
      <w:r>
        <w:rPr>
          <w:rFonts w:hint="eastAsia" w:ascii="宋体"/>
          <w:color w:val="000000"/>
          <w:sz w:val="24"/>
        </w:rPr>
        <w:t>前所发生的包装、运输、装卸、保险费用及货物毁损灭失风险由乙方负责。</w:t>
      </w:r>
    </w:p>
    <w:p w14:paraId="11E164AD">
      <w:pPr>
        <w:tabs>
          <w:tab w:val="left" w:pos="851"/>
        </w:tabs>
        <w:rPr>
          <w:sz w:val="24"/>
        </w:rPr>
      </w:pPr>
      <w:r>
        <w:rPr>
          <w:rFonts w:hint="eastAsia" w:ascii="宋体"/>
          <w:color w:val="000000"/>
          <w:sz w:val="24"/>
        </w:rPr>
        <w:t>3.3发票要求：</w:t>
      </w:r>
      <w:r>
        <w:rPr>
          <w:rFonts w:hint="eastAsia"/>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14:paraId="49FA64BA">
      <w:pPr>
        <w:tabs>
          <w:tab w:val="left" w:pos="851"/>
        </w:tabs>
        <w:rPr>
          <w:rFonts w:ascii="宋体"/>
          <w:color w:val="000000"/>
          <w:sz w:val="24"/>
        </w:rPr>
      </w:pPr>
      <w:r>
        <w:rPr>
          <w:rFonts w:hint="eastAsia" w:ascii="宋体"/>
          <w:color w:val="000000"/>
          <w:sz w:val="24"/>
        </w:rPr>
        <w:t>3.4</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w:t>
      </w:r>
      <w:r>
        <w:rPr>
          <w:rFonts w:hint="eastAsia"/>
          <w:color w:val="000000"/>
          <w:sz w:val="24"/>
        </w:rPr>
        <w:t>第三方</w:t>
      </w:r>
      <w:r>
        <w:rPr>
          <w:color w:val="000000"/>
          <w:sz w:val="24"/>
        </w:rPr>
        <w:t>向甲方主张费用的，由乙方负责，给甲方造成损失的，乙方应</w:t>
      </w:r>
      <w:r>
        <w:rPr>
          <w:rFonts w:hint="eastAsia"/>
          <w:color w:val="000000"/>
          <w:sz w:val="24"/>
        </w:rPr>
        <w:t>全额</w:t>
      </w:r>
      <w:r>
        <w:rPr>
          <w:color w:val="000000"/>
          <w:sz w:val="24"/>
        </w:rPr>
        <w:t>赔偿甲方。</w:t>
      </w:r>
    </w:p>
    <w:p w14:paraId="19963574">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收货方式和交货时间</w:t>
      </w:r>
    </w:p>
    <w:p w14:paraId="602705B6">
      <w:pPr>
        <w:tabs>
          <w:tab w:val="left" w:pos="851"/>
        </w:tabs>
        <w:rPr>
          <w:rFonts w:ascii="宋体"/>
          <w:color w:val="000000"/>
          <w:sz w:val="24"/>
        </w:rPr>
      </w:pPr>
      <w:r>
        <w:rPr>
          <w:rFonts w:hint="eastAsia" w:ascii="宋体"/>
          <w:color w:val="000000"/>
          <w:sz w:val="24"/>
        </w:rPr>
        <w:t>4.1乙方将货物送到甲方指定的收货地点，由甲方指定收货联系人签字确认。</w:t>
      </w:r>
    </w:p>
    <w:p w14:paraId="7D53E578">
      <w:pPr>
        <w:ind w:firstLine="840" w:firstLineChars="350"/>
        <w:rPr>
          <w:rFonts w:ascii="宋体"/>
          <w:color w:val="000000"/>
          <w:sz w:val="24"/>
          <w:u w:val="single"/>
        </w:rPr>
      </w:pPr>
      <w:r>
        <w:rPr>
          <w:rFonts w:hint="eastAsia" w:ascii="宋体"/>
          <w:color w:val="000000"/>
          <w:sz w:val="24"/>
        </w:rPr>
        <w:t>收货地点：</w:t>
      </w:r>
      <w:r>
        <w:rPr>
          <w:rFonts w:hint="eastAsia" w:ascii="宋体"/>
          <w:color w:val="000000"/>
          <w:sz w:val="24"/>
          <w:u w:val="single"/>
        </w:rPr>
        <w:t xml:space="preserve"> 重庆市沙坪坝区学城大道67号西永软件园2号楼  </w:t>
      </w:r>
    </w:p>
    <w:p w14:paraId="07ABF77A">
      <w:pPr>
        <w:ind w:firstLine="840" w:firstLineChars="350"/>
        <w:rPr>
          <w:rFonts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ascii="宋体"/>
          <w:color w:val="000000"/>
          <w:sz w:val="24"/>
          <w:u w:val="single"/>
        </w:rPr>
        <w:t>杨大露</w:t>
      </w:r>
      <w:r>
        <w:rPr>
          <w:rFonts w:hint="eastAsia" w:ascii="宋体"/>
          <w:color w:val="000000"/>
          <w:sz w:val="24"/>
          <w:u w:val="single"/>
        </w:rPr>
        <w:t xml:space="preserve">     </w:t>
      </w:r>
      <w:r>
        <w:rPr>
          <w:rFonts w:hint="eastAsia" w:ascii="宋体"/>
          <w:color w:val="000000"/>
          <w:sz w:val="24"/>
        </w:rPr>
        <w:t xml:space="preserve"> </w:t>
      </w:r>
    </w:p>
    <w:p w14:paraId="2E1899E8">
      <w:pPr>
        <w:ind w:firstLine="840" w:firstLineChars="350"/>
        <w:rPr>
          <w:rFonts w:ascii="宋体"/>
          <w:color w:val="000000"/>
          <w:sz w:val="24"/>
        </w:rPr>
      </w:pPr>
      <w:r>
        <w:rPr>
          <w:rFonts w:hint="eastAsia" w:ascii="宋体"/>
          <w:color w:val="000000"/>
          <w:sz w:val="24"/>
        </w:rPr>
        <w:t>收货联系电话：</w:t>
      </w:r>
      <w:r>
        <w:rPr>
          <w:rFonts w:hint="eastAsia" w:ascii="宋体"/>
          <w:color w:val="000000"/>
          <w:sz w:val="24"/>
          <w:u w:val="single"/>
        </w:rPr>
        <w:t xml:space="preserve">    </w:t>
      </w:r>
      <w:r>
        <w:rPr>
          <w:rFonts w:ascii="宋体"/>
          <w:color w:val="000000"/>
          <w:sz w:val="24"/>
          <w:u w:val="single"/>
        </w:rPr>
        <w:t>13389677106</w:t>
      </w:r>
      <w:r>
        <w:rPr>
          <w:rFonts w:hint="eastAsia" w:ascii="宋体"/>
          <w:color w:val="000000"/>
          <w:sz w:val="24"/>
          <w:u w:val="single"/>
        </w:rPr>
        <w:t xml:space="preserve">  </w:t>
      </w:r>
    </w:p>
    <w:p w14:paraId="236848A3">
      <w:pPr>
        <w:numPr>
          <w:ilvl w:val="1"/>
          <w:numId w:val="2"/>
        </w:numPr>
        <w:tabs>
          <w:tab w:val="left" w:pos="851"/>
        </w:tabs>
        <w:ind w:firstLineChars="0"/>
        <w:rPr>
          <w:rFonts w:ascii="宋体"/>
          <w:color w:val="000000"/>
          <w:sz w:val="24"/>
        </w:rPr>
      </w:pPr>
      <w:r>
        <w:rPr>
          <w:rFonts w:hint="eastAsia" w:ascii="宋体"/>
          <w:color w:val="000000"/>
          <w:sz w:val="24"/>
        </w:rPr>
        <w:t xml:space="preserve"> 交货时间：合同签订后</w:t>
      </w:r>
      <w:r>
        <w:rPr>
          <w:rFonts w:ascii="宋体"/>
          <w:color w:val="000000"/>
          <w:sz w:val="24"/>
        </w:rPr>
        <w:t>30</w:t>
      </w:r>
      <w:r>
        <w:rPr>
          <w:rFonts w:hint="eastAsia" w:ascii="宋体"/>
          <w:color w:val="000000"/>
          <w:sz w:val="24"/>
        </w:rPr>
        <w:t>个工作日内（或</w:t>
      </w:r>
      <w:r>
        <w:rPr>
          <w:rFonts w:hint="eastAsia" w:ascii="宋体"/>
          <w:color w:val="000000"/>
          <w:sz w:val="24"/>
          <w:u w:val="single"/>
        </w:rPr>
        <w:t xml:space="preserve">     </w:t>
      </w:r>
      <w:r>
        <w:rPr>
          <w:rFonts w:hint="eastAsia" w:ascii="宋体"/>
          <w:color w:val="000000"/>
          <w:sz w:val="24"/>
        </w:rPr>
        <w:t>年</w:t>
      </w:r>
      <w:r>
        <w:rPr>
          <w:rFonts w:hint="eastAsia" w:ascii="宋体"/>
          <w:color w:val="000000"/>
          <w:sz w:val="24"/>
          <w:u w:val="single"/>
        </w:rPr>
        <w:t xml:space="preserve">   </w:t>
      </w:r>
      <w:r>
        <w:rPr>
          <w:rFonts w:hint="eastAsia" w:ascii="宋体"/>
          <w:color w:val="000000"/>
          <w:sz w:val="24"/>
        </w:rPr>
        <w:t>月</w:t>
      </w:r>
      <w:r>
        <w:rPr>
          <w:rFonts w:hint="eastAsia" w:ascii="宋体"/>
          <w:color w:val="000000"/>
          <w:sz w:val="24"/>
          <w:u w:val="single"/>
        </w:rPr>
        <w:t xml:space="preserve">   </w:t>
      </w:r>
      <w:r>
        <w:rPr>
          <w:rFonts w:hint="eastAsia" w:ascii="宋体"/>
          <w:color w:val="000000"/>
          <w:sz w:val="24"/>
        </w:rPr>
        <w:t>日前）。</w:t>
      </w:r>
    </w:p>
    <w:p w14:paraId="11149254">
      <w:pPr>
        <w:numPr>
          <w:ilvl w:val="0"/>
          <w:numId w:val="1"/>
        </w:numPr>
        <w:tabs>
          <w:tab w:val="left" w:pos="993"/>
          <w:tab w:val="clear" w:pos="877"/>
        </w:tabs>
        <w:spacing w:before="240"/>
        <w:ind w:left="877" w:hanging="877" w:firstLineChars="0"/>
        <w:rPr>
          <w:b/>
          <w:sz w:val="24"/>
        </w:rPr>
      </w:pPr>
      <w:r>
        <w:rPr>
          <w:rFonts w:hint="eastAsia"/>
          <w:b/>
          <w:sz w:val="24"/>
        </w:rPr>
        <w:t>运输和包装</w:t>
      </w:r>
    </w:p>
    <w:p w14:paraId="386302F7">
      <w:pPr>
        <w:tabs>
          <w:tab w:val="left" w:pos="851"/>
        </w:tabs>
        <w:rPr>
          <w:rFonts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4C2BD954">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货物的交付与验收</w:t>
      </w:r>
    </w:p>
    <w:p w14:paraId="242BFEEB">
      <w:pPr>
        <w:tabs>
          <w:tab w:val="left" w:pos="851"/>
        </w:tabs>
        <w:rPr>
          <w:rFonts w:ascii="宋体"/>
          <w:color w:val="000000"/>
          <w:sz w:val="24"/>
        </w:rPr>
      </w:pPr>
      <w:r>
        <w:rPr>
          <w:rFonts w:hint="eastAsia" w:ascii="宋体"/>
          <w:color w:val="000000"/>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78C424CF">
      <w:pPr>
        <w:tabs>
          <w:tab w:val="left" w:pos="851"/>
        </w:tabs>
        <w:rPr>
          <w:rFonts w:ascii="宋体"/>
          <w:color w:val="000000"/>
          <w:sz w:val="24"/>
        </w:rPr>
      </w:pPr>
      <w:r>
        <w:rPr>
          <w:rFonts w:hint="eastAsia" w:ascii="宋体"/>
          <w:color w:val="000000"/>
          <w:sz w:val="24"/>
        </w:rPr>
        <w:t>6.2 到货签收合格后，由乙方工程师进行硬件设备安装、加电调试，并向甲方提供安装服务报告和货物明细签收单，甲方签署硬件设备签收表（具体详见附件1）。</w:t>
      </w:r>
    </w:p>
    <w:p w14:paraId="4A85CD23">
      <w:pPr>
        <w:tabs>
          <w:tab w:val="left" w:pos="851"/>
        </w:tabs>
        <w:rPr>
          <w:rFonts w:ascii="宋体"/>
          <w:color w:val="000000"/>
          <w:sz w:val="24"/>
        </w:rPr>
      </w:pPr>
      <w:r>
        <w:rPr>
          <w:rFonts w:hint="eastAsia" w:ascii="宋体"/>
          <w:color w:val="000000"/>
          <w:sz w:val="24"/>
        </w:rPr>
        <w:t>6.3设备自</w:t>
      </w:r>
      <w:r>
        <w:rPr>
          <w:rFonts w:hint="eastAsia" w:ascii="宋体"/>
          <w:sz w:val="24"/>
        </w:rPr>
        <w:t>【</w:t>
      </w:r>
      <w:r>
        <w:rPr>
          <w:rFonts w:hint="eastAsia" w:ascii="宋体"/>
          <w:sz w:val="24"/>
          <w:u w:val="single"/>
        </w:rPr>
        <w:t>加电调试通过之日】</w:t>
      </w:r>
      <w:r>
        <w:rPr>
          <w:rFonts w:hint="eastAsia" w:ascii="宋体"/>
          <w:color w:val="000000"/>
          <w:sz w:val="24"/>
        </w:rPr>
        <w:t>三个月内运行正常，则视为验收合格，经甲方确认后，签署最终验收表（具体详见附件2），视为验收合格。</w:t>
      </w:r>
    </w:p>
    <w:p w14:paraId="33DFD9DA">
      <w:pPr>
        <w:tabs>
          <w:tab w:val="left" w:pos="851"/>
        </w:tabs>
        <w:rPr>
          <w:rFonts w:ascii="宋体"/>
          <w:color w:val="000000"/>
          <w:sz w:val="24"/>
        </w:rPr>
      </w:pPr>
      <w:r>
        <w:rPr>
          <w:rFonts w:hint="eastAsia" w:ascii="宋体"/>
          <w:color w:val="000000"/>
          <w:sz w:val="24"/>
        </w:rPr>
        <w:t>6.4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05199C00">
      <w:pPr>
        <w:tabs>
          <w:tab w:val="left" w:pos="851"/>
        </w:tabs>
        <w:rPr>
          <w:rFonts w:ascii="宋体"/>
          <w:color w:val="000000"/>
          <w:sz w:val="24"/>
        </w:rPr>
      </w:pPr>
      <w:r>
        <w:rPr>
          <w:rFonts w:hint="eastAsia" w:ascii="宋体"/>
          <w:color w:val="000000"/>
          <w:sz w:val="24"/>
        </w:rPr>
        <w:t>（1）针对第三方SDK：乙方应开展安全评估和个人信息保护评估，并提供无中高风险的评估报告；</w:t>
      </w:r>
    </w:p>
    <w:p w14:paraId="6DCC3C03">
      <w:pPr>
        <w:tabs>
          <w:tab w:val="left" w:pos="851"/>
        </w:tabs>
        <w:rPr>
          <w:rFonts w:ascii="宋体"/>
          <w:color w:val="000000"/>
          <w:sz w:val="24"/>
        </w:rPr>
      </w:pPr>
      <w:r>
        <w:rPr>
          <w:rFonts w:hint="eastAsia" w:ascii="宋体"/>
          <w:color w:val="000000"/>
          <w:sz w:val="24"/>
        </w:rPr>
        <w:t>（2）针对第三方小程序：乙方应开展安全评估，并提供无中高风险漏洞的安全评估报告。</w:t>
      </w:r>
    </w:p>
    <w:p w14:paraId="168CDD74">
      <w:pPr>
        <w:tabs>
          <w:tab w:val="left" w:pos="851"/>
        </w:tabs>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17A9C88B">
      <w:pPr>
        <w:tabs>
          <w:tab w:val="left" w:pos="851"/>
        </w:tabs>
        <w:rPr>
          <w:color w:val="000000"/>
          <w:sz w:val="24"/>
        </w:rPr>
      </w:pPr>
      <w:r>
        <w:rPr>
          <w:rFonts w:hint="eastAsia" w:ascii="宋体"/>
          <w:color w:val="000000"/>
          <w:sz w:val="24"/>
        </w:rPr>
        <w:t>6.5</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5CF20501">
      <w:pPr>
        <w:tabs>
          <w:tab w:val="left" w:pos="851"/>
        </w:tabs>
        <w:rPr>
          <w:rFonts w:ascii="宋体"/>
          <w:color w:val="000000"/>
          <w:sz w:val="24"/>
        </w:rPr>
      </w:pPr>
      <w:r>
        <w:rPr>
          <w:rFonts w:hint="eastAsia" w:ascii="宋体"/>
          <w:color w:val="000000"/>
          <w:sz w:val="24"/>
        </w:rPr>
        <w:t>6.6乙方向甲方提供的产品和服务不会有任何第三方主张权利，也不会侵害任何第三方的合法权益，包括知识产权。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3558FCFB">
      <w:pPr>
        <w:tabs>
          <w:tab w:val="left" w:pos="851"/>
        </w:tabs>
        <w:rPr>
          <w:rFonts w:ascii="宋体"/>
          <w:color w:val="000000"/>
          <w:sz w:val="24"/>
        </w:rPr>
      </w:pPr>
    </w:p>
    <w:p w14:paraId="5D9F689B">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质量保证和售后服务</w:t>
      </w:r>
    </w:p>
    <w:p w14:paraId="5AB89290">
      <w:pPr>
        <w:tabs>
          <w:tab w:val="left" w:pos="851"/>
        </w:tabs>
        <w:rPr>
          <w:rFonts w:ascii="宋体"/>
          <w:color w:val="000000"/>
          <w:sz w:val="24"/>
        </w:rPr>
      </w:pPr>
      <w:r>
        <w:rPr>
          <w:rFonts w:hint="eastAsia" w:ascii="宋体"/>
          <w:color w:val="000000"/>
          <w:sz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2F474451">
      <w:pPr>
        <w:tabs>
          <w:tab w:val="left" w:pos="851"/>
        </w:tabs>
        <w:rPr>
          <w:rFonts w:ascii="宋体"/>
          <w:color w:val="000000"/>
          <w:sz w:val="24"/>
        </w:rPr>
      </w:pPr>
      <w:r>
        <w:rPr>
          <w:rFonts w:hint="eastAsia" w:ascii="宋体"/>
          <w:color w:val="000000"/>
          <w:sz w:val="24"/>
        </w:rPr>
        <w:t>7.2 在质保期内如果合同设备出现故障，乙方应提供质保服务，对合同设备进行修理或更换以消除故障。质保期内的维护服务内容见附件3。</w:t>
      </w:r>
    </w:p>
    <w:p w14:paraId="34298311">
      <w:pPr>
        <w:tabs>
          <w:tab w:val="left" w:pos="851"/>
        </w:tabs>
        <w:rPr>
          <w:rFonts w:ascii="宋体"/>
          <w:color w:val="000000"/>
          <w:sz w:val="24"/>
        </w:rPr>
      </w:pPr>
      <w:r>
        <w:rPr>
          <w:rFonts w:hint="eastAsia" w:ascii="宋体"/>
          <w:color w:val="000000"/>
          <w:sz w:val="24"/>
        </w:rPr>
        <w:t>7.3质保期到期后【5】年内，本合同项下产品可选择</w:t>
      </w:r>
      <w:r>
        <w:rPr>
          <w:rFonts w:ascii="宋体"/>
          <w:color w:val="000000"/>
          <w:sz w:val="24"/>
        </w:rPr>
        <w:t>7.3.1</w:t>
      </w:r>
      <w:r>
        <w:rPr>
          <w:rFonts w:hint="eastAsia" w:ascii="宋体"/>
          <w:color w:val="000000"/>
          <w:sz w:val="24"/>
        </w:rPr>
        <w:t>质保服务。</w:t>
      </w:r>
    </w:p>
    <w:p w14:paraId="21D8D46F">
      <w:pPr>
        <w:tabs>
          <w:tab w:val="left" w:pos="851"/>
        </w:tabs>
        <w:rPr>
          <w:rFonts w:ascii="宋体"/>
          <w:color w:val="000000"/>
          <w:sz w:val="24"/>
        </w:rPr>
      </w:pPr>
      <w:r>
        <w:rPr>
          <w:rFonts w:hint="eastAsia" w:ascii="宋体"/>
          <w:color w:val="000000"/>
          <w:sz w:val="24"/>
        </w:rPr>
        <w:t>7.3.1生产厂商将以合同项下产品金额的_</w:t>
      </w:r>
      <w:r>
        <w:rPr>
          <w:rFonts w:ascii="宋体"/>
          <w:color w:val="000000"/>
          <w:sz w:val="24"/>
        </w:rPr>
        <w:t>10</w:t>
      </w:r>
      <w:r>
        <w:rPr>
          <w:rFonts w:hint="eastAsia" w:ascii="宋体"/>
          <w:color w:val="000000"/>
          <w:sz w:val="24"/>
        </w:rPr>
        <w:t>_%的质保费率提供生产厂商质保服务，附生产厂商售后服务承诺函，若生产厂商无法以承诺费用续保，由乙方承担违约责任，乙方应向甲方支付超出约定质保费部分的费用。</w:t>
      </w:r>
    </w:p>
    <w:p w14:paraId="2DD80AA9">
      <w:pPr>
        <w:tabs>
          <w:tab w:val="left" w:pos="851"/>
        </w:tabs>
        <w:rPr>
          <w:rFonts w:ascii="宋体"/>
          <w:color w:val="000000"/>
          <w:sz w:val="24"/>
        </w:rPr>
      </w:pPr>
      <w:r>
        <w:rPr>
          <w:rFonts w:hint="eastAsia" w:ascii="宋体"/>
          <w:color w:val="000000"/>
          <w:sz w:val="24"/>
        </w:rPr>
        <w:t>7.3.2质保期到期后五年内，乙方将以合同项下产品金额的________%的质保费率提供付费质保服务。</w:t>
      </w:r>
      <w:r>
        <w:rPr>
          <w:rFonts w:hint="eastAsia" w:ascii="宋体"/>
          <w:color w:val="FF0000"/>
          <w:sz w:val="24"/>
        </w:rPr>
        <w:t xml:space="preserve"> </w:t>
      </w:r>
    </w:p>
    <w:p w14:paraId="46CDF82B">
      <w:pPr>
        <w:tabs>
          <w:tab w:val="left" w:pos="851"/>
        </w:tabs>
        <w:rPr>
          <w:rFonts w:ascii="宋体"/>
          <w:color w:val="000000"/>
          <w:sz w:val="24"/>
        </w:rPr>
      </w:pPr>
      <w:r>
        <w:rPr>
          <w:rFonts w:hint="eastAsia" w:ascii="宋体"/>
          <w:color w:val="000000"/>
          <w:sz w:val="24"/>
        </w:rPr>
        <w:t>7.4质保期到期后【5】年内，</w:t>
      </w:r>
      <w:r>
        <w:rPr>
          <w:rFonts w:hint="eastAsia"/>
          <w:color w:val="000000"/>
          <w:sz w:val="24"/>
        </w:rPr>
        <w:t>如</w:t>
      </w:r>
      <w:r>
        <w:rPr>
          <w:rFonts w:hint="eastAsia" w:ascii="宋体"/>
          <w:color w:val="000000"/>
          <w:sz w:val="24"/>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3D689F5B">
      <w:pPr>
        <w:tabs>
          <w:tab w:val="left" w:pos="851"/>
        </w:tabs>
        <w:rPr>
          <w:rFonts w:ascii="宋体"/>
          <w:color w:val="000000"/>
          <w:sz w:val="24"/>
        </w:rPr>
      </w:pPr>
    </w:p>
    <w:p w14:paraId="5EEEB6D5">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保管风险</w:t>
      </w:r>
    </w:p>
    <w:p w14:paraId="407CC3B9">
      <w:pPr>
        <w:tabs>
          <w:tab w:val="left" w:pos="851"/>
        </w:tabs>
        <w:rPr>
          <w:rFonts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11D8A24F">
      <w:pPr>
        <w:tabs>
          <w:tab w:val="left" w:pos="851"/>
        </w:tabs>
        <w:rPr>
          <w:rFonts w:ascii="宋体"/>
          <w:color w:val="000000"/>
          <w:sz w:val="24"/>
        </w:rPr>
      </w:pPr>
    </w:p>
    <w:p w14:paraId="59FF9E30">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违约责任</w:t>
      </w:r>
    </w:p>
    <w:p w14:paraId="03B3FC94">
      <w:pPr>
        <w:tabs>
          <w:tab w:val="left" w:pos="851"/>
        </w:tabs>
        <w:rPr>
          <w:rFonts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60C6EF04">
      <w:pPr>
        <w:tabs>
          <w:tab w:val="left" w:pos="851"/>
        </w:tabs>
        <w:rPr>
          <w:rFonts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7D0C81DB">
      <w:pPr>
        <w:tabs>
          <w:tab w:val="left" w:pos="851"/>
        </w:tabs>
        <w:rPr>
          <w:rFonts w:ascii="宋体"/>
          <w:color w:val="000000"/>
          <w:sz w:val="24"/>
        </w:rPr>
      </w:pPr>
      <w:r>
        <w:rPr>
          <w:rFonts w:hint="eastAsia" w:ascii="宋体"/>
          <w:color w:val="000000"/>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108DBC0C">
      <w:pPr>
        <w:tabs>
          <w:tab w:val="left" w:pos="851"/>
        </w:tabs>
        <w:rPr>
          <w:rFonts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2396BA69">
      <w:pPr>
        <w:rPr>
          <w:rFonts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3B2C63F0">
      <w:pPr>
        <w:rPr>
          <w:rFonts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24918D7A">
      <w:pPr>
        <w:rPr>
          <w:rFonts w:ascii="宋体"/>
          <w:color w:val="000000"/>
          <w:sz w:val="24"/>
        </w:rPr>
      </w:pPr>
      <w:r>
        <w:rPr>
          <w:rFonts w:hint="eastAsia" w:ascii="宋体"/>
          <w:color w:val="000000"/>
          <w:sz w:val="24"/>
        </w:rPr>
        <w:t>9.7本合同项下乙方应支付的违约金、赔偿金等，甲方均有权从应支付给乙方的任意一笔款项中优先扣除，若有不足，乙方应另行筹措资金补足。</w:t>
      </w:r>
    </w:p>
    <w:p w14:paraId="2227A0E8">
      <w:pPr>
        <w:rPr>
          <w:rFonts w:ascii="宋体"/>
          <w:color w:val="000000"/>
          <w:sz w:val="24"/>
        </w:rPr>
      </w:pPr>
    </w:p>
    <w:p w14:paraId="6BAE89E9">
      <w:pPr>
        <w:numPr>
          <w:ilvl w:val="0"/>
          <w:numId w:val="1"/>
        </w:numPr>
        <w:tabs>
          <w:tab w:val="left" w:pos="993"/>
          <w:tab w:val="clear" w:pos="877"/>
        </w:tabs>
        <w:spacing w:before="240"/>
        <w:ind w:left="877" w:hanging="877" w:firstLineChars="0"/>
        <w:rPr>
          <w:rFonts w:ascii="宋体"/>
          <w:b/>
          <w:color w:val="000000"/>
          <w:sz w:val="24"/>
        </w:rPr>
      </w:pPr>
      <w:r>
        <w:rPr>
          <w:rFonts w:hint="eastAsia" w:ascii="宋体"/>
          <w:b/>
          <w:color w:val="000000"/>
          <w:sz w:val="24"/>
        </w:rPr>
        <w:t>不可抗力</w:t>
      </w:r>
    </w:p>
    <w:p w14:paraId="73B8C724">
      <w:pPr>
        <w:tabs>
          <w:tab w:val="left" w:pos="851"/>
        </w:tabs>
        <w:rPr>
          <w:rFonts w:ascii="宋体"/>
          <w:color w:val="000000"/>
          <w:sz w:val="24"/>
        </w:rPr>
      </w:pPr>
      <w:r>
        <w:rPr>
          <w:rFonts w:hint="eastAsia" w:ascii="宋体"/>
          <w:color w:val="000000"/>
          <w:sz w:val="24"/>
        </w:rPr>
        <w:t>10.1不可抗力是指本合同生效后，发生不能预见并且对其发生和后果不能防止或避免的事件，如地震、台风、水灾、火灾、战争、传染病等，致使直接影响本合同的履行或不能按约定的条件履行。</w:t>
      </w:r>
    </w:p>
    <w:p w14:paraId="453101CD">
      <w:pPr>
        <w:tabs>
          <w:tab w:val="left" w:pos="851"/>
        </w:tabs>
        <w:rPr>
          <w:rFonts w:ascii="宋体"/>
          <w:color w:val="000000"/>
          <w:sz w:val="24"/>
        </w:rPr>
      </w:pPr>
      <w:r>
        <w:rPr>
          <w:rFonts w:hint="eastAsia" w:ascii="宋体"/>
          <w:color w:val="000000"/>
          <w:sz w:val="24"/>
        </w:rPr>
        <w:t>10.2发生不可抗力的一方应立即通知对方，并在十五天内提供不可抗力的详情及将有关证明文件送交对方。</w:t>
      </w:r>
    </w:p>
    <w:p w14:paraId="72F4319C">
      <w:pPr>
        <w:tabs>
          <w:tab w:val="left" w:pos="851"/>
        </w:tabs>
        <w:rPr>
          <w:rFonts w:ascii="宋体"/>
          <w:color w:val="000000"/>
          <w:sz w:val="24"/>
        </w:rPr>
      </w:pPr>
      <w:r>
        <w:rPr>
          <w:rFonts w:hint="eastAsia" w:ascii="宋体"/>
          <w:color w:val="000000"/>
          <w:sz w:val="24"/>
        </w:rPr>
        <w:t>10.3发生不可抗力事件时，甲乙双方应协商以寻找一个合理的解决方法，并尽一切努力减轻不可抗力产生的后果。</w:t>
      </w:r>
    </w:p>
    <w:p w14:paraId="627CF0EB">
      <w:pPr>
        <w:tabs>
          <w:tab w:val="left" w:pos="851"/>
        </w:tabs>
        <w:rPr>
          <w:rFonts w:ascii="宋体"/>
          <w:color w:val="000000"/>
          <w:sz w:val="24"/>
        </w:rPr>
      </w:pPr>
      <w:r>
        <w:rPr>
          <w:rFonts w:hint="eastAsia" w:ascii="宋体"/>
          <w:color w:val="000000"/>
          <w:sz w:val="24"/>
        </w:rPr>
        <w:t>10.4如不可抗力事件持续三十天时，甲乙双方应友好协商解决本合同是否继续履行或终止的问题。</w:t>
      </w:r>
    </w:p>
    <w:p w14:paraId="2423A94F">
      <w:pPr>
        <w:numPr>
          <w:ilvl w:val="0"/>
          <w:numId w:val="1"/>
        </w:numPr>
        <w:tabs>
          <w:tab w:val="left" w:pos="1276"/>
          <w:tab w:val="clear" w:pos="877"/>
        </w:tabs>
        <w:spacing w:before="240"/>
        <w:ind w:left="877" w:hanging="877" w:firstLineChars="0"/>
        <w:rPr>
          <w:rFonts w:ascii="宋体"/>
          <w:b/>
          <w:color w:val="000000"/>
          <w:sz w:val="24"/>
        </w:rPr>
      </w:pPr>
      <w:r>
        <w:rPr>
          <w:rFonts w:hint="eastAsia" w:ascii="宋体"/>
          <w:b/>
          <w:color w:val="000000"/>
          <w:sz w:val="24"/>
        </w:rPr>
        <w:t>争议解决</w:t>
      </w:r>
    </w:p>
    <w:p w14:paraId="1F00E5B8">
      <w:pPr>
        <w:pStyle w:val="20"/>
        <w:snapToGrid w:val="0"/>
        <w:spacing w:line="360" w:lineRule="auto"/>
        <w:rPr>
          <w:sz w:val="24"/>
          <w:lang w:val="zh-CN"/>
        </w:rPr>
      </w:pPr>
      <w:r>
        <w:rPr>
          <w:rFonts w:hint="eastAsia"/>
          <w:color w:val="000000"/>
          <w:sz w:val="24"/>
          <w:szCs w:val="24"/>
        </w:rPr>
        <w:t>因本合同引起的或与本合同有关的任何争议，双方可通过协商解决，协商不成，</w:t>
      </w:r>
      <w:r>
        <w:rPr>
          <w:rFonts w:hint="eastAsia"/>
          <w:sz w:val="24"/>
          <w:lang w:val="zh-CN"/>
        </w:rPr>
        <w:t>任何一方</w:t>
      </w:r>
      <w:r>
        <w:rPr>
          <w:sz w:val="24"/>
          <w:lang w:val="zh-CN"/>
        </w:rPr>
        <w:t>应按照下列第</w:t>
      </w:r>
      <w:r>
        <w:rPr>
          <w:sz w:val="24"/>
          <w:u w:val="single"/>
          <w:lang w:val="zh-CN"/>
        </w:rPr>
        <w:t xml:space="preserve">  2   </w:t>
      </w:r>
      <w:r>
        <w:rPr>
          <w:sz w:val="24"/>
          <w:lang w:val="zh-CN"/>
        </w:rPr>
        <w:t>种方式解决：</w:t>
      </w:r>
    </w:p>
    <w:p w14:paraId="51FD12DE">
      <w:pPr>
        <w:pStyle w:val="20"/>
        <w:numPr>
          <w:ilvl w:val="0"/>
          <w:numId w:val="3"/>
        </w:numPr>
        <w:snapToGrid w:val="0"/>
        <w:spacing w:line="360" w:lineRule="auto"/>
        <w:ind w:firstLineChars="0"/>
        <w:rPr>
          <w:sz w:val="24"/>
          <w:lang w:val="zh-CN"/>
        </w:rPr>
      </w:pPr>
      <w:r>
        <w:rPr>
          <w:rFonts w:hint="eastAsia"/>
          <w:sz w:val="24"/>
          <w:lang w:val="zh-CN"/>
        </w:rPr>
        <w:t>向</w:t>
      </w:r>
      <w:r>
        <w:rPr>
          <w:sz w:val="24"/>
          <w:lang w:val="zh-CN"/>
        </w:rPr>
        <w:t>重庆仲裁委员会按照该会届时有效的仲裁规则申请仲裁。</w:t>
      </w:r>
    </w:p>
    <w:p w14:paraId="36F7C4A9">
      <w:pPr>
        <w:pStyle w:val="20"/>
        <w:numPr>
          <w:ilvl w:val="0"/>
          <w:numId w:val="3"/>
        </w:numPr>
        <w:snapToGrid w:val="0"/>
        <w:spacing w:line="360" w:lineRule="auto"/>
        <w:ind w:firstLineChars="0"/>
        <w:rPr>
          <w:sz w:val="24"/>
          <w:lang w:val="zh-CN"/>
        </w:rPr>
      </w:pPr>
      <w:r>
        <w:rPr>
          <w:sz w:val="24"/>
          <w:lang w:val="zh-CN"/>
        </w:rPr>
        <w:t>向</w:t>
      </w:r>
      <w:r>
        <w:rPr>
          <w:rFonts w:hint="eastAsia"/>
          <w:sz w:val="24"/>
          <w:lang w:val="zh-CN"/>
        </w:rPr>
        <w:t>本合同首部载明的甲方地址所在地有管辖权的人民法院起诉。</w:t>
      </w:r>
    </w:p>
    <w:p w14:paraId="245699F4">
      <w:pPr>
        <w:numPr>
          <w:ilvl w:val="0"/>
          <w:numId w:val="1"/>
        </w:numPr>
        <w:tabs>
          <w:tab w:val="left" w:pos="1276"/>
          <w:tab w:val="clear" w:pos="877"/>
        </w:tabs>
        <w:spacing w:before="240"/>
        <w:ind w:left="877" w:hanging="877" w:firstLineChars="0"/>
        <w:rPr>
          <w:rFonts w:ascii="宋体"/>
          <w:b/>
          <w:color w:val="000000"/>
          <w:sz w:val="24"/>
        </w:rPr>
      </w:pPr>
      <w:r>
        <w:rPr>
          <w:rFonts w:hint="eastAsia" w:ascii="宋体"/>
          <w:b/>
          <w:color w:val="000000"/>
          <w:sz w:val="24"/>
        </w:rPr>
        <w:t>保密</w:t>
      </w:r>
    </w:p>
    <w:p w14:paraId="2B2AB6E6">
      <w:pPr>
        <w:pStyle w:val="11"/>
        <w:rPr>
          <w:rFonts w:ascii="宋体"/>
          <w:color w:val="000000"/>
          <w:sz w:val="24"/>
          <w:szCs w:val="24"/>
        </w:rPr>
      </w:pPr>
      <w:r>
        <w:rPr>
          <w:rFonts w:hint="eastAsia" w:ascii="宋体"/>
          <w:color w:val="000000"/>
          <w:sz w:val="24"/>
          <w:szCs w:val="24"/>
        </w:rPr>
        <w:t>12.1乙方须对本合同项下的所有条款保密。</w:t>
      </w:r>
    </w:p>
    <w:p w14:paraId="06138C89">
      <w:pPr>
        <w:pStyle w:val="11"/>
        <w:rPr>
          <w:rFonts w:ascii="宋体"/>
          <w:color w:val="000000"/>
          <w:sz w:val="24"/>
          <w:szCs w:val="24"/>
        </w:rPr>
      </w:pPr>
      <w:r>
        <w:rPr>
          <w:rFonts w:hint="eastAsia" w:ascii="宋体"/>
          <w:color w:val="000000"/>
          <w:sz w:val="24"/>
          <w:szCs w:val="24"/>
        </w:rPr>
        <w:t>12.2乙方不得在合同允许范围外使用或披露甲方以及甲方客户信息、技术框架、系统架构、业务流程等核心信息。</w:t>
      </w:r>
    </w:p>
    <w:p w14:paraId="63AF2AFD">
      <w:pPr>
        <w:pStyle w:val="11"/>
        <w:rPr>
          <w:rFonts w:ascii="宋体"/>
          <w:color w:val="000000"/>
          <w:sz w:val="24"/>
          <w:szCs w:val="24"/>
        </w:rPr>
      </w:pPr>
      <w:r>
        <w:rPr>
          <w:rFonts w:hint="eastAsia" w:ascii="宋体"/>
          <w:color w:val="000000"/>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A4AD00E">
      <w:pPr>
        <w:pStyle w:val="11"/>
        <w:rPr>
          <w:rFonts w:ascii="宋体"/>
          <w:color w:val="000000"/>
          <w:sz w:val="24"/>
          <w:szCs w:val="24"/>
        </w:rPr>
      </w:pPr>
      <w:r>
        <w:rPr>
          <w:rFonts w:hint="eastAsia" w:ascii="宋体"/>
          <w:color w:val="000000"/>
          <w:sz w:val="24"/>
          <w:szCs w:val="24"/>
        </w:rPr>
        <w:t>12.4乙方知道违反本条规定将给甲方客户权利以及甲方造成难以弥补的损失，为此同意承担由此产生的经济上和法律上的责任和损失。</w:t>
      </w:r>
    </w:p>
    <w:p w14:paraId="72909142">
      <w:pPr>
        <w:pStyle w:val="11"/>
        <w:rPr>
          <w:rFonts w:ascii="宋体"/>
          <w:color w:val="000000"/>
          <w:sz w:val="24"/>
          <w:szCs w:val="24"/>
        </w:rPr>
      </w:pPr>
      <w:r>
        <w:rPr>
          <w:rFonts w:hint="eastAsia" w:ascii="宋体"/>
          <w:color w:val="000000"/>
          <w:sz w:val="24"/>
          <w:szCs w:val="24"/>
        </w:rPr>
        <w:t>12.5乙方承认本合同中的技术资料和技术秘密为甲方所专有，将其对乙方进行披露并不意味着任何所有权、专利权的转让。</w:t>
      </w:r>
    </w:p>
    <w:p w14:paraId="41E67AC2">
      <w:pPr>
        <w:pStyle w:val="11"/>
        <w:rPr>
          <w:rFonts w:ascii="宋体"/>
          <w:color w:val="000000"/>
          <w:sz w:val="24"/>
          <w:szCs w:val="24"/>
        </w:rPr>
      </w:pPr>
      <w:r>
        <w:rPr>
          <w:rFonts w:hint="eastAsia" w:ascii="宋体"/>
          <w:color w:val="000000"/>
          <w:sz w:val="24"/>
          <w:szCs w:val="24"/>
        </w:rPr>
        <w:t>12.6在本合同项目通过验收后，乙方应归还甲方提供的所有技术资料或文件等，并承诺不保留任何复印件。</w:t>
      </w:r>
    </w:p>
    <w:p w14:paraId="68F1911E">
      <w:pPr>
        <w:pStyle w:val="11"/>
        <w:rPr>
          <w:rFonts w:ascii="宋体"/>
          <w:color w:val="000000"/>
          <w:sz w:val="24"/>
          <w:szCs w:val="24"/>
        </w:rPr>
      </w:pPr>
      <w:r>
        <w:rPr>
          <w:rFonts w:hint="eastAsia" w:ascii="宋体"/>
          <w:color w:val="000000"/>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A9F637A">
      <w:pPr>
        <w:pStyle w:val="11"/>
        <w:rPr>
          <w:rFonts w:ascii="宋体"/>
          <w:color w:val="000000"/>
          <w:sz w:val="24"/>
          <w:szCs w:val="24"/>
        </w:rPr>
      </w:pPr>
      <w:r>
        <w:rPr>
          <w:rFonts w:hint="eastAsia" w:ascii="宋体"/>
          <w:color w:val="000000"/>
          <w:sz w:val="24"/>
          <w:szCs w:val="24"/>
        </w:rPr>
        <w:t>12.8除非甲方特别声明，乙方对于保密信息的保密义务为无限期保密，直至甲方宣布解密或者保密信息实际上已经公开。</w:t>
      </w:r>
    </w:p>
    <w:p w14:paraId="65CF5ED6">
      <w:pPr>
        <w:pStyle w:val="11"/>
        <w:ind w:firstLine="482" w:firstLineChars="0"/>
        <w:rPr>
          <w:rFonts w:hint="eastAsia" w:ascii="宋体" w:hAnsi="宋体"/>
          <w:b/>
          <w:color w:val="000000"/>
          <w:sz w:val="24"/>
        </w:rPr>
      </w:pPr>
    </w:p>
    <w:p w14:paraId="61B7698D">
      <w:pPr>
        <w:numPr>
          <w:ilvl w:val="0"/>
          <w:numId w:val="1"/>
        </w:numPr>
        <w:tabs>
          <w:tab w:val="left" w:pos="1276"/>
          <w:tab w:val="clear" w:pos="877"/>
        </w:tabs>
        <w:spacing w:before="240"/>
        <w:ind w:left="877" w:hanging="877" w:firstLineChars="0"/>
        <w:rPr>
          <w:rFonts w:ascii="宋体"/>
          <w:b/>
          <w:color w:val="000000"/>
          <w:sz w:val="24"/>
        </w:rPr>
      </w:pPr>
      <w:r>
        <w:rPr>
          <w:rFonts w:hint="eastAsia" w:ascii="宋体"/>
          <w:b/>
          <w:color w:val="000000"/>
          <w:sz w:val="24"/>
        </w:rPr>
        <w:t>通知与送达</w:t>
      </w:r>
    </w:p>
    <w:p w14:paraId="7AC8CFEE">
      <w:pPr>
        <w:pStyle w:val="11"/>
        <w:rPr>
          <w:rFonts w:ascii="宋体"/>
          <w:color w:val="000000"/>
          <w:sz w:val="24"/>
          <w:szCs w:val="24"/>
        </w:rPr>
      </w:pPr>
      <w:r>
        <w:rPr>
          <w:rFonts w:hint="eastAsia" w:ascii="宋体"/>
          <w:color w:val="000000"/>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A66ADC4">
      <w:pPr>
        <w:pStyle w:val="11"/>
        <w:rPr>
          <w:rFonts w:ascii="宋体"/>
          <w:color w:val="000000"/>
          <w:sz w:val="24"/>
        </w:rPr>
      </w:pPr>
      <w:r>
        <w:rPr>
          <w:rFonts w:hint="eastAsia" w:ascii="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E935E42">
      <w:pPr>
        <w:numPr>
          <w:ilvl w:val="0"/>
          <w:numId w:val="1"/>
        </w:numPr>
        <w:tabs>
          <w:tab w:val="left" w:pos="1276"/>
          <w:tab w:val="clear" w:pos="877"/>
        </w:tabs>
        <w:spacing w:before="240"/>
        <w:ind w:left="877" w:hanging="877" w:firstLineChars="0"/>
        <w:rPr>
          <w:rFonts w:ascii="宋体"/>
          <w:b/>
          <w:color w:val="000000"/>
          <w:sz w:val="24"/>
        </w:rPr>
      </w:pPr>
      <w:bookmarkStart w:id="85" w:name="_Toc388368880"/>
      <w:r>
        <w:rPr>
          <w:rFonts w:hint="eastAsia" w:ascii="宋体"/>
          <w:b/>
          <w:color w:val="000000"/>
          <w:sz w:val="24"/>
        </w:rPr>
        <w:t>反商业贿赂</w:t>
      </w:r>
      <w:bookmarkEnd w:id="85"/>
    </w:p>
    <w:p w14:paraId="392FAEAA">
      <w:pPr>
        <w:rPr>
          <w:rFonts w:ascii="宋体"/>
          <w:color w:val="000000"/>
          <w:kern w:val="0"/>
          <w:sz w:val="24"/>
        </w:rPr>
      </w:pPr>
      <w:r>
        <w:rPr>
          <w:rFonts w:hint="eastAsia" w:ascii="宋体"/>
          <w:color w:val="000000"/>
          <w:kern w:val="0"/>
          <w:sz w:val="24"/>
        </w:rPr>
        <w:t>乙方不得对甲方或甲方任何员工有任何商业贿赂的行为，否则经查证属实后，乙方应对甲方赔付相当于合同总额50%的赔偿金。该条在法律允许的范围内，不受任何免责或限制责任的条款制约。</w:t>
      </w:r>
    </w:p>
    <w:p w14:paraId="57EA4997">
      <w:pPr>
        <w:numPr>
          <w:ilvl w:val="0"/>
          <w:numId w:val="1"/>
        </w:numPr>
        <w:tabs>
          <w:tab w:val="left" w:pos="1276"/>
          <w:tab w:val="clear" w:pos="877"/>
        </w:tabs>
        <w:spacing w:before="240"/>
        <w:ind w:left="877" w:hanging="877" w:firstLineChars="0"/>
        <w:rPr>
          <w:rFonts w:ascii="宋体"/>
          <w:b/>
          <w:color w:val="000000"/>
          <w:sz w:val="24"/>
        </w:rPr>
      </w:pPr>
      <w:r>
        <w:rPr>
          <w:rFonts w:hint="eastAsia" w:ascii="宋体"/>
          <w:b/>
          <w:color w:val="000000"/>
          <w:sz w:val="24"/>
        </w:rPr>
        <w:t>附件</w:t>
      </w:r>
    </w:p>
    <w:p w14:paraId="31A6F3BD">
      <w:pPr>
        <w:rPr>
          <w:rFonts w:ascii="宋体"/>
          <w:color w:val="000000"/>
          <w:sz w:val="24"/>
        </w:rPr>
      </w:pPr>
      <w:r>
        <w:rPr>
          <w:rFonts w:hint="eastAsia" w:ascii="宋体"/>
          <w:color w:val="000000"/>
          <w:kern w:val="0"/>
          <w:sz w:val="24"/>
        </w:rPr>
        <w:t>本合同的附件如下，</w:t>
      </w:r>
      <w:r>
        <w:rPr>
          <w:rFonts w:hint="eastAsia" w:ascii="宋体"/>
          <w:color w:val="000000"/>
          <w:sz w:val="24"/>
        </w:rPr>
        <w:t>附件与合同正本具有同等法律效力，主合同与附件如有冲突，以主合同为准。</w:t>
      </w:r>
    </w:p>
    <w:p w14:paraId="426AF311">
      <w:pPr>
        <w:rPr>
          <w:rFonts w:ascii="宋体"/>
          <w:color w:val="000000"/>
          <w:kern w:val="0"/>
          <w:sz w:val="24"/>
        </w:rPr>
      </w:pPr>
      <w:r>
        <w:rPr>
          <w:rFonts w:hint="eastAsia" w:ascii="宋体"/>
          <w:color w:val="000000"/>
          <w:kern w:val="0"/>
          <w:sz w:val="24"/>
        </w:rPr>
        <w:t>附件一：硬件设备签收表</w:t>
      </w:r>
    </w:p>
    <w:p w14:paraId="605AD1C6">
      <w:pPr>
        <w:rPr>
          <w:rFonts w:ascii="宋体"/>
          <w:color w:val="000000"/>
          <w:kern w:val="0"/>
          <w:sz w:val="24"/>
        </w:rPr>
      </w:pPr>
      <w:r>
        <w:rPr>
          <w:rFonts w:hint="eastAsia" w:ascii="宋体"/>
          <w:color w:val="000000"/>
          <w:kern w:val="0"/>
          <w:sz w:val="24"/>
        </w:rPr>
        <w:t>附件二：最终验收表</w:t>
      </w:r>
    </w:p>
    <w:p w14:paraId="18832F87">
      <w:pPr>
        <w:rPr>
          <w:rFonts w:ascii="宋体"/>
          <w:color w:val="000000"/>
          <w:kern w:val="0"/>
          <w:sz w:val="24"/>
        </w:rPr>
      </w:pPr>
      <w:r>
        <w:rPr>
          <w:rFonts w:hint="eastAsia" w:ascii="宋体"/>
          <w:color w:val="000000"/>
          <w:kern w:val="0"/>
          <w:sz w:val="24"/>
        </w:rPr>
        <w:t>附件三：维护服务内容</w:t>
      </w:r>
    </w:p>
    <w:p w14:paraId="5BDB9D1F">
      <w:pPr>
        <w:rPr>
          <w:rFonts w:ascii="宋体"/>
          <w:color w:val="000000"/>
          <w:kern w:val="0"/>
          <w:sz w:val="24"/>
        </w:rPr>
      </w:pPr>
      <w:r>
        <w:rPr>
          <w:rFonts w:hint="eastAsia" w:ascii="宋体"/>
          <w:color w:val="000000"/>
          <w:kern w:val="0"/>
          <w:sz w:val="24"/>
        </w:rPr>
        <w:t>附件四：</w:t>
      </w:r>
      <w:r>
        <w:rPr>
          <w:rFonts w:hint="eastAsia"/>
          <w:color w:val="000000"/>
          <w:sz w:val="24"/>
        </w:rPr>
        <w:t>服务连续性预案</w:t>
      </w:r>
    </w:p>
    <w:p w14:paraId="55EC20F5">
      <w:pPr>
        <w:numPr>
          <w:ilvl w:val="0"/>
          <w:numId w:val="1"/>
        </w:numPr>
        <w:tabs>
          <w:tab w:val="left" w:pos="1276"/>
          <w:tab w:val="clear" w:pos="877"/>
        </w:tabs>
        <w:spacing w:before="240"/>
        <w:ind w:left="877" w:hanging="877" w:firstLineChars="0"/>
        <w:rPr>
          <w:rFonts w:ascii="宋体"/>
          <w:b/>
          <w:color w:val="000000"/>
          <w:sz w:val="24"/>
        </w:rPr>
      </w:pPr>
      <w:r>
        <w:rPr>
          <w:rFonts w:hint="eastAsia" w:ascii="宋体"/>
          <w:b/>
          <w:color w:val="000000"/>
          <w:sz w:val="24"/>
        </w:rPr>
        <w:t>其他事宜</w:t>
      </w:r>
    </w:p>
    <w:p w14:paraId="6EB3B075">
      <w:pPr>
        <w:tabs>
          <w:tab w:val="left" w:pos="851"/>
        </w:tabs>
        <w:rPr>
          <w:rFonts w:ascii="宋体"/>
          <w:color w:val="000000"/>
          <w:sz w:val="24"/>
        </w:rPr>
      </w:pPr>
      <w:r>
        <w:rPr>
          <w:rFonts w:hint="eastAsia" w:ascii="宋体"/>
          <w:color w:val="000000"/>
          <w:sz w:val="24"/>
        </w:rPr>
        <w:t>16.1本合同在甲乙双方加盖公章或合同章后生效。</w:t>
      </w:r>
    </w:p>
    <w:p w14:paraId="08B5B074">
      <w:pPr>
        <w:tabs>
          <w:tab w:val="left" w:pos="851"/>
        </w:tabs>
        <w:rPr>
          <w:rFonts w:ascii="宋体"/>
          <w:color w:val="000000"/>
          <w:sz w:val="24"/>
        </w:rPr>
      </w:pPr>
      <w:r>
        <w:rPr>
          <w:rFonts w:hint="eastAsia" w:ascii="宋体"/>
          <w:color w:val="000000"/>
          <w:sz w:val="24"/>
        </w:rPr>
        <w:t>16.2本合同双方在未取得对方事先书面同意的前提下，均不得将各自本合同项下的任何权利或义务转让给第三方。</w:t>
      </w:r>
    </w:p>
    <w:p w14:paraId="0A29D28E">
      <w:pPr>
        <w:tabs>
          <w:tab w:val="left" w:pos="851"/>
        </w:tabs>
        <w:rPr>
          <w:rFonts w:ascii="宋体"/>
          <w:color w:val="000000"/>
          <w:sz w:val="24"/>
        </w:rPr>
      </w:pPr>
      <w:r>
        <w:rPr>
          <w:rFonts w:hint="eastAsia" w:ascii="宋体"/>
          <w:color w:val="000000"/>
          <w:sz w:val="24"/>
        </w:rPr>
        <w:t>16.3本合同之未尽事宜双方协商解决，对本合同及其附件的内容进行变更，必须经双方协商一致并签订补充协议。</w:t>
      </w:r>
    </w:p>
    <w:p w14:paraId="233EAB1A">
      <w:pPr>
        <w:tabs>
          <w:tab w:val="left" w:pos="851"/>
        </w:tabs>
        <w:rPr>
          <w:rFonts w:ascii="宋体"/>
          <w:color w:val="000000"/>
          <w:sz w:val="24"/>
        </w:rPr>
      </w:pPr>
      <w:r>
        <w:rPr>
          <w:rFonts w:hint="eastAsia" w:ascii="宋体"/>
          <w:color w:val="000000"/>
          <w:sz w:val="24"/>
        </w:rPr>
        <w:t>16.4本合同一式  肆  份，甲、乙双方各  贰  份，具有同等法律效力。</w:t>
      </w:r>
    </w:p>
    <w:p w14:paraId="36B2F50D">
      <w:pPr>
        <w:tabs>
          <w:tab w:val="left" w:pos="851"/>
        </w:tabs>
        <w:rPr>
          <w:rFonts w:ascii="宋体"/>
          <w:color w:val="000000"/>
          <w:sz w:val="24"/>
        </w:rPr>
      </w:pPr>
      <w:r>
        <w:rPr>
          <w:rFonts w:hint="eastAsia" w:ascii="宋体"/>
          <w:color w:val="000000"/>
          <w:sz w:val="24"/>
        </w:rPr>
        <w:t>16.5本合同传真件和复印件无效。</w:t>
      </w:r>
    </w:p>
    <w:p w14:paraId="01EDE875">
      <w:pPr>
        <w:tabs>
          <w:tab w:val="left" w:pos="851"/>
        </w:tabs>
        <w:rPr>
          <w:rFonts w:ascii="宋体"/>
          <w:color w:val="000000"/>
          <w:sz w:val="24"/>
        </w:rPr>
      </w:pPr>
      <w:r>
        <w:rPr>
          <w:rFonts w:hint="eastAsia" w:ascii="宋体"/>
          <w:color w:val="000000"/>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35FDFB56">
      <w:pPr>
        <w:rPr>
          <w:rFonts w:ascii="宋体"/>
          <w:b/>
          <w:color w:val="000000"/>
          <w:sz w:val="24"/>
        </w:rPr>
      </w:pPr>
      <w:r>
        <w:rPr>
          <w:rFonts w:hint="eastAsia" w:ascii="宋体"/>
          <w:b/>
          <w:color w:val="000000"/>
          <w:sz w:val="24"/>
        </w:rPr>
        <w:t>（以下无正文）</w:t>
      </w:r>
    </w:p>
    <w:p w14:paraId="206DC4B6">
      <w:pPr>
        <w:rPr>
          <w:rFonts w:ascii="宋体"/>
          <w:b/>
          <w:color w:val="000000"/>
          <w:sz w:val="24"/>
        </w:rPr>
      </w:pPr>
    </w:p>
    <w:p w14:paraId="58C573E9">
      <w:pPr>
        <w:ind w:left="4920" w:hanging="4939" w:hangingChars="2050"/>
        <w:rPr>
          <w:rFonts w:ascii="宋体"/>
          <w:b/>
          <w:color w:val="000000"/>
          <w:sz w:val="24"/>
        </w:rPr>
      </w:pPr>
    </w:p>
    <w:p w14:paraId="3979CAC6">
      <w:pPr>
        <w:ind w:left="4920" w:hanging="4939" w:hangingChars="2050"/>
        <w:rPr>
          <w:rFonts w:ascii="宋体"/>
          <w:b/>
          <w:color w:val="000000"/>
          <w:sz w:val="24"/>
        </w:rPr>
      </w:pPr>
    </w:p>
    <w:p w14:paraId="576254CD">
      <w:pPr>
        <w:ind w:left="4920" w:hanging="4939" w:hangingChars="2050"/>
        <w:rPr>
          <w:rFonts w:ascii="宋体"/>
          <w:b/>
          <w:color w:val="000000"/>
          <w:sz w:val="24"/>
        </w:rPr>
      </w:pPr>
    </w:p>
    <w:p w14:paraId="55AAB0C2">
      <w:pPr>
        <w:ind w:left="4920" w:hanging="4939" w:hangingChars="2050"/>
        <w:rPr>
          <w:rFonts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6E5D0434">
      <w:pPr>
        <w:rPr>
          <w:rFonts w:ascii="宋体"/>
          <w:b/>
          <w:color w:val="000000"/>
          <w:sz w:val="24"/>
        </w:rPr>
      </w:pPr>
    </w:p>
    <w:p w14:paraId="0A1A3574">
      <w:pPr>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011A0F29">
      <w:pPr>
        <w:rPr>
          <w:rFonts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1276DBF1">
      <w:pPr>
        <w:jc w:val="right"/>
        <w:rPr>
          <w:rFonts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0E16D98A">
      <w:pPr>
        <w:rPr>
          <w:rFonts w:ascii="宋体"/>
          <w:b/>
          <w:color w:val="000000"/>
          <w:sz w:val="24"/>
        </w:rPr>
      </w:pPr>
    </w:p>
    <w:p w14:paraId="56688F6E">
      <w:pPr>
        <w:rPr>
          <w:rFonts w:ascii="宋体"/>
          <w:b/>
          <w:color w:val="000000"/>
          <w:sz w:val="24"/>
        </w:rPr>
      </w:pPr>
    </w:p>
    <w:p w14:paraId="60785308">
      <w:pPr>
        <w:rPr>
          <w:rFonts w:ascii="宋体"/>
          <w:b/>
          <w:color w:val="000000"/>
          <w:sz w:val="24"/>
        </w:rPr>
      </w:pPr>
    </w:p>
    <w:p w14:paraId="6C2ECD62">
      <w:pPr>
        <w:rPr>
          <w:rFonts w:ascii="宋体"/>
          <w:b/>
          <w:color w:val="000000"/>
          <w:sz w:val="24"/>
        </w:rPr>
      </w:pPr>
    </w:p>
    <w:p w14:paraId="01CC8189">
      <w:pPr>
        <w:rPr>
          <w:rFonts w:ascii="宋体"/>
          <w:b/>
          <w:color w:val="000000"/>
          <w:sz w:val="24"/>
        </w:rPr>
      </w:pPr>
    </w:p>
    <w:p w14:paraId="0E39C1A8">
      <w:pPr>
        <w:rPr>
          <w:rFonts w:ascii="宋体"/>
          <w:b/>
          <w:color w:val="000000"/>
          <w:sz w:val="24"/>
        </w:rPr>
      </w:pPr>
    </w:p>
    <w:p w14:paraId="6003A225">
      <w:pPr>
        <w:rPr>
          <w:rFonts w:ascii="宋体"/>
          <w:b/>
          <w:color w:val="000000"/>
          <w:sz w:val="24"/>
        </w:rPr>
      </w:pPr>
    </w:p>
    <w:p w14:paraId="311EE146">
      <w:pPr>
        <w:rPr>
          <w:rFonts w:ascii="宋体"/>
          <w:b/>
          <w:color w:val="000000"/>
          <w:sz w:val="24"/>
        </w:rPr>
      </w:pPr>
    </w:p>
    <w:p w14:paraId="4CFB0BC5">
      <w:pPr>
        <w:rPr>
          <w:rFonts w:ascii="宋体"/>
          <w:b/>
          <w:color w:val="000000"/>
          <w:sz w:val="24"/>
        </w:rPr>
      </w:pPr>
    </w:p>
    <w:p w14:paraId="4228229A">
      <w:pPr>
        <w:rPr>
          <w:rFonts w:ascii="宋体"/>
          <w:b/>
          <w:color w:val="000000"/>
          <w:sz w:val="24"/>
        </w:rPr>
      </w:pPr>
    </w:p>
    <w:p w14:paraId="16B19110">
      <w:pPr>
        <w:rPr>
          <w:rFonts w:ascii="宋体"/>
          <w:b/>
          <w:color w:val="000000"/>
          <w:sz w:val="24"/>
        </w:rPr>
      </w:pPr>
    </w:p>
    <w:p w14:paraId="201A27FD">
      <w:pPr>
        <w:rPr>
          <w:rFonts w:ascii="宋体"/>
          <w:b/>
          <w:color w:val="000000"/>
          <w:sz w:val="24"/>
        </w:rPr>
      </w:pPr>
    </w:p>
    <w:p w14:paraId="17970BC2">
      <w:pPr>
        <w:rPr>
          <w:rFonts w:ascii="宋体"/>
          <w:b/>
          <w:color w:val="000000"/>
          <w:sz w:val="24"/>
        </w:rPr>
      </w:pPr>
    </w:p>
    <w:p w14:paraId="00E4E881">
      <w:pPr>
        <w:rPr>
          <w:rFonts w:ascii="宋体"/>
          <w:b/>
          <w:color w:val="000000"/>
          <w:sz w:val="24"/>
        </w:rPr>
      </w:pPr>
    </w:p>
    <w:p w14:paraId="6729F433">
      <w:pPr>
        <w:rPr>
          <w:rFonts w:ascii="宋体"/>
          <w:b/>
          <w:color w:val="000000"/>
          <w:sz w:val="24"/>
        </w:rPr>
      </w:pPr>
    </w:p>
    <w:p w14:paraId="4569A820">
      <w:pPr>
        <w:rPr>
          <w:rFonts w:ascii="宋体"/>
          <w:b/>
          <w:color w:val="000000"/>
          <w:sz w:val="24"/>
        </w:rPr>
      </w:pPr>
    </w:p>
    <w:p w14:paraId="46045C97">
      <w:pPr>
        <w:rPr>
          <w:rFonts w:ascii="宋体"/>
          <w:b/>
          <w:color w:val="000000"/>
          <w:sz w:val="24"/>
        </w:rPr>
      </w:pPr>
    </w:p>
    <w:p w14:paraId="062B519B">
      <w:pPr>
        <w:rPr>
          <w:rFonts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22"/>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1B00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1352D6B1">
            <w:pPr>
              <w:widowControl/>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2D06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16D50F">
            <w:pPr>
              <w:jc w:val="center"/>
              <w:rPr>
                <w:rFonts w:ascii="宋体"/>
                <w:sz w:val="24"/>
              </w:rPr>
            </w:pPr>
            <w:r>
              <w:rPr>
                <w:rFonts w:hint="eastAsia" w:ascii="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3955D5C">
            <w:pPr>
              <w:jc w:val="center"/>
              <w:rPr>
                <w:rFonts w:ascii="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BFD3AA">
            <w:pPr>
              <w:jc w:val="center"/>
              <w:rPr>
                <w:rFonts w:ascii="宋体"/>
                <w:sz w:val="24"/>
              </w:rPr>
            </w:pPr>
            <w:r>
              <w:rPr>
                <w:rFonts w:hint="eastAsia" w:ascii="宋体"/>
                <w:sz w:val="24"/>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83D0F3">
            <w:pPr>
              <w:jc w:val="center"/>
              <w:rPr>
                <w:rFonts w:ascii="宋体"/>
                <w:sz w:val="24"/>
              </w:rPr>
            </w:pPr>
          </w:p>
        </w:tc>
      </w:tr>
      <w:tr w14:paraId="7287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3B0669">
            <w:pPr>
              <w:rPr>
                <w:rFonts w:ascii="宋体"/>
                <w:sz w:val="24"/>
              </w:rPr>
            </w:pPr>
            <w:r>
              <w:rPr>
                <w:rFonts w:hint="eastAsia" w:ascii="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B3D36D">
            <w:pPr>
              <w:ind w:left="15"/>
              <w:rPr>
                <w:rFonts w:ascii="宋体"/>
                <w:sz w:val="24"/>
              </w:rPr>
            </w:pPr>
            <w:r>
              <w:rPr>
                <w:rFonts w:hint="eastAsia" w:ascii="宋体" w:cs="宋体"/>
                <w:color w:val="000000"/>
                <w:kern w:val="0"/>
                <w:sz w:val="22"/>
                <w:szCs w:val="22"/>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D851179">
            <w:pPr>
              <w:jc w:val="center"/>
              <w:rPr>
                <w:rFonts w:ascii="宋体"/>
                <w:sz w:val="24"/>
              </w:rPr>
            </w:pPr>
            <w:r>
              <w:rPr>
                <w:rFonts w:hint="eastAsia" w:ascii="宋体" w:cs="宋体"/>
                <w:color w:val="000000"/>
                <w:kern w:val="0"/>
                <w:sz w:val="22"/>
                <w:szCs w:val="22"/>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E36D2E4">
            <w:pPr>
              <w:ind w:firstLine="0" w:firstLineChars="0"/>
              <w:rPr>
                <w:rFonts w:ascii="宋体"/>
                <w:sz w:val="24"/>
              </w:rPr>
            </w:pPr>
            <w:r>
              <w:rPr>
                <w:rFonts w:hint="eastAsia" w:ascii="宋体" w:cs="宋体"/>
                <w:color w:val="000000"/>
                <w:kern w:val="0"/>
                <w:sz w:val="22"/>
                <w:szCs w:val="22"/>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6AF892">
            <w:pPr>
              <w:ind w:firstLine="0" w:firstLineChars="0"/>
              <w:rPr>
                <w:rFonts w:ascii="宋体"/>
                <w:sz w:val="24"/>
              </w:rPr>
            </w:pPr>
            <w:r>
              <w:rPr>
                <w:rFonts w:hint="eastAsia" w:ascii="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BAF7FE7">
            <w:pPr>
              <w:jc w:val="center"/>
              <w:rPr>
                <w:rFonts w:ascii="宋体" w:cs="宋体"/>
                <w:color w:val="000000"/>
                <w:kern w:val="0"/>
                <w:sz w:val="22"/>
                <w:szCs w:val="22"/>
              </w:rPr>
            </w:pPr>
            <w:r>
              <w:rPr>
                <w:rFonts w:hint="eastAsia" w:ascii="宋体" w:cs="宋体"/>
                <w:color w:val="000000"/>
                <w:kern w:val="0"/>
                <w:sz w:val="22"/>
                <w:szCs w:val="22"/>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332756D">
            <w:pPr>
              <w:jc w:val="center"/>
              <w:rPr>
                <w:rFonts w:ascii="宋体" w:cs="宋体"/>
                <w:color w:val="000000"/>
                <w:kern w:val="0"/>
                <w:sz w:val="22"/>
                <w:szCs w:val="22"/>
              </w:rPr>
            </w:pPr>
            <w:r>
              <w:rPr>
                <w:rFonts w:hint="eastAsia" w:ascii="宋体" w:cs="宋体"/>
                <w:color w:val="000000"/>
                <w:kern w:val="0"/>
                <w:sz w:val="22"/>
                <w:szCs w:val="22"/>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0733C7">
            <w:pPr>
              <w:rPr>
                <w:rFonts w:ascii="宋体"/>
                <w:sz w:val="24"/>
              </w:rPr>
            </w:pPr>
            <w:r>
              <w:rPr>
                <w:rFonts w:hint="eastAsia" w:ascii="宋体" w:cs="宋体"/>
                <w:color w:val="000000"/>
                <w:kern w:val="0"/>
                <w:sz w:val="22"/>
                <w:szCs w:val="22"/>
              </w:rPr>
              <w:t>检验结果</w:t>
            </w:r>
          </w:p>
        </w:tc>
      </w:tr>
      <w:tr w14:paraId="51A8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6C0707">
            <w:pPr>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826D16">
            <w:pPr>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063B7EC">
            <w:pPr>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9656D07">
            <w:pPr>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8B51AD">
            <w:pPr>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A65D655">
            <w:pPr>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1EF04D4">
            <w:pPr>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C7ED87">
            <w:pPr>
              <w:rPr>
                <w:rFonts w:ascii="宋体"/>
                <w:sz w:val="24"/>
              </w:rPr>
            </w:pPr>
          </w:p>
        </w:tc>
      </w:tr>
      <w:tr w14:paraId="2FC1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95D7CD">
            <w:pPr>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6402AC">
            <w:pPr>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68CB936">
            <w:pPr>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8CAE91D">
            <w:pPr>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36A290">
            <w:pPr>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9E1A3FF">
            <w:pPr>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4DBCC4E">
            <w:pPr>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4A54AD">
            <w:pPr>
              <w:rPr>
                <w:rFonts w:ascii="宋体"/>
                <w:sz w:val="24"/>
              </w:rPr>
            </w:pPr>
          </w:p>
        </w:tc>
      </w:tr>
      <w:tr w14:paraId="0B0C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D6D0B6">
            <w:pPr>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1CDC5A">
            <w:pPr>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5A64AAD1">
            <w:pPr>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B3A87BD">
            <w:pPr>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B8FF93">
            <w:pPr>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7989C36">
            <w:pPr>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7C1B1CD">
            <w:pPr>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F56EF0">
            <w:pPr>
              <w:rPr>
                <w:rFonts w:ascii="宋体"/>
                <w:sz w:val="24"/>
              </w:rPr>
            </w:pPr>
          </w:p>
        </w:tc>
      </w:tr>
      <w:tr w14:paraId="2685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2AE2D875">
            <w:pPr>
              <w:widowControl/>
              <w:spacing w:before="156" w:beforeLines="50"/>
              <w:jc w:val="left"/>
              <w:rPr>
                <w:rFonts w:ascii="宋体"/>
                <w:sz w:val="24"/>
              </w:rPr>
            </w:pPr>
            <w:r>
              <w:rPr>
                <w:rFonts w:hint="eastAsia" w:ascii="宋体"/>
                <w:sz w:val="24"/>
              </w:rPr>
              <w:t>签收说明：我单位已收到货物，型号无误、数量齐全、加电测试通过，可进行签收。</w:t>
            </w:r>
          </w:p>
        </w:tc>
      </w:tr>
      <w:tr w14:paraId="251B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2FD78584">
            <w:pPr>
              <w:spacing w:line="400" w:lineRule="exact"/>
              <w:rPr>
                <w:rFonts w:ascii="宋体"/>
                <w:sz w:val="24"/>
              </w:rPr>
            </w:pPr>
            <w:r>
              <w:rPr>
                <w:rFonts w:hint="eastAsia" w:ascii="宋体"/>
                <w:sz w:val="24"/>
              </w:rPr>
              <w:t>签收人：</w:t>
            </w:r>
          </w:p>
          <w:p w14:paraId="45F213C9">
            <w:pPr>
              <w:spacing w:line="400" w:lineRule="exact"/>
              <w:rPr>
                <w:rFonts w:ascii="宋体"/>
                <w:sz w:val="24"/>
              </w:rPr>
            </w:pPr>
          </w:p>
          <w:p w14:paraId="5D77B9AB">
            <w:pPr>
              <w:spacing w:line="400" w:lineRule="exact"/>
              <w:rPr>
                <w:rFonts w:ascii="宋体"/>
                <w:sz w:val="24"/>
              </w:rPr>
            </w:pPr>
          </w:p>
          <w:p w14:paraId="786553BB">
            <w:pPr>
              <w:spacing w:line="400" w:lineRule="exact"/>
              <w:rPr>
                <w:rFonts w:ascii="宋体"/>
                <w:sz w:val="24"/>
              </w:rPr>
            </w:pPr>
          </w:p>
          <w:p w14:paraId="6F1BE260">
            <w:pPr>
              <w:spacing w:line="400" w:lineRule="exact"/>
              <w:ind w:right="600" w:firstLine="2280" w:firstLineChars="950"/>
              <w:rPr>
                <w:rFonts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6A068B6B">
            <w:pPr>
              <w:widowControl/>
              <w:spacing w:before="156" w:beforeLines="50"/>
              <w:jc w:val="left"/>
              <w:rPr>
                <w:rFonts w:ascii="宋体"/>
                <w:sz w:val="24"/>
              </w:rPr>
            </w:pPr>
            <w:r>
              <w:rPr>
                <w:rFonts w:hint="eastAsia" w:ascii="宋体"/>
                <w:sz w:val="24"/>
              </w:rPr>
              <w:t>复核人：</w:t>
            </w:r>
          </w:p>
          <w:p w14:paraId="4B7358D6">
            <w:pPr>
              <w:widowControl/>
              <w:jc w:val="left"/>
              <w:rPr>
                <w:rFonts w:ascii="宋体"/>
                <w:sz w:val="24"/>
              </w:rPr>
            </w:pPr>
          </w:p>
          <w:p w14:paraId="23FCC60A">
            <w:pPr>
              <w:widowControl/>
              <w:jc w:val="left"/>
              <w:rPr>
                <w:rFonts w:ascii="宋体"/>
                <w:sz w:val="24"/>
              </w:rPr>
            </w:pPr>
          </w:p>
          <w:p w14:paraId="39AAC84E">
            <w:pPr>
              <w:widowControl/>
              <w:jc w:val="left"/>
              <w:rPr>
                <w:rFonts w:ascii="宋体"/>
                <w:sz w:val="24"/>
              </w:rPr>
            </w:pPr>
          </w:p>
          <w:p w14:paraId="15A5CC3B">
            <w:pPr>
              <w:spacing w:line="400" w:lineRule="exact"/>
              <w:ind w:right="600"/>
              <w:rPr>
                <w:rFonts w:ascii="宋体"/>
                <w:sz w:val="24"/>
              </w:rPr>
            </w:pPr>
            <w:r>
              <w:rPr>
                <w:rFonts w:hint="eastAsia" w:ascii="宋体"/>
                <w:sz w:val="24"/>
              </w:rPr>
              <w:t xml:space="preserve">                      年  月  日</w:t>
            </w:r>
          </w:p>
        </w:tc>
      </w:tr>
    </w:tbl>
    <w:p w14:paraId="449997E7">
      <w:pPr>
        <w:tabs>
          <w:tab w:val="left" w:pos="2505"/>
        </w:tabs>
        <w:rPr>
          <w:rFonts w:ascii="宋体"/>
          <w:sz w:val="24"/>
        </w:rPr>
      </w:pPr>
    </w:p>
    <w:p w14:paraId="36754C34">
      <w:pPr>
        <w:rPr>
          <w:rFonts w:ascii="宋体"/>
          <w:sz w:val="24"/>
        </w:rPr>
      </w:pPr>
      <w:r>
        <w:rPr>
          <w:rFonts w:hint="eastAsia" w:ascii="宋体"/>
          <w:sz w:val="24"/>
        </w:rPr>
        <w:br w:type="page"/>
      </w:r>
      <w:r>
        <w:rPr>
          <w:rFonts w:hint="eastAsia" w:ascii="宋体"/>
          <w:b/>
          <w:color w:val="000000"/>
          <w:sz w:val="24"/>
        </w:rPr>
        <w:t>附件2  最终验收表</w:t>
      </w:r>
    </w:p>
    <w:tbl>
      <w:tblPr>
        <w:tblStyle w:val="22"/>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7A29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2A23988A">
            <w:pPr>
              <w:widowControl/>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39BD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3B0DA2">
            <w:pPr>
              <w:ind w:firstLine="0" w:firstLineChars="0"/>
              <w:rPr>
                <w:rFonts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5DC5F35">
            <w:pPr>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2295E367">
            <w:pPr>
              <w:ind w:firstLine="0" w:firstLineChars="0"/>
              <w:rPr>
                <w:rFonts w:ascii="宋体"/>
                <w:sz w:val="24"/>
              </w:rPr>
            </w:pPr>
            <w:r>
              <w:rPr>
                <w:rFonts w:hint="eastAsia" w:ascii="宋体"/>
                <w:sz w:val="24"/>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159A72">
            <w:pPr>
              <w:jc w:val="center"/>
              <w:rPr>
                <w:rFonts w:ascii="宋体"/>
                <w:sz w:val="24"/>
              </w:rPr>
            </w:pPr>
          </w:p>
        </w:tc>
      </w:tr>
      <w:tr w14:paraId="54C2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EB3C7F">
            <w:pPr>
              <w:ind w:firstLine="0" w:firstLineChars="0"/>
              <w:rPr>
                <w:rFonts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42AF4B">
            <w:pPr>
              <w:jc w:val="center"/>
              <w:rPr>
                <w:rFonts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964DB94">
            <w:pPr>
              <w:jc w:val="center"/>
              <w:rPr>
                <w:rFonts w:ascii="宋体"/>
                <w:sz w:val="24"/>
              </w:rPr>
            </w:pPr>
            <w:r>
              <w:rPr>
                <w:rFonts w:hint="eastAsia" w:ascii="宋体"/>
                <w:sz w:val="24"/>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03AB6CF">
            <w:pPr>
              <w:jc w:val="center"/>
              <w:rPr>
                <w:rFonts w:ascii="宋体"/>
                <w:sz w:val="24"/>
              </w:rPr>
            </w:pPr>
          </w:p>
        </w:tc>
      </w:tr>
      <w:tr w14:paraId="6570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91BCBA7">
            <w:pPr>
              <w:ind w:firstLine="0" w:firstLineChars="0"/>
              <w:rPr>
                <w:rFonts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6199755">
            <w:pPr>
              <w:rPr>
                <w:rFonts w:ascii="宋体"/>
                <w:sz w:val="24"/>
              </w:rPr>
            </w:pPr>
            <w:r>
              <w:rPr>
                <w:rFonts w:hint="eastAsia" w:ascii="宋体" w:cs="宋体"/>
                <w:color w:val="000000"/>
                <w:kern w:val="0"/>
                <w:sz w:val="22"/>
                <w:szCs w:val="22"/>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D8E172">
            <w:pPr>
              <w:rPr>
                <w:rFonts w:ascii="宋体"/>
                <w:sz w:val="24"/>
              </w:rPr>
            </w:pPr>
            <w:r>
              <w:rPr>
                <w:rFonts w:hint="eastAsia" w:ascii="宋体" w:cs="宋体"/>
                <w:color w:val="000000"/>
                <w:kern w:val="0"/>
                <w:sz w:val="22"/>
                <w:szCs w:val="22"/>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2CAC549">
            <w:pPr>
              <w:ind w:firstLine="0" w:firstLineChars="0"/>
              <w:rPr>
                <w:rFonts w:ascii="宋体"/>
                <w:sz w:val="24"/>
              </w:rPr>
            </w:pPr>
            <w:r>
              <w:rPr>
                <w:rFonts w:hint="eastAsia" w:ascii="宋体" w:cs="宋体"/>
                <w:color w:val="000000"/>
                <w:kern w:val="0"/>
                <w:sz w:val="22"/>
                <w:szCs w:val="22"/>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714C3F">
            <w:pPr>
              <w:jc w:val="center"/>
              <w:rPr>
                <w:rFonts w:ascii="宋体" w:cs="宋体"/>
                <w:color w:val="000000"/>
                <w:kern w:val="0"/>
                <w:sz w:val="22"/>
                <w:szCs w:val="22"/>
              </w:rPr>
            </w:pPr>
            <w:r>
              <w:rPr>
                <w:rFonts w:hint="eastAsia" w:ascii="宋体" w:cs="宋体"/>
                <w:color w:val="000000"/>
                <w:kern w:val="0"/>
                <w:sz w:val="22"/>
                <w:szCs w:val="22"/>
              </w:rPr>
              <w:t>生产厂商服务</w:t>
            </w:r>
          </w:p>
          <w:p w14:paraId="27383AB1">
            <w:pPr>
              <w:jc w:val="center"/>
              <w:rPr>
                <w:rFonts w:ascii="宋体"/>
                <w:sz w:val="24"/>
              </w:rPr>
            </w:pPr>
            <w:r>
              <w:rPr>
                <w:rFonts w:hint="eastAsia" w:ascii="宋体" w:cs="宋体"/>
                <w:color w:val="000000"/>
                <w:kern w:val="0"/>
                <w:sz w:val="22"/>
                <w:szCs w:val="22"/>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80EB60">
            <w:pPr>
              <w:ind w:firstLine="0" w:firstLineChars="0"/>
              <w:rPr>
                <w:rFonts w:ascii="宋体"/>
                <w:sz w:val="24"/>
              </w:rPr>
            </w:pPr>
            <w:r>
              <w:rPr>
                <w:rFonts w:hint="eastAsia" w:ascii="宋体" w:cs="宋体"/>
                <w:color w:val="000000"/>
                <w:kern w:val="0"/>
                <w:sz w:val="22"/>
                <w:szCs w:val="22"/>
              </w:rPr>
              <w:t>运行情况</w:t>
            </w:r>
          </w:p>
        </w:tc>
      </w:tr>
      <w:tr w14:paraId="45C0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A36CD61"/>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1355396">
            <w:pPr>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8667F5">
            <w:pPr>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D8790A8">
            <w:pPr>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331EEA">
            <w:pPr>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2A2FE6">
            <w:pPr>
              <w:rPr>
                <w:rFonts w:ascii="宋体"/>
                <w:sz w:val="24"/>
              </w:rPr>
            </w:pPr>
          </w:p>
        </w:tc>
      </w:tr>
      <w:tr w14:paraId="3073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A974471"/>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524506E">
            <w:pPr>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6C9ED4">
            <w:pPr>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0A8CF04">
            <w:pPr>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6B9ED4">
            <w:pPr>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B882F8">
            <w:pPr>
              <w:rPr>
                <w:rFonts w:ascii="宋体"/>
                <w:sz w:val="24"/>
              </w:rPr>
            </w:pPr>
          </w:p>
        </w:tc>
      </w:tr>
      <w:tr w14:paraId="758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FC1AABB"/>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74D5E8F">
            <w:pPr>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BCC504">
            <w:pPr>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76FD815">
            <w:pPr>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08C2F6">
            <w:pPr>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EDB4F4">
            <w:pPr>
              <w:rPr>
                <w:rFonts w:ascii="宋体"/>
                <w:sz w:val="24"/>
              </w:rPr>
            </w:pPr>
          </w:p>
        </w:tc>
      </w:tr>
      <w:tr w14:paraId="1B9E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9E8EC9">
            <w:pPr>
              <w:ind w:firstLine="0" w:firstLineChars="0"/>
              <w:rPr>
                <w:rFonts w:ascii="宋体"/>
                <w:sz w:val="24"/>
              </w:rPr>
            </w:pPr>
            <w:r>
              <w:rPr>
                <w:rFonts w:hint="eastAsia" w:ascii="宋体"/>
                <w:sz w:val="24"/>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78381C1B">
            <w:pPr>
              <w:rPr>
                <w:rFonts w:ascii="宋体"/>
                <w:sz w:val="24"/>
              </w:rPr>
            </w:pPr>
            <w:r>
              <w:rPr>
                <w:rFonts w:hint="eastAsia" w:ascii="宋体"/>
                <w:sz w:val="24"/>
              </w:rPr>
              <w:t>（可另附验收情况报告）</w:t>
            </w:r>
          </w:p>
        </w:tc>
      </w:tr>
      <w:tr w14:paraId="0E96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78DC8E64">
            <w:pPr>
              <w:spacing w:line="400" w:lineRule="exact"/>
              <w:rPr>
                <w:rFonts w:ascii="宋体"/>
                <w:sz w:val="24"/>
              </w:rPr>
            </w:pPr>
            <w:r>
              <w:rPr>
                <w:rFonts w:hint="eastAsia" w:ascii="宋体"/>
                <w:sz w:val="24"/>
              </w:rPr>
              <w:t>参验人员：</w:t>
            </w:r>
          </w:p>
          <w:p w14:paraId="74F0E26D">
            <w:pPr>
              <w:spacing w:line="400" w:lineRule="exact"/>
              <w:rPr>
                <w:rFonts w:ascii="宋体"/>
                <w:sz w:val="24"/>
              </w:rPr>
            </w:pPr>
          </w:p>
          <w:p w14:paraId="10C220F1">
            <w:pPr>
              <w:spacing w:line="400" w:lineRule="exact"/>
              <w:rPr>
                <w:rFonts w:ascii="宋体"/>
                <w:sz w:val="24"/>
              </w:rPr>
            </w:pPr>
          </w:p>
          <w:p w14:paraId="2F46D645">
            <w:pPr>
              <w:spacing w:line="400" w:lineRule="exact"/>
              <w:rPr>
                <w:rFonts w:ascii="宋体"/>
                <w:sz w:val="24"/>
              </w:rPr>
            </w:pPr>
          </w:p>
          <w:p w14:paraId="25D89898">
            <w:pPr>
              <w:spacing w:line="400" w:lineRule="exact"/>
              <w:ind w:right="600" w:firstLine="2520" w:firstLineChars="1050"/>
              <w:rPr>
                <w:rFonts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7CE96252">
            <w:pPr>
              <w:widowControl/>
              <w:spacing w:before="156" w:beforeLines="50"/>
              <w:jc w:val="left"/>
              <w:rPr>
                <w:rFonts w:ascii="宋体"/>
                <w:sz w:val="24"/>
              </w:rPr>
            </w:pPr>
            <w:r>
              <w:rPr>
                <w:rFonts w:hint="eastAsia" w:ascii="宋体"/>
                <w:sz w:val="24"/>
              </w:rPr>
              <w:t>部门负责人：</w:t>
            </w:r>
          </w:p>
          <w:p w14:paraId="075EBABC">
            <w:pPr>
              <w:widowControl/>
              <w:jc w:val="left"/>
              <w:rPr>
                <w:rFonts w:ascii="宋体"/>
                <w:sz w:val="24"/>
              </w:rPr>
            </w:pPr>
          </w:p>
          <w:p w14:paraId="58494C38">
            <w:pPr>
              <w:widowControl/>
              <w:jc w:val="left"/>
              <w:rPr>
                <w:rFonts w:ascii="宋体"/>
                <w:sz w:val="24"/>
              </w:rPr>
            </w:pPr>
          </w:p>
          <w:p w14:paraId="5E58D574">
            <w:pPr>
              <w:widowControl/>
              <w:jc w:val="left"/>
              <w:rPr>
                <w:rFonts w:ascii="宋体"/>
                <w:sz w:val="24"/>
              </w:rPr>
            </w:pPr>
          </w:p>
          <w:p w14:paraId="444E30C8">
            <w:pPr>
              <w:spacing w:line="400" w:lineRule="exact"/>
              <w:ind w:right="600"/>
              <w:rPr>
                <w:rFonts w:ascii="宋体"/>
                <w:sz w:val="24"/>
              </w:rPr>
            </w:pPr>
            <w:r>
              <w:rPr>
                <w:rFonts w:hint="eastAsia" w:ascii="宋体"/>
                <w:sz w:val="24"/>
              </w:rPr>
              <w:t xml:space="preserve">                      年  月  日</w:t>
            </w:r>
          </w:p>
        </w:tc>
      </w:tr>
    </w:tbl>
    <w:p w14:paraId="6E583CE6">
      <w:pPr>
        <w:rPr>
          <w:rFonts w:ascii="宋体"/>
          <w:b/>
          <w:color w:val="000000"/>
          <w:sz w:val="24"/>
        </w:rPr>
      </w:pPr>
      <w:r>
        <w:rPr>
          <w:rFonts w:hint="eastAsia" w:ascii="宋体"/>
          <w:b/>
          <w:color w:val="000000"/>
          <w:sz w:val="24"/>
        </w:rPr>
        <w:t xml:space="preserve"> </w:t>
      </w:r>
    </w:p>
    <w:p w14:paraId="2C597227">
      <w:pPr>
        <w:rPr>
          <w:rFonts w:ascii="宋体"/>
          <w:b/>
          <w:color w:val="000000"/>
          <w:sz w:val="24"/>
        </w:rPr>
      </w:pPr>
      <w:r>
        <w:rPr>
          <w:rFonts w:hint="eastAsia" w:ascii="宋体"/>
          <w:b/>
          <w:color w:val="000000"/>
          <w:sz w:val="24"/>
        </w:rPr>
        <w:br w:type="page"/>
      </w:r>
      <w:r>
        <w:rPr>
          <w:rFonts w:hint="eastAsia" w:ascii="宋体"/>
          <w:b/>
          <w:color w:val="000000"/>
          <w:sz w:val="24"/>
        </w:rPr>
        <w:t>附件3：</w:t>
      </w:r>
    </w:p>
    <w:p w14:paraId="6E888F99">
      <w:pPr>
        <w:jc w:val="center"/>
        <w:rPr>
          <w:rFonts w:ascii="宋体"/>
          <w:b/>
          <w:color w:val="000000"/>
          <w:sz w:val="24"/>
        </w:rPr>
      </w:pPr>
      <w:r>
        <w:rPr>
          <w:rFonts w:hint="eastAsia" w:ascii="宋体"/>
          <w:b/>
          <w:color w:val="000000"/>
          <w:sz w:val="24"/>
        </w:rPr>
        <w:t>维护服务内容</w:t>
      </w:r>
    </w:p>
    <w:p w14:paraId="24B5B86F">
      <w:pPr>
        <w:jc w:val="center"/>
        <w:rPr>
          <w:rFonts w:ascii="宋体"/>
          <w:b/>
          <w:color w:val="FF0000"/>
          <w:sz w:val="24"/>
        </w:rPr>
      </w:pPr>
      <w:r>
        <w:rPr>
          <w:rFonts w:hint="eastAsia" w:ascii="宋体"/>
          <w:b/>
          <w:color w:val="FF0000"/>
          <w:sz w:val="24"/>
        </w:rPr>
        <w:t>（与供应商确认维护服务内容，以及响应要求）</w:t>
      </w:r>
    </w:p>
    <w:p w14:paraId="025BCBCF">
      <w:pPr>
        <w:jc w:val="center"/>
        <w:rPr>
          <w:rFonts w:ascii="宋体"/>
          <w:b/>
          <w:color w:val="FF0000"/>
          <w:sz w:val="24"/>
        </w:rPr>
      </w:pPr>
    </w:p>
    <w:p w14:paraId="0BDFD03D">
      <w:pPr>
        <w:jc w:val="center"/>
        <w:rPr>
          <w:rFonts w:ascii="宋体"/>
          <w:b/>
          <w:color w:val="FF0000"/>
          <w:sz w:val="24"/>
        </w:rPr>
      </w:pPr>
    </w:p>
    <w:p w14:paraId="3654B3E1">
      <w:pPr>
        <w:jc w:val="center"/>
        <w:rPr>
          <w:rFonts w:ascii="宋体"/>
          <w:b/>
          <w:color w:val="FF0000"/>
          <w:sz w:val="24"/>
        </w:rPr>
      </w:pPr>
    </w:p>
    <w:p w14:paraId="4142C30D">
      <w:pPr>
        <w:jc w:val="center"/>
        <w:rPr>
          <w:rFonts w:ascii="宋体"/>
          <w:b/>
          <w:color w:val="FF0000"/>
          <w:sz w:val="24"/>
        </w:rPr>
      </w:pPr>
    </w:p>
    <w:p w14:paraId="79BDF025">
      <w:pPr>
        <w:rPr>
          <w:rFonts w:ascii="宋体"/>
          <w:b/>
          <w:color w:val="000000"/>
          <w:sz w:val="24"/>
        </w:rPr>
      </w:pPr>
    </w:p>
    <w:p w14:paraId="07FB82B6">
      <w:pPr>
        <w:rPr>
          <w:rFonts w:ascii="宋体"/>
          <w:b/>
          <w:color w:val="000000"/>
          <w:sz w:val="24"/>
        </w:rPr>
      </w:pPr>
      <w:r>
        <w:rPr>
          <w:rFonts w:hint="eastAsia" w:ascii="宋体"/>
          <w:b/>
          <w:color w:val="000000"/>
          <w:sz w:val="24"/>
        </w:rPr>
        <w:t>附件4：</w:t>
      </w:r>
    </w:p>
    <w:p w14:paraId="06EBB6F3">
      <w:pPr>
        <w:jc w:val="center"/>
        <w:rPr>
          <w:b/>
          <w:color w:val="000000"/>
          <w:sz w:val="24"/>
        </w:rPr>
      </w:pPr>
      <w:r>
        <w:rPr>
          <w:rFonts w:hint="eastAsia"/>
          <w:b/>
          <w:color w:val="000000"/>
          <w:sz w:val="24"/>
        </w:rPr>
        <w:t>服务连续性预案</w:t>
      </w:r>
    </w:p>
    <w:p w14:paraId="15948895">
      <w:pPr>
        <w:jc w:val="center"/>
        <w:rPr>
          <w:rFonts w:ascii="方正小标宋_GBK" w:eastAsia="方正小标宋_GBK"/>
          <w:color w:val="FF0000"/>
          <w:sz w:val="24"/>
        </w:rPr>
      </w:pPr>
      <w:r>
        <w:rPr>
          <w:rFonts w:hint="eastAsia" w:ascii="方正小标宋_GBK" w:eastAsia="方正小标宋_GBK"/>
          <w:color w:val="FF0000"/>
          <w:sz w:val="24"/>
        </w:rPr>
        <w:t>（应考虑供应链风险产生的影响）</w:t>
      </w:r>
    </w:p>
    <w:p w14:paraId="126B7448">
      <w:pPr>
        <w:jc w:val="center"/>
        <w:rPr>
          <w:rFonts w:ascii="宋体"/>
          <w:b/>
          <w:color w:val="000000"/>
          <w:sz w:val="24"/>
        </w:rPr>
      </w:pPr>
    </w:p>
    <w:p w14:paraId="222498A4">
      <w:pPr>
        <w:ind w:firstLine="0" w:firstLineChars="0"/>
        <w:jc w:val="center"/>
      </w:pPr>
    </w:p>
    <w:p w14:paraId="5FF8A601">
      <w:r>
        <w:rPr>
          <w:rFonts w:hint="eastAsia"/>
        </w:rPr>
        <w:br w:type="page"/>
      </w:r>
    </w:p>
    <w:p w14:paraId="3EBD3562">
      <w:pPr>
        <w:pStyle w:val="2"/>
      </w:pPr>
      <w:bookmarkStart w:id="86" w:name="_Toc7761"/>
      <w:r>
        <w:rPr>
          <w:rFonts w:hint="eastAsia"/>
        </w:rPr>
        <w:t xml:space="preserve">第六章 </w:t>
      </w:r>
      <w:bookmarkEnd w:id="83"/>
      <w:bookmarkEnd w:id="84"/>
      <w:bookmarkStart w:id="87" w:name="_Toc303066035"/>
      <w:r>
        <w:rPr>
          <w:rFonts w:hint="eastAsia"/>
        </w:rPr>
        <w:t>响应文件格式</w:t>
      </w:r>
      <w:bookmarkEnd w:id="86"/>
    </w:p>
    <w:bookmarkEnd w:id="87"/>
    <w:p w14:paraId="608A3A57">
      <w:pPr>
        <w:tabs>
          <w:tab w:val="left" w:pos="6516"/>
        </w:tabs>
        <w:adjustRightInd w:val="0"/>
        <w:snapToGrid w:val="0"/>
        <w:ind w:firstLine="0" w:firstLineChars="0"/>
        <w:jc w:val="center"/>
        <w:rPr>
          <w:rFonts w:hint="eastAsia" w:ascii="宋体" w:hAnsi="宋体"/>
          <w:b/>
          <w:kern w:val="0"/>
          <w:u w:val="single"/>
        </w:rPr>
      </w:pPr>
    </w:p>
    <w:p w14:paraId="6AA8680B">
      <w:pPr>
        <w:tabs>
          <w:tab w:val="left" w:pos="6516"/>
        </w:tabs>
        <w:adjustRightInd w:val="0"/>
        <w:snapToGrid w:val="0"/>
        <w:ind w:firstLine="0" w:firstLineChars="0"/>
        <w:jc w:val="center"/>
        <w:rPr>
          <w:rFonts w:hint="eastAsia" w:ascii="宋体" w:hAnsi="宋体"/>
          <w:b/>
          <w:kern w:val="0"/>
          <w:u w:val="single"/>
        </w:rPr>
      </w:pPr>
    </w:p>
    <w:p w14:paraId="2A8F0A4C">
      <w:pPr>
        <w:tabs>
          <w:tab w:val="left" w:pos="6516"/>
        </w:tabs>
        <w:adjustRightInd w:val="0"/>
        <w:snapToGrid w:val="0"/>
        <w:ind w:firstLine="0" w:firstLineChars="0"/>
        <w:jc w:val="center"/>
        <w:rPr>
          <w:rFonts w:hint="eastAsia" w:ascii="宋体" w:hAnsi="宋体"/>
          <w:b/>
          <w:kern w:val="0"/>
          <w:u w:val="single"/>
        </w:rPr>
      </w:pPr>
    </w:p>
    <w:p w14:paraId="4676C24F">
      <w:pPr>
        <w:pStyle w:val="48"/>
      </w:pPr>
      <w:r>
        <w:t>重庆三峡银行流量监测平台</w:t>
      </w:r>
    </w:p>
    <w:p w14:paraId="37DD03DD"/>
    <w:p w14:paraId="6DBAFDBC"/>
    <w:p w14:paraId="7060DE57"/>
    <w:p w14:paraId="5BA177F2"/>
    <w:p w14:paraId="4274EF8A"/>
    <w:p w14:paraId="33100023"/>
    <w:p w14:paraId="1904AFE2">
      <w:pPr>
        <w:pStyle w:val="49"/>
      </w:pPr>
      <w:r>
        <w:t>响  应  文  件</w:t>
      </w:r>
    </w:p>
    <w:p w14:paraId="537E3F46"/>
    <w:p w14:paraId="0AF0BC73"/>
    <w:p w14:paraId="76952771"/>
    <w:p w14:paraId="2CA40557"/>
    <w:p w14:paraId="6DC0EDA1"/>
    <w:p w14:paraId="153C4C1E"/>
    <w:p w14:paraId="74B27AB9">
      <w:pPr>
        <w:ind w:firstLine="0" w:firstLineChars="0"/>
        <w:jc w:val="center"/>
      </w:pPr>
      <w:r>
        <w:rPr>
          <w:rFonts w:hint="eastAsia"/>
        </w:rPr>
        <w:t>响应人：</w:t>
      </w:r>
      <w:r>
        <w:rPr>
          <w:rFonts w:hint="eastAsia"/>
          <w:u w:val="single"/>
        </w:rPr>
        <w:t xml:space="preserve">                （盖单位公章）</w:t>
      </w:r>
    </w:p>
    <w:p w14:paraId="1AE083D8">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D3C97CC"/>
    <w:p w14:paraId="667B41E5"/>
    <w:p w14:paraId="3FF77542"/>
    <w:p w14:paraId="5B8D35C8">
      <w:pPr>
        <w:sectPr>
          <w:pgSz w:w="11906" w:h="16838"/>
          <w:pgMar w:top="1440" w:right="1800" w:bottom="1440" w:left="1800" w:header="851" w:footer="992" w:gutter="0"/>
          <w:cols w:space="720" w:num="1"/>
          <w:docGrid w:type="lines" w:linePitch="312" w:charSpace="0"/>
        </w:sectPr>
      </w:pPr>
    </w:p>
    <w:p w14:paraId="5167F1E8">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93B39FF">
      <w:pPr>
        <w:widowControl/>
        <w:autoSpaceDE/>
        <w:autoSpaceDN/>
        <w:spacing w:line="240" w:lineRule="auto"/>
        <w:ind w:firstLine="0" w:firstLineChars="0"/>
        <w:jc w:val="left"/>
      </w:pPr>
      <w:r>
        <w:rPr>
          <w:rFonts w:hint="eastAsia"/>
        </w:rPr>
        <w:t>一、响应函</w:t>
      </w:r>
    </w:p>
    <w:p w14:paraId="5F77DFD2">
      <w:pPr>
        <w:widowControl/>
        <w:autoSpaceDE/>
        <w:autoSpaceDN/>
        <w:spacing w:line="240" w:lineRule="auto"/>
        <w:ind w:firstLine="0" w:firstLineChars="0"/>
        <w:jc w:val="left"/>
      </w:pPr>
      <w:r>
        <w:rPr>
          <w:rFonts w:hint="eastAsia"/>
        </w:rPr>
        <w:t>二、报价一览表</w:t>
      </w:r>
    </w:p>
    <w:p w14:paraId="57B9FE3A">
      <w:pPr>
        <w:widowControl/>
        <w:autoSpaceDE/>
        <w:autoSpaceDN/>
        <w:spacing w:line="240" w:lineRule="auto"/>
        <w:ind w:firstLine="0" w:firstLineChars="0"/>
        <w:jc w:val="left"/>
      </w:pPr>
      <w:r>
        <w:rPr>
          <w:rFonts w:hint="eastAsia"/>
        </w:rPr>
        <w:t>三、分项报价明细表</w:t>
      </w:r>
    </w:p>
    <w:p w14:paraId="7F90A71C">
      <w:pPr>
        <w:widowControl/>
        <w:autoSpaceDE/>
        <w:autoSpaceDN/>
        <w:spacing w:line="240" w:lineRule="auto"/>
        <w:ind w:firstLine="0" w:firstLineChars="0"/>
        <w:jc w:val="left"/>
      </w:pPr>
      <w:r>
        <w:rPr>
          <w:rFonts w:hint="eastAsia"/>
        </w:rPr>
        <w:t>四、资格性文件</w:t>
      </w:r>
    </w:p>
    <w:p w14:paraId="589CFFBA">
      <w:pPr>
        <w:widowControl/>
        <w:autoSpaceDE/>
        <w:autoSpaceDN/>
        <w:spacing w:line="240" w:lineRule="auto"/>
        <w:ind w:firstLine="420" w:firstLineChars="0"/>
        <w:jc w:val="left"/>
      </w:pPr>
      <w:r>
        <w:rPr>
          <w:rFonts w:hint="eastAsia"/>
        </w:rPr>
        <w:t>（一）响应人基本情况介绍，资质证明等</w:t>
      </w:r>
    </w:p>
    <w:p w14:paraId="033BAB77">
      <w:pPr>
        <w:widowControl/>
        <w:autoSpaceDE/>
        <w:autoSpaceDN/>
        <w:spacing w:line="240" w:lineRule="auto"/>
        <w:ind w:firstLine="420" w:firstLineChars="0"/>
        <w:jc w:val="left"/>
      </w:pPr>
      <w:r>
        <w:rPr>
          <w:rFonts w:hint="eastAsia"/>
        </w:rPr>
        <w:t>（二）法定代表人身份证明及授权委托书</w:t>
      </w:r>
    </w:p>
    <w:p w14:paraId="640B2865">
      <w:pPr>
        <w:widowControl/>
        <w:autoSpaceDE/>
        <w:autoSpaceDN/>
        <w:spacing w:line="240" w:lineRule="auto"/>
        <w:ind w:firstLine="420" w:firstLineChars="0"/>
        <w:jc w:val="left"/>
      </w:pPr>
      <w:r>
        <w:rPr>
          <w:rFonts w:hint="eastAsia"/>
        </w:rPr>
        <w:t>（三）书面声明</w:t>
      </w:r>
    </w:p>
    <w:p w14:paraId="49D3F6F5">
      <w:pPr>
        <w:widowControl/>
        <w:autoSpaceDE/>
        <w:autoSpaceDN/>
        <w:spacing w:line="240" w:lineRule="auto"/>
        <w:ind w:firstLine="420" w:firstLineChars="0"/>
        <w:jc w:val="left"/>
      </w:pPr>
      <w:r>
        <w:rPr>
          <w:rFonts w:hint="eastAsia"/>
        </w:rPr>
        <w:t>（四）中国执行信息公开网截图</w:t>
      </w:r>
    </w:p>
    <w:p w14:paraId="11DE9C38">
      <w:pPr>
        <w:widowControl/>
        <w:autoSpaceDE/>
        <w:autoSpaceDN/>
        <w:spacing w:line="240" w:lineRule="auto"/>
        <w:ind w:firstLine="420" w:firstLineChars="0"/>
        <w:jc w:val="left"/>
      </w:pPr>
      <w:r>
        <w:rPr>
          <w:rFonts w:hint="eastAsia"/>
        </w:rPr>
        <w:t>（五）项目案例和业绩证明文件复印件</w:t>
      </w:r>
    </w:p>
    <w:p w14:paraId="6F6933B4">
      <w:pPr>
        <w:widowControl/>
        <w:autoSpaceDE/>
        <w:autoSpaceDN/>
        <w:spacing w:line="240" w:lineRule="auto"/>
        <w:ind w:firstLine="420" w:firstLineChars="0"/>
        <w:jc w:val="left"/>
      </w:pPr>
      <w:r>
        <w:rPr>
          <w:rFonts w:hint="eastAsia"/>
        </w:rPr>
        <w:t>（六）原厂响应授权函</w:t>
      </w:r>
    </w:p>
    <w:p w14:paraId="19858B53">
      <w:pPr>
        <w:widowControl/>
        <w:autoSpaceDE/>
        <w:autoSpaceDN/>
        <w:spacing w:line="240" w:lineRule="auto"/>
        <w:ind w:firstLine="420" w:firstLineChars="0"/>
        <w:jc w:val="left"/>
      </w:pPr>
      <w:r>
        <w:rPr>
          <w:rFonts w:hint="eastAsia"/>
        </w:rPr>
        <w:t>（七）售后服务承诺函</w:t>
      </w:r>
    </w:p>
    <w:p w14:paraId="1C27F80F">
      <w:pPr>
        <w:widowControl/>
        <w:autoSpaceDE/>
        <w:autoSpaceDN/>
        <w:spacing w:line="240" w:lineRule="auto"/>
        <w:ind w:firstLine="420" w:firstLineChars="0"/>
        <w:jc w:val="left"/>
      </w:pPr>
      <w:r>
        <w:rPr>
          <w:rFonts w:hint="eastAsia"/>
        </w:rPr>
        <w:t>（八）其他（如有）</w:t>
      </w:r>
    </w:p>
    <w:p w14:paraId="1CB2BF14">
      <w:pPr>
        <w:widowControl/>
        <w:autoSpaceDE/>
        <w:autoSpaceDN/>
        <w:spacing w:line="240" w:lineRule="auto"/>
        <w:ind w:firstLine="0" w:firstLineChars="0"/>
        <w:jc w:val="left"/>
      </w:pPr>
      <w:r>
        <w:rPr>
          <w:rFonts w:hint="eastAsia"/>
        </w:rPr>
        <w:t>四、响应性文件</w:t>
      </w:r>
    </w:p>
    <w:p w14:paraId="21B3063C">
      <w:pPr>
        <w:widowControl/>
        <w:autoSpaceDE/>
        <w:autoSpaceDN/>
        <w:spacing w:line="240" w:lineRule="auto"/>
        <w:ind w:firstLine="420" w:firstLineChars="0"/>
        <w:jc w:val="left"/>
      </w:pPr>
      <w:r>
        <w:rPr>
          <w:rFonts w:hint="eastAsia"/>
        </w:rPr>
        <w:t>（一）响应承诺函</w:t>
      </w:r>
    </w:p>
    <w:p w14:paraId="79B4ABF5">
      <w:pPr>
        <w:widowControl/>
        <w:autoSpaceDE/>
        <w:autoSpaceDN/>
        <w:spacing w:line="240" w:lineRule="auto"/>
        <w:ind w:firstLine="420" w:firstLineChars="0"/>
        <w:jc w:val="left"/>
      </w:pPr>
      <w:r>
        <w:rPr>
          <w:rFonts w:hint="eastAsia"/>
        </w:rPr>
        <w:t>（二）技术条款偏离表</w:t>
      </w:r>
    </w:p>
    <w:p w14:paraId="34F4AFE4">
      <w:pPr>
        <w:widowControl/>
        <w:autoSpaceDE/>
        <w:autoSpaceDN/>
        <w:spacing w:line="240" w:lineRule="auto"/>
        <w:ind w:firstLine="420" w:firstLineChars="0"/>
        <w:jc w:val="left"/>
      </w:pPr>
      <w:r>
        <w:rPr>
          <w:rFonts w:hint="eastAsia"/>
        </w:rPr>
        <w:t>（三）满足参数要求的证明文件</w:t>
      </w:r>
    </w:p>
    <w:p w14:paraId="4CF9F28C">
      <w:pPr>
        <w:widowControl/>
        <w:autoSpaceDE/>
        <w:autoSpaceDN/>
        <w:spacing w:line="240" w:lineRule="auto"/>
        <w:ind w:firstLine="420" w:firstLineChars="0"/>
        <w:jc w:val="left"/>
      </w:pPr>
      <w:r>
        <w:rPr>
          <w:rFonts w:hint="eastAsia"/>
        </w:rPr>
        <w:t>（</w:t>
      </w:r>
      <w:r>
        <w:rPr>
          <w:rFonts w:hint="eastAsia"/>
          <w:lang w:val="en-US" w:eastAsia="zh-CN"/>
        </w:rPr>
        <w:t>四</w:t>
      </w:r>
      <w:r>
        <w:rPr>
          <w:rFonts w:hint="eastAsia"/>
        </w:rPr>
        <w:t>）售后服务方案</w:t>
      </w:r>
    </w:p>
    <w:p w14:paraId="050A17B4">
      <w:pPr>
        <w:widowControl/>
        <w:autoSpaceDE/>
        <w:autoSpaceDN/>
        <w:spacing w:line="240" w:lineRule="auto"/>
        <w:ind w:firstLine="420" w:firstLineChars="0"/>
        <w:jc w:val="left"/>
      </w:pPr>
      <w:r>
        <w:rPr>
          <w:rFonts w:hint="eastAsia"/>
        </w:rPr>
        <w:t>（</w:t>
      </w:r>
      <w:r>
        <w:rPr>
          <w:rFonts w:hint="eastAsia"/>
          <w:lang w:val="en-US" w:eastAsia="zh-CN"/>
        </w:rPr>
        <w:t>五</w:t>
      </w:r>
      <w:r>
        <w:rPr>
          <w:rFonts w:hint="eastAsia"/>
        </w:rPr>
        <w:t>）服务连续性预案</w:t>
      </w:r>
    </w:p>
    <w:p w14:paraId="7130754D">
      <w:pPr>
        <w:widowControl/>
        <w:autoSpaceDE/>
        <w:autoSpaceDN/>
        <w:spacing w:line="240" w:lineRule="auto"/>
        <w:ind w:firstLine="420" w:firstLineChars="0"/>
        <w:jc w:val="left"/>
      </w:pPr>
      <w:r>
        <w:rPr>
          <w:rFonts w:hint="eastAsia"/>
        </w:rPr>
        <w:t>（</w:t>
      </w:r>
      <w:r>
        <w:rPr>
          <w:rFonts w:hint="eastAsia"/>
          <w:lang w:val="en-US" w:eastAsia="zh-CN"/>
        </w:rPr>
        <w:t>六</w:t>
      </w:r>
      <w:r>
        <w:rPr>
          <w:rFonts w:hint="eastAsia"/>
        </w:rPr>
        <w:t>）项目实施方案</w:t>
      </w:r>
    </w:p>
    <w:p w14:paraId="52E1DF31">
      <w:pPr>
        <w:widowControl/>
        <w:autoSpaceDE/>
        <w:autoSpaceDN/>
        <w:spacing w:line="240" w:lineRule="auto"/>
        <w:ind w:firstLine="420" w:firstLineChars="0"/>
        <w:jc w:val="left"/>
      </w:pPr>
      <w:r>
        <w:rPr>
          <w:rFonts w:hint="eastAsia"/>
        </w:rPr>
        <w:t>（七）其他（如有）</w:t>
      </w:r>
    </w:p>
    <w:p w14:paraId="240E4522">
      <w:pPr>
        <w:widowControl/>
        <w:autoSpaceDE/>
        <w:autoSpaceDN/>
        <w:spacing w:line="240" w:lineRule="auto"/>
        <w:ind w:firstLine="0" w:firstLineChars="0"/>
        <w:jc w:val="left"/>
      </w:pPr>
      <w:r>
        <w:rPr>
          <w:rFonts w:hint="eastAsia"/>
        </w:rPr>
        <w:t>五、其他（如有）</w:t>
      </w:r>
    </w:p>
    <w:p w14:paraId="151D0235">
      <w:pPr>
        <w:widowControl/>
        <w:autoSpaceDE/>
        <w:autoSpaceDN/>
        <w:spacing w:line="240" w:lineRule="auto"/>
        <w:ind w:firstLine="0" w:firstLineChars="0"/>
        <w:jc w:val="left"/>
      </w:pPr>
    </w:p>
    <w:p w14:paraId="465CD031">
      <w:pPr>
        <w:widowControl/>
        <w:autoSpaceDE/>
        <w:autoSpaceDN/>
        <w:spacing w:line="240" w:lineRule="auto"/>
        <w:ind w:firstLine="0" w:firstLineChars="0"/>
        <w:jc w:val="left"/>
      </w:pPr>
      <w:r>
        <w:rPr>
          <w:rFonts w:hint="eastAsia"/>
        </w:rPr>
        <w:br w:type="page"/>
      </w:r>
    </w:p>
    <w:p w14:paraId="6E715FD2">
      <w:pPr>
        <w:pStyle w:val="37"/>
      </w:pPr>
      <w:r>
        <w:t>一、响应函</w:t>
      </w:r>
    </w:p>
    <w:p w14:paraId="7DED2E63"/>
    <w:p w14:paraId="238B0ABF">
      <w:pPr>
        <w:ind w:firstLine="0" w:firstLineChars="0"/>
      </w:pPr>
      <w:r>
        <w:rPr>
          <w:rFonts w:hint="eastAsia"/>
        </w:rPr>
        <w:t>重庆三峡银行股份有限公司：</w:t>
      </w:r>
    </w:p>
    <w:p w14:paraId="13319074">
      <w:r>
        <w:rPr>
          <w:rFonts w:hint="eastAsia"/>
        </w:rPr>
        <w:t>我方收到</w:t>
      </w:r>
      <w:r>
        <w:rPr>
          <w:rFonts w:hint="eastAsia"/>
          <w:u w:val="single"/>
        </w:rPr>
        <w:t xml:space="preserve">             </w:t>
      </w:r>
      <w:r>
        <w:rPr>
          <w:rFonts w:hint="eastAsia"/>
        </w:rPr>
        <w:t>（项目名称）询比文件，经详细研究，决定参加该询比项目并响应。</w:t>
      </w:r>
    </w:p>
    <w:p w14:paraId="4C470E06">
      <w:r>
        <w:rPr>
          <w:rFonts w:hint="eastAsia"/>
        </w:rPr>
        <w:t>1、愿意按照询比文件中的一切要求，以响应文件中的内容和报价承担和完成本项目。</w:t>
      </w:r>
    </w:p>
    <w:p w14:paraId="5CFFE440">
      <w:r>
        <w:rPr>
          <w:rFonts w:hint="eastAsia"/>
        </w:rPr>
        <w:t>2、我方现提交的响应文件为：响应文件正本一份，副本一份，电子文件一份。</w:t>
      </w:r>
    </w:p>
    <w:p w14:paraId="7550B13E">
      <w:r>
        <w:rPr>
          <w:rFonts w:hint="eastAsia"/>
        </w:rPr>
        <w:t>3、如果我方响应文件被接受，我方将履行询比文件中规定的各项要求，按相关法律法规和合同约定条款承担我方的责任。</w:t>
      </w:r>
    </w:p>
    <w:p w14:paraId="7BCE09D4">
      <w:r>
        <w:rPr>
          <w:rFonts w:hint="eastAsia"/>
        </w:rPr>
        <w:t>4、我方愿意提供询比文件中要求的所有资料，并对其真实性负责。</w:t>
      </w:r>
    </w:p>
    <w:p w14:paraId="4DE970C9">
      <w:r>
        <w:rPr>
          <w:rFonts w:hint="eastAsia"/>
        </w:rPr>
        <w:t>5、我方理解最低价格不是成交的唯一条件。</w:t>
      </w:r>
    </w:p>
    <w:p w14:paraId="2AB2C7E2">
      <w:r>
        <w:rPr>
          <w:rFonts w:hint="eastAsia"/>
        </w:rPr>
        <w:t>6、响应有效期为响应截止日期后90天内。</w:t>
      </w:r>
    </w:p>
    <w:p w14:paraId="3EBBCBC3">
      <w:r>
        <w:rPr>
          <w:rFonts w:hint="eastAsia"/>
        </w:rPr>
        <w:t>7、若我方成交，我方开具税率为</w:t>
      </w:r>
      <w:r>
        <w:t>13</w:t>
      </w:r>
      <w:r>
        <w:rPr>
          <w:rFonts w:hint="eastAsia"/>
        </w:rPr>
        <w:t>%的增值税专用发票；</w:t>
      </w:r>
    </w:p>
    <w:p w14:paraId="2CE9A56C"/>
    <w:p w14:paraId="0E12C5D6">
      <w:r>
        <w:rPr>
          <w:rFonts w:hint="eastAsia"/>
        </w:rPr>
        <w:t>响应人（公章）：</w:t>
      </w:r>
    </w:p>
    <w:p w14:paraId="0105F380">
      <w:r>
        <w:rPr>
          <w:rFonts w:hint="eastAsia"/>
        </w:rPr>
        <w:t xml:space="preserve">响应人联系人：  </w:t>
      </w:r>
    </w:p>
    <w:p w14:paraId="00DE2593">
      <w:r>
        <w:rPr>
          <w:rFonts w:hint="eastAsia"/>
        </w:rPr>
        <w:t xml:space="preserve">响应人联系人联系电话：     </w:t>
      </w:r>
    </w:p>
    <w:p w14:paraId="52823EA5">
      <w:pPr>
        <w:jc w:val="right"/>
      </w:pPr>
      <w:r>
        <w:rPr>
          <w:rFonts w:hint="eastAsia"/>
        </w:rPr>
        <w:t>年     月     日</w:t>
      </w:r>
    </w:p>
    <w:p w14:paraId="21E63107"/>
    <w:p w14:paraId="29393D25">
      <w:pPr>
        <w:widowControl/>
        <w:jc w:val="left"/>
        <w:rPr>
          <w:rFonts w:ascii="宋体"/>
          <w:snapToGrid w:val="0"/>
          <w:kern w:val="0"/>
          <w:sz w:val="24"/>
          <w:szCs w:val="24"/>
        </w:rPr>
      </w:pPr>
    </w:p>
    <w:p w14:paraId="3BD79E24">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4409BC78">
      <w:pPr>
        <w:pStyle w:val="37"/>
      </w:pPr>
      <w:r>
        <w:t>二、报价一览表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78BB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51715F7">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D385E85">
            <w:pPr>
              <w:autoSpaceDE/>
              <w:autoSpaceDN/>
              <w:ind w:firstLine="0" w:firstLineChars="0"/>
              <w:jc w:val="center"/>
              <w:rPr>
                <w:rFonts w:hint="eastAsia" w:ascii="宋体" w:hAnsi="宋体"/>
                <w:szCs w:val="24"/>
              </w:rPr>
            </w:pPr>
          </w:p>
        </w:tc>
      </w:tr>
      <w:tr w14:paraId="0B14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A80E98F">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C90CA95">
            <w:pPr>
              <w:autoSpaceDE/>
              <w:autoSpaceDN/>
              <w:ind w:firstLine="0" w:firstLineChars="0"/>
              <w:jc w:val="center"/>
              <w:rPr>
                <w:rFonts w:hint="eastAsia" w:ascii="宋体" w:hAnsi="宋体" w:cs="Cambria"/>
                <w:szCs w:val="21"/>
              </w:rPr>
            </w:pPr>
          </w:p>
        </w:tc>
      </w:tr>
      <w:tr w14:paraId="2B39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BDCF892">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5711970">
            <w:pPr>
              <w:pStyle w:val="43"/>
            </w:pPr>
            <w:r>
              <w:t>小写</w:t>
            </w:r>
            <w:r>
              <w:rPr>
                <w:rFonts w:hint="eastAsia"/>
              </w:rPr>
              <w:t xml:space="preserve">：            </w:t>
            </w:r>
            <w:r>
              <w:t>人民币</w:t>
            </w:r>
          </w:p>
          <w:p w14:paraId="441FF615">
            <w:pPr>
              <w:pStyle w:val="43"/>
            </w:pPr>
            <w:r>
              <w:rPr>
                <w:rFonts w:hint="eastAsia"/>
              </w:rPr>
              <w:t>大写：            人民币</w:t>
            </w:r>
          </w:p>
        </w:tc>
      </w:tr>
      <w:tr w14:paraId="091F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AB254F4">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E34D9B9">
            <w:pPr>
              <w:pStyle w:val="43"/>
            </w:pPr>
            <w:r>
              <w:t>小写</w:t>
            </w:r>
            <w:r>
              <w:rPr>
                <w:rFonts w:hint="eastAsia"/>
              </w:rPr>
              <w:t xml:space="preserve">：            </w:t>
            </w:r>
            <w:r>
              <w:t>人民币</w:t>
            </w:r>
          </w:p>
          <w:p w14:paraId="04E2FCCD">
            <w:pPr>
              <w:pStyle w:val="43"/>
            </w:pPr>
            <w:r>
              <w:rPr>
                <w:rFonts w:hint="eastAsia"/>
              </w:rPr>
              <w:t>大写：            人民币</w:t>
            </w:r>
          </w:p>
        </w:tc>
      </w:tr>
      <w:tr w14:paraId="02EA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FA32AE6">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7F251D22">
            <w:pPr>
              <w:autoSpaceDE/>
              <w:autoSpaceDN/>
              <w:ind w:firstLine="0" w:firstLineChars="0"/>
              <w:jc w:val="center"/>
              <w:rPr>
                <w:rFonts w:hint="eastAsia" w:ascii="宋体" w:hAnsi="宋体"/>
                <w:szCs w:val="24"/>
              </w:rPr>
            </w:pPr>
            <w:r>
              <w:rPr>
                <w:rFonts w:ascii="宋体" w:hAnsi="宋体"/>
                <w:szCs w:val="24"/>
              </w:rPr>
              <w:t>5年</w:t>
            </w:r>
          </w:p>
        </w:tc>
        <w:tc>
          <w:tcPr>
            <w:tcW w:w="1250" w:type="pct"/>
            <w:tcBorders>
              <w:top w:val="single" w:color="auto" w:sz="4" w:space="0"/>
              <w:left w:val="single" w:color="auto" w:sz="4" w:space="0"/>
              <w:bottom w:val="single" w:color="auto" w:sz="4" w:space="0"/>
              <w:right w:val="single" w:color="auto" w:sz="4" w:space="0"/>
            </w:tcBorders>
            <w:vAlign w:val="center"/>
          </w:tcPr>
          <w:p w14:paraId="0CCC8144">
            <w:pPr>
              <w:autoSpaceDE/>
              <w:autoSpaceDN/>
              <w:ind w:firstLine="0" w:firstLineChars="0"/>
              <w:jc w:val="center"/>
              <w:rPr>
                <w:rFonts w:hint="eastAsia"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29B37549">
            <w:pPr>
              <w:autoSpaceDE/>
              <w:autoSpaceDN/>
              <w:ind w:firstLine="0" w:firstLineChars="0"/>
              <w:jc w:val="center"/>
              <w:rPr>
                <w:rFonts w:hint="eastAsia" w:ascii="宋体" w:hAnsi="宋体"/>
                <w:szCs w:val="24"/>
              </w:rPr>
            </w:pPr>
          </w:p>
        </w:tc>
      </w:tr>
      <w:tr w14:paraId="1515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C5CDD9C">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F312DE9">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13</w:t>
            </w:r>
            <w:r>
              <w:rPr>
                <w:rFonts w:hint="eastAsia" w:ascii="宋体" w:hAnsi="宋体"/>
                <w:szCs w:val="24"/>
                <w:u w:val="single"/>
              </w:rPr>
              <w:t xml:space="preserve">  </w:t>
            </w:r>
            <w:r>
              <w:rPr>
                <w:rFonts w:hint="eastAsia" w:ascii="宋体" w:hAnsi="宋体"/>
                <w:szCs w:val="24"/>
              </w:rPr>
              <w:t>%的增值税专用发票</w:t>
            </w:r>
          </w:p>
        </w:tc>
      </w:tr>
      <w:tr w14:paraId="213F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00D45329">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1B770F27"/>
    <w:p w14:paraId="173E4038"/>
    <w:p w14:paraId="25501168">
      <w:r>
        <w:rPr>
          <w:rFonts w:hint="eastAsia"/>
        </w:rPr>
        <w:t>注：上述税率为推荐税率，因国家政策产生的特殊情况除外，若有税收优惠请附相关凭证。若遇国家税率调整，则保持不含税价不变，重新计算含税价格。</w:t>
      </w:r>
    </w:p>
    <w:p w14:paraId="51FDB732"/>
    <w:p w14:paraId="77591FDD">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6C24075">
      <w:pPr>
        <w:ind w:left="4620" w:firstLine="420" w:firstLineChars="0"/>
        <w:jc w:val="center"/>
        <w:rPr>
          <w:snapToGrid w:val="0"/>
          <w:kern w:val="0"/>
          <w:szCs w:val="24"/>
        </w:rPr>
      </w:pPr>
      <w:r>
        <w:rPr>
          <w:rFonts w:hint="eastAsia"/>
          <w:snapToGrid w:val="0"/>
          <w:kern w:val="0"/>
          <w:szCs w:val="24"/>
        </w:rPr>
        <w:t xml:space="preserve">（公章）      </w:t>
      </w:r>
    </w:p>
    <w:p w14:paraId="0CBBE2C4">
      <w:pPr>
        <w:ind w:right="-29" w:rightChars="-14"/>
        <w:jc w:val="right"/>
        <w:rPr>
          <w:snapToGrid w:val="0"/>
          <w:kern w:val="0"/>
          <w:szCs w:val="24"/>
        </w:rPr>
      </w:pPr>
      <w:r>
        <w:rPr>
          <w:rFonts w:hint="eastAsia"/>
          <w:snapToGrid w:val="0"/>
          <w:kern w:val="0"/>
          <w:szCs w:val="24"/>
        </w:rPr>
        <w:t xml:space="preserve">       年     月     日</w:t>
      </w:r>
    </w:p>
    <w:p w14:paraId="5224619C">
      <w:r>
        <w:rPr>
          <w:rFonts w:hint="eastAsia"/>
        </w:rPr>
        <w:t>有关说明：</w:t>
      </w:r>
    </w:p>
    <w:p w14:paraId="68EA9208">
      <w:r>
        <w:rPr>
          <w:rFonts w:hint="eastAsia"/>
        </w:rPr>
        <w:t>报价一览表在开标大会上当众宣读，务必填写清楚，准确无误。表格可扩展。</w:t>
      </w:r>
    </w:p>
    <w:p w14:paraId="5FDD2930">
      <w:r>
        <w:rPr>
          <w:rFonts w:hint="eastAsia"/>
        </w:rPr>
        <w:t>本次报价包含上述维护期的，采购人不再另行支付该维护期内维护费用。</w:t>
      </w:r>
    </w:p>
    <w:p w14:paraId="49A5260A"/>
    <w:p w14:paraId="34864230">
      <w:pPr>
        <w:ind w:firstLine="0" w:firstLineChars="0"/>
        <w:sectPr>
          <w:pgSz w:w="11906" w:h="16838"/>
          <w:pgMar w:top="1440" w:right="1800" w:bottom="1440" w:left="1800" w:header="851" w:footer="992" w:gutter="0"/>
          <w:cols w:space="720" w:num="1"/>
          <w:docGrid w:type="lines" w:linePitch="312" w:charSpace="0"/>
        </w:sectPr>
      </w:pPr>
    </w:p>
    <w:p w14:paraId="7B01A519">
      <w:pPr>
        <w:pStyle w:val="37"/>
      </w:pPr>
      <w:r>
        <w:rPr>
          <w:rFonts w:hint="eastAsia"/>
        </w:rPr>
        <w:t>三</w:t>
      </w:r>
      <w:r>
        <w:t>、</w:t>
      </w:r>
      <w:r>
        <w:rPr>
          <w:rFonts w:hint="eastAsia"/>
        </w:rPr>
        <w:t>分项报价明细表</w:t>
      </w:r>
    </w:p>
    <w:p w14:paraId="223F7D95">
      <w:r>
        <w:rPr>
          <w:rFonts w:hint="eastAsia"/>
        </w:rPr>
        <w:t>格式自拟，需详细写明各类硬件、中间件、操作系统、实施费用等产品模块名称及价格。</w:t>
      </w:r>
    </w:p>
    <w:p w14:paraId="54331855"/>
    <w:p w14:paraId="03BC5001"/>
    <w:p w14:paraId="529ADFDD">
      <w:pPr>
        <w:ind w:firstLine="0" w:firstLineChars="0"/>
        <w:sectPr>
          <w:pgSz w:w="11906" w:h="16838"/>
          <w:pgMar w:top="1440" w:right="1800" w:bottom="1440" w:left="1800" w:header="851" w:footer="992" w:gutter="0"/>
          <w:cols w:space="720" w:num="1"/>
          <w:docGrid w:type="lines" w:linePitch="312" w:charSpace="0"/>
        </w:sectPr>
      </w:pPr>
    </w:p>
    <w:p w14:paraId="4E5E176F">
      <w:pPr>
        <w:pStyle w:val="37"/>
      </w:pPr>
      <w:r>
        <w:rPr>
          <w:rFonts w:hint="eastAsia"/>
        </w:rPr>
        <w:t>四</w:t>
      </w:r>
      <w:r>
        <w:t>、资格性文件</w:t>
      </w:r>
    </w:p>
    <w:p w14:paraId="720AFDBE">
      <w:pPr>
        <w:pStyle w:val="39"/>
      </w:pPr>
      <w:r>
        <w:t>（一）</w:t>
      </w:r>
      <w:r>
        <w:rPr>
          <w:rFonts w:hint="eastAsia"/>
        </w:rPr>
        <w:t>响应人</w:t>
      </w:r>
      <w: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95F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08B487C">
            <w:pPr>
              <w:pStyle w:val="43"/>
              <w:jc w:val="center"/>
            </w:pPr>
            <w:r>
              <w:rPr>
                <w:rFonts w:hint="eastAsia"/>
              </w:rPr>
              <w:t>响应人名称</w:t>
            </w:r>
          </w:p>
        </w:tc>
        <w:tc>
          <w:tcPr>
            <w:tcW w:w="7114" w:type="dxa"/>
            <w:gridSpan w:val="8"/>
          </w:tcPr>
          <w:p w14:paraId="749918C1">
            <w:pPr>
              <w:pStyle w:val="43"/>
              <w:jc w:val="center"/>
            </w:pPr>
          </w:p>
        </w:tc>
      </w:tr>
      <w:tr w14:paraId="1F69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FAE8C8E">
            <w:pPr>
              <w:pStyle w:val="43"/>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280E1D0">
            <w:pPr>
              <w:pStyle w:val="43"/>
              <w:jc w:val="center"/>
            </w:pPr>
          </w:p>
        </w:tc>
        <w:tc>
          <w:tcPr>
            <w:tcW w:w="1325" w:type="dxa"/>
            <w:tcBorders>
              <w:top w:val="single" w:color="auto" w:sz="4" w:space="0"/>
              <w:left w:val="single" w:color="auto" w:sz="4" w:space="0"/>
              <w:right w:val="single" w:color="auto" w:sz="4" w:space="0"/>
            </w:tcBorders>
            <w:vAlign w:val="center"/>
          </w:tcPr>
          <w:p w14:paraId="099C8577">
            <w:pPr>
              <w:pStyle w:val="43"/>
              <w:jc w:val="center"/>
            </w:pPr>
            <w:r>
              <w:rPr>
                <w:rFonts w:hint="eastAsia"/>
              </w:rPr>
              <w:t>邮政编码</w:t>
            </w:r>
          </w:p>
        </w:tc>
        <w:tc>
          <w:tcPr>
            <w:tcW w:w="1657" w:type="dxa"/>
            <w:gridSpan w:val="3"/>
            <w:tcBorders>
              <w:left w:val="single" w:color="auto" w:sz="4" w:space="0"/>
            </w:tcBorders>
          </w:tcPr>
          <w:p w14:paraId="07A4ACC7">
            <w:pPr>
              <w:pStyle w:val="43"/>
              <w:jc w:val="center"/>
            </w:pPr>
          </w:p>
        </w:tc>
      </w:tr>
      <w:tr w14:paraId="66C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78C0C99">
            <w:pPr>
              <w:pStyle w:val="43"/>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1432BE19">
            <w:pPr>
              <w:pStyle w:val="43"/>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6682644B">
            <w:pPr>
              <w:pStyle w:val="43"/>
              <w:jc w:val="center"/>
            </w:pPr>
          </w:p>
        </w:tc>
        <w:tc>
          <w:tcPr>
            <w:tcW w:w="1325" w:type="dxa"/>
            <w:tcBorders>
              <w:top w:val="single" w:color="auto" w:sz="4" w:space="0"/>
              <w:left w:val="single" w:color="auto" w:sz="4" w:space="0"/>
              <w:right w:val="single" w:color="auto" w:sz="4" w:space="0"/>
            </w:tcBorders>
            <w:vAlign w:val="center"/>
          </w:tcPr>
          <w:p w14:paraId="1C51495B">
            <w:pPr>
              <w:pStyle w:val="43"/>
              <w:jc w:val="center"/>
            </w:pPr>
            <w:r>
              <w:rPr>
                <w:rFonts w:hint="eastAsia"/>
              </w:rPr>
              <w:t>电话</w:t>
            </w:r>
          </w:p>
        </w:tc>
        <w:tc>
          <w:tcPr>
            <w:tcW w:w="1657" w:type="dxa"/>
            <w:gridSpan w:val="3"/>
            <w:tcBorders>
              <w:left w:val="single" w:color="auto" w:sz="4" w:space="0"/>
            </w:tcBorders>
          </w:tcPr>
          <w:p w14:paraId="01DE96F5">
            <w:pPr>
              <w:pStyle w:val="43"/>
              <w:jc w:val="center"/>
            </w:pPr>
          </w:p>
        </w:tc>
      </w:tr>
      <w:tr w14:paraId="5679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C62CB83"/>
        </w:tc>
        <w:tc>
          <w:tcPr>
            <w:tcW w:w="1077" w:type="dxa"/>
            <w:tcBorders>
              <w:top w:val="single" w:color="auto" w:sz="4" w:space="0"/>
              <w:left w:val="single" w:color="auto" w:sz="4" w:space="0"/>
              <w:right w:val="single" w:color="auto" w:sz="4" w:space="0"/>
            </w:tcBorders>
            <w:vAlign w:val="center"/>
          </w:tcPr>
          <w:p w14:paraId="6E8D5B18">
            <w:pPr>
              <w:pStyle w:val="43"/>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24605FFB">
            <w:pPr>
              <w:pStyle w:val="43"/>
              <w:jc w:val="center"/>
            </w:pPr>
          </w:p>
        </w:tc>
        <w:tc>
          <w:tcPr>
            <w:tcW w:w="1325" w:type="dxa"/>
            <w:tcBorders>
              <w:top w:val="single" w:color="auto" w:sz="4" w:space="0"/>
              <w:left w:val="single" w:color="auto" w:sz="4" w:space="0"/>
              <w:right w:val="single" w:color="auto" w:sz="4" w:space="0"/>
            </w:tcBorders>
            <w:vAlign w:val="center"/>
          </w:tcPr>
          <w:p w14:paraId="36C50F86">
            <w:pPr>
              <w:pStyle w:val="43"/>
              <w:jc w:val="center"/>
            </w:pPr>
            <w:r>
              <w:rPr>
                <w:rFonts w:hint="eastAsia"/>
              </w:rPr>
              <w:t>网址</w:t>
            </w:r>
          </w:p>
        </w:tc>
        <w:tc>
          <w:tcPr>
            <w:tcW w:w="1657" w:type="dxa"/>
            <w:gridSpan w:val="3"/>
            <w:tcBorders>
              <w:left w:val="single" w:color="auto" w:sz="4" w:space="0"/>
            </w:tcBorders>
          </w:tcPr>
          <w:p w14:paraId="51CF9379">
            <w:pPr>
              <w:pStyle w:val="43"/>
              <w:jc w:val="center"/>
            </w:pPr>
          </w:p>
        </w:tc>
      </w:tr>
      <w:tr w14:paraId="4B2E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FF1AF6">
            <w:pPr>
              <w:pStyle w:val="43"/>
              <w:jc w:val="center"/>
            </w:pPr>
            <w:r>
              <w:rPr>
                <w:rFonts w:hint="eastAsia"/>
              </w:rPr>
              <w:t>组织结构</w:t>
            </w:r>
          </w:p>
        </w:tc>
        <w:tc>
          <w:tcPr>
            <w:tcW w:w="7114" w:type="dxa"/>
            <w:gridSpan w:val="8"/>
            <w:tcBorders>
              <w:left w:val="single" w:color="auto" w:sz="4" w:space="0"/>
            </w:tcBorders>
            <w:vAlign w:val="center"/>
          </w:tcPr>
          <w:p w14:paraId="6A1D6FFF">
            <w:pPr>
              <w:pStyle w:val="43"/>
              <w:jc w:val="center"/>
            </w:pPr>
          </w:p>
        </w:tc>
      </w:tr>
      <w:tr w14:paraId="425D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625B72E">
            <w:pPr>
              <w:pStyle w:val="43"/>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83735F9">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28D78A13">
            <w:pPr>
              <w:pStyle w:val="43"/>
              <w:jc w:val="center"/>
            </w:pPr>
          </w:p>
        </w:tc>
        <w:tc>
          <w:tcPr>
            <w:tcW w:w="1252" w:type="dxa"/>
            <w:gridSpan w:val="2"/>
            <w:tcBorders>
              <w:top w:val="single" w:color="auto" w:sz="4" w:space="0"/>
              <w:left w:val="single" w:color="auto" w:sz="4" w:space="0"/>
              <w:right w:val="single" w:color="auto" w:sz="4" w:space="0"/>
            </w:tcBorders>
            <w:vAlign w:val="center"/>
          </w:tcPr>
          <w:p w14:paraId="104CEAAB">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BCA2182">
            <w:pPr>
              <w:pStyle w:val="43"/>
              <w:jc w:val="center"/>
            </w:pPr>
          </w:p>
        </w:tc>
        <w:tc>
          <w:tcPr>
            <w:tcW w:w="723" w:type="dxa"/>
            <w:tcBorders>
              <w:top w:val="single" w:color="auto" w:sz="4" w:space="0"/>
              <w:left w:val="single" w:color="auto" w:sz="4" w:space="0"/>
              <w:right w:val="single" w:color="auto" w:sz="4" w:space="0"/>
            </w:tcBorders>
            <w:vAlign w:val="center"/>
          </w:tcPr>
          <w:p w14:paraId="5685EECE">
            <w:pPr>
              <w:pStyle w:val="43"/>
              <w:jc w:val="center"/>
            </w:pPr>
            <w:r>
              <w:rPr>
                <w:rFonts w:hint="eastAsia"/>
              </w:rPr>
              <w:t>电话</w:t>
            </w:r>
          </w:p>
        </w:tc>
        <w:tc>
          <w:tcPr>
            <w:tcW w:w="758" w:type="dxa"/>
            <w:tcBorders>
              <w:left w:val="single" w:color="auto" w:sz="4" w:space="0"/>
            </w:tcBorders>
          </w:tcPr>
          <w:p w14:paraId="659A91E1">
            <w:pPr>
              <w:pStyle w:val="43"/>
              <w:jc w:val="center"/>
            </w:pPr>
          </w:p>
        </w:tc>
      </w:tr>
      <w:tr w14:paraId="13FA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CCB25D5">
            <w:pPr>
              <w:pStyle w:val="43"/>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C5EF695">
            <w:pPr>
              <w:pStyle w:val="43"/>
              <w:jc w:val="center"/>
            </w:pPr>
            <w:r>
              <w:rPr>
                <w:rFonts w:hint="eastAsia"/>
              </w:rPr>
              <w:t>姓名</w:t>
            </w:r>
          </w:p>
        </w:tc>
        <w:tc>
          <w:tcPr>
            <w:tcW w:w="1803" w:type="dxa"/>
            <w:tcBorders>
              <w:top w:val="single" w:color="auto" w:sz="4" w:space="0"/>
              <w:left w:val="single" w:color="auto" w:sz="4" w:space="0"/>
              <w:right w:val="single" w:color="auto" w:sz="4" w:space="0"/>
            </w:tcBorders>
          </w:tcPr>
          <w:p w14:paraId="1D9C7A77">
            <w:pPr>
              <w:pStyle w:val="43"/>
              <w:jc w:val="center"/>
            </w:pPr>
          </w:p>
        </w:tc>
        <w:tc>
          <w:tcPr>
            <w:tcW w:w="1252" w:type="dxa"/>
            <w:gridSpan w:val="2"/>
            <w:tcBorders>
              <w:top w:val="single" w:color="auto" w:sz="4" w:space="0"/>
              <w:left w:val="single" w:color="auto" w:sz="4" w:space="0"/>
              <w:right w:val="single" w:color="auto" w:sz="4" w:space="0"/>
            </w:tcBorders>
            <w:vAlign w:val="center"/>
          </w:tcPr>
          <w:p w14:paraId="12063B6E">
            <w:pPr>
              <w:pStyle w:val="43"/>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648E1DF">
            <w:pPr>
              <w:pStyle w:val="43"/>
              <w:jc w:val="center"/>
            </w:pPr>
          </w:p>
        </w:tc>
        <w:tc>
          <w:tcPr>
            <w:tcW w:w="723" w:type="dxa"/>
            <w:tcBorders>
              <w:top w:val="single" w:color="auto" w:sz="4" w:space="0"/>
              <w:left w:val="single" w:color="auto" w:sz="4" w:space="0"/>
              <w:right w:val="single" w:color="auto" w:sz="4" w:space="0"/>
            </w:tcBorders>
            <w:vAlign w:val="center"/>
          </w:tcPr>
          <w:p w14:paraId="59F33D7B">
            <w:pPr>
              <w:pStyle w:val="43"/>
              <w:jc w:val="center"/>
            </w:pPr>
            <w:r>
              <w:rPr>
                <w:rFonts w:hint="eastAsia"/>
              </w:rPr>
              <w:t>电话</w:t>
            </w:r>
          </w:p>
        </w:tc>
        <w:tc>
          <w:tcPr>
            <w:tcW w:w="758" w:type="dxa"/>
            <w:tcBorders>
              <w:left w:val="single" w:color="auto" w:sz="4" w:space="0"/>
            </w:tcBorders>
          </w:tcPr>
          <w:p w14:paraId="3C9BCEA7">
            <w:pPr>
              <w:pStyle w:val="43"/>
              <w:jc w:val="center"/>
            </w:pPr>
          </w:p>
        </w:tc>
      </w:tr>
      <w:tr w14:paraId="4ED8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4CC4DED">
            <w:pPr>
              <w:pStyle w:val="43"/>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8156BE8">
            <w:pPr>
              <w:pStyle w:val="43"/>
              <w:jc w:val="center"/>
            </w:pPr>
          </w:p>
        </w:tc>
        <w:tc>
          <w:tcPr>
            <w:tcW w:w="4234" w:type="dxa"/>
            <w:gridSpan w:val="6"/>
            <w:tcBorders>
              <w:left w:val="single" w:color="auto" w:sz="4" w:space="0"/>
            </w:tcBorders>
          </w:tcPr>
          <w:p w14:paraId="171416BA">
            <w:pPr>
              <w:pStyle w:val="43"/>
              <w:jc w:val="center"/>
            </w:pPr>
            <w:r>
              <w:rPr>
                <w:rFonts w:hint="eastAsia"/>
              </w:rPr>
              <w:t>员工总人数：</w:t>
            </w:r>
          </w:p>
        </w:tc>
      </w:tr>
      <w:tr w14:paraId="7797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621BD0">
            <w:pPr>
              <w:pStyle w:val="43"/>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F3522E8">
            <w:pPr>
              <w:pStyle w:val="43"/>
              <w:jc w:val="center"/>
            </w:pPr>
          </w:p>
        </w:tc>
        <w:tc>
          <w:tcPr>
            <w:tcW w:w="714" w:type="dxa"/>
            <w:vMerge w:val="restart"/>
            <w:tcBorders>
              <w:top w:val="single" w:color="auto" w:sz="4" w:space="0"/>
              <w:left w:val="single" w:color="auto" w:sz="4" w:space="0"/>
              <w:right w:val="single" w:color="auto" w:sz="4" w:space="0"/>
            </w:tcBorders>
            <w:vAlign w:val="center"/>
          </w:tcPr>
          <w:p w14:paraId="64B669A1">
            <w:pPr>
              <w:pStyle w:val="43"/>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FB94432">
            <w:pPr>
              <w:pStyle w:val="43"/>
              <w:jc w:val="center"/>
            </w:pPr>
            <w:r>
              <w:rPr>
                <w:rFonts w:hint="eastAsia"/>
              </w:rPr>
              <w:t>项目经理</w:t>
            </w:r>
          </w:p>
        </w:tc>
        <w:tc>
          <w:tcPr>
            <w:tcW w:w="1481" w:type="dxa"/>
            <w:gridSpan w:val="2"/>
            <w:tcBorders>
              <w:left w:val="single" w:color="auto" w:sz="4" w:space="0"/>
            </w:tcBorders>
          </w:tcPr>
          <w:p w14:paraId="24ABAC5F">
            <w:pPr>
              <w:pStyle w:val="43"/>
              <w:jc w:val="center"/>
            </w:pPr>
          </w:p>
        </w:tc>
      </w:tr>
      <w:tr w14:paraId="3749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9FA16C4">
            <w:pPr>
              <w:pStyle w:val="43"/>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657195E0">
            <w:pPr>
              <w:pStyle w:val="43"/>
              <w:jc w:val="center"/>
            </w:pPr>
          </w:p>
        </w:tc>
        <w:tc>
          <w:tcPr>
            <w:tcW w:w="714" w:type="dxa"/>
            <w:vMerge w:val="continue"/>
            <w:tcBorders>
              <w:top w:val="single" w:color="auto" w:sz="4" w:space="0"/>
              <w:left w:val="single" w:color="auto" w:sz="4" w:space="0"/>
              <w:right w:val="single" w:color="auto" w:sz="4" w:space="0"/>
            </w:tcBorders>
          </w:tcPr>
          <w:p w14:paraId="4FF2C9D2"/>
        </w:tc>
        <w:tc>
          <w:tcPr>
            <w:tcW w:w="2039" w:type="dxa"/>
            <w:gridSpan w:val="3"/>
            <w:tcBorders>
              <w:top w:val="single" w:color="auto" w:sz="4" w:space="0"/>
              <w:left w:val="single" w:color="auto" w:sz="4" w:space="0"/>
              <w:right w:val="single" w:color="auto" w:sz="4" w:space="0"/>
            </w:tcBorders>
            <w:vAlign w:val="center"/>
          </w:tcPr>
          <w:p w14:paraId="04B43EAD">
            <w:pPr>
              <w:pStyle w:val="43"/>
              <w:jc w:val="center"/>
            </w:pPr>
            <w:r>
              <w:rPr>
                <w:rFonts w:hint="eastAsia"/>
              </w:rPr>
              <w:t>高级职称人员</w:t>
            </w:r>
          </w:p>
        </w:tc>
        <w:tc>
          <w:tcPr>
            <w:tcW w:w="1481" w:type="dxa"/>
            <w:gridSpan w:val="2"/>
            <w:tcBorders>
              <w:left w:val="single" w:color="auto" w:sz="4" w:space="0"/>
            </w:tcBorders>
          </w:tcPr>
          <w:p w14:paraId="2C1FAEED">
            <w:pPr>
              <w:pStyle w:val="43"/>
              <w:jc w:val="center"/>
            </w:pPr>
          </w:p>
        </w:tc>
      </w:tr>
      <w:tr w14:paraId="6953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D6B415C">
            <w:pPr>
              <w:pStyle w:val="43"/>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09914B4F">
            <w:pPr>
              <w:pStyle w:val="43"/>
              <w:jc w:val="center"/>
            </w:pPr>
          </w:p>
        </w:tc>
        <w:tc>
          <w:tcPr>
            <w:tcW w:w="714" w:type="dxa"/>
            <w:vMerge w:val="continue"/>
            <w:tcBorders>
              <w:top w:val="single" w:color="auto" w:sz="4" w:space="0"/>
              <w:left w:val="single" w:color="auto" w:sz="4" w:space="0"/>
              <w:right w:val="single" w:color="auto" w:sz="4" w:space="0"/>
            </w:tcBorders>
          </w:tcPr>
          <w:p w14:paraId="0D15B4D1"/>
        </w:tc>
        <w:tc>
          <w:tcPr>
            <w:tcW w:w="2039" w:type="dxa"/>
            <w:gridSpan w:val="3"/>
            <w:tcBorders>
              <w:top w:val="single" w:color="auto" w:sz="4" w:space="0"/>
              <w:left w:val="single" w:color="auto" w:sz="4" w:space="0"/>
              <w:right w:val="single" w:color="auto" w:sz="4" w:space="0"/>
            </w:tcBorders>
            <w:vAlign w:val="center"/>
          </w:tcPr>
          <w:p w14:paraId="135315D9">
            <w:pPr>
              <w:pStyle w:val="43"/>
              <w:jc w:val="center"/>
            </w:pPr>
            <w:r>
              <w:rPr>
                <w:rFonts w:hint="eastAsia"/>
              </w:rPr>
              <w:t>中级职称人员</w:t>
            </w:r>
          </w:p>
        </w:tc>
        <w:tc>
          <w:tcPr>
            <w:tcW w:w="1481" w:type="dxa"/>
            <w:gridSpan w:val="2"/>
            <w:tcBorders>
              <w:left w:val="single" w:color="auto" w:sz="4" w:space="0"/>
            </w:tcBorders>
          </w:tcPr>
          <w:p w14:paraId="5A663DE0">
            <w:pPr>
              <w:pStyle w:val="43"/>
              <w:jc w:val="center"/>
            </w:pPr>
          </w:p>
        </w:tc>
      </w:tr>
      <w:tr w14:paraId="3530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823542E">
            <w:pPr>
              <w:pStyle w:val="43"/>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7628F18">
            <w:pPr>
              <w:pStyle w:val="43"/>
              <w:jc w:val="center"/>
            </w:pPr>
          </w:p>
        </w:tc>
        <w:tc>
          <w:tcPr>
            <w:tcW w:w="714" w:type="dxa"/>
            <w:vMerge w:val="continue"/>
            <w:tcBorders>
              <w:top w:val="single" w:color="auto" w:sz="4" w:space="0"/>
              <w:left w:val="single" w:color="auto" w:sz="4" w:space="0"/>
              <w:right w:val="single" w:color="auto" w:sz="4" w:space="0"/>
            </w:tcBorders>
          </w:tcPr>
          <w:p w14:paraId="630D6ECE"/>
        </w:tc>
        <w:tc>
          <w:tcPr>
            <w:tcW w:w="2039" w:type="dxa"/>
            <w:gridSpan w:val="3"/>
            <w:tcBorders>
              <w:top w:val="single" w:color="auto" w:sz="4" w:space="0"/>
              <w:left w:val="single" w:color="auto" w:sz="4" w:space="0"/>
              <w:right w:val="single" w:color="auto" w:sz="4" w:space="0"/>
            </w:tcBorders>
            <w:vAlign w:val="center"/>
          </w:tcPr>
          <w:p w14:paraId="421AD508">
            <w:pPr>
              <w:pStyle w:val="43"/>
              <w:jc w:val="center"/>
            </w:pPr>
            <w:r>
              <w:rPr>
                <w:rFonts w:hint="eastAsia"/>
              </w:rPr>
              <w:t>初级职称人员</w:t>
            </w:r>
          </w:p>
        </w:tc>
        <w:tc>
          <w:tcPr>
            <w:tcW w:w="1481" w:type="dxa"/>
            <w:gridSpan w:val="2"/>
            <w:tcBorders>
              <w:left w:val="single" w:color="auto" w:sz="4" w:space="0"/>
            </w:tcBorders>
          </w:tcPr>
          <w:p w14:paraId="57234FCD">
            <w:pPr>
              <w:pStyle w:val="43"/>
              <w:jc w:val="center"/>
            </w:pPr>
          </w:p>
        </w:tc>
      </w:tr>
      <w:tr w14:paraId="369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D9427FB">
            <w:pPr>
              <w:pStyle w:val="43"/>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B9EB06D">
            <w:pPr>
              <w:pStyle w:val="43"/>
              <w:jc w:val="center"/>
            </w:pPr>
          </w:p>
        </w:tc>
        <w:tc>
          <w:tcPr>
            <w:tcW w:w="714" w:type="dxa"/>
            <w:vMerge w:val="continue"/>
            <w:tcBorders>
              <w:top w:val="single" w:color="auto" w:sz="4" w:space="0"/>
              <w:left w:val="single" w:color="auto" w:sz="4" w:space="0"/>
              <w:right w:val="single" w:color="auto" w:sz="4" w:space="0"/>
            </w:tcBorders>
          </w:tcPr>
          <w:p w14:paraId="129ECD4F"/>
        </w:tc>
        <w:tc>
          <w:tcPr>
            <w:tcW w:w="2039" w:type="dxa"/>
            <w:gridSpan w:val="3"/>
            <w:tcBorders>
              <w:top w:val="single" w:color="auto" w:sz="4" w:space="0"/>
              <w:left w:val="single" w:color="auto" w:sz="4" w:space="0"/>
              <w:right w:val="single" w:color="auto" w:sz="4" w:space="0"/>
            </w:tcBorders>
            <w:vAlign w:val="center"/>
          </w:tcPr>
          <w:p w14:paraId="512EE409">
            <w:pPr>
              <w:pStyle w:val="43"/>
              <w:jc w:val="center"/>
            </w:pPr>
            <w:r>
              <w:rPr>
                <w:rFonts w:hint="eastAsia"/>
              </w:rPr>
              <w:t>技工</w:t>
            </w:r>
          </w:p>
        </w:tc>
        <w:tc>
          <w:tcPr>
            <w:tcW w:w="1481" w:type="dxa"/>
            <w:gridSpan w:val="2"/>
            <w:tcBorders>
              <w:left w:val="single" w:color="auto" w:sz="4" w:space="0"/>
            </w:tcBorders>
          </w:tcPr>
          <w:p w14:paraId="7006B1B2">
            <w:pPr>
              <w:pStyle w:val="43"/>
              <w:jc w:val="center"/>
            </w:pPr>
          </w:p>
        </w:tc>
      </w:tr>
      <w:tr w14:paraId="1B59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6B5CBB8">
            <w:pPr>
              <w:pStyle w:val="43"/>
              <w:jc w:val="center"/>
            </w:pPr>
            <w:r>
              <w:rPr>
                <w:rFonts w:hint="eastAsia"/>
              </w:rPr>
              <w:t>经营范围</w:t>
            </w:r>
          </w:p>
        </w:tc>
        <w:tc>
          <w:tcPr>
            <w:tcW w:w="7114" w:type="dxa"/>
            <w:gridSpan w:val="8"/>
            <w:tcBorders>
              <w:left w:val="single" w:color="auto" w:sz="4" w:space="0"/>
            </w:tcBorders>
          </w:tcPr>
          <w:p w14:paraId="6BD08185">
            <w:pPr>
              <w:pStyle w:val="43"/>
              <w:jc w:val="center"/>
            </w:pPr>
          </w:p>
        </w:tc>
      </w:tr>
      <w:tr w14:paraId="1D9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2B11FF0">
            <w:pPr>
              <w:pStyle w:val="43"/>
              <w:jc w:val="center"/>
            </w:pPr>
            <w:r>
              <w:rPr>
                <w:rFonts w:hint="eastAsia"/>
              </w:rPr>
              <w:t>备注</w:t>
            </w:r>
          </w:p>
        </w:tc>
        <w:tc>
          <w:tcPr>
            <w:tcW w:w="7114" w:type="dxa"/>
            <w:gridSpan w:val="8"/>
            <w:tcBorders>
              <w:left w:val="single" w:color="auto" w:sz="4" w:space="0"/>
            </w:tcBorders>
          </w:tcPr>
          <w:p w14:paraId="5C925124">
            <w:pPr>
              <w:pStyle w:val="43"/>
              <w:jc w:val="center"/>
            </w:pPr>
          </w:p>
        </w:tc>
      </w:tr>
    </w:tbl>
    <w:p w14:paraId="0F05D937">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4BAE3545">
      <w:pPr>
        <w:pStyle w:val="39"/>
      </w:pPr>
      <w:bookmarkStart w:id="88" w:name="_Toc8213"/>
      <w:bookmarkStart w:id="89" w:name="_Toc14270"/>
      <w:bookmarkStart w:id="90" w:name="_Toc478054435"/>
      <w:bookmarkStart w:id="91" w:name="_Toc472780356"/>
      <w:bookmarkStart w:id="92" w:name="_Toc478053903"/>
      <w:bookmarkStart w:id="93" w:name="_Toc378234584"/>
      <w:bookmarkStart w:id="94" w:name="_Toc378234770"/>
      <w:r>
        <w:t>（二）法定代表人身份证明及授权委托书</w:t>
      </w:r>
      <w:bookmarkEnd w:id="88"/>
      <w:bookmarkEnd w:id="89"/>
    </w:p>
    <w:p w14:paraId="7EFE250A">
      <w:pPr>
        <w:pStyle w:val="40"/>
        <w:rPr>
          <w:rFonts w:ascii="Times New Roman" w:hAnsi="Times New Roman"/>
        </w:rPr>
      </w:pPr>
      <w:r>
        <w:rPr>
          <w:rFonts w:ascii="Times New Roman" w:hAnsi="Times New Roman"/>
        </w:rPr>
        <w:t>法定代表人身份证明书</w:t>
      </w:r>
    </w:p>
    <w:p w14:paraId="1AE78F47">
      <w:pPr>
        <w:tabs>
          <w:tab w:val="left" w:pos="6300"/>
        </w:tabs>
        <w:snapToGrid w:val="0"/>
        <w:rPr>
          <w:snapToGrid w:val="0"/>
          <w:kern w:val="0"/>
        </w:rPr>
      </w:pPr>
    </w:p>
    <w:p w14:paraId="142321CD">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086DBDCF">
      <w:pPr>
        <w:tabs>
          <w:tab w:val="left" w:pos="6300"/>
        </w:tabs>
        <w:snapToGrid w:val="0"/>
        <w:rPr>
          <w:snapToGrid w:val="0"/>
          <w:kern w:val="0"/>
        </w:rPr>
      </w:pPr>
    </w:p>
    <w:p w14:paraId="03658C7F">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7EBB8D5">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7B2F75A0">
      <w:pPr>
        <w:tabs>
          <w:tab w:val="left" w:pos="6300"/>
        </w:tabs>
        <w:snapToGrid w:val="0"/>
        <w:rPr>
          <w:snapToGrid w:val="0"/>
          <w:kern w:val="0"/>
        </w:rPr>
      </w:pPr>
    </w:p>
    <w:p w14:paraId="764A5FF3">
      <w:pPr>
        <w:tabs>
          <w:tab w:val="left" w:pos="6300"/>
        </w:tabs>
        <w:snapToGrid w:val="0"/>
        <w:rPr>
          <w:snapToGrid w:val="0"/>
          <w:kern w:val="0"/>
        </w:rPr>
      </w:pPr>
      <w:r>
        <w:rPr>
          <w:rFonts w:hint="eastAsia"/>
          <w:snapToGrid w:val="0"/>
          <w:kern w:val="0"/>
        </w:rPr>
        <w:t>特此证明。</w:t>
      </w:r>
    </w:p>
    <w:p w14:paraId="3B94183F">
      <w:pPr>
        <w:tabs>
          <w:tab w:val="left" w:pos="6300"/>
        </w:tabs>
        <w:snapToGrid w:val="0"/>
        <w:rPr>
          <w:snapToGrid w:val="0"/>
          <w:kern w:val="0"/>
        </w:rPr>
      </w:pPr>
    </w:p>
    <w:p w14:paraId="3CEE356F">
      <w:pPr>
        <w:tabs>
          <w:tab w:val="left" w:pos="6300"/>
        </w:tabs>
        <w:snapToGrid w:val="0"/>
        <w:rPr>
          <w:snapToGrid w:val="0"/>
          <w:kern w:val="0"/>
        </w:rPr>
      </w:pPr>
    </w:p>
    <w:p w14:paraId="7E1D871B">
      <w:pPr>
        <w:tabs>
          <w:tab w:val="left" w:pos="6300"/>
        </w:tabs>
        <w:snapToGrid w:val="0"/>
        <w:ind w:firstLine="5250" w:firstLineChars="2500"/>
        <w:rPr>
          <w:snapToGrid w:val="0"/>
          <w:kern w:val="0"/>
        </w:rPr>
      </w:pPr>
      <w:r>
        <w:rPr>
          <w:rFonts w:hint="eastAsia"/>
          <w:snapToGrid w:val="0"/>
          <w:kern w:val="0"/>
        </w:rPr>
        <w:t>响应人：</w:t>
      </w:r>
    </w:p>
    <w:p w14:paraId="231F490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10C95D4">
      <w:pPr>
        <w:tabs>
          <w:tab w:val="left" w:pos="6300"/>
        </w:tabs>
        <w:snapToGrid w:val="0"/>
        <w:rPr>
          <w:snapToGrid w:val="0"/>
          <w:kern w:val="0"/>
        </w:rPr>
      </w:pPr>
    </w:p>
    <w:p w14:paraId="18A048A2">
      <w:pPr>
        <w:tabs>
          <w:tab w:val="left" w:pos="6300"/>
        </w:tabs>
        <w:snapToGrid w:val="0"/>
        <w:rPr>
          <w:snapToGrid w:val="0"/>
          <w:kern w:val="0"/>
        </w:rPr>
      </w:pPr>
      <w:r>
        <w:rPr>
          <w:rFonts w:hint="eastAsia"/>
          <w:snapToGrid w:val="0"/>
          <w:kern w:val="0"/>
        </w:rPr>
        <w:t xml:space="preserve">                                             年   月   日</w:t>
      </w:r>
    </w:p>
    <w:p w14:paraId="056F92C6">
      <w:pPr>
        <w:tabs>
          <w:tab w:val="left" w:pos="6300"/>
        </w:tabs>
        <w:snapToGrid w:val="0"/>
        <w:rPr>
          <w:snapToGrid w:val="0"/>
          <w:kern w:val="0"/>
        </w:rPr>
      </w:pPr>
    </w:p>
    <w:p w14:paraId="21DA4EAF">
      <w:pPr>
        <w:tabs>
          <w:tab w:val="left" w:pos="6300"/>
        </w:tabs>
        <w:snapToGrid w:val="0"/>
        <w:rPr>
          <w:snapToGrid w:val="0"/>
          <w:kern w:val="0"/>
        </w:rPr>
      </w:pPr>
      <w:r>
        <w:rPr>
          <w:rFonts w:hint="eastAsia"/>
          <w:snapToGrid w:val="0"/>
          <w:kern w:val="0"/>
        </w:rPr>
        <w:t>（附：法定代表人身份证正反面复印件）</w:t>
      </w:r>
    </w:p>
    <w:p w14:paraId="1C520B81">
      <w:pPr>
        <w:tabs>
          <w:tab w:val="left" w:pos="6300"/>
        </w:tabs>
        <w:snapToGrid w:val="0"/>
        <w:rPr>
          <w:snapToGrid w:val="0"/>
          <w:kern w:val="0"/>
        </w:rPr>
      </w:pPr>
    </w:p>
    <w:p w14:paraId="63E63C8D">
      <w:pPr>
        <w:tabs>
          <w:tab w:val="left" w:pos="6300"/>
        </w:tabs>
        <w:snapToGrid w:val="0"/>
        <w:rPr>
          <w:snapToGrid w:val="0"/>
          <w:kern w:val="0"/>
        </w:rPr>
      </w:pPr>
    </w:p>
    <w:p w14:paraId="7DAA7A1A">
      <w:pPr>
        <w:tabs>
          <w:tab w:val="left" w:pos="6300"/>
        </w:tabs>
        <w:snapToGrid w:val="0"/>
        <w:rPr>
          <w:snapToGrid w:val="0"/>
          <w:kern w:val="0"/>
        </w:rPr>
      </w:pPr>
    </w:p>
    <w:p w14:paraId="5B1B3F52">
      <w:pPr>
        <w:jc w:val="center"/>
        <w:rPr>
          <w:rStyle w:val="41"/>
          <w:rFonts w:ascii="Times New Roman" w:hAnsi="Times New Roman"/>
        </w:rPr>
      </w:pPr>
      <w:r>
        <w:rPr>
          <w:rFonts w:hint="eastAsia"/>
          <w:snapToGrid w:val="0"/>
          <w:kern w:val="0"/>
        </w:rPr>
        <w:br w:type="column"/>
      </w:r>
      <w:r>
        <w:rPr>
          <w:rStyle w:val="41"/>
          <w:rFonts w:ascii="Times New Roman" w:hAnsi="Times New Roman"/>
        </w:rPr>
        <w:t>授权委托书</w:t>
      </w:r>
      <w:r>
        <w:rPr>
          <w:rStyle w:val="41"/>
        </w:rPr>
        <w:t>（如有）</w:t>
      </w:r>
    </w:p>
    <w:p w14:paraId="4458C819">
      <w:pPr>
        <w:pStyle w:val="50"/>
      </w:pPr>
      <w:r>
        <w:t>（适用于有委托代理人的情况时采用）</w:t>
      </w:r>
    </w:p>
    <w:p w14:paraId="23908828">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6945BD4C">
      <w:pPr>
        <w:tabs>
          <w:tab w:val="left" w:pos="6300"/>
        </w:tabs>
        <w:snapToGrid w:val="0"/>
        <w:rPr>
          <w:snapToGrid w:val="0"/>
          <w:kern w:val="0"/>
        </w:rPr>
      </w:pPr>
    </w:p>
    <w:p w14:paraId="5826F46D">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72696FC9">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5D59AB2D">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9BE0EEA">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34CF8178">
      <w:pPr>
        <w:tabs>
          <w:tab w:val="left" w:pos="6300"/>
        </w:tabs>
        <w:snapToGrid w:val="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110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1F6FD22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45A87233">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7622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2F05BCB">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4CFFB87">
            <w:pPr>
              <w:tabs>
                <w:tab w:val="left" w:pos="6300"/>
              </w:tabs>
              <w:snapToGrid w:val="0"/>
              <w:ind w:firstLine="0" w:firstLineChars="0"/>
              <w:rPr>
                <w:snapToGrid w:val="0"/>
                <w:kern w:val="0"/>
              </w:rPr>
            </w:pPr>
            <w:r>
              <w:rPr>
                <w:rFonts w:hint="eastAsia"/>
                <w:snapToGrid w:val="0"/>
                <w:kern w:val="0"/>
                <w:szCs w:val="28"/>
              </w:rPr>
              <w:t>（签字或盖章）</w:t>
            </w:r>
          </w:p>
        </w:tc>
      </w:tr>
    </w:tbl>
    <w:p w14:paraId="193286F7">
      <w:pPr>
        <w:tabs>
          <w:tab w:val="left" w:pos="6300"/>
        </w:tabs>
        <w:snapToGrid w:val="0"/>
        <w:rPr>
          <w:snapToGrid w:val="0"/>
          <w:kern w:val="0"/>
        </w:rPr>
      </w:pPr>
    </w:p>
    <w:p w14:paraId="0CA982FC">
      <w:pPr>
        <w:tabs>
          <w:tab w:val="left" w:pos="6300"/>
        </w:tabs>
        <w:snapToGrid w:val="0"/>
        <w:rPr>
          <w:snapToGrid w:val="0"/>
          <w:kern w:val="0"/>
          <w:szCs w:val="28"/>
        </w:rPr>
      </w:pPr>
    </w:p>
    <w:p w14:paraId="06126DB6">
      <w:pPr>
        <w:tabs>
          <w:tab w:val="left" w:pos="6300"/>
        </w:tabs>
        <w:snapToGrid w:val="0"/>
        <w:rPr>
          <w:snapToGrid w:val="0"/>
          <w:kern w:val="0"/>
        </w:rPr>
      </w:pPr>
    </w:p>
    <w:p w14:paraId="2D50368A">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97B59F5">
      <w:pPr>
        <w:tabs>
          <w:tab w:val="left" w:pos="6300"/>
        </w:tabs>
        <w:snapToGrid w:val="0"/>
        <w:rPr>
          <w:snapToGrid w:val="0"/>
          <w:kern w:val="0"/>
        </w:rPr>
      </w:pPr>
    </w:p>
    <w:p w14:paraId="230C951F">
      <w:pPr>
        <w:tabs>
          <w:tab w:val="left" w:pos="6300"/>
        </w:tabs>
        <w:snapToGrid w:val="0"/>
        <w:rPr>
          <w:snapToGrid w:val="0"/>
          <w:kern w:val="0"/>
        </w:rPr>
      </w:pPr>
    </w:p>
    <w:p w14:paraId="5163C411">
      <w:pPr>
        <w:tabs>
          <w:tab w:val="left" w:pos="6300"/>
        </w:tabs>
        <w:snapToGrid w:val="0"/>
        <w:ind w:firstLine="5250" w:firstLineChars="2500"/>
        <w:rPr>
          <w:snapToGrid w:val="0"/>
          <w:kern w:val="0"/>
        </w:rPr>
      </w:pPr>
      <w:r>
        <w:rPr>
          <w:rFonts w:hint="eastAsia"/>
          <w:snapToGrid w:val="0"/>
          <w:kern w:val="0"/>
        </w:rPr>
        <w:t>响应人：</w:t>
      </w:r>
    </w:p>
    <w:p w14:paraId="113E127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5055993">
      <w:pPr>
        <w:tabs>
          <w:tab w:val="left" w:pos="6300"/>
        </w:tabs>
        <w:snapToGrid w:val="0"/>
        <w:ind w:right="480"/>
        <w:jc w:val="right"/>
        <w:rPr>
          <w:snapToGrid w:val="0"/>
          <w:kern w:val="0"/>
        </w:rPr>
      </w:pPr>
      <w:r>
        <w:rPr>
          <w:rFonts w:hint="eastAsia"/>
          <w:snapToGrid w:val="0"/>
          <w:kern w:val="0"/>
        </w:rPr>
        <w:t>年   月   日</w:t>
      </w:r>
    </w:p>
    <w:p w14:paraId="460CAF10">
      <w:pPr>
        <w:tabs>
          <w:tab w:val="left" w:pos="6300"/>
        </w:tabs>
        <w:snapToGrid w:val="0"/>
        <w:rPr>
          <w:snapToGrid w:val="0"/>
          <w:kern w:val="0"/>
        </w:rPr>
      </w:pPr>
    </w:p>
    <w:p w14:paraId="4EA01902">
      <w:pPr>
        <w:tabs>
          <w:tab w:val="left" w:pos="6300"/>
        </w:tabs>
        <w:snapToGrid w:val="0"/>
        <w:rPr>
          <w:snapToGrid w:val="0"/>
          <w:kern w:val="0"/>
        </w:rPr>
      </w:pPr>
      <w:r>
        <w:rPr>
          <w:rFonts w:hint="eastAsia"/>
          <w:snapToGrid w:val="0"/>
          <w:kern w:val="0"/>
        </w:rPr>
        <w:t>注：若为法定代表人办理并签署响应文件的，不提供此文件。</w:t>
      </w:r>
    </w:p>
    <w:p w14:paraId="77C13532">
      <w:pPr>
        <w:ind w:firstLine="0" w:firstLineChars="0"/>
        <w:sectPr>
          <w:pgSz w:w="11906" w:h="16838"/>
          <w:pgMar w:top="1440" w:right="1800" w:bottom="1440" w:left="1800" w:header="851" w:footer="992" w:gutter="0"/>
          <w:cols w:space="720" w:num="1"/>
          <w:docGrid w:type="lines" w:linePitch="312" w:charSpace="0"/>
        </w:sectPr>
      </w:pPr>
    </w:p>
    <w:bookmarkEnd w:id="90"/>
    <w:bookmarkEnd w:id="91"/>
    <w:bookmarkEnd w:id="92"/>
    <w:bookmarkEnd w:id="93"/>
    <w:bookmarkEnd w:id="94"/>
    <w:p w14:paraId="2BAEB1F8">
      <w:pPr>
        <w:pStyle w:val="39"/>
      </w:pPr>
      <w:r>
        <w:rPr>
          <w:rFonts w:hint="eastAsia"/>
        </w:rPr>
        <w:t>（三）书面声明</w:t>
      </w:r>
    </w:p>
    <w:p w14:paraId="41A64FC8">
      <w:pPr>
        <w:tabs>
          <w:tab w:val="left" w:pos="6300"/>
        </w:tabs>
        <w:snapToGrid w:val="0"/>
        <w:rPr>
          <w:rFonts w:ascii="宋体"/>
          <w:sz w:val="24"/>
        </w:rPr>
      </w:pPr>
    </w:p>
    <w:p w14:paraId="225BA2B2">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31B2AADA">
      <w:pPr>
        <w:tabs>
          <w:tab w:val="left" w:pos="6300"/>
        </w:tabs>
        <w:snapToGrid w:val="0"/>
        <w:rPr>
          <w:rFonts w:ascii="宋体"/>
          <w:sz w:val="24"/>
        </w:rPr>
      </w:pPr>
    </w:p>
    <w:p w14:paraId="40C711D4">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B4DC9FB">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618F86E5">
      <w:pPr>
        <w:tabs>
          <w:tab w:val="left" w:pos="6300"/>
        </w:tabs>
        <w:snapToGrid w:val="0"/>
        <w:rPr>
          <w:rFonts w:ascii="宋体"/>
          <w:sz w:val="24"/>
        </w:rPr>
      </w:pPr>
      <w:r>
        <w:rPr>
          <w:rFonts w:hint="eastAsia" w:ascii="宋体"/>
          <w:sz w:val="24"/>
        </w:rPr>
        <w:t>特此声明。</w:t>
      </w:r>
    </w:p>
    <w:p w14:paraId="281BC3E1">
      <w:pPr>
        <w:tabs>
          <w:tab w:val="left" w:pos="6300"/>
        </w:tabs>
        <w:snapToGrid w:val="0"/>
        <w:rPr>
          <w:rFonts w:ascii="宋体"/>
          <w:sz w:val="24"/>
        </w:rPr>
      </w:pPr>
    </w:p>
    <w:p w14:paraId="2F1FC0FB">
      <w:pPr>
        <w:tabs>
          <w:tab w:val="left" w:pos="6300"/>
        </w:tabs>
        <w:snapToGrid w:val="0"/>
        <w:rPr>
          <w:rFonts w:ascii="宋体"/>
          <w:sz w:val="24"/>
        </w:rPr>
      </w:pPr>
    </w:p>
    <w:p w14:paraId="0B160940">
      <w:pPr>
        <w:tabs>
          <w:tab w:val="left" w:pos="6300"/>
        </w:tabs>
        <w:snapToGrid w:val="0"/>
        <w:rPr>
          <w:rFonts w:ascii="宋体"/>
          <w:sz w:val="24"/>
        </w:rPr>
      </w:pPr>
    </w:p>
    <w:p w14:paraId="3EE6F25F">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672E2AE8">
      <w:pPr>
        <w:tabs>
          <w:tab w:val="left" w:pos="6300"/>
        </w:tabs>
        <w:snapToGrid w:val="0"/>
        <w:ind w:right="480"/>
        <w:jc w:val="right"/>
        <w:rPr>
          <w:rFonts w:ascii="宋体"/>
          <w:sz w:val="24"/>
        </w:rPr>
      </w:pPr>
      <w:r>
        <w:rPr>
          <w:rFonts w:hint="eastAsia" w:ascii="宋体"/>
          <w:sz w:val="24"/>
        </w:rPr>
        <w:t>年   月   日</w:t>
      </w:r>
    </w:p>
    <w:p w14:paraId="1B7BE670">
      <w:pPr>
        <w:jc w:val="left"/>
        <w:rPr>
          <w:rFonts w:ascii="宋体" w:cs="等线 Light"/>
          <w:snapToGrid w:val="0"/>
          <w:kern w:val="0"/>
          <w:sz w:val="24"/>
          <w:szCs w:val="24"/>
        </w:rPr>
      </w:pPr>
    </w:p>
    <w:p w14:paraId="563DE0A7">
      <w:pPr>
        <w:jc w:val="left"/>
        <w:rPr>
          <w:rFonts w:ascii="宋体" w:cs="等线 Light"/>
          <w:snapToGrid w:val="0"/>
          <w:kern w:val="0"/>
          <w:sz w:val="24"/>
          <w:szCs w:val="24"/>
        </w:rPr>
      </w:pPr>
    </w:p>
    <w:p w14:paraId="07FCE61A">
      <w:pPr>
        <w:jc w:val="left"/>
        <w:rPr>
          <w:rFonts w:ascii="宋体" w:cs="等线 Light"/>
          <w:snapToGrid w:val="0"/>
          <w:kern w:val="0"/>
          <w:sz w:val="24"/>
          <w:szCs w:val="24"/>
        </w:rPr>
      </w:pPr>
    </w:p>
    <w:p w14:paraId="75798ADF">
      <w:pPr>
        <w:rPr>
          <w:b/>
          <w:bCs/>
        </w:rPr>
      </w:pPr>
      <w:r>
        <w:rPr>
          <w:rFonts w:hint="eastAsia"/>
          <w:kern w:val="0"/>
        </w:rPr>
        <w:br w:type="page"/>
      </w:r>
    </w:p>
    <w:p w14:paraId="35B7F4AE">
      <w:pPr>
        <w:pStyle w:val="39"/>
      </w:pPr>
      <w:r>
        <w:t>（</w:t>
      </w:r>
      <w:r>
        <w:rPr>
          <w:rFonts w:hint="eastAsia"/>
        </w:rPr>
        <w:t>四</w:t>
      </w:r>
      <w:r>
        <w:t>）中国执行信息公开网截图</w:t>
      </w:r>
    </w:p>
    <w:p w14:paraId="25C87BA0">
      <w:r>
        <w:rPr>
          <w:rFonts w:hint="eastAsia"/>
        </w:rPr>
        <w:t>1.法人在</w:t>
      </w:r>
      <w:r>
        <w:t>中国执行信息公开网</w:t>
      </w:r>
      <w:r>
        <w:rPr>
          <w:rFonts w:hint="eastAsia"/>
        </w:rPr>
        <w:t>的查询</w:t>
      </w:r>
      <w:r>
        <w:t>截图</w:t>
      </w:r>
      <w:r>
        <w:rPr>
          <w:rFonts w:hint="eastAsia"/>
        </w:rPr>
        <w:t>并加盖单位鲜章</w:t>
      </w:r>
    </w:p>
    <w:p w14:paraId="1450C4FD">
      <w:r>
        <w:rPr>
          <w:rFonts w:hint="eastAsia"/>
        </w:rPr>
        <w:t>2.法定代表人在</w:t>
      </w:r>
      <w:r>
        <w:t>中国执行信息公开网</w:t>
      </w:r>
      <w:r>
        <w:rPr>
          <w:rFonts w:hint="eastAsia"/>
        </w:rPr>
        <w:t>的查询</w:t>
      </w:r>
      <w:r>
        <w:t>截图</w:t>
      </w:r>
      <w:r>
        <w:rPr>
          <w:rFonts w:hint="eastAsia"/>
        </w:rPr>
        <w:t>并加盖单位鲜章</w:t>
      </w:r>
    </w:p>
    <w:p w14:paraId="317BB0FE"/>
    <w:p w14:paraId="7D081A46"/>
    <w:p w14:paraId="6FE00366"/>
    <w:p w14:paraId="721900B6">
      <w:r>
        <w:rPr>
          <w:rFonts w:hint="eastAsia"/>
        </w:rPr>
        <w:br w:type="page"/>
      </w:r>
    </w:p>
    <w:p w14:paraId="26A254B3">
      <w:pPr>
        <w:pStyle w:val="39"/>
      </w:pPr>
      <w:r>
        <w:rPr>
          <w:rFonts w:hint="eastAsia"/>
          <w:lang w:val="zh-CN"/>
        </w:rPr>
        <w:t>（</w:t>
      </w:r>
      <w:r>
        <w:rPr>
          <w:rFonts w:hint="eastAsia"/>
        </w:rPr>
        <w:t>五</w:t>
      </w:r>
      <w:r>
        <w:rPr>
          <w:rFonts w:hint="eastAsia"/>
          <w:lang w:val="zh-CN"/>
        </w:rPr>
        <w:t>）项目案例</w:t>
      </w:r>
      <w:r>
        <w:rPr>
          <w:rFonts w:hint="eastAsia"/>
        </w:rPr>
        <w:t>和业绩证明文件复印件</w:t>
      </w:r>
    </w:p>
    <w:p w14:paraId="4F7D9284">
      <w:r>
        <w:rPr>
          <w:rFonts w:hint="eastAsia"/>
        </w:rPr>
        <w:t>1、合同关键页（合同关键页</w:t>
      </w:r>
      <w:r>
        <w:t>包含：甲乙双方名称、双方印章、项目名称、合同签订时间</w:t>
      </w:r>
      <w:r>
        <w:rPr>
          <w:rFonts w:hint="eastAsia"/>
        </w:rPr>
        <w:t>、服务范围。）</w:t>
      </w:r>
    </w:p>
    <w:p w14:paraId="1977D7BD">
      <w:r>
        <w:rPr>
          <w:rFonts w:hint="eastAsia"/>
        </w:rPr>
        <w:t>2、项目简介（格式自拟）</w:t>
      </w:r>
    </w:p>
    <w:p w14:paraId="60FBFD1C">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4E35E112"/>
    <w:p w14:paraId="5B9DA041">
      <w:pPr>
        <w:rPr>
          <w:lang w:val="zh-CN"/>
        </w:rPr>
      </w:pPr>
    </w:p>
    <w:p w14:paraId="1600C51E">
      <w:pPr>
        <w:pStyle w:val="11"/>
      </w:pPr>
    </w:p>
    <w:p w14:paraId="48CF50EC">
      <w:pPr>
        <w:rPr>
          <w:lang w:val="zh-CN"/>
        </w:rPr>
        <w:sectPr>
          <w:pgSz w:w="11906" w:h="16838"/>
          <w:pgMar w:top="1440" w:right="1800" w:bottom="1440" w:left="1800" w:header="851" w:footer="992" w:gutter="0"/>
          <w:cols w:space="720" w:num="1"/>
          <w:docGrid w:type="lines" w:linePitch="312" w:charSpace="0"/>
        </w:sectPr>
      </w:pPr>
    </w:p>
    <w:p w14:paraId="50BAC746">
      <w:pPr>
        <w:pStyle w:val="39"/>
        <w:ind w:firstLine="420"/>
      </w:pPr>
      <w:r>
        <w:rPr>
          <w:rFonts w:hint="eastAsia"/>
        </w:rPr>
        <w:t>（六）原厂</w:t>
      </w:r>
      <w:r>
        <w:t>响应</w:t>
      </w:r>
      <w:r>
        <w:rPr>
          <w:rFonts w:hint="eastAsia"/>
        </w:rPr>
        <w:t>授权函</w:t>
      </w:r>
    </w:p>
    <w:p w14:paraId="3290B5D5">
      <w:pPr>
        <w:jc w:val="center"/>
      </w:pPr>
      <w:r>
        <w:rPr>
          <w:rFonts w:hint="eastAsia"/>
        </w:rPr>
        <w:t>响应人如为代理商，则提供该材料，加盖响应人公章</w:t>
      </w:r>
    </w:p>
    <w:p w14:paraId="33FC400E"/>
    <w:p w14:paraId="0B77B02F"/>
    <w:p w14:paraId="44539B4C"/>
    <w:p w14:paraId="568F466B">
      <w:pPr>
        <w:sectPr>
          <w:pgSz w:w="11906" w:h="16838"/>
          <w:pgMar w:top="1440" w:right="1800" w:bottom="1440" w:left="1800" w:header="851" w:footer="992" w:gutter="0"/>
          <w:cols w:space="720" w:num="1"/>
          <w:docGrid w:type="lines" w:linePitch="312" w:charSpace="0"/>
        </w:sectPr>
      </w:pPr>
    </w:p>
    <w:p w14:paraId="5DFB3A3F">
      <w:pPr>
        <w:pStyle w:val="39"/>
        <w:ind w:firstLine="420"/>
        <w:rPr>
          <w:lang w:val="zh-CN"/>
        </w:rPr>
      </w:pPr>
      <w:r>
        <w:rPr>
          <w:rFonts w:hint="eastAsia"/>
          <w:lang w:val="zh-CN"/>
        </w:rPr>
        <w:t>（</w:t>
      </w:r>
      <w:r>
        <w:rPr>
          <w:rFonts w:hint="eastAsia"/>
        </w:rPr>
        <w:t>七</w:t>
      </w:r>
      <w:r>
        <w:rPr>
          <w:rFonts w:hint="eastAsia"/>
          <w:lang w:val="zh-CN"/>
        </w:rPr>
        <w:t>）</w:t>
      </w:r>
      <w:r>
        <w:rPr>
          <w:rFonts w:hint="eastAsia"/>
        </w:rPr>
        <w:t>售后服务</w:t>
      </w:r>
      <w:r>
        <w:rPr>
          <w:rFonts w:hint="eastAsia"/>
          <w:lang w:val="zh-CN"/>
        </w:rPr>
        <w:t>承诺函</w:t>
      </w:r>
    </w:p>
    <w:p w14:paraId="51B4B188">
      <w:pPr>
        <w:rPr>
          <w:lang w:val="zh-CN"/>
        </w:rPr>
      </w:pPr>
    </w:p>
    <w:p w14:paraId="259F9BD4">
      <w:pPr>
        <w:rPr>
          <w:lang w:val="zh-CN"/>
        </w:rPr>
      </w:pPr>
    </w:p>
    <w:p w14:paraId="4E51420D">
      <w:pPr>
        <w:rPr>
          <w:lang w:val="zh-CN"/>
        </w:rPr>
        <w:sectPr>
          <w:pgSz w:w="11906" w:h="16838"/>
          <w:pgMar w:top="1440" w:right="1800" w:bottom="1440" w:left="1800" w:header="851" w:footer="992" w:gutter="0"/>
          <w:cols w:space="720" w:num="1"/>
          <w:docGrid w:type="lines" w:linePitch="312" w:charSpace="0"/>
        </w:sectPr>
      </w:pPr>
    </w:p>
    <w:p w14:paraId="50F2B659">
      <w:pPr>
        <w:pStyle w:val="39"/>
        <w:rPr>
          <w:lang w:val="zh-CN"/>
        </w:rPr>
      </w:pPr>
      <w:r>
        <w:rPr>
          <w:rFonts w:hint="eastAsia"/>
          <w:lang w:val="zh-CN"/>
        </w:rPr>
        <w:t>（</w:t>
      </w:r>
      <w:r>
        <w:rPr>
          <w:rFonts w:hint="eastAsia"/>
        </w:rPr>
        <w:t>八</w:t>
      </w:r>
      <w:r>
        <w:rPr>
          <w:rFonts w:hint="eastAsia"/>
          <w:lang w:val="zh-CN"/>
        </w:rPr>
        <w:t>）</w:t>
      </w:r>
      <w:r>
        <w:rPr>
          <w:rFonts w:hint="eastAsia"/>
        </w:rPr>
        <w:t>其他（如有）</w:t>
      </w:r>
    </w:p>
    <w:p w14:paraId="3A8E0990">
      <w:pPr>
        <w:rPr>
          <w:lang w:val="zh-CN"/>
        </w:rPr>
      </w:pPr>
    </w:p>
    <w:p w14:paraId="5C763321">
      <w:pPr>
        <w:rPr>
          <w:lang w:val="zh-CN"/>
        </w:rPr>
      </w:pPr>
    </w:p>
    <w:p w14:paraId="43F9D914">
      <w:pPr>
        <w:rPr>
          <w:lang w:val="zh-CN"/>
        </w:rPr>
        <w:sectPr>
          <w:pgSz w:w="11906" w:h="16838"/>
          <w:pgMar w:top="1440" w:right="1800" w:bottom="1440" w:left="1800" w:header="851" w:footer="992" w:gutter="0"/>
          <w:cols w:space="720" w:num="1"/>
          <w:docGrid w:type="lines" w:linePitch="312" w:charSpace="0"/>
        </w:sectPr>
      </w:pPr>
    </w:p>
    <w:p w14:paraId="5B57FE35">
      <w:pPr>
        <w:pStyle w:val="37"/>
      </w:pPr>
      <w:r>
        <w:t>四、响应性文件</w:t>
      </w:r>
    </w:p>
    <w:p w14:paraId="519089FB">
      <w:pPr>
        <w:pStyle w:val="39"/>
      </w:pPr>
      <w:r>
        <w:rPr>
          <w:rFonts w:hint="eastAsia"/>
        </w:rPr>
        <w:t>（一）响应承诺函</w:t>
      </w:r>
    </w:p>
    <w:p w14:paraId="748AE7F8">
      <w:r>
        <w:rPr>
          <w:rFonts w:hint="eastAsia"/>
        </w:rPr>
        <w:t>根据第三章“项目要求”内容，做出整体承诺，格式自理。</w:t>
      </w:r>
    </w:p>
    <w:p w14:paraId="479F2EBB"/>
    <w:p w14:paraId="0C4D7D21">
      <w:pPr>
        <w:sectPr>
          <w:pgSz w:w="11906" w:h="16838"/>
          <w:pgMar w:top="1440" w:right="1800" w:bottom="1440" w:left="1800" w:header="851" w:footer="992" w:gutter="0"/>
          <w:cols w:space="720" w:num="1"/>
          <w:docGrid w:type="lines" w:linePitch="312" w:charSpace="0"/>
        </w:sectPr>
      </w:pPr>
    </w:p>
    <w:p w14:paraId="7C3C4E33">
      <w:pPr>
        <w:pStyle w:val="39"/>
      </w:pPr>
      <w:r>
        <w:rPr>
          <w:rFonts w:hint="eastAsia"/>
        </w:rPr>
        <w:t>（二）</w:t>
      </w:r>
      <w:r>
        <w:t>技术</w:t>
      </w:r>
      <w:r>
        <w:rPr>
          <w:rFonts w:hint="eastAsia"/>
        </w:rPr>
        <w:t>条款偏离表</w:t>
      </w:r>
    </w:p>
    <w:p w14:paraId="36C536F9">
      <w:pPr>
        <w:rPr>
          <w:rFonts w:ascii="宋体" w:cs="等线 Light"/>
          <w:b/>
          <w:snapToGrid w:val="0"/>
          <w:kern w:val="0"/>
          <w:sz w:val="24"/>
          <w:szCs w:val="24"/>
        </w:rPr>
      </w:pPr>
    </w:p>
    <w:tbl>
      <w:tblPr>
        <w:tblStyle w:val="22"/>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0F05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7325E4F5">
            <w:pPr>
              <w:pStyle w:val="44"/>
            </w:pPr>
            <w:r>
              <w:rPr>
                <w:rFonts w:hint="eastAsia"/>
              </w:rPr>
              <w:t>序号</w:t>
            </w:r>
          </w:p>
        </w:tc>
        <w:tc>
          <w:tcPr>
            <w:tcW w:w="1980" w:type="dxa"/>
            <w:vAlign w:val="center"/>
          </w:tcPr>
          <w:p w14:paraId="5171C99F">
            <w:pPr>
              <w:pStyle w:val="44"/>
            </w:pPr>
            <w:r>
              <w:rPr>
                <w:rFonts w:hint="eastAsia"/>
              </w:rPr>
              <w:t>询比文件条目号</w:t>
            </w:r>
          </w:p>
        </w:tc>
        <w:tc>
          <w:tcPr>
            <w:tcW w:w="2056" w:type="dxa"/>
            <w:vAlign w:val="center"/>
          </w:tcPr>
          <w:p w14:paraId="6914C163">
            <w:pPr>
              <w:pStyle w:val="44"/>
            </w:pPr>
            <w:r>
              <w:rPr>
                <w:rFonts w:hint="eastAsia"/>
              </w:rPr>
              <w:t>询比文件技术要求</w:t>
            </w:r>
          </w:p>
        </w:tc>
        <w:tc>
          <w:tcPr>
            <w:tcW w:w="2490" w:type="dxa"/>
            <w:vAlign w:val="center"/>
          </w:tcPr>
          <w:p w14:paraId="024EBE1E">
            <w:pPr>
              <w:pStyle w:val="44"/>
            </w:pPr>
            <w:r>
              <w:rPr>
                <w:rFonts w:hint="eastAsia"/>
              </w:rPr>
              <w:t>响应文件对应技术要求</w:t>
            </w:r>
          </w:p>
        </w:tc>
        <w:tc>
          <w:tcPr>
            <w:tcW w:w="1363" w:type="dxa"/>
            <w:vAlign w:val="center"/>
          </w:tcPr>
          <w:p w14:paraId="5AB3F0B5">
            <w:pPr>
              <w:pStyle w:val="44"/>
            </w:pPr>
            <w:r>
              <w:rPr>
                <w:rFonts w:hint="eastAsia"/>
              </w:rPr>
              <w:t>说明</w:t>
            </w:r>
          </w:p>
        </w:tc>
      </w:tr>
      <w:tr w14:paraId="003D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969EA68">
            <w:pPr>
              <w:pStyle w:val="43"/>
            </w:pPr>
            <w:r>
              <w:rPr>
                <w:rFonts w:hint="eastAsia"/>
              </w:rPr>
              <w:t>例</w:t>
            </w:r>
          </w:p>
        </w:tc>
        <w:tc>
          <w:tcPr>
            <w:tcW w:w="1980" w:type="dxa"/>
            <w:tcBorders>
              <w:left w:val="single" w:color="auto" w:sz="4" w:space="0"/>
            </w:tcBorders>
            <w:vAlign w:val="center"/>
          </w:tcPr>
          <w:p w14:paraId="1E4DD48B">
            <w:pPr>
              <w:pStyle w:val="43"/>
            </w:pPr>
            <w:r>
              <w:rPr>
                <w:rFonts w:hint="eastAsia"/>
              </w:rPr>
              <w:t>第三章</w:t>
            </w:r>
            <w:r>
              <w:t>技术要求指标项XXX</w:t>
            </w:r>
          </w:p>
        </w:tc>
        <w:tc>
          <w:tcPr>
            <w:tcW w:w="2056" w:type="dxa"/>
            <w:tcBorders>
              <w:left w:val="single" w:color="auto" w:sz="4" w:space="0"/>
            </w:tcBorders>
            <w:vAlign w:val="center"/>
          </w:tcPr>
          <w:p w14:paraId="39E5AD9D">
            <w:pPr>
              <w:pStyle w:val="43"/>
            </w:pPr>
            <w:r>
              <w:rPr>
                <w:rFonts w:hint="eastAsia"/>
              </w:rPr>
              <w:t>XXXXXX（询比文件原文）</w:t>
            </w:r>
          </w:p>
        </w:tc>
        <w:tc>
          <w:tcPr>
            <w:tcW w:w="2490" w:type="dxa"/>
            <w:tcBorders>
              <w:left w:val="single" w:color="auto" w:sz="4" w:space="0"/>
            </w:tcBorders>
            <w:vAlign w:val="center"/>
          </w:tcPr>
          <w:p w14:paraId="5F503C7F">
            <w:pPr>
              <w:pStyle w:val="43"/>
            </w:pPr>
            <w:r>
              <w:rPr>
                <w:rFonts w:hint="eastAsia"/>
              </w:rPr>
              <w:t>满足</w:t>
            </w:r>
          </w:p>
          <w:p w14:paraId="6443E7D2">
            <w:pPr>
              <w:pStyle w:val="43"/>
            </w:pPr>
            <w:r>
              <w:rPr>
                <w:rFonts w:hint="eastAsia"/>
              </w:rPr>
              <w:t>XXXXXX（响应文件原文）</w:t>
            </w:r>
          </w:p>
        </w:tc>
        <w:tc>
          <w:tcPr>
            <w:tcW w:w="1363" w:type="dxa"/>
            <w:tcBorders>
              <w:left w:val="single" w:color="auto" w:sz="4" w:space="0"/>
            </w:tcBorders>
            <w:vAlign w:val="center"/>
          </w:tcPr>
          <w:p w14:paraId="5A8BEA19">
            <w:pPr>
              <w:pStyle w:val="43"/>
            </w:pPr>
            <w:r>
              <w:rPr>
                <w:rFonts w:hint="eastAsia"/>
              </w:rPr>
              <w:t>满足</w:t>
            </w:r>
          </w:p>
          <w:p w14:paraId="51A8C57E">
            <w:pPr>
              <w:pStyle w:val="43"/>
            </w:pPr>
            <w:r>
              <w:rPr>
                <w:rFonts w:hint="eastAsia"/>
              </w:rPr>
              <w:t>无偏离</w:t>
            </w:r>
          </w:p>
        </w:tc>
      </w:tr>
      <w:tr w14:paraId="21F9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AD6F543">
            <w:pPr>
              <w:pStyle w:val="43"/>
            </w:pPr>
          </w:p>
        </w:tc>
        <w:tc>
          <w:tcPr>
            <w:tcW w:w="1980" w:type="dxa"/>
            <w:tcBorders>
              <w:left w:val="single" w:color="auto" w:sz="4" w:space="0"/>
            </w:tcBorders>
            <w:vAlign w:val="center"/>
          </w:tcPr>
          <w:p w14:paraId="1CC1575E">
            <w:pPr>
              <w:pStyle w:val="43"/>
            </w:pPr>
          </w:p>
        </w:tc>
        <w:tc>
          <w:tcPr>
            <w:tcW w:w="2056" w:type="dxa"/>
            <w:tcBorders>
              <w:left w:val="single" w:color="auto" w:sz="4" w:space="0"/>
            </w:tcBorders>
            <w:vAlign w:val="center"/>
          </w:tcPr>
          <w:p w14:paraId="59772019">
            <w:pPr>
              <w:pStyle w:val="43"/>
            </w:pPr>
          </w:p>
        </w:tc>
        <w:tc>
          <w:tcPr>
            <w:tcW w:w="2490" w:type="dxa"/>
            <w:tcBorders>
              <w:left w:val="single" w:color="auto" w:sz="4" w:space="0"/>
            </w:tcBorders>
            <w:vAlign w:val="center"/>
          </w:tcPr>
          <w:p w14:paraId="0E3FD8F1">
            <w:pPr>
              <w:pStyle w:val="43"/>
            </w:pPr>
          </w:p>
        </w:tc>
        <w:tc>
          <w:tcPr>
            <w:tcW w:w="1363" w:type="dxa"/>
            <w:tcBorders>
              <w:left w:val="single" w:color="auto" w:sz="4" w:space="0"/>
            </w:tcBorders>
            <w:vAlign w:val="center"/>
          </w:tcPr>
          <w:p w14:paraId="28889191">
            <w:pPr>
              <w:pStyle w:val="43"/>
            </w:pPr>
          </w:p>
        </w:tc>
      </w:tr>
      <w:tr w14:paraId="657A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8C646B7">
            <w:pPr>
              <w:pStyle w:val="43"/>
            </w:pPr>
          </w:p>
        </w:tc>
        <w:tc>
          <w:tcPr>
            <w:tcW w:w="1980" w:type="dxa"/>
            <w:tcBorders>
              <w:left w:val="single" w:color="auto" w:sz="4" w:space="0"/>
            </w:tcBorders>
            <w:vAlign w:val="center"/>
          </w:tcPr>
          <w:p w14:paraId="59D91626">
            <w:pPr>
              <w:pStyle w:val="43"/>
            </w:pPr>
          </w:p>
        </w:tc>
        <w:tc>
          <w:tcPr>
            <w:tcW w:w="2056" w:type="dxa"/>
            <w:tcBorders>
              <w:left w:val="single" w:color="auto" w:sz="4" w:space="0"/>
            </w:tcBorders>
            <w:vAlign w:val="center"/>
          </w:tcPr>
          <w:p w14:paraId="75DDFB31">
            <w:pPr>
              <w:pStyle w:val="43"/>
            </w:pPr>
          </w:p>
        </w:tc>
        <w:tc>
          <w:tcPr>
            <w:tcW w:w="2490" w:type="dxa"/>
            <w:tcBorders>
              <w:left w:val="single" w:color="auto" w:sz="4" w:space="0"/>
            </w:tcBorders>
            <w:vAlign w:val="center"/>
          </w:tcPr>
          <w:p w14:paraId="334A086A">
            <w:pPr>
              <w:pStyle w:val="43"/>
            </w:pPr>
          </w:p>
        </w:tc>
        <w:tc>
          <w:tcPr>
            <w:tcW w:w="1363" w:type="dxa"/>
            <w:tcBorders>
              <w:left w:val="single" w:color="auto" w:sz="4" w:space="0"/>
            </w:tcBorders>
            <w:vAlign w:val="center"/>
          </w:tcPr>
          <w:p w14:paraId="3DE2397D">
            <w:pPr>
              <w:pStyle w:val="43"/>
            </w:pPr>
          </w:p>
        </w:tc>
      </w:tr>
      <w:tr w14:paraId="2ACC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8DEC0AB">
            <w:pPr>
              <w:pStyle w:val="43"/>
            </w:pPr>
          </w:p>
        </w:tc>
        <w:tc>
          <w:tcPr>
            <w:tcW w:w="1980" w:type="dxa"/>
            <w:tcBorders>
              <w:left w:val="single" w:color="auto" w:sz="4" w:space="0"/>
            </w:tcBorders>
            <w:vAlign w:val="center"/>
          </w:tcPr>
          <w:p w14:paraId="51764A4D">
            <w:pPr>
              <w:pStyle w:val="43"/>
            </w:pPr>
          </w:p>
        </w:tc>
        <w:tc>
          <w:tcPr>
            <w:tcW w:w="2056" w:type="dxa"/>
            <w:tcBorders>
              <w:left w:val="single" w:color="auto" w:sz="4" w:space="0"/>
            </w:tcBorders>
            <w:vAlign w:val="center"/>
          </w:tcPr>
          <w:p w14:paraId="4F1E957A">
            <w:pPr>
              <w:pStyle w:val="43"/>
            </w:pPr>
          </w:p>
        </w:tc>
        <w:tc>
          <w:tcPr>
            <w:tcW w:w="2490" w:type="dxa"/>
            <w:tcBorders>
              <w:left w:val="single" w:color="auto" w:sz="4" w:space="0"/>
            </w:tcBorders>
            <w:vAlign w:val="center"/>
          </w:tcPr>
          <w:p w14:paraId="6495316E">
            <w:pPr>
              <w:pStyle w:val="43"/>
            </w:pPr>
          </w:p>
        </w:tc>
        <w:tc>
          <w:tcPr>
            <w:tcW w:w="1363" w:type="dxa"/>
            <w:tcBorders>
              <w:left w:val="single" w:color="auto" w:sz="4" w:space="0"/>
            </w:tcBorders>
            <w:vAlign w:val="center"/>
          </w:tcPr>
          <w:p w14:paraId="36AAD631">
            <w:pPr>
              <w:pStyle w:val="43"/>
            </w:pPr>
          </w:p>
        </w:tc>
      </w:tr>
      <w:tr w14:paraId="5FCE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CF0BC1">
            <w:pPr>
              <w:pStyle w:val="43"/>
            </w:pPr>
          </w:p>
        </w:tc>
        <w:tc>
          <w:tcPr>
            <w:tcW w:w="1980" w:type="dxa"/>
            <w:tcBorders>
              <w:left w:val="single" w:color="auto" w:sz="4" w:space="0"/>
            </w:tcBorders>
            <w:vAlign w:val="center"/>
          </w:tcPr>
          <w:p w14:paraId="02EA4BEA">
            <w:pPr>
              <w:pStyle w:val="43"/>
            </w:pPr>
          </w:p>
        </w:tc>
        <w:tc>
          <w:tcPr>
            <w:tcW w:w="2056" w:type="dxa"/>
            <w:tcBorders>
              <w:left w:val="single" w:color="auto" w:sz="4" w:space="0"/>
            </w:tcBorders>
            <w:vAlign w:val="center"/>
          </w:tcPr>
          <w:p w14:paraId="74C3A1D6">
            <w:pPr>
              <w:pStyle w:val="43"/>
            </w:pPr>
          </w:p>
        </w:tc>
        <w:tc>
          <w:tcPr>
            <w:tcW w:w="2490" w:type="dxa"/>
            <w:tcBorders>
              <w:left w:val="single" w:color="auto" w:sz="4" w:space="0"/>
            </w:tcBorders>
            <w:vAlign w:val="center"/>
          </w:tcPr>
          <w:p w14:paraId="3443CB57">
            <w:pPr>
              <w:pStyle w:val="43"/>
            </w:pPr>
          </w:p>
        </w:tc>
        <w:tc>
          <w:tcPr>
            <w:tcW w:w="1363" w:type="dxa"/>
            <w:tcBorders>
              <w:left w:val="single" w:color="auto" w:sz="4" w:space="0"/>
            </w:tcBorders>
            <w:vAlign w:val="center"/>
          </w:tcPr>
          <w:p w14:paraId="7D6B73E5">
            <w:pPr>
              <w:pStyle w:val="43"/>
            </w:pPr>
          </w:p>
        </w:tc>
      </w:tr>
      <w:tr w14:paraId="0515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7E4B2A">
            <w:pPr>
              <w:pStyle w:val="43"/>
            </w:pPr>
          </w:p>
        </w:tc>
        <w:tc>
          <w:tcPr>
            <w:tcW w:w="1980" w:type="dxa"/>
            <w:tcBorders>
              <w:left w:val="single" w:color="auto" w:sz="4" w:space="0"/>
            </w:tcBorders>
            <w:vAlign w:val="center"/>
          </w:tcPr>
          <w:p w14:paraId="43D22C3F">
            <w:pPr>
              <w:pStyle w:val="43"/>
            </w:pPr>
          </w:p>
        </w:tc>
        <w:tc>
          <w:tcPr>
            <w:tcW w:w="2056" w:type="dxa"/>
            <w:tcBorders>
              <w:left w:val="single" w:color="auto" w:sz="4" w:space="0"/>
            </w:tcBorders>
            <w:vAlign w:val="center"/>
          </w:tcPr>
          <w:p w14:paraId="320BF6E9">
            <w:pPr>
              <w:pStyle w:val="43"/>
            </w:pPr>
          </w:p>
        </w:tc>
        <w:tc>
          <w:tcPr>
            <w:tcW w:w="2490" w:type="dxa"/>
            <w:tcBorders>
              <w:left w:val="single" w:color="auto" w:sz="4" w:space="0"/>
            </w:tcBorders>
            <w:vAlign w:val="center"/>
          </w:tcPr>
          <w:p w14:paraId="3653935B">
            <w:pPr>
              <w:pStyle w:val="43"/>
            </w:pPr>
          </w:p>
        </w:tc>
        <w:tc>
          <w:tcPr>
            <w:tcW w:w="1363" w:type="dxa"/>
            <w:tcBorders>
              <w:left w:val="single" w:color="auto" w:sz="4" w:space="0"/>
            </w:tcBorders>
            <w:vAlign w:val="center"/>
          </w:tcPr>
          <w:p w14:paraId="0FBF142B">
            <w:pPr>
              <w:pStyle w:val="43"/>
            </w:pPr>
          </w:p>
        </w:tc>
      </w:tr>
      <w:tr w14:paraId="509F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4872E09">
            <w:pPr>
              <w:pStyle w:val="43"/>
            </w:pPr>
          </w:p>
        </w:tc>
        <w:tc>
          <w:tcPr>
            <w:tcW w:w="1980" w:type="dxa"/>
            <w:tcBorders>
              <w:left w:val="single" w:color="auto" w:sz="4" w:space="0"/>
            </w:tcBorders>
            <w:vAlign w:val="center"/>
          </w:tcPr>
          <w:p w14:paraId="05C70DF1">
            <w:pPr>
              <w:pStyle w:val="43"/>
            </w:pPr>
          </w:p>
        </w:tc>
        <w:tc>
          <w:tcPr>
            <w:tcW w:w="2056" w:type="dxa"/>
            <w:tcBorders>
              <w:left w:val="single" w:color="auto" w:sz="4" w:space="0"/>
            </w:tcBorders>
            <w:vAlign w:val="center"/>
          </w:tcPr>
          <w:p w14:paraId="525ABC74">
            <w:pPr>
              <w:pStyle w:val="43"/>
            </w:pPr>
          </w:p>
        </w:tc>
        <w:tc>
          <w:tcPr>
            <w:tcW w:w="2490" w:type="dxa"/>
            <w:tcBorders>
              <w:left w:val="single" w:color="auto" w:sz="4" w:space="0"/>
            </w:tcBorders>
            <w:vAlign w:val="center"/>
          </w:tcPr>
          <w:p w14:paraId="28336AC4">
            <w:pPr>
              <w:pStyle w:val="43"/>
            </w:pPr>
          </w:p>
        </w:tc>
        <w:tc>
          <w:tcPr>
            <w:tcW w:w="1363" w:type="dxa"/>
            <w:tcBorders>
              <w:left w:val="single" w:color="auto" w:sz="4" w:space="0"/>
            </w:tcBorders>
            <w:vAlign w:val="center"/>
          </w:tcPr>
          <w:p w14:paraId="002D0C58">
            <w:pPr>
              <w:pStyle w:val="43"/>
            </w:pPr>
          </w:p>
        </w:tc>
      </w:tr>
      <w:tr w14:paraId="0EF7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660554">
            <w:pPr>
              <w:pStyle w:val="43"/>
            </w:pPr>
          </w:p>
        </w:tc>
        <w:tc>
          <w:tcPr>
            <w:tcW w:w="1980" w:type="dxa"/>
            <w:tcBorders>
              <w:left w:val="single" w:color="auto" w:sz="4" w:space="0"/>
            </w:tcBorders>
            <w:vAlign w:val="center"/>
          </w:tcPr>
          <w:p w14:paraId="1B641EA6">
            <w:pPr>
              <w:pStyle w:val="43"/>
            </w:pPr>
          </w:p>
        </w:tc>
        <w:tc>
          <w:tcPr>
            <w:tcW w:w="2056" w:type="dxa"/>
            <w:tcBorders>
              <w:left w:val="single" w:color="auto" w:sz="4" w:space="0"/>
            </w:tcBorders>
            <w:vAlign w:val="center"/>
          </w:tcPr>
          <w:p w14:paraId="00C53947">
            <w:pPr>
              <w:pStyle w:val="43"/>
            </w:pPr>
          </w:p>
        </w:tc>
        <w:tc>
          <w:tcPr>
            <w:tcW w:w="2490" w:type="dxa"/>
            <w:tcBorders>
              <w:left w:val="single" w:color="auto" w:sz="4" w:space="0"/>
            </w:tcBorders>
            <w:vAlign w:val="center"/>
          </w:tcPr>
          <w:p w14:paraId="6783A248">
            <w:pPr>
              <w:pStyle w:val="43"/>
            </w:pPr>
          </w:p>
        </w:tc>
        <w:tc>
          <w:tcPr>
            <w:tcW w:w="1363" w:type="dxa"/>
            <w:tcBorders>
              <w:left w:val="single" w:color="auto" w:sz="4" w:space="0"/>
            </w:tcBorders>
            <w:vAlign w:val="center"/>
          </w:tcPr>
          <w:p w14:paraId="14CD3D08">
            <w:pPr>
              <w:pStyle w:val="43"/>
            </w:pPr>
          </w:p>
        </w:tc>
      </w:tr>
      <w:tr w14:paraId="669F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CA95F1F">
            <w:pPr>
              <w:pStyle w:val="43"/>
            </w:pPr>
          </w:p>
        </w:tc>
        <w:tc>
          <w:tcPr>
            <w:tcW w:w="1980" w:type="dxa"/>
            <w:tcBorders>
              <w:left w:val="single" w:color="auto" w:sz="4" w:space="0"/>
            </w:tcBorders>
            <w:vAlign w:val="center"/>
          </w:tcPr>
          <w:p w14:paraId="5A688B3E">
            <w:pPr>
              <w:pStyle w:val="43"/>
            </w:pPr>
          </w:p>
        </w:tc>
        <w:tc>
          <w:tcPr>
            <w:tcW w:w="2056" w:type="dxa"/>
            <w:tcBorders>
              <w:left w:val="single" w:color="auto" w:sz="4" w:space="0"/>
            </w:tcBorders>
            <w:vAlign w:val="center"/>
          </w:tcPr>
          <w:p w14:paraId="55550D92">
            <w:pPr>
              <w:pStyle w:val="43"/>
            </w:pPr>
          </w:p>
        </w:tc>
        <w:tc>
          <w:tcPr>
            <w:tcW w:w="2490" w:type="dxa"/>
            <w:tcBorders>
              <w:left w:val="single" w:color="auto" w:sz="4" w:space="0"/>
            </w:tcBorders>
            <w:vAlign w:val="center"/>
          </w:tcPr>
          <w:p w14:paraId="1DA831FB">
            <w:pPr>
              <w:pStyle w:val="43"/>
            </w:pPr>
          </w:p>
        </w:tc>
        <w:tc>
          <w:tcPr>
            <w:tcW w:w="1363" w:type="dxa"/>
            <w:tcBorders>
              <w:left w:val="single" w:color="auto" w:sz="4" w:space="0"/>
            </w:tcBorders>
            <w:vAlign w:val="center"/>
          </w:tcPr>
          <w:p w14:paraId="6E50AA60">
            <w:pPr>
              <w:pStyle w:val="43"/>
            </w:pPr>
          </w:p>
        </w:tc>
      </w:tr>
      <w:tr w14:paraId="02C1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89E77C">
            <w:pPr>
              <w:pStyle w:val="43"/>
            </w:pPr>
          </w:p>
        </w:tc>
        <w:tc>
          <w:tcPr>
            <w:tcW w:w="1980" w:type="dxa"/>
            <w:tcBorders>
              <w:left w:val="single" w:color="auto" w:sz="4" w:space="0"/>
            </w:tcBorders>
            <w:vAlign w:val="center"/>
          </w:tcPr>
          <w:p w14:paraId="753AA0A3">
            <w:pPr>
              <w:pStyle w:val="43"/>
            </w:pPr>
          </w:p>
        </w:tc>
        <w:tc>
          <w:tcPr>
            <w:tcW w:w="2056" w:type="dxa"/>
            <w:tcBorders>
              <w:left w:val="single" w:color="auto" w:sz="4" w:space="0"/>
            </w:tcBorders>
            <w:vAlign w:val="center"/>
          </w:tcPr>
          <w:p w14:paraId="70CAA0A2">
            <w:pPr>
              <w:pStyle w:val="43"/>
            </w:pPr>
          </w:p>
        </w:tc>
        <w:tc>
          <w:tcPr>
            <w:tcW w:w="2490" w:type="dxa"/>
            <w:tcBorders>
              <w:left w:val="single" w:color="auto" w:sz="4" w:space="0"/>
            </w:tcBorders>
            <w:vAlign w:val="center"/>
          </w:tcPr>
          <w:p w14:paraId="5CB5AF25">
            <w:pPr>
              <w:pStyle w:val="43"/>
            </w:pPr>
          </w:p>
        </w:tc>
        <w:tc>
          <w:tcPr>
            <w:tcW w:w="1363" w:type="dxa"/>
            <w:tcBorders>
              <w:left w:val="single" w:color="auto" w:sz="4" w:space="0"/>
            </w:tcBorders>
            <w:vAlign w:val="center"/>
          </w:tcPr>
          <w:p w14:paraId="7436CA45">
            <w:pPr>
              <w:pStyle w:val="43"/>
            </w:pPr>
          </w:p>
        </w:tc>
      </w:tr>
    </w:tbl>
    <w:p w14:paraId="163DBA7A">
      <w:pPr>
        <w:pStyle w:val="47"/>
      </w:pPr>
      <w:r>
        <w:t>注：根据第三章“</w:t>
      </w:r>
      <w:r>
        <w:rPr>
          <w:rFonts w:hint="eastAsia"/>
          <w:color w:val="000000"/>
        </w:rPr>
        <w:t>3.技术要求</w:t>
      </w:r>
      <w:r>
        <w:t>”</w:t>
      </w:r>
      <w:r>
        <w:rPr>
          <w:rFonts w:hint="eastAsia"/>
        </w:rPr>
        <w:t>表格</w:t>
      </w:r>
      <w:r>
        <w:t>中内容填写</w:t>
      </w:r>
      <w:r>
        <w:rPr>
          <w:rFonts w:hint="eastAsia"/>
        </w:rPr>
        <w:t>技术条款</w:t>
      </w:r>
      <w:r>
        <w:t>偏离表，逐一列出，填写与响应，内容齐全、无遗漏。需每页加盖公章。</w:t>
      </w:r>
    </w:p>
    <w:p w14:paraId="0AAA12BB">
      <w:pPr>
        <w:pStyle w:val="47"/>
      </w:pPr>
      <w:r>
        <w:t>表格填写说明如下：</w:t>
      </w:r>
    </w:p>
    <w:p w14:paraId="7D92FA41">
      <w:pPr>
        <w:pStyle w:val="47"/>
      </w:pPr>
      <w:r>
        <w:t>“询比文件条目号”：详细写明第几章第几条；</w:t>
      </w:r>
    </w:p>
    <w:p w14:paraId="6D308A1B">
      <w:pPr>
        <w:pStyle w:val="47"/>
      </w:pPr>
      <w:r>
        <w:t>“询比文件</w:t>
      </w:r>
      <w:r>
        <w:rPr>
          <w:rFonts w:hint="eastAsia"/>
        </w:rPr>
        <w:t>技术</w:t>
      </w:r>
      <w:r>
        <w:t>条款”：询比文件中该条对应内容；</w:t>
      </w:r>
    </w:p>
    <w:p w14:paraId="7FA6D530">
      <w:pPr>
        <w:pStyle w:val="47"/>
      </w:pPr>
      <w:r>
        <w:t>“响应文件对应</w:t>
      </w:r>
      <w:r>
        <w:rPr>
          <w:rFonts w:hint="eastAsia"/>
        </w:rPr>
        <w:t>技术</w:t>
      </w:r>
      <w:r>
        <w:t>条款”：写明是否满足，并附响应文件中该条对应内容；</w:t>
      </w:r>
    </w:p>
    <w:p w14:paraId="26EB4C1E">
      <w:pPr>
        <w:pStyle w:val="47"/>
        <w:sectPr>
          <w:pgSz w:w="11906" w:h="16838"/>
          <w:pgMar w:top="1440" w:right="1800" w:bottom="1440" w:left="1800" w:header="851" w:footer="992" w:gutter="0"/>
          <w:cols w:space="720" w:num="1"/>
          <w:docGrid w:type="lines" w:linePitch="312" w:charSpace="0"/>
        </w:sectPr>
      </w:pPr>
      <w:r>
        <w:t>“说明”：填写是否满足，是否偏离，正/负偏离原因。</w:t>
      </w:r>
    </w:p>
    <w:p w14:paraId="7BC1C00A">
      <w:pPr>
        <w:pStyle w:val="39"/>
      </w:pPr>
      <w:r>
        <w:rPr>
          <w:rFonts w:hint="eastAsia"/>
        </w:rPr>
        <w:t>（三）</w:t>
      </w:r>
      <w:r>
        <w:rPr>
          <w:rFonts w:hint="eastAsia"/>
          <w:color w:val="000000"/>
        </w:rPr>
        <w:t>满足参数要求的证明文件</w:t>
      </w:r>
    </w:p>
    <w:p w14:paraId="25E59467">
      <w:pPr>
        <w:ind w:firstLine="0" w:firstLineChars="0"/>
        <w:jc w:val="left"/>
      </w:pPr>
      <w:r>
        <w:rPr>
          <w:rFonts w:hint="eastAsia"/>
        </w:rPr>
        <w:t>根据第三章“3. 技术要求”表格中内容，提供对应证明文件</w:t>
      </w:r>
    </w:p>
    <w:p w14:paraId="7FA61966">
      <w:pPr>
        <w:ind w:firstLine="0" w:firstLineChars="0"/>
        <w:jc w:val="center"/>
      </w:pPr>
    </w:p>
    <w:p w14:paraId="13F7B449">
      <w:pPr>
        <w:ind w:firstLine="0" w:firstLineChars="0"/>
        <w:jc w:val="center"/>
      </w:pPr>
    </w:p>
    <w:p w14:paraId="3D89912D">
      <w:pPr>
        <w:rPr>
          <w:rStyle w:val="32"/>
          <w:b/>
        </w:rPr>
        <w:sectPr>
          <w:pgSz w:w="11906" w:h="16838"/>
          <w:pgMar w:top="1440" w:right="1800" w:bottom="1440" w:left="1800" w:header="851" w:footer="992" w:gutter="0"/>
          <w:cols w:space="425" w:num="1"/>
          <w:docGrid w:type="lines" w:linePitch="312" w:charSpace="0"/>
        </w:sectPr>
      </w:pPr>
    </w:p>
    <w:p w14:paraId="1E43C765">
      <w:pPr>
        <w:pStyle w:val="39"/>
      </w:pPr>
      <w:r>
        <w:rPr>
          <w:rFonts w:hint="eastAsia"/>
        </w:rPr>
        <w:t>（</w:t>
      </w:r>
      <w:r>
        <w:rPr>
          <w:rFonts w:hint="eastAsia"/>
          <w:lang w:val="en-US" w:eastAsia="zh-CN"/>
        </w:rPr>
        <w:t>四</w:t>
      </w:r>
      <w:r>
        <w:rPr>
          <w:rFonts w:hint="eastAsia"/>
        </w:rPr>
        <w:t>）</w:t>
      </w:r>
      <w:r>
        <w:t>售后服务方案</w:t>
      </w:r>
    </w:p>
    <w:p w14:paraId="289D0FCF">
      <w:pPr>
        <w:rPr>
          <w:rStyle w:val="32"/>
          <w:b/>
        </w:rPr>
      </w:pPr>
    </w:p>
    <w:p w14:paraId="0E4EA2C6">
      <w:pPr>
        <w:rPr>
          <w:rStyle w:val="32"/>
          <w:b/>
        </w:rPr>
      </w:pPr>
    </w:p>
    <w:p w14:paraId="252288DB">
      <w:pPr>
        <w:rPr>
          <w:rStyle w:val="32"/>
          <w:b/>
        </w:rPr>
      </w:pPr>
    </w:p>
    <w:p w14:paraId="20AE1BCB">
      <w:pPr>
        <w:widowControl/>
        <w:autoSpaceDE/>
        <w:autoSpaceDN/>
        <w:spacing w:line="240" w:lineRule="auto"/>
        <w:ind w:firstLine="0" w:firstLineChars="0"/>
        <w:jc w:val="left"/>
        <w:rPr>
          <w:b/>
          <w:sz w:val="28"/>
        </w:rPr>
      </w:pPr>
      <w:r>
        <w:br w:type="page"/>
      </w:r>
    </w:p>
    <w:p w14:paraId="18BFE6E4">
      <w:pPr>
        <w:pStyle w:val="39"/>
      </w:pPr>
      <w:r>
        <w:rPr>
          <w:rFonts w:hint="eastAsia"/>
        </w:rPr>
        <w:t>（</w:t>
      </w:r>
      <w:r>
        <w:rPr>
          <w:rFonts w:hint="eastAsia"/>
          <w:lang w:val="en-US" w:eastAsia="zh-CN"/>
        </w:rPr>
        <w:t>五</w:t>
      </w:r>
      <w:r>
        <w:rPr>
          <w:rFonts w:hint="eastAsia"/>
        </w:rPr>
        <w:t>）</w:t>
      </w:r>
      <w:r>
        <w:t>服务连续性预案</w:t>
      </w:r>
    </w:p>
    <w:p w14:paraId="42DBACE4">
      <w:pPr>
        <w:ind w:firstLine="0" w:firstLineChars="0"/>
        <w:jc w:val="center"/>
      </w:pPr>
      <w:r>
        <w:rPr>
          <w:rFonts w:hint="eastAsia"/>
        </w:rPr>
        <w:t>（应考虑供应链风险产生的影响）</w:t>
      </w:r>
    </w:p>
    <w:p w14:paraId="3CDF909E">
      <w:pPr>
        <w:ind w:firstLine="0" w:firstLineChars="0"/>
        <w:jc w:val="center"/>
      </w:pPr>
    </w:p>
    <w:p w14:paraId="69D1C51A">
      <w:pPr>
        <w:ind w:firstLine="0" w:firstLineChars="0"/>
        <w:jc w:val="center"/>
      </w:pPr>
    </w:p>
    <w:p w14:paraId="29434FB6">
      <w:pPr>
        <w:rPr>
          <w:rStyle w:val="32"/>
          <w:b/>
        </w:rPr>
        <w:sectPr>
          <w:pgSz w:w="11906" w:h="16838"/>
          <w:pgMar w:top="1440" w:right="1800" w:bottom="1440" w:left="1800" w:header="851" w:footer="992" w:gutter="0"/>
          <w:cols w:space="425" w:num="1"/>
          <w:docGrid w:type="lines" w:linePitch="312" w:charSpace="0"/>
        </w:sectPr>
      </w:pPr>
    </w:p>
    <w:p w14:paraId="1DD24E2E">
      <w:pPr>
        <w:pStyle w:val="39"/>
      </w:pPr>
      <w:r>
        <w:rPr>
          <w:rFonts w:hint="eastAsia"/>
        </w:rPr>
        <w:t>（</w:t>
      </w:r>
      <w:r>
        <w:rPr>
          <w:rFonts w:hint="eastAsia"/>
          <w:lang w:val="en-US" w:eastAsia="zh-CN"/>
        </w:rPr>
        <w:t>六</w:t>
      </w:r>
      <w:r>
        <w:rPr>
          <w:rFonts w:hint="eastAsia"/>
        </w:rPr>
        <w:t>）</w:t>
      </w:r>
      <w:r>
        <w:t>项目实施方案</w:t>
      </w:r>
    </w:p>
    <w:p w14:paraId="2894D27E">
      <w:pPr>
        <w:pStyle w:val="50"/>
      </w:pPr>
      <w:r>
        <w:t>（实施方案包括履行合同的时间计划、提交资料、人员安排等）</w:t>
      </w:r>
    </w:p>
    <w:p w14:paraId="50E07F93">
      <w:pPr>
        <w:rPr>
          <w:rStyle w:val="32"/>
          <w:b/>
        </w:rPr>
      </w:pPr>
    </w:p>
    <w:p w14:paraId="6EC38E72">
      <w:pPr>
        <w:rPr>
          <w:rStyle w:val="32"/>
          <w:b/>
        </w:rPr>
      </w:pPr>
    </w:p>
    <w:p w14:paraId="3DDA7D26">
      <w:pPr>
        <w:rPr>
          <w:rStyle w:val="32"/>
          <w:b/>
        </w:rPr>
      </w:pPr>
    </w:p>
    <w:p w14:paraId="6BAD649E">
      <w:pPr>
        <w:widowControl/>
        <w:autoSpaceDE/>
        <w:autoSpaceDN/>
        <w:spacing w:line="240" w:lineRule="auto"/>
        <w:ind w:firstLine="0" w:firstLineChars="0"/>
        <w:jc w:val="left"/>
        <w:rPr>
          <w:rStyle w:val="38"/>
        </w:rPr>
      </w:pPr>
      <w:r>
        <w:rPr>
          <w:rStyle w:val="38"/>
          <w:b w:val="0"/>
        </w:rPr>
        <w:br w:type="page"/>
      </w:r>
    </w:p>
    <w:p w14:paraId="77F70D55">
      <w:pPr>
        <w:pStyle w:val="39"/>
      </w:pPr>
      <w:r>
        <w:rPr>
          <w:rFonts w:hint="eastAsia"/>
        </w:rPr>
        <w:t>（七）其他（如有）</w:t>
      </w:r>
    </w:p>
    <w:p w14:paraId="1BBCABA7">
      <w:pPr>
        <w:pStyle w:val="50"/>
        <w:sectPr>
          <w:pgSz w:w="11906" w:h="16838"/>
          <w:pgMar w:top="1440" w:right="1800" w:bottom="1440" w:left="1800" w:header="851" w:footer="992" w:gutter="0"/>
          <w:cols w:space="425" w:num="1"/>
          <w:docGrid w:type="lines" w:linePitch="312" w:charSpace="0"/>
        </w:sectPr>
      </w:pPr>
      <w:r>
        <w:t>（如第三章中要求提供的文件、方案等材）</w:t>
      </w:r>
    </w:p>
    <w:p w14:paraId="36EA5FC2">
      <w:pPr>
        <w:pStyle w:val="37"/>
      </w:pPr>
      <w:r>
        <w:rPr>
          <w:rFonts w:hint="eastAsia"/>
        </w:rPr>
        <w:t>五</w:t>
      </w:r>
      <w:r>
        <w:t>、其他（如有）</w:t>
      </w:r>
    </w:p>
    <w:p w14:paraId="672AFE3D"/>
    <w:p w14:paraId="7D4F670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26EF">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1B03A3F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CI6rHgFAgAA9QMAAA4AAAAAAAAAAQAgAAAAJgEA&#10;AGRycy9lMm9Eb2MueG1sUEsFBgAAAAAGAAYAWQEAAJ0FAAAAAA==&#10;">
              <v:fill on="f" focussize="0,0"/>
              <v:stroke on="f" weight="0.5pt" joinstyle="round"/>
              <v:imagedata o:title=""/>
              <o:lock v:ext="edit" aspectratio="f"/>
              <v:textbox inset="0mm,0mm,0mm,0mm" style="mso-fit-shape-to-text:t;">
                <w:txbxContent>
                  <w:p w14:paraId="1B03A3F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TQ5ZmY1ODA0NTUyNTIzOGU4NGRmM2JhYjg3Y2Q0YjMifQ=="/>
  </w:docVars>
  <w:rsids>
    <w:rsidRoot w:val="00000000"/>
    <w:rsid w:val="02CA0D4D"/>
    <w:rsid w:val="122A215C"/>
    <w:rsid w:val="1E8B4E5B"/>
    <w:rsid w:val="3DEF282E"/>
    <w:rsid w:val="40BF3F42"/>
    <w:rsid w:val="55176DAF"/>
    <w:rsid w:val="681D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qFormat="1" w:unhideWhenUsed="0" w:uiPriority="0" w:semiHidden="0" w:name="Date"/>
    <w:lsdException w:unhideWhenUsed="0" w:uiPriority="4294967295" w:semiHidden="0" w:name="Body Text First Indent"/>
    <w:lsdException w:unhideWhenUsed="0" w:uiPriority="4294967295" w:semiHidden="0" w:name="Body Text First Indent 2"/>
    <w:lsdException w:qFormat="1" w:unhideWhenUsed="0" w:uiPriority="0" w:semiHidden="0" w:name="Note Heading"/>
    <w:lsdException w:qFormat="1" w:unhideWhenUsed="0" w:uiPriority="0"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5"/>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6"/>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7"/>
    <w:autoRedefine/>
    <w:qFormat/>
    <w:locked/>
    <w:uiPriority w:val="0"/>
    <w:pPr>
      <w:outlineLvl w:val="2"/>
    </w:pPr>
    <w:rPr>
      <w:b/>
      <w:bCs/>
      <w:szCs w:val="32"/>
    </w:rPr>
  </w:style>
  <w:style w:type="paragraph" w:styleId="5">
    <w:name w:val="heading 4"/>
    <w:basedOn w:val="1"/>
    <w:next w:val="1"/>
    <w:link w:val="28"/>
    <w:autoRedefine/>
    <w:qFormat/>
    <w:locked/>
    <w:uiPriority w:val="0"/>
    <w:pPr>
      <w:outlineLvl w:val="3"/>
    </w:pPr>
    <w:rPr>
      <w:rFonts w:cs="Times New Roman"/>
      <w:bCs/>
      <w:szCs w:val="28"/>
    </w:rPr>
  </w:style>
  <w:style w:type="paragraph" w:styleId="6">
    <w:name w:val="heading 5"/>
    <w:basedOn w:val="1"/>
    <w:next w:val="1"/>
    <w:link w:val="29"/>
    <w:autoRedefine/>
    <w:qFormat/>
    <w:locked/>
    <w:uiPriority w:val="0"/>
    <w:pPr>
      <w:ind w:firstLine="0" w:firstLineChars="0"/>
      <w:jc w:val="center"/>
      <w:outlineLvl w:val="4"/>
    </w:pPr>
    <w:rPr>
      <w:b/>
      <w:sz w:val="28"/>
    </w:rPr>
  </w:style>
  <w:style w:type="paragraph" w:styleId="7">
    <w:name w:val="heading 6"/>
    <w:basedOn w:val="1"/>
    <w:next w:val="1"/>
    <w:link w:val="30"/>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1"/>
    <w:qFormat/>
    <w:locked/>
    <w:uiPriority w:val="0"/>
    <w:pPr>
      <w:keepNext/>
      <w:keepLines/>
      <w:spacing w:before="240" w:after="64" w:line="317" w:lineRule="auto"/>
      <w:outlineLvl w:val="6"/>
    </w:pPr>
    <w:rPr>
      <w:b/>
    </w:rPr>
  </w:style>
  <w:style w:type="character" w:default="1" w:styleId="23">
    <w:name w:val="Default Paragraph Font"/>
    <w:qFormat/>
    <w:uiPriority w:val="0"/>
  </w:style>
  <w:style w:type="table" w:default="1" w:styleId="22">
    <w:name w:val="Normal Table"/>
    <w:qFormat/>
    <w:uiPriority w:val="4294967295"/>
    <w:tblPr>
      <w:tblCellMar>
        <w:top w:w="0" w:type="dxa"/>
        <w:left w:w="108" w:type="dxa"/>
        <w:bottom w:w="0" w:type="dxa"/>
        <w:right w:w="108" w:type="dxa"/>
      </w:tblCellMar>
    </w:tblPr>
  </w:style>
  <w:style w:type="paragraph" w:styleId="9">
    <w:name w:val="Note Heading"/>
    <w:basedOn w:val="1"/>
    <w:next w:val="1"/>
    <w:qFormat/>
    <w:uiPriority w:val="0"/>
    <w:pPr>
      <w:jc w:val="center"/>
    </w:pPr>
  </w:style>
  <w:style w:type="paragraph" w:styleId="10">
    <w:name w:val="annotation text"/>
    <w:basedOn w:val="1"/>
    <w:qFormat/>
    <w:locked/>
    <w:uiPriority w:val="0"/>
    <w:pPr>
      <w:jc w:val="left"/>
    </w:pPr>
  </w:style>
  <w:style w:type="paragraph" w:styleId="11">
    <w:name w:val="Body Text"/>
    <w:basedOn w:val="1"/>
    <w:next w:val="1"/>
    <w:qFormat/>
    <w:locked/>
    <w:uiPriority w:val="0"/>
    <w:pPr>
      <w:spacing w:after="120"/>
    </w:pPr>
  </w:style>
  <w:style w:type="paragraph" w:styleId="12">
    <w:name w:val="Plain Text"/>
    <w:qFormat/>
    <w:uiPriority w:val="0"/>
    <w:pPr>
      <w:widowControl w:val="0"/>
      <w:jc w:val="both"/>
    </w:pPr>
    <w:rPr>
      <w:rFonts w:ascii="宋体" w:hAnsi="Times New Roman" w:eastAsia="宋体" w:cs="Times New Roman"/>
      <w:kern w:val="2"/>
      <w:sz w:val="21"/>
      <w:szCs w:val="21"/>
      <w:lang w:val="en-US" w:eastAsia="zh-CN" w:bidi="ar-SA"/>
    </w:rPr>
  </w:style>
  <w:style w:type="paragraph" w:styleId="13">
    <w:name w:val="Date"/>
    <w:basedOn w:val="1"/>
    <w:next w:val="1"/>
    <w:qFormat/>
    <w:uiPriority w:val="0"/>
    <w:pPr>
      <w:ind w:left="2500" w:leftChars="2500"/>
    </w:pPr>
  </w:style>
  <w:style w:type="paragraph" w:styleId="14">
    <w:name w:val="Balloon Text"/>
    <w:basedOn w:val="1"/>
    <w:qFormat/>
    <w:uiPriority w:val="0"/>
    <w:pPr>
      <w:spacing w:line="240" w:lineRule="auto"/>
    </w:pPr>
    <w:rPr>
      <w:sz w:val="18"/>
      <w:szCs w:val="18"/>
    </w:rPr>
  </w:style>
  <w:style w:type="paragraph" w:styleId="15">
    <w:name w:val="footer"/>
    <w:basedOn w:val="1"/>
    <w:qFormat/>
    <w:locked/>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locked/>
    <w:uiPriority w:val="0"/>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9">
    <w:name w:val="Body Text Indent 3"/>
    <w:basedOn w:val="1"/>
    <w:qFormat/>
    <w:uiPriority w:val="0"/>
    <w:pPr>
      <w:adjustRightInd w:val="0"/>
      <w:ind w:left="735"/>
      <w:textAlignment w:val="baseline"/>
    </w:pPr>
    <w:rPr>
      <w:rFonts w:ascii="楷体_GB2312" w:eastAsia="楷体_GB2312"/>
      <w:kern w:val="0"/>
    </w:rPr>
  </w:style>
  <w:style w:type="paragraph" w:styleId="20">
    <w:name w:val="Body Text 2"/>
    <w:basedOn w:val="1"/>
    <w:qFormat/>
    <w:uiPriority w:val="0"/>
    <w:pPr>
      <w:spacing w:after="120" w:line="480" w:lineRule="auto"/>
    </w:pPr>
  </w:style>
  <w:style w:type="paragraph" w:styleId="21">
    <w:name w:val="annotation subject"/>
    <w:basedOn w:val="10"/>
    <w:next w:val="10"/>
    <w:qFormat/>
    <w:uiPriority w:val="0"/>
    <w:rPr>
      <w:b/>
      <w:bCs/>
    </w:rPr>
  </w:style>
  <w:style w:type="character" w:styleId="24">
    <w:name w:val="annotation reference"/>
    <w:basedOn w:val="23"/>
    <w:qFormat/>
    <w:uiPriority w:val="0"/>
    <w:rPr>
      <w:sz w:val="21"/>
      <w:szCs w:val="21"/>
    </w:rPr>
  </w:style>
  <w:style w:type="character" w:customStyle="1" w:styleId="25">
    <w:name w:val="heading 1 Char"/>
    <w:basedOn w:val="23"/>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heading 2 Char"/>
    <w:basedOn w:val="23"/>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heading 3 Char"/>
    <w:basedOn w:val="23"/>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8">
    <w:name w:val="heading 4 Char"/>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9">
    <w:name w:val="heading 5 Char"/>
    <w:basedOn w:val="23"/>
    <w:link w:val="6"/>
    <w:autoRedefine/>
    <w:qFormat/>
    <w:uiPriority w:val="0"/>
    <w:rPr>
      <w:rFonts w:ascii="Times New Roman" w:hAnsi="Times New Roman" w:eastAsia="宋体" w:cs="Cambria Math"/>
      <w:b/>
      <w:kern w:val="2"/>
      <w:sz w:val="28"/>
      <w:szCs w:val="20"/>
      <w:lang w:val="en-US" w:eastAsia="zh-CN" w:bidi="ar-SA"/>
    </w:rPr>
  </w:style>
  <w:style w:type="character" w:customStyle="1" w:styleId="30">
    <w:name w:val="heading 6 Char"/>
    <w:basedOn w:val="23"/>
    <w:link w:val="7"/>
    <w:autoRedefine/>
    <w:qFormat/>
    <w:uiPriority w:val="0"/>
    <w:rPr>
      <w:rFonts w:ascii="Times New Roman" w:hAnsi="Times New Roman" w:eastAsia="黑体" w:cs="Cambria Math"/>
      <w:b/>
      <w:kern w:val="2"/>
      <w:sz w:val="21"/>
      <w:szCs w:val="20"/>
      <w:lang w:val="en-US" w:eastAsia="zh-CN" w:bidi="ar-SA"/>
    </w:rPr>
  </w:style>
  <w:style w:type="character" w:customStyle="1" w:styleId="31">
    <w:name w:val="heading 7 Char"/>
    <w:basedOn w:val="23"/>
    <w:link w:val="8"/>
    <w:qFormat/>
    <w:uiPriority w:val="0"/>
    <w:rPr>
      <w:rFonts w:ascii="Times New Roman" w:hAnsi="Times New Roman" w:eastAsia="宋体" w:cs="Cambria Math"/>
      <w:b/>
      <w:kern w:val="2"/>
      <w:sz w:val="21"/>
      <w:szCs w:val="20"/>
      <w:lang w:val="en-US" w:eastAsia="zh-CN" w:bidi="ar-SA"/>
    </w:rPr>
  </w:style>
  <w:style w:type="character" w:customStyle="1" w:styleId="32">
    <w:name w:val="标题 4 Char"/>
    <w:autoRedefine/>
    <w:qFormat/>
    <w:uiPriority w:val="0"/>
    <w:rPr>
      <w:rFonts w:cs="Times New Roman"/>
      <w:bCs/>
      <w:szCs w:val="28"/>
    </w:rPr>
  </w:style>
  <w:style w:type="character" w:customStyle="1" w:styleId="33">
    <w:name w:val="标题 1 Char"/>
    <w:basedOn w:val="23"/>
    <w:autoRedefine/>
    <w:qFormat/>
    <w:uiPriority w:val="0"/>
    <w:rPr>
      <w:rFonts w:ascii="Times New Roman" w:hAnsi="Times New Roman" w:eastAsia="宋体" w:cs="等线 Light"/>
      <w:b/>
      <w:snapToGrid w:val="0"/>
      <w:kern w:val="0"/>
      <w:sz w:val="44"/>
      <w:szCs w:val="44"/>
    </w:rPr>
  </w:style>
  <w:style w:type="character" w:customStyle="1" w:styleId="34">
    <w:name w:val="标题 2 Char"/>
    <w:basedOn w:val="23"/>
    <w:autoRedefine/>
    <w:qFormat/>
    <w:uiPriority w:val="0"/>
    <w:rPr>
      <w:rFonts w:ascii="Times New Roman" w:hAnsi="Times New Roman" w:eastAsia="宋体" w:cs="Times New Roman"/>
      <w:b/>
      <w:bCs/>
      <w:snapToGrid w:val="0"/>
      <w:szCs w:val="24"/>
    </w:rPr>
  </w:style>
  <w:style w:type="character" w:customStyle="1" w:styleId="35">
    <w:name w:val="标题 3 Char"/>
    <w:basedOn w:val="23"/>
    <w:autoRedefine/>
    <w:qFormat/>
    <w:uiPriority w:val="0"/>
    <w:rPr>
      <w:b/>
      <w:bCs/>
      <w:szCs w:val="32"/>
    </w:rPr>
  </w:style>
  <w:style w:type="character" w:customStyle="1" w:styleId="36">
    <w:name w:val="标题 5 Char"/>
    <w:autoRedefine/>
    <w:qFormat/>
    <w:uiPriority w:val="0"/>
    <w:rPr>
      <w:rFonts w:ascii="Times New Roman" w:hAnsi="Times New Roman" w:eastAsia="宋体"/>
      <w:b/>
      <w:sz w:val="28"/>
    </w:rPr>
  </w:style>
  <w:style w:type="paragraph" w:customStyle="1" w:styleId="37">
    <w:name w:val="参选文件格式1"/>
    <w:basedOn w:val="1"/>
    <w:next w:val="1"/>
    <w:link w:val="38"/>
    <w:autoRedefine/>
    <w:qFormat/>
    <w:locked/>
    <w:uiPriority w:val="0"/>
    <w:pPr>
      <w:ind w:firstLine="0" w:firstLineChars="0"/>
      <w:jc w:val="center"/>
      <w:outlineLvl w:val="1"/>
    </w:pPr>
    <w:rPr>
      <w:b/>
      <w:sz w:val="28"/>
    </w:rPr>
  </w:style>
  <w:style w:type="character" w:customStyle="1" w:styleId="38">
    <w:name w:val="参选文件格式1 Char"/>
    <w:basedOn w:val="23"/>
    <w:link w:val="37"/>
    <w:autoRedefine/>
    <w:qFormat/>
    <w:uiPriority w:val="0"/>
    <w:rPr>
      <w:rFonts w:ascii="Times New Roman" w:hAnsi="Times New Roman" w:eastAsia="宋体" w:cs="Cambria Math"/>
      <w:b/>
      <w:kern w:val="2"/>
      <w:sz w:val="28"/>
      <w:szCs w:val="20"/>
      <w:lang w:val="en-US" w:eastAsia="zh-CN" w:bidi="ar-SA"/>
    </w:rPr>
  </w:style>
  <w:style w:type="paragraph" w:customStyle="1" w:styleId="39">
    <w:name w:val="参选文件格式2"/>
    <w:basedOn w:val="1"/>
    <w:next w:val="1"/>
    <w:autoRedefine/>
    <w:qFormat/>
    <w:locked/>
    <w:uiPriority w:val="0"/>
    <w:pPr>
      <w:ind w:firstLine="0" w:firstLineChars="0"/>
      <w:jc w:val="center"/>
      <w:outlineLvl w:val="2"/>
    </w:pPr>
    <w:rPr>
      <w:bCs/>
      <w:szCs w:val="32"/>
    </w:rPr>
  </w:style>
  <w:style w:type="paragraph" w:customStyle="1" w:styleId="40">
    <w:name w:val="参选文件格式3"/>
    <w:basedOn w:val="1"/>
    <w:link w:val="4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1">
    <w:name w:val="参选文件格式3 Char"/>
    <w:basedOn w:val="23"/>
    <w:link w:val="40"/>
    <w:autoRedefine/>
    <w:qFormat/>
    <w:uiPriority w:val="0"/>
    <w:rPr>
      <w:rFonts w:ascii="宋体" w:hAnsi="宋体" w:eastAsia="宋体" w:cs="Cambria Math"/>
      <w:b/>
      <w:snapToGrid w:val="0"/>
      <w:kern w:val="0"/>
      <w:sz w:val="21"/>
      <w:szCs w:val="20"/>
      <w:lang w:val="en-US" w:eastAsia="zh-CN" w:bidi="ar-SA"/>
    </w:rPr>
  </w:style>
  <w:style w:type="character" w:customStyle="1" w:styleId="42">
    <w:name w:val="标题 4 字符"/>
    <w:autoRedefine/>
    <w:qFormat/>
    <w:uiPriority w:val="0"/>
    <w:rPr>
      <w:rFonts w:cs="Times New Roman"/>
      <w:bCs/>
      <w:szCs w:val="28"/>
    </w:rPr>
  </w:style>
  <w:style w:type="paragraph" w:customStyle="1" w:styleId="43">
    <w:name w:val="表格"/>
    <w:basedOn w:val="1"/>
    <w:qFormat/>
    <w:locked/>
    <w:uiPriority w:val="0"/>
    <w:pPr>
      <w:spacing w:line="240" w:lineRule="auto"/>
      <w:ind w:firstLine="0" w:firstLineChars="0"/>
    </w:pPr>
    <w:rPr>
      <w:bCs/>
      <w:szCs w:val="18"/>
    </w:rPr>
  </w:style>
  <w:style w:type="paragraph" w:customStyle="1" w:styleId="44">
    <w:name w:val="表格（标题）"/>
    <w:basedOn w:val="1"/>
    <w:qFormat/>
    <w:locked/>
    <w:uiPriority w:val="0"/>
    <w:pPr>
      <w:spacing w:line="240" w:lineRule="auto"/>
      <w:ind w:firstLine="0" w:firstLineChars="0"/>
      <w:jc w:val="center"/>
    </w:pPr>
    <w:rPr>
      <w:b/>
      <w:bCs/>
      <w:szCs w:val="18"/>
    </w:rPr>
  </w:style>
  <w:style w:type="paragraph" w:customStyle="1" w:styleId="45">
    <w:name w:val="标题2（无级别）"/>
    <w:basedOn w:val="1"/>
    <w:next w:val="1"/>
    <w:qFormat/>
    <w:locked/>
    <w:uiPriority w:val="0"/>
    <w:pPr>
      <w:ind w:firstLine="0" w:firstLineChars="0"/>
    </w:pPr>
    <w:rPr>
      <w:rFonts w:cs="Times New Roman"/>
      <w:b/>
      <w:bCs/>
      <w:snapToGrid w:val="0"/>
      <w:szCs w:val="24"/>
    </w:rPr>
  </w:style>
  <w:style w:type="paragraph" w:customStyle="1" w:styleId="46">
    <w:name w:val="标题3（无级别）"/>
    <w:basedOn w:val="1"/>
    <w:next w:val="1"/>
    <w:qFormat/>
    <w:locked/>
    <w:uiPriority w:val="0"/>
    <w:rPr>
      <w:b/>
      <w:bCs/>
      <w:szCs w:val="32"/>
    </w:rPr>
  </w:style>
  <w:style w:type="paragraph" w:customStyle="1" w:styleId="47">
    <w:name w:val="小五"/>
    <w:basedOn w:val="1"/>
    <w:next w:val="1"/>
    <w:qFormat/>
    <w:locked/>
    <w:uiPriority w:val="0"/>
    <w:pPr>
      <w:spacing w:line="240" w:lineRule="auto"/>
      <w:ind w:firstLine="0" w:firstLineChars="0"/>
    </w:pPr>
    <w:rPr>
      <w:rFonts w:cs="Times New Roman"/>
      <w:sz w:val="18"/>
      <w:szCs w:val="18"/>
    </w:rPr>
  </w:style>
  <w:style w:type="paragraph" w:customStyle="1" w:styleId="48">
    <w:name w:val="封面标题"/>
    <w:basedOn w:val="1"/>
    <w:qFormat/>
    <w:locked/>
    <w:uiPriority w:val="0"/>
    <w:pPr>
      <w:ind w:firstLine="0" w:firstLineChars="0"/>
      <w:jc w:val="center"/>
    </w:pPr>
    <w:rPr>
      <w:rFonts w:cs="Times New Roman"/>
      <w:b/>
      <w:snapToGrid w:val="0"/>
      <w:kern w:val="0"/>
      <w:sz w:val="48"/>
      <w:szCs w:val="84"/>
    </w:rPr>
  </w:style>
  <w:style w:type="paragraph" w:customStyle="1" w:styleId="49">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0">
    <w:name w:val="正文居中"/>
    <w:basedOn w:val="1"/>
    <w:qFormat/>
    <w:locked/>
    <w:uiPriority w:val="0"/>
    <w:pPr>
      <w:ind w:firstLine="0" w:firstLineChars="0"/>
      <w:jc w:val="center"/>
    </w:pPr>
  </w:style>
  <w:style w:type="paragraph" w:customStyle="1" w:styleId="51">
    <w:name w:val="Revision"/>
    <w:qFormat/>
    <w:uiPriority w:val="0"/>
    <w:rPr>
      <w:rFonts w:ascii="Times New Roman" w:hAnsi="Times New Roman" w:eastAsia="宋体" w:cs="Cambria Math"/>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9A48D-F6BE-4922-AC95-B31483377CCB}">
  <ds:schemaRefs/>
</ds:datastoreItem>
</file>

<file path=docProps/app.xml><?xml version="1.0" encoding="utf-8"?>
<Properties xmlns="http://schemas.openxmlformats.org/officeDocument/2006/extended-properties" xmlns:vt="http://schemas.openxmlformats.org/officeDocument/2006/docPropsVTypes">
  <Template>Normal.eit</Template>
  <Pages>59</Pages>
  <Words>7375</Words>
  <Characters>8155</Characters>
  <Lines>0</Lines>
  <Paragraphs>753</Paragraphs>
  <TotalTime>1</TotalTime>
  <ScaleCrop>false</ScaleCrop>
  <LinksUpToDate>false</LinksUpToDate>
  <CharactersWithSpaces>8385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2025-06-13T07:15:00Z</dcterms:created>
  <dc:creator>admin</dc:creator>
  <cp:lastModifiedBy>杜玲_企采</cp:lastModifiedBy>
  <cp:lastPrinted>2025-06-09T08:27:00Z</cp:lastPrinted>
  <dcterms:modified xsi:type="dcterms:W3CDTF">2025-07-21T01:56:46Z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7B3DAC6E3FF0454CBD69C388A0C07697_13</vt:lpwstr>
  </property>
  <property fmtid="{D5CDD505-2E9C-101B-9397-08002B2CF9AE}" pid="4" name="KSOTemplateDocerSaveRecord">
    <vt:lpwstr>eyJoZGlkIjoiMjE4MmQxZjA1Y2YxYjcxZTkzZjljNGM2ODFmNzIxYzciLCJ1c2VySWQiOiIxNTcyMDkyNzExIn0=</vt:lpwstr>
  </property>
</Properties>
</file>