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7E399">
      <w:pPr>
        <w:pStyle w:val="2"/>
        <w:bidi w:val="0"/>
        <w:rPr>
          <w:rFonts w:hint="eastAsia"/>
          <w:lang w:val="en-US" w:eastAsia="zh-CN"/>
        </w:rPr>
      </w:pPr>
      <w:r>
        <w:rPr>
          <w:rFonts w:hint="eastAsia"/>
          <w:lang w:val="en-US" w:eastAsia="zh-CN"/>
        </w:rPr>
        <w:t>重庆三峡银行智能柜员机供应商采购项目</w:t>
      </w:r>
      <w:r>
        <w:rPr>
          <w:rFonts w:hint="eastAsia"/>
        </w:rPr>
        <w:t>询比公告</w:t>
      </w:r>
    </w:p>
    <w:p w14:paraId="32016A8A">
      <w:pPr>
        <w:bidi w:val="0"/>
        <w:rPr>
          <w:b w:val="0"/>
          <w:bCs w:val="0"/>
          <w:color w:val="auto"/>
          <w:highlight w:val="none"/>
        </w:rPr>
      </w:pPr>
      <w:bookmarkStart w:id="0" w:name="_Toc55379218"/>
      <w:bookmarkStart w:id="1" w:name="_Toc89675127"/>
      <w:r>
        <w:rPr>
          <w:rFonts w:hint="eastAsia" w:ascii="宋体" w:eastAsia="宋体" w:cs="宋体"/>
          <w:b w:val="0"/>
          <w:bCs w:val="0"/>
          <w:snapToGrid w:val="0"/>
          <w:color w:val="auto"/>
          <w:kern w:val="0"/>
          <w:highlight w:val="none"/>
          <w:lang w:bidi="ar-SA"/>
        </w:rPr>
        <w:t>本次</w:t>
      </w:r>
      <w:r>
        <w:rPr>
          <w:rFonts w:hint="eastAsia" w:ascii="宋体" w:eastAsia="宋体" w:cs="宋体"/>
          <w:b w:val="0"/>
          <w:bCs w:val="0"/>
          <w:snapToGrid w:val="0"/>
          <w:color w:val="auto"/>
          <w:kern w:val="0"/>
          <w:lang w:bidi="ar-SA"/>
        </w:rPr>
        <w:t>询比</w:t>
      </w:r>
      <w:r>
        <w:rPr>
          <w:rFonts w:hint="eastAsia" w:ascii="宋体" w:eastAsia="宋体" w:cs="仿宋_GB2312"/>
          <w:b w:val="0"/>
          <w:bCs w:val="0"/>
          <w:color w:val="auto"/>
          <w:highlight w:val="none"/>
          <w:lang w:bidi="ar-SA"/>
        </w:rPr>
        <w:t>以满足本行业务发展、维护本行利益为目的，</w:t>
      </w:r>
      <w:r>
        <w:rPr>
          <w:rFonts w:hint="eastAsia" w:ascii="宋体" w:cs="仿宋_GB2312"/>
          <w:b w:val="0"/>
          <w:bCs w:val="0"/>
          <w:color w:val="auto"/>
          <w:highlight w:val="none"/>
          <w:lang w:eastAsia="zh-CN" w:bidi="ar-SA"/>
        </w:rPr>
        <w:t>对</w:t>
      </w:r>
      <w:r>
        <w:rPr>
          <w:rFonts w:ascii="宋体" w:eastAsia="宋体" w:cs="仿宋_GB2312"/>
          <w:b w:val="0"/>
          <w:bCs w:val="0"/>
          <w:color w:val="auto"/>
          <w:highlight w:val="none"/>
          <w:lang w:bidi="ar-SA"/>
        </w:rPr>
        <w:t>智能柜员机</w:t>
      </w:r>
      <w:r>
        <w:rPr>
          <w:rFonts w:hint="eastAsia" w:ascii="宋体" w:cs="仿宋_GB2312"/>
          <w:b w:val="0"/>
          <w:bCs w:val="0"/>
          <w:color w:val="auto"/>
          <w:highlight w:val="none"/>
          <w:lang w:eastAsia="zh-CN" w:bidi="ar-SA"/>
        </w:rPr>
        <w:t>进行</w:t>
      </w:r>
      <w:r>
        <w:rPr>
          <w:rFonts w:hint="eastAsia" w:ascii="宋体" w:eastAsia="宋体" w:cs="仿宋_GB2312"/>
          <w:b w:val="0"/>
          <w:bCs w:val="0"/>
          <w:color w:val="auto"/>
          <w:highlight w:val="none"/>
          <w:lang w:bidi="ar-SA"/>
        </w:rPr>
        <w:t>公开</w:t>
      </w:r>
      <w:r>
        <w:rPr>
          <w:rFonts w:hint="eastAsia" w:ascii="宋体" w:eastAsia="宋体" w:cs="仿宋_GB2312"/>
          <w:b w:val="0"/>
          <w:bCs w:val="0"/>
          <w:color w:val="auto"/>
          <w:lang w:bidi="ar-SA"/>
        </w:rPr>
        <w:t>询比</w:t>
      </w:r>
      <w:r>
        <w:rPr>
          <w:rFonts w:hint="eastAsia" w:ascii="宋体" w:eastAsia="宋体" w:cs="仿宋_GB2312"/>
          <w:b w:val="0"/>
          <w:bCs w:val="0"/>
          <w:color w:val="auto"/>
          <w:highlight w:val="none"/>
          <w:lang w:bidi="ar-SA"/>
        </w:rPr>
        <w:t>，确定未来一定时期内本行</w:t>
      </w:r>
      <w:r>
        <w:rPr>
          <w:rFonts w:ascii="宋体" w:eastAsia="宋体" w:cs="仿宋_GB2312"/>
          <w:b w:val="0"/>
          <w:bCs w:val="0"/>
          <w:color w:val="auto"/>
          <w:highlight w:val="none"/>
          <w:lang w:bidi="ar-SA"/>
        </w:rPr>
        <w:t>智能柜员机</w:t>
      </w:r>
      <w:r>
        <w:rPr>
          <w:rFonts w:hint="eastAsia" w:ascii="宋体" w:eastAsia="宋体" w:cs="仿宋_GB2312"/>
          <w:b w:val="0"/>
          <w:bCs w:val="0"/>
          <w:color w:val="auto"/>
          <w:highlight w:val="none"/>
          <w:lang w:bidi="ar-SA"/>
        </w:rPr>
        <w:t>的品牌、型号及供货商</w:t>
      </w:r>
      <w:r>
        <w:rPr>
          <w:rFonts w:hint="eastAsia"/>
          <w:b w:val="0"/>
          <w:bCs w:val="0"/>
          <w:color w:val="auto"/>
          <w:highlight w:val="none"/>
        </w:rPr>
        <w:t>。现对重庆三峡银行</w:t>
      </w:r>
      <w:r>
        <w:rPr>
          <w:rFonts w:hint="eastAsia"/>
          <w:b w:val="0"/>
          <w:bCs w:val="0"/>
          <w:color w:val="auto"/>
          <w:highlight w:val="none"/>
          <w:lang w:eastAsia="zh-CN"/>
        </w:rPr>
        <w:t>智能柜员机供应商采购</w:t>
      </w:r>
      <w:r>
        <w:rPr>
          <w:rFonts w:hint="eastAsia"/>
          <w:b w:val="0"/>
          <w:bCs w:val="0"/>
          <w:color w:val="auto"/>
          <w:highlight w:val="none"/>
        </w:rPr>
        <w:t>项目进行公开</w:t>
      </w:r>
      <w:r>
        <w:rPr>
          <w:rFonts w:hint="eastAsia"/>
          <w:b w:val="0"/>
          <w:bCs w:val="0"/>
          <w:color w:val="auto"/>
        </w:rPr>
        <w:t>询比</w:t>
      </w:r>
      <w:r>
        <w:rPr>
          <w:rFonts w:hint="eastAsia"/>
          <w:b w:val="0"/>
          <w:bCs w:val="0"/>
          <w:color w:val="auto"/>
          <w:highlight w:val="none"/>
        </w:rPr>
        <w:t>，</w:t>
      </w:r>
      <w:r>
        <w:rPr>
          <w:b w:val="0"/>
          <w:bCs w:val="0"/>
          <w:color w:val="auto"/>
          <w:highlight w:val="none"/>
        </w:rPr>
        <w:t>特邀请有意向的潜在</w:t>
      </w:r>
      <w:r>
        <w:rPr>
          <w:rFonts w:hint="eastAsia"/>
          <w:b w:val="0"/>
          <w:bCs w:val="0"/>
          <w:color w:val="auto"/>
          <w:highlight w:val="none"/>
          <w:lang w:eastAsia="zh-CN"/>
        </w:rPr>
        <w:t>响应人</w:t>
      </w:r>
      <w:r>
        <w:rPr>
          <w:b w:val="0"/>
          <w:bCs w:val="0"/>
          <w:color w:val="auto"/>
          <w:highlight w:val="none"/>
        </w:rPr>
        <w:t>进行</w:t>
      </w:r>
      <w:r>
        <w:rPr>
          <w:rFonts w:hint="eastAsia"/>
          <w:b w:val="0"/>
          <w:bCs w:val="0"/>
          <w:color w:val="auto"/>
          <w:highlight w:val="none"/>
          <w:lang w:eastAsia="zh-CN"/>
        </w:rPr>
        <w:t>响应</w:t>
      </w:r>
      <w:r>
        <w:rPr>
          <w:b w:val="0"/>
          <w:bCs w:val="0"/>
          <w:color w:val="auto"/>
          <w:highlight w:val="none"/>
        </w:rPr>
        <w:t>。</w:t>
      </w:r>
    </w:p>
    <w:p w14:paraId="4A307C29">
      <w:pPr>
        <w:pStyle w:val="3"/>
        <w:bidi w:val="0"/>
      </w:pPr>
      <w:bookmarkStart w:id="2" w:name="_Toc28353"/>
      <w:r>
        <w:rPr>
          <w:rFonts w:hint="eastAsia"/>
          <w:lang w:val="en-US" w:eastAsia="zh-CN"/>
        </w:rPr>
        <w:t xml:space="preserve">1. </w:t>
      </w:r>
      <w:r>
        <w:rPr>
          <w:rFonts w:hint="eastAsia"/>
        </w:rPr>
        <w:t>询比项目内容</w:t>
      </w:r>
      <w:bookmarkEnd w:id="0"/>
      <w:bookmarkEnd w:id="1"/>
      <w:bookmarkEnd w:id="2"/>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2316"/>
        <w:gridCol w:w="1735"/>
        <w:gridCol w:w="1222"/>
        <w:gridCol w:w="1660"/>
        <w:gridCol w:w="970"/>
      </w:tblGrid>
      <w:tr w14:paraId="32B7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5D5BA72D">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r>
              <w:rPr>
                <w:rFonts w:hint="eastAsia"/>
              </w:rPr>
              <w:t>序号</w:t>
            </w:r>
          </w:p>
        </w:tc>
        <w:tc>
          <w:tcPr>
            <w:tcW w:w="1359" w:type="pct"/>
            <w:vAlign w:val="center"/>
          </w:tcPr>
          <w:p w14:paraId="25B1A94B">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r>
              <w:rPr>
                <w:rFonts w:hint="eastAsia"/>
              </w:rPr>
              <w:t>项目名称</w:t>
            </w:r>
          </w:p>
        </w:tc>
        <w:tc>
          <w:tcPr>
            <w:tcW w:w="1018" w:type="pct"/>
            <w:vAlign w:val="center"/>
          </w:tcPr>
          <w:p w14:paraId="39EE807F">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r>
              <w:rPr>
                <w:rFonts w:hint="eastAsia"/>
              </w:rPr>
              <w:t>最高限价</w:t>
            </w:r>
          </w:p>
        </w:tc>
        <w:tc>
          <w:tcPr>
            <w:tcW w:w="717" w:type="pct"/>
            <w:vAlign w:val="center"/>
          </w:tcPr>
          <w:p w14:paraId="11A3F7F7">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r>
              <w:rPr>
                <w:rFonts w:hint="eastAsia"/>
                <w:lang w:eastAsia="zh-CN"/>
              </w:rPr>
              <w:t>成交供应商</w:t>
            </w:r>
            <w:r>
              <w:rPr>
                <w:rFonts w:hint="eastAsia"/>
              </w:rPr>
              <w:t>数量</w:t>
            </w:r>
          </w:p>
        </w:tc>
        <w:tc>
          <w:tcPr>
            <w:tcW w:w="974" w:type="pct"/>
            <w:vAlign w:val="center"/>
          </w:tcPr>
          <w:p w14:paraId="22738CD5">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rPr>
                <w:rFonts w:hint="eastAsia"/>
                <w:lang w:val="en-US" w:eastAsia="zh-CN"/>
              </w:rPr>
            </w:pPr>
            <w:r>
              <w:rPr>
                <w:rFonts w:hint="eastAsia"/>
                <w:lang w:val="en-US" w:eastAsia="zh-CN"/>
              </w:rPr>
              <w:t>采购货物</w:t>
            </w:r>
          </w:p>
        </w:tc>
        <w:tc>
          <w:tcPr>
            <w:tcW w:w="569" w:type="pct"/>
            <w:vAlign w:val="center"/>
          </w:tcPr>
          <w:p w14:paraId="4A6EE751">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rPr>
                <w:rFonts w:hint="eastAsia"/>
                <w:lang w:eastAsia="zh-CN"/>
              </w:rPr>
            </w:pPr>
            <w:r>
              <w:rPr>
                <w:rFonts w:hint="eastAsia"/>
                <w:lang w:val="en-US" w:eastAsia="zh-CN"/>
              </w:rPr>
              <w:t>备注</w:t>
            </w:r>
          </w:p>
        </w:tc>
      </w:tr>
      <w:tr w14:paraId="097C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1" w:type="pct"/>
            <w:vAlign w:val="center"/>
          </w:tcPr>
          <w:p w14:paraId="25AF96C1">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r>
              <w:rPr>
                <w:rFonts w:hint="eastAsia"/>
              </w:rPr>
              <w:t>1</w:t>
            </w:r>
          </w:p>
        </w:tc>
        <w:tc>
          <w:tcPr>
            <w:tcW w:w="1359" w:type="pct"/>
            <w:vMerge w:val="restart"/>
            <w:tcBorders>
              <w:top w:val="single" w:color="auto" w:sz="4" w:space="0"/>
              <w:left w:val="single" w:color="auto" w:sz="4" w:space="0"/>
              <w:right w:val="single" w:color="auto" w:sz="4" w:space="0"/>
            </w:tcBorders>
            <w:vAlign w:val="center"/>
          </w:tcPr>
          <w:p w14:paraId="7171E211">
            <w:pPr>
              <w:pStyle w:val="7"/>
              <w:keepNext w:val="0"/>
              <w:keepLines w:val="0"/>
              <w:pageBreakBefore w:val="0"/>
              <w:widowControl w:val="0"/>
              <w:suppressLineNumbers w:val="0"/>
              <w:kinsoku/>
              <w:wordWrap/>
              <w:overflowPunct/>
              <w:topLinePunct w:val="0"/>
              <w:autoSpaceDE w:val="0"/>
              <w:autoSpaceDN w:val="0"/>
              <w:adjustRightInd/>
              <w:snapToGrid/>
              <w:ind w:firstLineChars="0"/>
              <w:jc w:val="center"/>
              <w:rPr>
                <w:lang w:val="en-US" w:eastAsia="zh-CN"/>
              </w:rPr>
            </w:pPr>
            <w:r>
              <w:rPr>
                <w:rFonts w:hint="eastAsia"/>
                <w:lang w:val="en-US" w:eastAsia="zh-CN"/>
              </w:rPr>
              <w:t>重庆三峡银行智能柜员机供应商采购项目</w:t>
            </w:r>
          </w:p>
        </w:tc>
        <w:tc>
          <w:tcPr>
            <w:tcW w:w="1018" w:type="pct"/>
            <w:tcBorders>
              <w:top w:val="single" w:color="auto" w:sz="4" w:space="0"/>
              <w:left w:val="single" w:color="auto" w:sz="4" w:space="0"/>
              <w:right w:val="single" w:color="auto" w:sz="4" w:space="0"/>
            </w:tcBorders>
            <w:vAlign w:val="center"/>
          </w:tcPr>
          <w:p w14:paraId="2F5EA806">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rPr>
                <w:rFonts w:hint="default"/>
                <w:lang w:val="en-US" w:eastAsia="zh-CN"/>
              </w:rPr>
            </w:pPr>
            <w:r>
              <w:rPr>
                <w:lang w:val="en-US" w:eastAsia="zh-CN"/>
              </w:rPr>
              <w:t>2万元</w:t>
            </w:r>
            <w:r>
              <w:rPr>
                <w:rFonts w:hint="eastAsia"/>
                <w:lang w:val="en-US" w:eastAsia="zh-CN"/>
              </w:rPr>
              <w:t>/台</w:t>
            </w:r>
          </w:p>
        </w:tc>
        <w:tc>
          <w:tcPr>
            <w:tcW w:w="717" w:type="pct"/>
            <w:vMerge w:val="restart"/>
            <w:tcBorders>
              <w:top w:val="single" w:color="auto" w:sz="4" w:space="0"/>
              <w:left w:val="single" w:color="auto" w:sz="4" w:space="0"/>
              <w:right w:val="single" w:color="auto" w:sz="4" w:space="0"/>
            </w:tcBorders>
            <w:vAlign w:val="center"/>
          </w:tcPr>
          <w:p w14:paraId="0943CC4E">
            <w:pPr>
              <w:pStyle w:val="7"/>
              <w:jc w:val="center"/>
              <w:rPr>
                <w:lang w:val="en-US" w:eastAsia="zh-CN"/>
              </w:rPr>
            </w:pPr>
            <w:r>
              <w:rPr>
                <w:lang w:val="en-US" w:eastAsia="zh-CN"/>
              </w:rPr>
              <w:t>1</w:t>
            </w:r>
          </w:p>
        </w:tc>
        <w:tc>
          <w:tcPr>
            <w:tcW w:w="974" w:type="pct"/>
            <w:vAlign w:val="center"/>
          </w:tcPr>
          <w:p w14:paraId="0ACEDEDC">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r>
              <w:rPr>
                <w:lang w:val="en-US" w:eastAsia="zh-CN"/>
              </w:rPr>
              <w:t>智能柜员机</w:t>
            </w:r>
          </w:p>
        </w:tc>
        <w:tc>
          <w:tcPr>
            <w:tcW w:w="569" w:type="pct"/>
            <w:vAlign w:val="center"/>
          </w:tcPr>
          <w:p w14:paraId="2DE72263">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firstLineChars="0"/>
              <w:jc w:val="center"/>
              <w:textAlignment w:val="auto"/>
            </w:pPr>
          </w:p>
        </w:tc>
      </w:tr>
      <w:tr w14:paraId="5FAC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1" w:type="pct"/>
            <w:vAlign w:val="center"/>
          </w:tcPr>
          <w:p w14:paraId="094A5132">
            <w:pPr>
              <w:pStyle w:val="7"/>
              <w:keepNext w:val="0"/>
              <w:keepLines w:val="0"/>
              <w:pageBreakBefore w:val="0"/>
              <w:widowControl w:val="0"/>
              <w:suppressLineNumbers w:val="0"/>
              <w:kinsoku/>
              <w:wordWrap/>
              <w:overflowPunct/>
              <w:topLinePunct w:val="0"/>
              <w:autoSpaceDE w:val="0"/>
              <w:autoSpaceDN w:val="0"/>
              <w:adjustRightInd/>
              <w:snapToGrid/>
              <w:ind w:firstLineChars="0"/>
              <w:jc w:val="center"/>
            </w:pPr>
            <w:r>
              <w:t>2</w:t>
            </w:r>
          </w:p>
        </w:tc>
        <w:tc>
          <w:tcPr>
            <w:tcW w:w="1359" w:type="pct"/>
            <w:vMerge w:val="continue"/>
            <w:tcBorders>
              <w:left w:val="single" w:color="auto" w:sz="4" w:space="0"/>
              <w:right w:val="single" w:color="auto" w:sz="4" w:space="0"/>
            </w:tcBorders>
            <w:vAlign w:val="center"/>
          </w:tcPr>
          <w:p w14:paraId="480E6F4C">
            <w:pPr>
              <w:pStyle w:val="7"/>
              <w:keepNext w:val="0"/>
              <w:keepLines w:val="0"/>
              <w:pageBreakBefore w:val="0"/>
              <w:widowControl w:val="0"/>
              <w:suppressLineNumbers w:val="0"/>
              <w:kinsoku/>
              <w:wordWrap/>
              <w:overflowPunct/>
              <w:topLinePunct w:val="0"/>
              <w:autoSpaceDE w:val="0"/>
              <w:autoSpaceDN w:val="0"/>
              <w:adjustRightInd/>
              <w:snapToGrid/>
              <w:ind w:firstLineChars="0"/>
              <w:jc w:val="center"/>
              <w:rPr>
                <w:lang w:val="en-US" w:eastAsia="zh-CN"/>
              </w:rPr>
            </w:pPr>
          </w:p>
        </w:tc>
        <w:tc>
          <w:tcPr>
            <w:tcW w:w="1018" w:type="pct"/>
            <w:tcBorders>
              <w:top w:val="single" w:color="auto" w:sz="4" w:space="0"/>
              <w:left w:val="single" w:color="auto" w:sz="4" w:space="0"/>
              <w:right w:val="single" w:color="auto" w:sz="4" w:space="0"/>
            </w:tcBorders>
            <w:vAlign w:val="center"/>
          </w:tcPr>
          <w:p w14:paraId="0F9AF832">
            <w:pPr>
              <w:pStyle w:val="7"/>
              <w:keepNext w:val="0"/>
              <w:keepLines w:val="0"/>
              <w:pageBreakBefore w:val="0"/>
              <w:widowControl w:val="0"/>
              <w:suppressLineNumbers w:val="0"/>
              <w:kinsoku/>
              <w:wordWrap/>
              <w:overflowPunct/>
              <w:topLinePunct w:val="0"/>
              <w:autoSpaceDE w:val="0"/>
              <w:autoSpaceDN w:val="0"/>
              <w:adjustRightInd/>
              <w:snapToGrid/>
              <w:ind w:firstLineChars="0"/>
              <w:jc w:val="center"/>
              <w:rPr>
                <w:lang w:val="en-US" w:eastAsia="zh-CN"/>
              </w:rPr>
            </w:pPr>
            <w:r>
              <w:rPr>
                <w:lang w:val="en-US" w:eastAsia="zh-CN"/>
              </w:rPr>
              <w:t>1.9万元</w:t>
            </w:r>
            <w:r>
              <w:rPr>
                <w:rFonts w:hint="eastAsia"/>
                <w:lang w:val="en-US" w:eastAsia="zh-CN"/>
              </w:rPr>
              <w:t>/台</w:t>
            </w:r>
          </w:p>
        </w:tc>
        <w:tc>
          <w:tcPr>
            <w:tcW w:w="717" w:type="pct"/>
            <w:vMerge w:val="continue"/>
            <w:tcBorders>
              <w:top w:val="single" w:color="auto" w:sz="4" w:space="0"/>
              <w:left w:val="single" w:color="auto" w:sz="4" w:space="0"/>
              <w:right w:val="single" w:color="auto" w:sz="4" w:space="0"/>
            </w:tcBorders>
            <w:vAlign w:val="center"/>
          </w:tcPr>
          <w:p w14:paraId="58D7C2AA">
            <w:pPr>
              <w:pStyle w:val="7"/>
            </w:pPr>
          </w:p>
        </w:tc>
        <w:tc>
          <w:tcPr>
            <w:tcW w:w="974" w:type="pct"/>
            <w:vAlign w:val="center"/>
          </w:tcPr>
          <w:p w14:paraId="04AA85F8">
            <w:pPr>
              <w:pStyle w:val="7"/>
              <w:keepNext w:val="0"/>
              <w:keepLines w:val="0"/>
              <w:pageBreakBefore w:val="0"/>
              <w:widowControl w:val="0"/>
              <w:suppressLineNumbers w:val="0"/>
              <w:kinsoku/>
              <w:wordWrap/>
              <w:overflowPunct/>
              <w:topLinePunct w:val="0"/>
              <w:autoSpaceDE w:val="0"/>
              <w:autoSpaceDN w:val="0"/>
              <w:adjustRightInd/>
              <w:snapToGrid/>
              <w:ind w:firstLineChars="0"/>
              <w:jc w:val="center"/>
            </w:pPr>
            <w:r>
              <w:rPr>
                <w:lang w:val="en-US" w:eastAsia="zh-CN"/>
              </w:rPr>
              <w:t>智能柜员机票据边柜</w:t>
            </w:r>
          </w:p>
        </w:tc>
        <w:tc>
          <w:tcPr>
            <w:tcW w:w="569" w:type="pct"/>
            <w:vAlign w:val="center"/>
          </w:tcPr>
          <w:p w14:paraId="4C76FFB7">
            <w:pPr>
              <w:pStyle w:val="7"/>
              <w:keepNext w:val="0"/>
              <w:keepLines w:val="0"/>
              <w:pageBreakBefore w:val="0"/>
              <w:widowControl w:val="0"/>
              <w:suppressLineNumbers w:val="0"/>
              <w:kinsoku/>
              <w:wordWrap/>
              <w:overflowPunct/>
              <w:topLinePunct w:val="0"/>
              <w:autoSpaceDE w:val="0"/>
              <w:autoSpaceDN w:val="0"/>
              <w:adjustRightInd/>
              <w:snapToGrid/>
              <w:ind w:firstLineChars="0"/>
              <w:jc w:val="center"/>
            </w:pPr>
            <w:r>
              <w:t>选配</w:t>
            </w:r>
          </w:p>
        </w:tc>
      </w:tr>
    </w:tbl>
    <w:p w14:paraId="59874AD7">
      <w:pPr>
        <w:pStyle w:val="3"/>
        <w:bidi w:val="0"/>
      </w:pPr>
      <w:bookmarkStart w:id="3" w:name="_Toc288224935"/>
      <w:bookmarkStart w:id="4" w:name="_Toc55379219"/>
      <w:bookmarkStart w:id="5" w:name="_Toc469574664"/>
      <w:bookmarkStart w:id="6" w:name="_Toc297817088"/>
      <w:bookmarkStart w:id="7" w:name="_Toc89675128"/>
      <w:bookmarkStart w:id="8" w:name="_Toc5878"/>
      <w:r>
        <w:rPr>
          <w:rFonts w:hint="eastAsia"/>
          <w:lang w:val="en-US" w:eastAsia="zh-CN"/>
        </w:rPr>
        <w:t xml:space="preserve">2. </w:t>
      </w:r>
      <w:r>
        <w:rPr>
          <w:rFonts w:hint="eastAsia"/>
          <w:lang w:eastAsia="zh-CN"/>
        </w:rPr>
        <w:t>响应人</w:t>
      </w:r>
      <w:r>
        <w:rPr>
          <w:rFonts w:hint="eastAsia"/>
        </w:rPr>
        <w:t>资格要求</w:t>
      </w:r>
      <w:bookmarkEnd w:id="3"/>
      <w:bookmarkEnd w:id="4"/>
      <w:bookmarkEnd w:id="5"/>
      <w:bookmarkEnd w:id="6"/>
      <w:bookmarkEnd w:id="7"/>
      <w:bookmarkEnd w:id="8"/>
    </w:p>
    <w:p w14:paraId="1D3338E5">
      <w:pPr>
        <w:bidi w:val="0"/>
        <w:rPr>
          <w:rFonts w:hint="eastAsia"/>
          <w:lang w:val="en-US" w:eastAsia="zh-CN"/>
        </w:rPr>
      </w:pPr>
      <w:bookmarkStart w:id="9" w:name="_Hlk55488870"/>
      <w:r>
        <w:rPr>
          <w:rFonts w:hint="eastAsia"/>
          <w:lang w:val="en-US" w:eastAsia="zh-CN"/>
        </w:rPr>
        <w:t>2.1 响应人应当具备承担询比项目的能力</w:t>
      </w:r>
    </w:p>
    <w:p w14:paraId="29E6F17F">
      <w:pPr>
        <w:bidi w:val="0"/>
        <w:rPr>
          <w:rFonts w:hint="eastAsia"/>
          <w:lang w:val="en-US" w:eastAsia="zh-CN"/>
        </w:rPr>
      </w:pPr>
      <w:r>
        <w:rPr>
          <w:rFonts w:hint="eastAsia"/>
          <w:lang w:val="en-US" w:eastAsia="zh-CN"/>
        </w:rPr>
        <w:t>【提供响应人有效营业执照（副本）、直属的分支机构（直属的分支机构响应必须具有总公司的授权委托书）或事业单位法人证书（副本）或个体工商户营业执照或有效的自然人身份证明；响应人法定代表人身份证明和法定代表人授权委托书（直属分支机构参与项目的，提供分支机构负责人身份证明和分支机构负责人授权委托书）。】</w:t>
      </w:r>
    </w:p>
    <w:p w14:paraId="17FB7EA4">
      <w:pPr>
        <w:bidi w:val="0"/>
        <w:rPr>
          <w:lang w:val="en-US" w:eastAsia="zh-CN"/>
        </w:rPr>
      </w:pPr>
      <w:r>
        <w:rPr>
          <w:rFonts w:hint="eastAsia"/>
          <w:lang w:val="en-US" w:eastAsia="zh-CN"/>
        </w:rPr>
        <w:t>注：若为法定代表人（分支机构负责人）办理并签署响应文件的，不提供授权代表委托书。</w:t>
      </w:r>
    </w:p>
    <w:p w14:paraId="57FAB7EC">
      <w:pPr>
        <w:bidi w:val="0"/>
        <w:rPr>
          <w:rFonts w:hint="eastAsia"/>
          <w:lang w:val="en-US" w:eastAsia="zh-CN"/>
        </w:rPr>
      </w:pPr>
      <w:r>
        <w:rPr>
          <w:rFonts w:hint="eastAsia"/>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FFDE0F0">
      <w:pPr>
        <w:bidi w:val="0"/>
        <w:rPr>
          <w:rFonts w:hint="eastAsia"/>
          <w:lang w:val="en-US" w:eastAsia="zh-CN"/>
        </w:rPr>
      </w:pPr>
      <w:r>
        <w:rPr>
          <w:rFonts w:hint="eastAsia"/>
          <w:lang w:val="en-US" w:eastAsia="zh-CN"/>
        </w:rPr>
        <w:t>2.3 本项目不允许任何形式的转包【提供书面声明】。</w:t>
      </w:r>
    </w:p>
    <w:p w14:paraId="789E7460">
      <w:pPr>
        <w:bidi w:val="0"/>
        <w:rPr>
          <w:rFonts w:hint="eastAsia"/>
          <w:lang w:val="en-US" w:eastAsia="zh-CN"/>
        </w:rPr>
      </w:pPr>
      <w:r>
        <w:rPr>
          <w:rFonts w:hint="eastAsia"/>
          <w:lang w:val="en-US" w:eastAsia="zh-CN"/>
        </w:rPr>
        <w:t>2.4 法人及法定代表人没有被人民法院列为失信被执行人名单【提供：1、法人在中国执行信息公开网（中国执行信息公开网网址：https://zxgk.court.gov.cn/）的查询截图并加盖单位鲜章；2、法定代表人在中国执行信息公开网的查询截图并加盖单位鲜章】；</w:t>
      </w:r>
    </w:p>
    <w:p w14:paraId="1F4C5395">
      <w:pPr>
        <w:bidi w:val="0"/>
        <w:rPr>
          <w:rFonts w:hint="eastAsia"/>
          <w:lang w:val="en-US" w:eastAsia="zh-CN"/>
        </w:rPr>
      </w:pPr>
      <w:r>
        <w:rPr>
          <w:rFonts w:hint="eastAsia"/>
          <w:lang w:val="en-US" w:eastAsia="zh-CN"/>
        </w:rPr>
        <w:t>2.5 本次询比不接受联合体响应。</w:t>
      </w:r>
    </w:p>
    <w:p w14:paraId="4DC56CA2">
      <w:pPr>
        <w:bidi w:val="0"/>
        <w:rPr>
          <w:lang w:val="en-US" w:eastAsia="zh-CN"/>
        </w:rPr>
      </w:pPr>
      <w:r>
        <w:rPr>
          <w:rFonts w:hint="eastAsia"/>
          <w:lang w:val="en-US" w:eastAsia="zh-CN"/>
        </w:rPr>
        <w:t>2.6 本次响应设备</w:t>
      </w:r>
      <w:r>
        <w:rPr>
          <w:lang w:val="en-US" w:eastAsia="zh-CN"/>
        </w:rPr>
        <w:t>：智能柜员机必须支持统信系统、飞腾芯片</w:t>
      </w:r>
      <w:r>
        <w:rPr>
          <w:rFonts w:hint="eastAsia"/>
          <w:lang w:val="en-US" w:eastAsia="zh-CN"/>
        </w:rPr>
        <w:t>。【提供书面声明】</w:t>
      </w:r>
    </w:p>
    <w:p w14:paraId="3FF44CFE">
      <w:pPr>
        <w:bidi w:val="0"/>
      </w:pPr>
      <w:r>
        <w:rPr>
          <w:rFonts w:hint="eastAsia"/>
        </w:rPr>
        <w:t>注:以上证明文件若</w:t>
      </w:r>
      <w:r>
        <w:rPr>
          <w:rFonts w:hint="eastAsia"/>
          <w:lang w:eastAsia="zh-CN"/>
        </w:rPr>
        <w:t>采购人</w:t>
      </w:r>
      <w:r>
        <w:rPr>
          <w:rFonts w:hint="eastAsia"/>
        </w:rPr>
        <w:t>存疑，</w:t>
      </w:r>
      <w:r>
        <w:rPr>
          <w:rFonts w:hint="eastAsia"/>
          <w:lang w:eastAsia="zh-CN"/>
        </w:rPr>
        <w:t>响应人</w:t>
      </w:r>
      <w:r>
        <w:rPr>
          <w:rFonts w:hint="eastAsia"/>
        </w:rPr>
        <w:t>需提供原件备查，</w:t>
      </w:r>
      <w:r>
        <w:rPr>
          <w:rFonts w:hint="eastAsia"/>
          <w:lang w:eastAsia="zh-CN"/>
        </w:rPr>
        <w:t>响应</w:t>
      </w:r>
      <w:r>
        <w:rPr>
          <w:rFonts w:hint="eastAsia"/>
        </w:rPr>
        <w:t>文件中须附相关证明文件复印件并逐页加盖公章。</w:t>
      </w:r>
    </w:p>
    <w:p w14:paraId="0ACA3B9C">
      <w:pPr>
        <w:bidi w:val="0"/>
      </w:pPr>
      <w:r>
        <w:rPr>
          <w:rFonts w:hint="eastAsia"/>
        </w:rPr>
        <w:t>本次</w:t>
      </w:r>
      <w:r>
        <w:t>询比</w:t>
      </w:r>
      <w:r>
        <w:rPr>
          <w:rFonts w:hint="eastAsia"/>
        </w:rPr>
        <w:t>不接受曾因</w:t>
      </w:r>
      <w:r>
        <w:rPr>
          <w:rFonts w:hint="eastAsia"/>
          <w:lang w:eastAsia="zh-CN"/>
        </w:rPr>
        <w:t>响应人</w:t>
      </w:r>
      <w:r>
        <w:rPr>
          <w:rFonts w:hint="eastAsia"/>
        </w:rPr>
        <w:t>的违约行为与</w:t>
      </w:r>
      <w:r>
        <w:rPr>
          <w:rFonts w:hint="eastAsia"/>
          <w:lang w:eastAsia="zh-CN"/>
        </w:rPr>
        <w:t>采购人</w:t>
      </w:r>
      <w:r>
        <w:rPr>
          <w:rFonts w:hint="eastAsia"/>
        </w:rPr>
        <w:t>发生过纠纷的</w:t>
      </w:r>
      <w:r>
        <w:rPr>
          <w:rFonts w:hint="eastAsia"/>
          <w:lang w:val="en-US" w:eastAsia="zh-CN"/>
        </w:rPr>
        <w:t>响应人</w:t>
      </w:r>
      <w:r>
        <w:rPr>
          <w:rFonts w:hint="eastAsia"/>
        </w:rPr>
        <w:t>；</w:t>
      </w:r>
      <w:r>
        <w:t>不接受</w:t>
      </w:r>
      <w:r>
        <w:rPr>
          <w:rFonts w:hint="eastAsia"/>
        </w:rPr>
        <w:t>与</w:t>
      </w:r>
      <w:r>
        <w:rPr>
          <w:rFonts w:hint="eastAsia"/>
          <w:lang w:eastAsia="zh-CN"/>
        </w:rPr>
        <w:t>采购人</w:t>
      </w:r>
      <w:r>
        <w:rPr>
          <w:rFonts w:hint="eastAsia"/>
        </w:rPr>
        <w:t>合作过程中不遵守询比文件及合同约定的</w:t>
      </w:r>
      <w:r>
        <w:rPr>
          <w:rFonts w:hint="eastAsia"/>
          <w:lang w:val="en-US" w:eastAsia="zh-CN"/>
        </w:rPr>
        <w:t>响应人</w:t>
      </w:r>
      <w:r>
        <w:rPr>
          <w:rFonts w:hint="eastAsia"/>
        </w:rPr>
        <w:t>；</w:t>
      </w:r>
      <w:r>
        <w:t>不接受</w:t>
      </w:r>
      <w:r>
        <w:rPr>
          <w:rFonts w:hint="eastAsia"/>
        </w:rPr>
        <w:t>曾在</w:t>
      </w:r>
      <w:r>
        <w:rPr>
          <w:rFonts w:hint="eastAsia"/>
          <w:lang w:eastAsia="zh-CN"/>
        </w:rPr>
        <w:t>采购人</w:t>
      </w:r>
      <w:r>
        <w:rPr>
          <w:rFonts w:hint="eastAsia"/>
        </w:rPr>
        <w:t>项目</w:t>
      </w:r>
      <w:r>
        <w:t>中存在</w:t>
      </w:r>
      <w:r>
        <w:rPr>
          <w:rFonts w:hint="eastAsia"/>
        </w:rPr>
        <w:t>弄虚作假行为的</w:t>
      </w:r>
      <w:r>
        <w:rPr>
          <w:rFonts w:hint="eastAsia"/>
          <w:lang w:val="en-US" w:eastAsia="zh-CN"/>
        </w:rPr>
        <w:t>响应人</w:t>
      </w:r>
      <w:r>
        <w:t>。若</w:t>
      </w:r>
      <w:r>
        <w:rPr>
          <w:rFonts w:hint="eastAsia"/>
          <w:lang w:val="en-US" w:eastAsia="zh-CN"/>
        </w:rPr>
        <w:t>响应人</w:t>
      </w:r>
      <w:r>
        <w:t>存在上述情况，</w:t>
      </w:r>
      <w:r>
        <w:rPr>
          <w:rFonts w:hint="eastAsia"/>
          <w:lang w:eastAsia="zh-CN"/>
        </w:rPr>
        <w:t>采购人</w:t>
      </w:r>
      <w:r>
        <w:rPr>
          <w:rFonts w:hint="eastAsia"/>
        </w:rPr>
        <w:t>将</w:t>
      </w:r>
      <w:r>
        <w:t>有权</w:t>
      </w:r>
      <w:r>
        <w:rPr>
          <w:rFonts w:hint="eastAsia"/>
        </w:rPr>
        <w:t>随时</w:t>
      </w:r>
      <w:r>
        <w:t>取消其</w:t>
      </w:r>
      <w:r>
        <w:rPr>
          <w:rFonts w:hint="eastAsia"/>
          <w:lang w:eastAsia="zh-CN"/>
        </w:rPr>
        <w:t>响应</w:t>
      </w:r>
      <w:r>
        <w:t>资格或</w:t>
      </w:r>
      <w:r>
        <w:rPr>
          <w:rFonts w:hint="eastAsia"/>
          <w:lang w:eastAsia="zh-CN"/>
        </w:rPr>
        <w:t>成交</w:t>
      </w:r>
      <w:r>
        <w:t>资格（</w:t>
      </w:r>
      <w:r>
        <w:rPr>
          <w:rFonts w:hint="eastAsia"/>
        </w:rPr>
        <w:t>若</w:t>
      </w:r>
      <w:r>
        <w:t>签署合同后发现的则有权解除合同）</w:t>
      </w:r>
      <w:r>
        <w:rPr>
          <w:rFonts w:hint="eastAsia"/>
        </w:rPr>
        <w:t>，没收</w:t>
      </w:r>
      <w:r>
        <w:t>其</w:t>
      </w:r>
      <w:r>
        <w:rPr>
          <w:rFonts w:hint="eastAsia"/>
          <w:lang w:eastAsia="zh-CN"/>
        </w:rPr>
        <w:t>响应</w:t>
      </w:r>
      <w:r>
        <w:t>保证金，并追究其相应的法律责任。</w:t>
      </w:r>
      <w:bookmarkEnd w:id="9"/>
      <w:bookmarkStart w:id="10" w:name="_Toc55379220"/>
      <w:bookmarkStart w:id="11" w:name="_Toc297817090"/>
      <w:bookmarkStart w:id="12" w:name="_Toc89675130"/>
      <w:bookmarkStart w:id="13" w:name="_Toc469574667"/>
    </w:p>
    <w:bookmarkEnd w:id="10"/>
    <w:p w14:paraId="463BEB8C">
      <w:pPr>
        <w:pStyle w:val="3"/>
        <w:bidi w:val="0"/>
        <w:rPr>
          <w:rFonts w:hint="eastAsia"/>
          <w:lang w:val="en-US" w:eastAsia="zh-CN"/>
        </w:rPr>
      </w:pPr>
      <w:bookmarkStart w:id="14" w:name="_Toc55379221"/>
      <w:bookmarkStart w:id="15" w:name="_Toc31358"/>
      <w:r>
        <w:rPr>
          <w:rFonts w:hint="eastAsia"/>
          <w:lang w:val="en-US" w:eastAsia="zh-CN"/>
        </w:rPr>
        <w:t>3. 询比文件的获取</w:t>
      </w:r>
    </w:p>
    <w:p w14:paraId="7C0BF9A5">
      <w:pPr>
        <w:bidi w:val="0"/>
        <w:rPr>
          <w:rFonts w:hint="eastAsia"/>
          <w:lang w:val="en-US" w:eastAsia="zh-CN"/>
        </w:rPr>
      </w:pPr>
      <w:r>
        <w:rPr>
          <w:rFonts w:hint="eastAsia"/>
          <w:lang w:val="en-US" w:eastAsia="zh-CN"/>
        </w:rPr>
        <w:t>3.1 响应截止时间：2025年8月18日9时30分（北京时间）</w:t>
      </w:r>
    </w:p>
    <w:p w14:paraId="3D7DB6D4">
      <w:pPr>
        <w:bidi w:val="0"/>
        <w:rPr>
          <w:rFonts w:hint="eastAsia"/>
          <w:lang w:val="en-US" w:eastAsia="zh-CN"/>
        </w:rPr>
      </w:pPr>
      <w:r>
        <w:rPr>
          <w:rFonts w:hint="eastAsia"/>
          <w:lang w:val="en-US" w:eastAsia="zh-CN"/>
        </w:rPr>
        <w:t>3.2 获取时间和方式：从2025年8月1日到响应截止时间，在重庆市公共资源交易网（www.cqggzy.com）下载询比文件。</w:t>
      </w:r>
    </w:p>
    <w:p w14:paraId="1E65A442">
      <w:pPr>
        <w:bidi w:val="0"/>
        <w:rPr>
          <w:rFonts w:hint="eastAsia"/>
          <w:lang w:val="en-US" w:eastAsia="zh-CN"/>
        </w:rPr>
      </w:pPr>
      <w:r>
        <w:rPr>
          <w:rFonts w:hint="eastAsia"/>
          <w:lang w:val="en-US" w:eastAsia="zh-CN"/>
        </w:rPr>
        <w:t>3.3 响应人在下载询比文件后，应仔细检查询比文件的所有内容，如有残缺或文字表述不清，以及存在错、碰、漏、缺、概念模糊和有可能出现歧义或理解上的偏差的内容等应在2025年8月6日17时00分（北京时间）前自行在重庆市公共资源交易网（http://www.cqggzy.com/）询比公告的“我要提问”栏目匿名提出。响应人未提出，则视为响应人已全面确认询比文件内容。</w:t>
      </w:r>
    </w:p>
    <w:p w14:paraId="4CCD5012">
      <w:pPr>
        <w:rPr>
          <w:rFonts w:hint="eastAsia"/>
          <w:lang w:val="en-US" w:eastAsia="zh-CN"/>
        </w:rPr>
      </w:pPr>
      <w:r>
        <w:rPr>
          <w:rFonts w:hint="eastAsia"/>
          <w:lang w:val="en-US" w:eastAsia="zh-CN"/>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bookmarkEnd w:id="11"/>
    <w:bookmarkEnd w:id="12"/>
    <w:bookmarkEnd w:id="13"/>
    <w:bookmarkEnd w:id="14"/>
    <w:bookmarkEnd w:id="15"/>
    <w:p w14:paraId="1B0AD513">
      <w:pPr>
        <w:pStyle w:val="3"/>
        <w:bidi w:val="0"/>
        <w:rPr>
          <w:rFonts w:hint="eastAsia"/>
          <w:lang w:val="en-US" w:eastAsia="zh-CN"/>
        </w:rPr>
      </w:pPr>
      <w:bookmarkStart w:id="16" w:name="_Toc30555"/>
      <w:r>
        <w:rPr>
          <w:rFonts w:hint="eastAsia"/>
          <w:lang w:val="en-US" w:eastAsia="zh-CN"/>
        </w:rPr>
        <w:t>4. 响应保证金的递交</w:t>
      </w:r>
    </w:p>
    <w:p w14:paraId="0EC793A1">
      <w:pPr>
        <w:rPr>
          <w:rFonts w:hint="eastAsia"/>
          <w:lang w:val="en-US" w:eastAsia="zh-CN"/>
        </w:rPr>
      </w:pPr>
      <w:r>
        <w:rPr>
          <w:rFonts w:hint="eastAsia"/>
          <w:lang w:val="en-US" w:eastAsia="zh-CN"/>
        </w:rPr>
        <w:t>4.1 响应保证金的金额：20000元整（大写：贰万元整）。</w:t>
      </w:r>
    </w:p>
    <w:p w14:paraId="480A44B2">
      <w:pPr>
        <w:rPr>
          <w:rFonts w:hint="eastAsia"/>
          <w:lang w:val="en-US" w:eastAsia="zh-CN"/>
        </w:rPr>
      </w:pPr>
      <w:r>
        <w:rPr>
          <w:rFonts w:hint="eastAsia"/>
          <w:lang w:val="en-US" w:eastAsia="zh-CN"/>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4E2B09C8">
      <w:pPr>
        <w:rPr>
          <w:rFonts w:hint="eastAsia"/>
          <w:lang w:val="en-US" w:eastAsia="zh-CN"/>
        </w:rPr>
      </w:pPr>
      <w:r>
        <w:rPr>
          <w:rFonts w:hint="eastAsia"/>
          <w:lang w:val="en-US" w:eastAsia="zh-CN"/>
        </w:rPr>
        <w:t>响应人可在付款凭证备注栏中注明项目简称。可简写成： 智能柜员机项目项目。</w:t>
      </w:r>
    </w:p>
    <w:p w14:paraId="40D53E8D">
      <w:pPr>
        <w:rPr>
          <w:rFonts w:hint="eastAsia"/>
          <w:lang w:val="en-US" w:eastAsia="zh-CN"/>
        </w:rPr>
      </w:pPr>
      <w:r>
        <w:rPr>
          <w:rFonts w:hint="eastAsia"/>
          <w:lang w:val="en-US" w:eastAsia="zh-CN"/>
        </w:rPr>
        <w:t>4.3 响应保证金递交的截止时间同响应截止时间。响应保证金以重庆市公共资源交易中心询比现场展示的保证金交纳情况为准。</w:t>
      </w:r>
    </w:p>
    <w:p w14:paraId="21D8CE84">
      <w:pPr>
        <w:rPr>
          <w:rFonts w:hint="eastAsia"/>
          <w:lang w:val="en-US" w:eastAsia="zh-CN"/>
        </w:rPr>
      </w:pPr>
      <w:r>
        <w:rPr>
          <w:rFonts w:hint="eastAsia"/>
          <w:lang w:val="en-US" w:eastAsia="zh-CN"/>
        </w:rPr>
        <w:t>4.4 响应保证金专用账户如下：</w:t>
      </w:r>
    </w:p>
    <w:p w14:paraId="2E01706C">
      <w:pPr>
        <w:rPr>
          <w:rFonts w:hint="eastAsia"/>
          <w:lang w:val="en-US" w:eastAsia="zh-CN"/>
        </w:rPr>
      </w:pPr>
      <w:r>
        <w:rPr>
          <w:rFonts w:hint="eastAsia"/>
          <w:lang w:val="en-US" w:eastAsia="zh-CN"/>
        </w:rPr>
        <w:t>详见重庆市公共资源交易网（www.cqggzy.com）对应本项目询比公告信息栏中的保证金信息。</w:t>
      </w:r>
    </w:p>
    <w:p w14:paraId="371ADEC7">
      <w:pPr>
        <w:pStyle w:val="3"/>
        <w:bidi w:val="0"/>
        <w:rPr>
          <w:rFonts w:hint="eastAsia"/>
          <w:lang w:val="en-US" w:eastAsia="zh-CN"/>
        </w:rPr>
      </w:pPr>
      <w:r>
        <w:rPr>
          <w:rFonts w:hint="eastAsia"/>
          <w:lang w:val="en-US" w:eastAsia="zh-CN"/>
        </w:rPr>
        <w:t>5. 市场主体信息登记</w:t>
      </w:r>
    </w:p>
    <w:p w14:paraId="06905BB8">
      <w:pPr>
        <w:bidi w:val="0"/>
        <w:rPr>
          <w:rFonts w:hint="default"/>
          <w:lang w:val="en-US" w:eastAsia="zh-CN"/>
        </w:rPr>
      </w:pPr>
      <w:r>
        <w:rPr>
          <w:rFonts w:hint="eastAsia"/>
        </w:rPr>
        <w:t>根据重庆市公共资源交易中心《关于开展公共资源交易市场主体信息登记工作的公告》的要求，</w:t>
      </w:r>
      <w:r>
        <w:rPr>
          <w:rFonts w:hint="eastAsia"/>
          <w:lang w:val="en-US" w:eastAsia="zh-CN"/>
        </w:rPr>
        <w:t>响应人</w:t>
      </w:r>
      <w:r>
        <w:rPr>
          <w:rFonts w:hint="eastAsia"/>
        </w:rPr>
        <w:t>在</w:t>
      </w:r>
      <w:r>
        <w:rPr>
          <w:rFonts w:hint="eastAsia"/>
          <w:lang w:val="en-US" w:eastAsia="zh-CN"/>
        </w:rPr>
        <w:t>响应</w:t>
      </w:r>
      <w:r>
        <w:rPr>
          <w:rFonts w:hint="eastAsia"/>
        </w:rPr>
        <w:t>前需在重庆市公共资源交易网（www.cq</w:t>
      </w:r>
      <w:bookmarkStart w:id="17" w:name="_GoBack"/>
      <w:bookmarkEnd w:id="17"/>
      <w:r>
        <w:rPr>
          <w:rFonts w:hint="eastAsia"/>
        </w:rPr>
        <w:t>ggzy.com）办理市场主体信息登记手续。</w:t>
      </w:r>
      <w:r>
        <w:rPr>
          <w:rFonts w:hint="eastAsia"/>
          <w:lang w:eastAsia="zh-CN"/>
        </w:rPr>
        <w:t>若响应人未及时完成市场主体信息登记</w:t>
      </w:r>
      <w:r>
        <w:rPr>
          <w:rFonts w:hint="eastAsia"/>
          <w:lang w:val="en-US" w:eastAsia="zh-CN"/>
        </w:rPr>
        <w:t>将不能正常登录电子招投标系统(www.cqggzy.com/EpointSSO/login/oauth2login)查看和办理本项目相关事宜，由此</w:t>
      </w:r>
      <w:r>
        <w:rPr>
          <w:rFonts w:hint="eastAsia"/>
          <w:lang w:eastAsia="zh-CN"/>
        </w:rPr>
        <w:t>导致无法完成</w:t>
      </w:r>
      <w:r>
        <w:rPr>
          <w:rFonts w:hint="eastAsia"/>
          <w:lang w:val="en-US" w:eastAsia="zh-CN"/>
        </w:rPr>
        <w:t>响应</w:t>
      </w:r>
      <w:r>
        <w:rPr>
          <w:rFonts w:hint="eastAsia"/>
          <w:lang w:eastAsia="zh-CN"/>
        </w:rPr>
        <w:t>的，责任自负。</w:t>
      </w:r>
    </w:p>
    <w:p w14:paraId="7EB0F93E">
      <w:pPr>
        <w:pStyle w:val="3"/>
        <w:bidi w:val="0"/>
        <w:rPr>
          <w:highlight w:val="none"/>
        </w:rPr>
      </w:pPr>
      <w:r>
        <w:rPr>
          <w:rFonts w:hint="eastAsia"/>
          <w:highlight w:val="none"/>
          <w:lang w:val="en-US" w:eastAsia="zh-CN"/>
        </w:rPr>
        <w:t xml:space="preserve">6. </w:t>
      </w:r>
      <w:r>
        <w:rPr>
          <w:rFonts w:hint="eastAsia"/>
          <w:highlight w:val="none"/>
          <w:lang w:eastAsia="zh-CN"/>
        </w:rPr>
        <w:t>响应文件</w:t>
      </w:r>
      <w:r>
        <w:rPr>
          <w:rFonts w:hint="eastAsia"/>
          <w:highlight w:val="none"/>
        </w:rPr>
        <w:t>的递交</w:t>
      </w:r>
    </w:p>
    <w:p w14:paraId="4D8266D8">
      <w:pPr>
        <w:bidi w:val="0"/>
        <w:rPr>
          <w:highlight w:val="none"/>
        </w:rPr>
      </w:pPr>
      <w:r>
        <w:rPr>
          <w:rFonts w:hint="eastAsia"/>
          <w:highlight w:val="none"/>
          <w:lang w:val="en-US" w:eastAsia="zh-CN"/>
        </w:rPr>
        <w:t xml:space="preserve">6.1 </w:t>
      </w:r>
      <w:r>
        <w:rPr>
          <w:rFonts w:hint="eastAsia"/>
          <w:highlight w:val="none"/>
          <w:lang w:eastAsia="zh-CN"/>
        </w:rPr>
        <w:t>响应文件</w:t>
      </w:r>
      <w:r>
        <w:rPr>
          <w:rFonts w:hint="eastAsia"/>
          <w:highlight w:val="none"/>
        </w:rPr>
        <w:t>现场递交时间为</w:t>
      </w:r>
      <w:r>
        <w:rPr>
          <w:rFonts w:hint="eastAsia"/>
          <w:lang w:val="en-US" w:eastAsia="zh-CN"/>
        </w:rPr>
        <w:t>2025年8月18日9时00分</w:t>
      </w:r>
      <w:r>
        <w:rPr>
          <w:rFonts w:hint="eastAsia"/>
          <w:highlight w:val="none"/>
        </w:rPr>
        <w:t>(北京时间)</w:t>
      </w:r>
      <w:r>
        <w:rPr>
          <w:rFonts w:hint="eastAsia"/>
          <w:highlight w:val="none"/>
          <w:lang w:val="en-US" w:eastAsia="zh-CN"/>
        </w:rPr>
        <w:t>至响应截止时间</w:t>
      </w:r>
      <w:r>
        <w:rPr>
          <w:rFonts w:hint="eastAsia"/>
          <w:highlight w:val="none"/>
        </w:rPr>
        <w:t>。</w:t>
      </w:r>
    </w:p>
    <w:p w14:paraId="7BEDC729">
      <w:pPr>
        <w:bidi w:val="0"/>
        <w:rPr>
          <w:highlight w:val="none"/>
        </w:rPr>
      </w:pPr>
      <w:r>
        <w:rPr>
          <w:rFonts w:hint="eastAsia"/>
          <w:highlight w:val="none"/>
          <w:lang w:val="en-US" w:eastAsia="zh-CN"/>
        </w:rPr>
        <w:t xml:space="preserve">6.2 </w:t>
      </w:r>
      <w:r>
        <w:rPr>
          <w:rFonts w:hint="eastAsia"/>
          <w:highlight w:val="none"/>
        </w:rPr>
        <w:t>递交地点为重庆市渝北区青枫北路6号渝兴广场B10栋重庆市公共资源交易中心开标区（具体请</w:t>
      </w:r>
      <w:r>
        <w:rPr>
          <w:rFonts w:hint="eastAsia"/>
          <w:highlight w:val="none"/>
          <w:lang w:eastAsia="zh-CN"/>
        </w:rPr>
        <w:t>登录</w:t>
      </w:r>
      <w:r>
        <w:rPr>
          <w:rFonts w:hint="eastAsia"/>
          <w:highlight w:val="none"/>
        </w:rPr>
        <w:t>重庆市公共资源交易网（www.cqggzy.com）查询或递交文件当日见交易中心大厅电子显示屏）。</w:t>
      </w:r>
    </w:p>
    <w:p w14:paraId="54655145">
      <w:pPr>
        <w:bidi w:val="0"/>
        <w:rPr>
          <w:highlight w:val="none"/>
        </w:rPr>
      </w:pPr>
      <w:r>
        <w:rPr>
          <w:rFonts w:hint="eastAsia"/>
          <w:highlight w:val="none"/>
          <w:lang w:val="en-US" w:eastAsia="zh-CN"/>
        </w:rPr>
        <w:t xml:space="preserve">6.3 </w:t>
      </w:r>
      <w:r>
        <w:rPr>
          <w:rFonts w:hint="eastAsia"/>
          <w:highlight w:val="none"/>
        </w:rPr>
        <w:t>逾期送达的</w:t>
      </w:r>
      <w:r>
        <w:rPr>
          <w:rFonts w:hint="eastAsia"/>
          <w:highlight w:val="none"/>
          <w:lang w:eastAsia="zh-CN"/>
        </w:rPr>
        <w:t>响应文件</w:t>
      </w:r>
      <w:r>
        <w:rPr>
          <w:rFonts w:hint="eastAsia"/>
          <w:highlight w:val="none"/>
        </w:rPr>
        <w:t>，不予接收。</w:t>
      </w:r>
    </w:p>
    <w:p w14:paraId="67C2F8B1">
      <w:pPr>
        <w:pStyle w:val="3"/>
        <w:bidi w:val="0"/>
        <w:rPr>
          <w:highlight w:val="none"/>
        </w:rPr>
      </w:pPr>
      <w:r>
        <w:rPr>
          <w:rFonts w:hint="eastAsia"/>
          <w:highlight w:val="none"/>
          <w:lang w:val="en-US" w:eastAsia="zh-CN"/>
        </w:rPr>
        <w:t xml:space="preserve">7. </w:t>
      </w:r>
      <w:r>
        <w:rPr>
          <w:rFonts w:hint="eastAsia"/>
          <w:highlight w:val="none"/>
        </w:rPr>
        <w:t>发布公告的媒介</w:t>
      </w:r>
    </w:p>
    <w:p w14:paraId="14A5369A">
      <w:pPr>
        <w:bidi w:val="0"/>
        <w:rPr>
          <w:highlight w:val="none"/>
        </w:rPr>
      </w:pPr>
      <w:r>
        <w:rPr>
          <w:rFonts w:hint="eastAsia"/>
          <w:highlight w:val="none"/>
        </w:rPr>
        <w:t>本次</w:t>
      </w:r>
      <w:r>
        <w:rPr>
          <w:rFonts w:hint="eastAsia"/>
          <w:highlight w:val="none"/>
          <w:lang w:eastAsia="zh-CN"/>
        </w:rPr>
        <w:t>询比公告</w:t>
      </w:r>
      <w:r>
        <w:rPr>
          <w:rFonts w:hint="eastAsia"/>
          <w:highlight w:val="none"/>
        </w:rPr>
        <w:t>同时在《重庆市公共资源交易网（www.cqggzy.com）》《重庆三峡银行官网（https://www.ccqtgb.com）》和《中国</w:t>
      </w:r>
      <w:r>
        <w:rPr>
          <w:rFonts w:hint="eastAsia"/>
          <w:highlight w:val="none"/>
          <w:lang w:val="en-US" w:eastAsia="zh-CN"/>
        </w:rPr>
        <w:t>招标投标</w:t>
      </w:r>
      <w:r>
        <w:rPr>
          <w:rFonts w:hint="eastAsia"/>
          <w:highlight w:val="none"/>
        </w:rPr>
        <w:t>公共服务平台（http://www.cebpubservice.com）》上发布。</w:t>
      </w:r>
    </w:p>
    <w:p w14:paraId="13D1EAB3">
      <w:pPr>
        <w:pStyle w:val="3"/>
        <w:bidi w:val="0"/>
        <w:rPr>
          <w:rFonts w:hint="eastAsia"/>
          <w:highlight w:val="none"/>
        </w:rPr>
      </w:pPr>
      <w:r>
        <w:rPr>
          <w:rFonts w:hint="eastAsia"/>
          <w:highlight w:val="none"/>
          <w:lang w:val="en-US" w:eastAsia="zh-CN"/>
        </w:rPr>
        <w:t xml:space="preserve">8. </w:t>
      </w:r>
      <w:r>
        <w:rPr>
          <w:rFonts w:hint="eastAsia"/>
          <w:highlight w:val="none"/>
        </w:rPr>
        <w:t>联系方式</w:t>
      </w:r>
    </w:p>
    <w:tbl>
      <w:tblPr>
        <w:tblStyle w:val="4"/>
        <w:tblW w:w="0" w:type="auto"/>
        <w:tblInd w:w="0" w:type="dxa"/>
        <w:tblLayout w:type="fixed"/>
        <w:tblCellMar>
          <w:top w:w="0" w:type="dxa"/>
          <w:left w:w="108" w:type="dxa"/>
          <w:bottom w:w="0" w:type="dxa"/>
          <w:right w:w="108" w:type="dxa"/>
        </w:tblCellMar>
      </w:tblPr>
      <w:tblGrid>
        <w:gridCol w:w="3943"/>
        <w:gridCol w:w="4480"/>
      </w:tblGrid>
      <w:tr w14:paraId="7A93491B">
        <w:tblPrEx>
          <w:tblCellMar>
            <w:top w:w="0" w:type="dxa"/>
            <w:left w:w="108" w:type="dxa"/>
            <w:bottom w:w="0" w:type="dxa"/>
            <w:right w:w="108" w:type="dxa"/>
          </w:tblCellMar>
        </w:tblPrEx>
        <w:trPr>
          <w:trHeight w:val="23" w:hRule="atLeast"/>
        </w:trPr>
        <w:tc>
          <w:tcPr>
            <w:tcW w:w="8423" w:type="dxa"/>
            <w:gridSpan w:val="2"/>
            <w:tcBorders>
              <w:top w:val="single" w:color="auto" w:sz="4" w:space="0"/>
              <w:left w:val="single" w:color="auto" w:sz="4" w:space="0"/>
              <w:bottom w:val="nil"/>
              <w:right w:val="single" w:color="auto" w:sz="4" w:space="0"/>
            </w:tcBorders>
            <w:vAlign w:val="top"/>
          </w:tcPr>
          <w:p w14:paraId="0A49AE2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highlight w:val="none"/>
              </w:rPr>
            </w:pPr>
            <w:r>
              <w:rPr>
                <w:rFonts w:hint="eastAsia"/>
                <w:color w:val="auto"/>
                <w:highlight w:val="none"/>
                <w:lang w:val="en-US" w:eastAsia="zh-CN"/>
              </w:rPr>
              <w:t>8</w:t>
            </w:r>
            <w:r>
              <w:rPr>
                <w:rFonts w:hint="eastAsia"/>
                <w:color w:val="auto"/>
                <w:highlight w:val="none"/>
              </w:rPr>
              <w:t>.1 项目需求咨询</w:t>
            </w:r>
          </w:p>
        </w:tc>
      </w:tr>
      <w:tr w14:paraId="286615D4">
        <w:tblPrEx>
          <w:tblCellMar>
            <w:top w:w="0" w:type="dxa"/>
            <w:left w:w="108" w:type="dxa"/>
            <w:bottom w:w="0" w:type="dxa"/>
            <w:right w:w="108" w:type="dxa"/>
          </w:tblCellMar>
        </w:tblPrEx>
        <w:trPr>
          <w:trHeight w:val="23" w:hRule="atLeast"/>
        </w:trPr>
        <w:tc>
          <w:tcPr>
            <w:tcW w:w="3943" w:type="dxa"/>
            <w:tcBorders>
              <w:top w:val="nil"/>
              <w:left w:val="single" w:color="auto" w:sz="4" w:space="0"/>
              <w:bottom w:val="nil"/>
              <w:right w:val="nil"/>
            </w:tcBorders>
            <w:vAlign w:val="top"/>
          </w:tcPr>
          <w:p w14:paraId="645A9BE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s="宋体"/>
                <w:color w:val="auto"/>
                <w:sz w:val="21"/>
                <w:szCs w:val="21"/>
                <w:highlight w:val="none"/>
              </w:rPr>
            </w:pPr>
            <w:r>
              <w:rPr>
                <w:rFonts w:hint="eastAsia"/>
                <w:color w:val="auto"/>
                <w:highlight w:val="none"/>
              </w:rPr>
              <w:t>项目联系人：袁舒静</w:t>
            </w:r>
          </w:p>
        </w:tc>
        <w:tc>
          <w:tcPr>
            <w:tcW w:w="4480" w:type="dxa"/>
            <w:tcBorders>
              <w:top w:val="nil"/>
              <w:left w:val="nil"/>
              <w:bottom w:val="nil"/>
              <w:right w:val="single" w:color="auto" w:sz="4" w:space="0"/>
            </w:tcBorders>
            <w:vAlign w:val="top"/>
          </w:tcPr>
          <w:p w14:paraId="49D9D9E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s="宋体"/>
                <w:color w:val="auto"/>
                <w:sz w:val="21"/>
                <w:szCs w:val="21"/>
                <w:highlight w:val="none"/>
              </w:rPr>
            </w:pPr>
            <w:r>
              <w:rPr>
                <w:rFonts w:hint="eastAsia"/>
                <w:color w:val="auto"/>
                <w:highlight w:val="none"/>
              </w:rPr>
              <w:t>联系方式：</w:t>
            </w:r>
            <w:r>
              <w:rPr>
                <w:rFonts w:hint="eastAsia"/>
                <w:highlight w:val="none"/>
              </w:rPr>
              <w:t>023-88890080</w:t>
            </w:r>
          </w:p>
        </w:tc>
      </w:tr>
      <w:tr w14:paraId="4D708123">
        <w:tblPrEx>
          <w:tblCellMar>
            <w:top w:w="0" w:type="dxa"/>
            <w:left w:w="108" w:type="dxa"/>
            <w:bottom w:w="0" w:type="dxa"/>
            <w:right w:w="108" w:type="dxa"/>
          </w:tblCellMar>
        </w:tblPrEx>
        <w:trPr>
          <w:trHeight w:val="23" w:hRule="atLeast"/>
        </w:trPr>
        <w:tc>
          <w:tcPr>
            <w:tcW w:w="8423" w:type="dxa"/>
            <w:gridSpan w:val="2"/>
            <w:tcBorders>
              <w:top w:val="nil"/>
              <w:left w:val="single" w:color="auto" w:sz="4" w:space="0"/>
              <w:bottom w:val="nil"/>
              <w:right w:val="single" w:color="auto" w:sz="4" w:space="0"/>
            </w:tcBorders>
            <w:vAlign w:val="top"/>
          </w:tcPr>
          <w:p w14:paraId="0F6F5E3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highlight w:val="none"/>
              </w:rPr>
            </w:pPr>
          </w:p>
        </w:tc>
      </w:tr>
      <w:tr w14:paraId="7564E1AF">
        <w:tblPrEx>
          <w:tblCellMar>
            <w:top w:w="0" w:type="dxa"/>
            <w:left w:w="108" w:type="dxa"/>
            <w:bottom w:w="0" w:type="dxa"/>
            <w:right w:w="108" w:type="dxa"/>
          </w:tblCellMar>
        </w:tblPrEx>
        <w:trPr>
          <w:trHeight w:val="23" w:hRule="atLeast"/>
        </w:trPr>
        <w:tc>
          <w:tcPr>
            <w:tcW w:w="8423" w:type="dxa"/>
            <w:gridSpan w:val="2"/>
            <w:tcBorders>
              <w:top w:val="nil"/>
              <w:left w:val="single" w:color="auto" w:sz="4" w:space="0"/>
              <w:bottom w:val="nil"/>
              <w:right w:val="single" w:color="auto" w:sz="4" w:space="0"/>
            </w:tcBorders>
            <w:vAlign w:val="top"/>
          </w:tcPr>
          <w:p w14:paraId="758F45B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highlight w:val="none"/>
              </w:rPr>
            </w:pPr>
            <w:r>
              <w:rPr>
                <w:rFonts w:hint="eastAsia"/>
                <w:color w:val="auto"/>
                <w:highlight w:val="none"/>
                <w:lang w:val="en-US" w:eastAsia="zh-CN"/>
              </w:rPr>
              <w:t>8</w:t>
            </w:r>
            <w:r>
              <w:rPr>
                <w:rFonts w:hint="eastAsia"/>
                <w:color w:val="auto"/>
                <w:highlight w:val="none"/>
              </w:rPr>
              <w:t>.2 项目流程咨询</w:t>
            </w:r>
          </w:p>
        </w:tc>
      </w:tr>
      <w:tr w14:paraId="2C17B4BB">
        <w:tblPrEx>
          <w:tblCellMar>
            <w:top w:w="0" w:type="dxa"/>
            <w:left w:w="108" w:type="dxa"/>
            <w:bottom w:w="0" w:type="dxa"/>
            <w:right w:w="108" w:type="dxa"/>
          </w:tblCellMar>
        </w:tblPrEx>
        <w:trPr>
          <w:trHeight w:val="23" w:hRule="atLeast"/>
        </w:trPr>
        <w:tc>
          <w:tcPr>
            <w:tcW w:w="8423" w:type="dxa"/>
            <w:gridSpan w:val="2"/>
            <w:tcBorders>
              <w:top w:val="nil"/>
              <w:left w:val="single" w:color="auto" w:sz="4" w:space="0"/>
              <w:bottom w:val="nil"/>
              <w:right w:val="single" w:color="auto" w:sz="4" w:space="0"/>
            </w:tcBorders>
            <w:vAlign w:val="top"/>
          </w:tcPr>
          <w:p w14:paraId="29A8355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highlight w:val="none"/>
              </w:rPr>
            </w:pPr>
            <w:r>
              <w:rPr>
                <w:rFonts w:hint="eastAsia"/>
                <w:color w:val="auto"/>
                <w:highlight w:val="none"/>
              </w:rPr>
              <w:t>平台服务机构：重庆联合产权交易所集团股份有限公司</w:t>
            </w:r>
          </w:p>
        </w:tc>
      </w:tr>
      <w:tr w14:paraId="7896EF80">
        <w:tblPrEx>
          <w:tblCellMar>
            <w:top w:w="0" w:type="dxa"/>
            <w:left w:w="108" w:type="dxa"/>
            <w:bottom w:w="0" w:type="dxa"/>
            <w:right w:w="108" w:type="dxa"/>
          </w:tblCellMar>
        </w:tblPrEx>
        <w:trPr>
          <w:trHeight w:val="23" w:hRule="atLeast"/>
        </w:trPr>
        <w:tc>
          <w:tcPr>
            <w:tcW w:w="3943" w:type="dxa"/>
            <w:tcBorders>
              <w:top w:val="nil"/>
              <w:left w:val="single" w:color="auto" w:sz="4" w:space="0"/>
              <w:bottom w:val="nil"/>
              <w:right w:val="nil"/>
            </w:tcBorders>
            <w:vAlign w:val="top"/>
          </w:tcPr>
          <w:p w14:paraId="16B8DA2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罗老师</w:t>
            </w:r>
          </w:p>
        </w:tc>
        <w:tc>
          <w:tcPr>
            <w:tcW w:w="4480" w:type="dxa"/>
            <w:tcBorders>
              <w:top w:val="nil"/>
              <w:left w:val="nil"/>
              <w:bottom w:val="nil"/>
              <w:right w:val="single" w:color="auto" w:sz="4" w:space="0"/>
            </w:tcBorders>
            <w:vAlign w:val="top"/>
          </w:tcPr>
          <w:p w14:paraId="4FC1428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s="宋体"/>
                <w:color w:val="auto"/>
                <w:sz w:val="21"/>
                <w:szCs w:val="21"/>
                <w:highlight w:val="none"/>
              </w:rPr>
            </w:pPr>
            <w:r>
              <w:rPr>
                <w:rFonts w:hint="eastAsia"/>
                <w:color w:val="auto"/>
                <w:highlight w:val="none"/>
              </w:rPr>
              <w:t>联系方式：023-63621694</w:t>
            </w:r>
          </w:p>
        </w:tc>
      </w:tr>
      <w:tr w14:paraId="034FD241">
        <w:tblPrEx>
          <w:tblCellMar>
            <w:top w:w="0" w:type="dxa"/>
            <w:left w:w="108" w:type="dxa"/>
            <w:bottom w:w="0" w:type="dxa"/>
            <w:right w:w="108" w:type="dxa"/>
          </w:tblCellMar>
        </w:tblPrEx>
        <w:trPr>
          <w:trHeight w:val="23" w:hRule="atLeast"/>
        </w:trPr>
        <w:tc>
          <w:tcPr>
            <w:tcW w:w="8423" w:type="dxa"/>
            <w:gridSpan w:val="2"/>
            <w:tcBorders>
              <w:top w:val="nil"/>
              <w:left w:val="single" w:color="auto" w:sz="4" w:space="0"/>
              <w:bottom w:val="nil"/>
              <w:right w:val="single" w:color="auto" w:sz="4" w:space="0"/>
            </w:tcBorders>
            <w:vAlign w:val="top"/>
          </w:tcPr>
          <w:p w14:paraId="08153F2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highlight w:val="none"/>
              </w:rPr>
            </w:pPr>
          </w:p>
        </w:tc>
      </w:tr>
      <w:tr w14:paraId="2B693789">
        <w:tblPrEx>
          <w:tblCellMar>
            <w:top w:w="0" w:type="dxa"/>
            <w:left w:w="108" w:type="dxa"/>
            <w:bottom w:w="0" w:type="dxa"/>
            <w:right w:w="108" w:type="dxa"/>
          </w:tblCellMar>
        </w:tblPrEx>
        <w:trPr>
          <w:trHeight w:val="23" w:hRule="atLeast"/>
        </w:trPr>
        <w:tc>
          <w:tcPr>
            <w:tcW w:w="8423" w:type="dxa"/>
            <w:gridSpan w:val="2"/>
            <w:tcBorders>
              <w:top w:val="nil"/>
              <w:left w:val="single" w:color="auto" w:sz="4" w:space="0"/>
              <w:bottom w:val="nil"/>
              <w:right w:val="single" w:color="auto" w:sz="4" w:space="0"/>
            </w:tcBorders>
            <w:vAlign w:val="top"/>
          </w:tcPr>
          <w:p w14:paraId="3D235C1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highlight w:val="none"/>
              </w:rPr>
            </w:pPr>
            <w:r>
              <w:rPr>
                <w:rFonts w:hint="eastAsia"/>
                <w:color w:val="auto"/>
                <w:highlight w:val="none"/>
                <w:lang w:val="en-US" w:eastAsia="zh-CN"/>
              </w:rPr>
              <w:t>8</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0994E29F">
        <w:tblPrEx>
          <w:tblCellMar>
            <w:top w:w="0" w:type="dxa"/>
            <w:left w:w="108" w:type="dxa"/>
            <w:bottom w:w="0" w:type="dxa"/>
            <w:right w:w="108" w:type="dxa"/>
          </w:tblCellMar>
        </w:tblPrEx>
        <w:trPr>
          <w:trHeight w:val="23" w:hRule="atLeast"/>
        </w:trPr>
        <w:tc>
          <w:tcPr>
            <w:tcW w:w="3943" w:type="dxa"/>
            <w:tcBorders>
              <w:top w:val="nil"/>
              <w:left w:val="single" w:color="auto" w:sz="4" w:space="0"/>
              <w:bottom w:val="nil"/>
              <w:right w:val="nil"/>
            </w:tcBorders>
            <w:vAlign w:val="top"/>
          </w:tcPr>
          <w:p w14:paraId="62B9311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vAlign w:val="top"/>
          </w:tcPr>
          <w:p w14:paraId="627F17C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s="宋体"/>
                <w:color w:val="auto"/>
                <w:sz w:val="21"/>
                <w:szCs w:val="21"/>
                <w:highlight w:val="none"/>
              </w:rPr>
            </w:pPr>
            <w:r>
              <w:rPr>
                <w:rFonts w:hint="eastAsia"/>
                <w:color w:val="auto"/>
                <w:highlight w:val="none"/>
              </w:rPr>
              <w:t>联系方式：023-88890395</w:t>
            </w:r>
          </w:p>
        </w:tc>
      </w:tr>
      <w:tr w14:paraId="2A134819">
        <w:tblPrEx>
          <w:tblCellMar>
            <w:top w:w="0" w:type="dxa"/>
            <w:left w:w="108" w:type="dxa"/>
            <w:bottom w:w="0" w:type="dxa"/>
            <w:right w:w="108" w:type="dxa"/>
          </w:tblCellMar>
        </w:tblPrEx>
        <w:trPr>
          <w:trHeight w:val="23" w:hRule="atLeast"/>
        </w:trPr>
        <w:tc>
          <w:tcPr>
            <w:tcW w:w="8423" w:type="dxa"/>
            <w:gridSpan w:val="2"/>
            <w:tcBorders>
              <w:top w:val="nil"/>
              <w:left w:val="single" w:color="auto" w:sz="4" w:space="0"/>
              <w:bottom w:val="single" w:color="auto" w:sz="4" w:space="0"/>
              <w:right w:val="single" w:color="auto" w:sz="4" w:space="0"/>
            </w:tcBorders>
            <w:vAlign w:val="top"/>
          </w:tcPr>
          <w:p w14:paraId="521D87F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bookmarkEnd w:id="16"/>
    </w:tbl>
    <w:p w14:paraId="6F8E7366">
      <w:pPr>
        <w:spacing w:line="240" w:lineRule="auto"/>
        <w:ind w:firstLine="0" w:firstLineChars="0"/>
        <w:jc w:val="both"/>
        <w:rPr>
          <w:rFonts w:hint="eastAsia"/>
          <w:color w:val="auto"/>
          <w:highlight w:val="none"/>
          <w:lang w:val="en-US" w:eastAsia="zh-CN"/>
        </w:rPr>
      </w:pPr>
    </w:p>
    <w:p w14:paraId="51B2A4E3">
      <w:pPr>
        <w:spacing w:line="240" w:lineRule="auto"/>
        <w:ind w:firstLine="0" w:firstLineChars="0"/>
        <w:jc w:val="both"/>
        <w:rPr>
          <w:rFonts w:hint="eastAsia"/>
          <w:lang w:val="en-US" w:eastAsia="zh-CN"/>
        </w:rPr>
      </w:pPr>
      <w:r>
        <w:rPr>
          <w:rFonts w:hint="eastAsia"/>
          <w:color w:val="auto"/>
          <w:highlight w:val="none"/>
          <w:lang w:val="en-US" w:eastAsia="zh-CN"/>
        </w:rPr>
        <w:t>附件：</w:t>
      </w:r>
      <w:r>
        <w:rPr>
          <w:rFonts w:hint="eastAsia"/>
          <w:lang w:val="en-US" w:eastAsia="zh-CN"/>
        </w:rPr>
        <w:t>重庆三峡银行智能柜员机供应商采购项目询比文件</w:t>
      </w:r>
    </w:p>
    <w:p w14:paraId="200C18C0">
      <w:pPr>
        <w:spacing w:line="240" w:lineRule="auto"/>
        <w:ind w:firstLine="0" w:firstLineChars="0"/>
        <w:jc w:val="right"/>
        <w:rPr>
          <w:rFonts w:hint="eastAsia"/>
          <w:color w:val="auto"/>
          <w:highlight w:val="none"/>
        </w:rPr>
      </w:pPr>
    </w:p>
    <w:p w14:paraId="12A11E1F">
      <w:pPr>
        <w:spacing w:line="240" w:lineRule="auto"/>
        <w:ind w:firstLine="0" w:firstLineChars="0"/>
        <w:jc w:val="right"/>
        <w:rPr>
          <w:color w:val="auto"/>
          <w:highlight w:val="none"/>
        </w:rPr>
      </w:pPr>
      <w:r>
        <w:rPr>
          <w:rFonts w:hint="eastAsia"/>
          <w:color w:val="auto"/>
          <w:highlight w:val="none"/>
        </w:rPr>
        <w:t>重庆三峡银行股份有限公司</w:t>
      </w:r>
    </w:p>
    <w:p w14:paraId="4CE15108">
      <w:pPr>
        <w:bidi w:val="0"/>
        <w:jc w:val="right"/>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1</w:t>
      </w:r>
      <w:r>
        <w:rPr>
          <w:rFonts w:hint="eastAsia"/>
          <w:color w:val="auto"/>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E28DA"/>
    <w:rsid w:val="1736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7">
    <w:name w:val="表格"/>
    <w:basedOn w:val="1"/>
    <w:qFormat/>
    <w:uiPriority w:val="0"/>
    <w:pPr>
      <w:spacing w:line="240" w:lineRule="auto"/>
      <w:ind w:firstLine="0" w:firstLineChars="0"/>
    </w:pPr>
    <w:rPr>
      <w:rFonts w:ascii="Times New Roman" w:hAnsi="Times New Roman" w:eastAsia="宋体"/>
      <w:bCs/>
      <w:color w:val="auto"/>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2049</Words>
  <Characters>2370</Characters>
  <Lines>0</Lines>
  <Paragraphs>0</Paragraphs>
  <TotalTime>0</TotalTime>
  <ScaleCrop>false</ScaleCrop>
  <LinksUpToDate>false</LinksUpToDate>
  <CharactersWithSpaces>2462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2025-07-28T02:46:00Z</dcterms:created>
  <dc:creator>admin</dc:creator>
  <cp:lastModifiedBy>交易中心-罗</cp:lastModifiedBy>
  <dcterms:modified xsi:type="dcterms:W3CDTF">2025-07-31T08:37:42Z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eyJoZGlkIjoiYTQ5ZmY1ODA0NTUyNTIzOGU4NGRmM2JhYjg3Y2Q0YjMiLCJ1c2VySWQiOiIxNTcyMDkyNjg5In0=</vt:lpwstr>
  </property>
  <property fmtid="{D5CDD505-2E9C-101B-9397-08002B2CF9AE}" pid="4" name="ICV">
    <vt:lpwstr>5F469B7767F24E82A3362C0EC36CAE89_12</vt:lpwstr>
  </property>
</Properties>
</file>